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5CF44C6" w:rsidP="0DFFF1B8" w:rsidRDefault="65CF44C6" w14:paraId="691E545C" w14:textId="3E33E9D1">
      <w:pPr>
        <w:pStyle w:val="Normal"/>
      </w:pPr>
      <w:r w:rsidR="65CF44C6">
        <w:rPr/>
        <w:t xml:space="preserve">This essay will discuss the potential criminal liability of Carla by </w:t>
      </w:r>
      <w:r w:rsidR="350B17BD">
        <w:rPr/>
        <w:t xml:space="preserve">looking at the elements of the offence of Grievous Bodily Harm (GBH) and considering any </w:t>
      </w:r>
      <w:bookmarkStart w:name="_Int_ixzTBt9W" w:id="1616954210"/>
      <w:r w:rsidR="350B17BD">
        <w:rPr/>
        <w:t>possible defences</w:t>
      </w:r>
      <w:bookmarkEnd w:id="1616954210"/>
      <w:r w:rsidR="350B17BD">
        <w:rPr/>
        <w:t xml:space="preserve"> that could be considered</w:t>
      </w:r>
      <w:r w:rsidR="4C9BD923">
        <w:rPr/>
        <w:t xml:space="preserve"> such as her mental state at the time whilst simultaneously</w:t>
      </w:r>
      <w:r w:rsidR="350B17BD">
        <w:rPr/>
        <w:t xml:space="preserve"> </w:t>
      </w:r>
      <w:bookmarkStart w:name="_Int_ayLqX7Wo" w:id="609680304"/>
      <w:r w:rsidR="2BEE4BBC">
        <w:rPr/>
        <w:t>taking into account</w:t>
      </w:r>
      <w:bookmarkEnd w:id="609680304"/>
      <w:r w:rsidR="2BEE4BBC">
        <w:rPr/>
        <w:t xml:space="preserve"> </w:t>
      </w:r>
      <w:r w:rsidR="65CF44C6">
        <w:rPr/>
        <w:t>relevant case law and legislation</w:t>
      </w:r>
      <w:r w:rsidR="3254E220">
        <w:rPr/>
        <w:t xml:space="preserve">. </w:t>
      </w:r>
    </w:p>
    <w:p w:rsidR="4EAC660E" w:rsidP="0DFFF1B8" w:rsidRDefault="4EAC660E" w14:paraId="5B26CF61" w14:textId="1A869E6B">
      <w:pPr>
        <w:pStyle w:val="Normal"/>
        <w:ind w:firstLine="720"/>
      </w:pPr>
      <w:r w:rsidR="4EAC660E">
        <w:rPr/>
        <w:t>Under section 39 of the Criminal Justice Act 1988</w:t>
      </w:r>
      <w:r w:rsidR="36069AC5">
        <w:rPr/>
        <w:t xml:space="preserve"> (CJA)</w:t>
      </w:r>
      <w:r w:rsidR="4EAC660E">
        <w:rPr/>
        <w:t>, the laws of Common Assault and Battery are</w:t>
      </w:r>
      <w:r w:rsidR="4EAC660E">
        <w:rPr/>
        <w:t xml:space="preserve"> underlined</w:t>
      </w:r>
      <w:r w:rsidR="3689396C">
        <w:rPr/>
        <w:t>. For an assault to have taken place</w:t>
      </w:r>
      <w:r w:rsidR="7B2F91A6">
        <w:rPr/>
        <w:t xml:space="preserve"> the victim must have feared physical contact from the defendant and the defendant must have intended to cause this fear which in the case </w:t>
      </w:r>
      <w:r w:rsidR="5A82043F">
        <w:rPr/>
        <w:t>of Caral and Jamie is true</w:t>
      </w:r>
      <w:r w:rsidR="39D476D8">
        <w:rPr/>
        <w:t>. For a battery to have taken place</w:t>
      </w:r>
      <w:r w:rsidR="21851EEA">
        <w:rPr/>
        <w:t xml:space="preserve"> </w:t>
      </w:r>
      <w:r w:rsidR="7C203F23">
        <w:rPr/>
        <w:t xml:space="preserve">the application of unlawful force is </w:t>
      </w:r>
      <w:r w:rsidR="7C203F23">
        <w:rPr/>
        <w:t>required</w:t>
      </w:r>
      <w:r w:rsidR="7C203F23">
        <w:rPr/>
        <w:t xml:space="preserve"> which is also true for the given scenario</w:t>
      </w:r>
      <w:r w:rsidR="647AF53D">
        <w:rPr/>
        <w:t xml:space="preserve">. Although </w:t>
      </w:r>
      <w:bookmarkStart w:name="_Int_W48NgyYQ" w:id="1249399700"/>
      <w:r w:rsidR="647AF53D">
        <w:rPr/>
        <w:t>it is clear that an</w:t>
      </w:r>
      <w:bookmarkEnd w:id="1249399700"/>
      <w:r w:rsidR="647AF53D">
        <w:rPr/>
        <w:t xml:space="preserve"> assault and battery has taken place, t</w:t>
      </w:r>
      <w:r w:rsidR="7FB4E70C">
        <w:rPr/>
        <w:t xml:space="preserve">he stabbing of a kitchen knife in the chest </w:t>
      </w:r>
      <w:r w:rsidR="76295261">
        <w:rPr/>
        <w:t>suggests that a more serious offence has been committed</w:t>
      </w:r>
      <w:r w:rsidR="3C483F8E">
        <w:rPr/>
        <w:t xml:space="preserve">. The Offences Against </w:t>
      </w:r>
      <w:r w:rsidR="3C6D3129">
        <w:rPr/>
        <w:t>the</w:t>
      </w:r>
      <w:r w:rsidR="3C483F8E">
        <w:rPr/>
        <w:t xml:space="preserve"> Person Act 1861</w:t>
      </w:r>
      <w:r w:rsidR="67441C8A">
        <w:rPr/>
        <w:t xml:space="preserve"> (OAPA) outlines these more serious offences. For example, </w:t>
      </w:r>
      <w:r w:rsidR="5E464E2C">
        <w:rPr/>
        <w:t xml:space="preserve">Section 47 of the OAPA outlines the offence of Assault occasioning Actual Bodily Harm (ABH). For </w:t>
      </w:r>
      <w:r w:rsidR="70F5DF36">
        <w:rPr/>
        <w:t xml:space="preserve">ABH to have occurred the victim must have suffered harm due to the </w:t>
      </w:r>
      <w:r w:rsidR="0886A09D">
        <w:rPr/>
        <w:t>defendants'</w:t>
      </w:r>
      <w:r w:rsidR="70F5DF36">
        <w:rPr/>
        <w:t xml:space="preserve"> actions although this harm need not be serious but must be </w:t>
      </w:r>
      <w:r w:rsidR="7613AE4B">
        <w:rPr/>
        <w:t>more significant than a push</w:t>
      </w:r>
      <w:r w:rsidR="59FA83DF">
        <w:rPr/>
        <w:t xml:space="preserve">, some examples of ABH include bruising, scratches, bite marks and swelling. </w:t>
      </w:r>
      <w:bookmarkStart w:name="_Int_htUBkiX8" w:id="1747094600"/>
      <w:r w:rsidR="59FA83DF">
        <w:rPr/>
        <w:t>Due to the fact that</w:t>
      </w:r>
      <w:bookmarkEnd w:id="1747094600"/>
      <w:r w:rsidR="59FA83DF">
        <w:rPr/>
        <w:t xml:space="preserve"> the stabbing of a knife in the chest of the victim is a lot more seriou</w:t>
      </w:r>
      <w:r w:rsidR="0EED3701">
        <w:rPr/>
        <w:t xml:space="preserve">s than a bruising or swelling. The offence of ABH cannot be considered in this case. Moreover, </w:t>
      </w:r>
      <w:r w:rsidR="209B9425">
        <w:rPr/>
        <w:t xml:space="preserve">Section 20 and Section 18 </w:t>
      </w:r>
      <w:r w:rsidR="51D39D2B">
        <w:rPr/>
        <w:t xml:space="preserve">of the OAPA </w:t>
      </w:r>
      <w:r w:rsidR="209B9425">
        <w:rPr/>
        <w:t>both outline the offence of GBH</w:t>
      </w:r>
      <w:r w:rsidR="54D38CD5">
        <w:rPr/>
        <w:t xml:space="preserve">. Section 20 looks at GBH without intent, however, </w:t>
      </w:r>
      <w:bookmarkStart w:name="_Int_Z4zbNvss" w:id="1413471403"/>
      <w:r w:rsidR="54D38CD5">
        <w:rPr/>
        <w:t>due t</w:t>
      </w:r>
      <w:r w:rsidR="583A338F">
        <w:rPr/>
        <w:t>o the fact that</w:t>
      </w:r>
      <w:bookmarkEnd w:id="1413471403"/>
      <w:r w:rsidR="583A338F">
        <w:rPr/>
        <w:t xml:space="preserve"> Carla walks away from her argument with Jamie and then comes back with the knife that she stabs him with, there is clear intent causing section 20 </w:t>
      </w:r>
      <w:r w:rsidR="3A34A2AB">
        <w:rPr/>
        <w:t xml:space="preserve">of the OAPA to be irrelevant in this case. On the other hand, Section 18 looks at </w:t>
      </w:r>
      <w:r w:rsidR="76318B59">
        <w:rPr/>
        <w:t>unlawful an</w:t>
      </w:r>
      <w:r w:rsidR="5583FDF2">
        <w:rPr/>
        <w:t>d</w:t>
      </w:r>
      <w:r w:rsidR="76318B59">
        <w:rPr/>
        <w:t xml:space="preserve"> malicious wounding or causing </w:t>
      </w:r>
      <w:r w:rsidR="3A34A2AB">
        <w:rPr/>
        <w:t>GBH with intent</w:t>
      </w:r>
      <w:r w:rsidR="09DAEDB0">
        <w:rPr/>
        <w:t xml:space="preserve"> to do so. </w:t>
      </w:r>
      <w:r w:rsidR="34D6708B">
        <w:rPr/>
        <w:t xml:space="preserve">A wounding is defined as the breaking of the first two </w:t>
      </w:r>
      <w:r w:rsidR="1428E324">
        <w:rPr/>
        <w:t xml:space="preserve">layers of skin, the dermis and the epidermis which is not </w:t>
      </w:r>
      <w:r w:rsidR="5F16C2FB">
        <w:rPr/>
        <w:t>serious enough to describe the harm placed upon the victim in this case as the victim has suffered “serious injuries”</w:t>
      </w:r>
      <w:r w:rsidR="1172AD87">
        <w:rPr/>
        <w:t xml:space="preserve"> from the stabbing of a kitchen knife into his chest where many vital organs may lay. Therefore, Section 18 GBH is a suitable charge for what offence has taken place in the scenario.</w:t>
      </w:r>
    </w:p>
    <w:p w:rsidR="70B7EF9F" w:rsidP="0DFFF1B8" w:rsidRDefault="70B7EF9F" w14:paraId="5A58E466" w14:textId="3474BFDA">
      <w:pPr>
        <w:pStyle w:val="Normal"/>
        <w:ind w:firstLine="720"/>
      </w:pPr>
      <w:r w:rsidR="70B7EF9F">
        <w:rPr/>
        <w:t xml:space="preserve">One </w:t>
      </w:r>
      <w:r w:rsidR="154C67BF">
        <w:rPr/>
        <w:t xml:space="preserve">of the defences that Carla may </w:t>
      </w:r>
      <w:r w:rsidR="546DDDD5">
        <w:rPr/>
        <w:t>rely on could be the defence of loss of control.</w:t>
      </w:r>
      <w:r w:rsidR="1E32A9CF">
        <w:rPr/>
        <w:t xml:space="preserve"> According to Section 54 of the Coroners and Justice Act 2009,</w:t>
      </w:r>
      <w:r w:rsidR="546DDDD5">
        <w:rPr/>
        <w:t xml:space="preserve"> </w:t>
      </w:r>
      <w:bookmarkStart w:name="_Int_VqHbiPjj" w:id="1219465109"/>
      <w:r w:rsidR="546DDDD5">
        <w:rPr/>
        <w:t>In order for</w:t>
      </w:r>
      <w:bookmarkEnd w:id="1219465109"/>
      <w:r w:rsidR="546DDDD5">
        <w:rPr/>
        <w:t xml:space="preserve"> loss of control to be considered as a defence the scenario must include</w:t>
      </w:r>
      <w:r w:rsidR="35C36B35">
        <w:rPr/>
        <w:t xml:space="preserve"> a full and total loss of </w:t>
      </w:r>
      <w:r w:rsidR="72B9C5B7">
        <w:rPr/>
        <w:t>self-control</w:t>
      </w:r>
      <w:r w:rsidR="35C36B35">
        <w:rPr/>
        <w:t xml:space="preserve"> which means that the attack was not thought about and happened in a situation which the defendant had no control over their own actions. For this to be tru</w:t>
      </w:r>
      <w:r w:rsidR="3C2A0199">
        <w:rPr/>
        <w:t xml:space="preserve">e, the loss of </w:t>
      </w:r>
      <w:r w:rsidR="1EC98A52">
        <w:rPr/>
        <w:t>self-control</w:t>
      </w:r>
      <w:r w:rsidR="3C2A0199">
        <w:rPr/>
        <w:t xml:space="preserve"> must have a </w:t>
      </w:r>
      <w:r w:rsidR="78AA923E">
        <w:rPr/>
        <w:t xml:space="preserve">recognised </w:t>
      </w:r>
      <w:r w:rsidR="3C2A0199">
        <w:rPr/>
        <w:t>qualifying trigger</w:t>
      </w:r>
      <w:r w:rsidR="16047097">
        <w:rPr/>
        <w:t>. The</w:t>
      </w:r>
      <w:r w:rsidR="2CFC5F8E">
        <w:rPr/>
        <w:t xml:space="preserve"> first trigger is described as a fear of serious violence from the victim </w:t>
      </w:r>
      <w:r w:rsidR="0C4ED227">
        <w:rPr/>
        <w:t xml:space="preserve">which in this case would not be applicable </w:t>
      </w:r>
      <w:bookmarkStart w:name="_Int_jDbk2iDm" w:id="964642275"/>
      <w:r w:rsidR="0C4ED227">
        <w:rPr/>
        <w:t>due to the fact that</w:t>
      </w:r>
      <w:bookmarkEnd w:id="964642275"/>
      <w:r w:rsidR="0C4ED227">
        <w:rPr/>
        <w:t xml:space="preserve"> Jamie </w:t>
      </w:r>
      <w:r w:rsidR="10F766E0">
        <w:rPr/>
        <w:t>had not</w:t>
      </w:r>
      <w:r w:rsidR="0C4ED227">
        <w:rPr/>
        <w:t xml:space="preserve"> shown any sign of violence towards Carla before the attack. The second trigger that could be applicable is described as </w:t>
      </w:r>
      <w:r w:rsidR="7CCB6FC1">
        <w:rPr/>
        <w:t xml:space="preserve">whether things were said and/or done which could cause </w:t>
      </w:r>
      <w:r w:rsidR="76E90B7F">
        <w:rPr/>
        <w:t xml:space="preserve">the defendant to change to an extremely emotional character which in this specific case would be true as Carla </w:t>
      </w:r>
      <w:r w:rsidR="7432D5E2">
        <w:rPr/>
        <w:t xml:space="preserve">and Jamie were involved in </w:t>
      </w:r>
      <w:bookmarkStart w:name="_Int_p71XiYwT" w:id="992801249"/>
      <w:r w:rsidR="7432D5E2">
        <w:rPr/>
        <w:t>a heated argument</w:t>
      </w:r>
      <w:bookmarkEnd w:id="992801249"/>
      <w:r w:rsidR="7432D5E2">
        <w:rPr/>
        <w:t xml:space="preserve"> during the attack</w:t>
      </w:r>
      <w:r w:rsidR="358DF0B1">
        <w:rPr/>
        <w:t xml:space="preserve">. </w:t>
      </w:r>
      <w:r w:rsidR="32D7BB14">
        <w:rPr/>
        <w:t>Finally,</w:t>
      </w:r>
      <w:r w:rsidR="358DF0B1">
        <w:rPr/>
        <w:t xml:space="preserve"> the third qualifying trigger is whether the victim had caused the defendant to have a justifiable feeling of being seriously wronged</w:t>
      </w:r>
      <w:r w:rsidR="06E266ED">
        <w:rPr/>
        <w:t xml:space="preserve"> which would also be true for this case </w:t>
      </w:r>
      <w:bookmarkStart w:name="_Int_kKr6e75Q" w:id="1213661500"/>
      <w:r w:rsidR="06E266ED">
        <w:rPr/>
        <w:t>due to the fact that</w:t>
      </w:r>
      <w:bookmarkEnd w:id="1213661500"/>
      <w:r w:rsidR="06E266ED">
        <w:rPr/>
        <w:t xml:space="preserve"> Carla had found out that Jamie had been having an affair with one of his co-workers</w:t>
      </w:r>
      <w:r w:rsidR="1EB2C44D">
        <w:rPr/>
        <w:t xml:space="preserve">. </w:t>
      </w:r>
      <w:r w:rsidR="2DFB9C3C">
        <w:rPr/>
        <w:t xml:space="preserve">Finally, the third factor that is </w:t>
      </w:r>
      <w:r w:rsidR="2DFB9C3C">
        <w:rPr/>
        <w:t>required</w:t>
      </w:r>
      <w:r w:rsidR="2DFB9C3C">
        <w:rPr/>
        <w:t xml:space="preserve"> for the defence of loss of control to be used is that a person of the same sex and age would have reacted the same way or similarly if put in the same circumstances. In the case of Carla and Jamie</w:t>
      </w:r>
      <w:r w:rsidR="0105142F">
        <w:rPr/>
        <w:t xml:space="preserve">, </w:t>
      </w:r>
      <w:bookmarkStart w:name="_Int_HBSawdKz" w:id="477839047"/>
      <w:r w:rsidR="0105142F">
        <w:rPr/>
        <w:t>it is clear that Carla’s</w:t>
      </w:r>
      <w:bookmarkEnd w:id="477839047"/>
      <w:r w:rsidR="0105142F">
        <w:rPr/>
        <w:t xml:space="preserve"> actions are not those of an ordinary human being and therefore the defence of loss of cont</w:t>
      </w:r>
      <w:r w:rsidR="0C4CDAEF">
        <w:rPr/>
        <w:t xml:space="preserve">rol would not be </w:t>
      </w:r>
      <w:r w:rsidR="0C4CDAEF">
        <w:rPr/>
        <w:t>appropriate</w:t>
      </w:r>
      <w:r w:rsidR="30AAC91D">
        <w:rPr/>
        <w:t xml:space="preserve"> which</w:t>
      </w:r>
      <w:r w:rsidR="30AAC91D">
        <w:rPr/>
        <w:t xml:space="preserve"> means that Carla does not have a defence for her actions against Jamie.</w:t>
      </w:r>
    </w:p>
    <w:p w:rsidR="30AAC91D" w:rsidP="0DFFF1B8" w:rsidRDefault="30AAC91D" w14:paraId="20A66F9C" w14:textId="0A068940">
      <w:pPr>
        <w:pStyle w:val="Normal"/>
        <w:ind w:firstLine="720"/>
      </w:pPr>
      <w:r w:rsidR="30AAC91D">
        <w:rPr/>
        <w:t xml:space="preserve">To conclude, Carla would be liable for causing GBH with intent under section 20 of the Offences Against the Person Act 1861 </w:t>
      </w:r>
      <w:bookmarkStart w:name="_Int_RxhV10Ti" w:id="1670597147"/>
      <w:r w:rsidR="30AAC91D">
        <w:rPr/>
        <w:t>due to the fac</w:t>
      </w:r>
      <w:r w:rsidR="483B8A83">
        <w:rPr/>
        <w:t>t that</w:t>
      </w:r>
      <w:bookmarkEnd w:id="1670597147"/>
      <w:r w:rsidR="483B8A83">
        <w:rPr/>
        <w:t xml:space="preserve"> the injuries caused to Jamie succeeded Actual Bodily Harm and succeeded wounding. As </w:t>
      </w:r>
      <w:r w:rsidR="06E06FB5">
        <w:rPr/>
        <w:t>Carla does not have any applicable defences, she would be charged with Section 20 rather than Section 18 because she did intend to cause serious harm to Jamie when sh</w:t>
      </w:r>
      <w:r w:rsidR="6632E24D">
        <w:rPr/>
        <w:t>e stabbed him with a kitchen knife. As Jamie did not lose his life, the o</w:t>
      </w:r>
      <w:r w:rsidR="5834E5F0">
        <w:rPr/>
        <w:t xml:space="preserve">ffence of murder or manslaughter would not be pertinent and </w:t>
      </w:r>
      <w:r w:rsidR="2B3E5DE3">
        <w:rPr/>
        <w:t>S</w:t>
      </w:r>
      <w:r w:rsidR="5834E5F0">
        <w:rPr/>
        <w:t>ection 20 GBH is the most serious crime she can be charged with.</w:t>
      </w:r>
    </w:p>
    <w:p w:rsidR="0DFFF1B8" w:rsidP="0DFFF1B8" w:rsidRDefault="0DFFF1B8" w14:paraId="6F083CEA" w14:textId="5661C176">
      <w:pPr>
        <w:pStyle w:val="Normal"/>
      </w:pPr>
    </w:p>
    <w:p w:rsidR="222191E2" w:rsidP="0DFFF1B8" w:rsidRDefault="222191E2" w14:paraId="3B855649" w14:textId="2A0C5392">
      <w:pPr>
        <w:pStyle w:val="Normal"/>
      </w:pPr>
      <w:r w:rsidR="222191E2">
        <w:rPr/>
        <w:t>Reference List</w:t>
      </w:r>
      <w:r w:rsidR="3FCC5479">
        <w:rPr/>
        <w:t>:</w:t>
      </w:r>
    </w:p>
    <w:p w:rsidR="300DB64D" w:rsidP="0DFFF1B8" w:rsidRDefault="300DB64D" w14:paraId="45B6FA48" w14:textId="3D614DAF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www.e-lawresources.co.uk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Loss of control defence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3a8f11cb400e4cf9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https://www.e-lawresources.co.uk/Loss-of-control.php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00DB64D" w:rsidP="0DFFF1B8" w:rsidRDefault="300DB64D" w14:paraId="273B4C75" w14:textId="30FD90A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Cotton, C. (2022).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Loss of Control: Judge or Jury? - Mountford Chambers - London Barristers Chambers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Mountford Chambers. Available at: </w:t>
      </w:r>
      <w:hyperlink w:anchor=":~:text=In%20short%2C%20that%20the%20defendant" r:id="R297d0f88e35444e7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https://www.mountfordchambers.com/loss-of-control-judge-or-jury/#:~:text=In%20short%2C%20that%20the%20defendant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00DB64D" w:rsidP="0DFFF1B8" w:rsidRDefault="300DB64D" w14:paraId="7450FEC3" w14:textId="2FE7B766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Studocu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(2021).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Loss of control - Lecture notes 5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0228ecc9924048f6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https://www.studocu.com/en-gb/document/aston-university/criminal-law/loss-of-control-lecture-notes-5/12377561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19 Jan. 2024].</w:t>
      </w:r>
    </w:p>
    <w:p w:rsidR="300DB64D" w:rsidP="0DFFF1B8" w:rsidRDefault="300DB64D" w14:paraId="6DCAFCD3" w14:textId="6C72F33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Anon, (n.d.).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Section 39 – Common Assault | Gray and Co Solicitors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b4d4c7be4980415f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https://www.grayandcosolicitors.co.uk/section-39-common-assault/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00DB64D" w:rsidP="0DFFF1B8" w:rsidRDefault="300DB64D" w14:paraId="0551C0EB" w14:textId="3CE86A3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Pellman, J. (2021).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Actual Bodily Harm (ABH)? Everything You Need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Know.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Britton &amp; Time Solicitors. Available at: </w:t>
      </w:r>
      <w:hyperlink w:anchor=":~:text=Actual%20bodily%20harm%20%28ABH%29%20is%20a%20form%20of" r:id="Rfeadf888b8b94b71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https://brittontime.com/2021/08/17/what-is-actual-bodily-harm-abh-everything-you-need-to-know/#:~:text=Actual%20bodily%20harm%20%28ABH%29%20is%20a%20form%20of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00DB64D" w:rsidP="0DFFF1B8" w:rsidRDefault="300DB64D" w14:paraId="23B1016D" w14:textId="0251245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Peeler, T. (2012).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Assault?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LegalMatch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Law Library. Available at: </w:t>
      </w:r>
      <w:hyperlink r:id="Rde1481e154f74453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https://www.legalmatch.com/law-library/article/what-is-assault.html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00DB64D" w:rsidP="0DFFF1B8" w:rsidRDefault="300DB64D" w14:paraId="6CF440A5" w14:textId="70976A6C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www.lawteacher.net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0DFFF1B8" w:rsidR="300DB64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Wounding and GBH Lecture</w:t>
      </w:r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JJC%20v%20Eisenhower%20QB%20331%20defines%20wounding%20as" r:id="R7ae9a22e2abb49b7">
        <w:r w:rsidRPr="0DFFF1B8" w:rsidR="300DB64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https://www.lawteacher.net/lectures/criminal-law/non-fatal-offences/wounding-gbh/#:~:text=JJC%20v%20Eisenhower%20QB%20331%20defines%20wounding%20as</w:t>
        </w:r>
      </w:hyperlink>
      <w:r w:rsidRPr="0DFFF1B8" w:rsidR="300DB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19 Jan. 2024].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71XiYwT" int2:invalidationBookmarkName="" int2:hashCode="VSVP1Kg+Rveh3n" int2:id="l9TzbONv">
      <int2:state int2:type="AugLoop_Text_Critique" int2:value="Rejected"/>
    </int2:bookmark>
    <int2:bookmark int2:bookmarkName="_Int_WivfjXao" int2:invalidationBookmarkName="" int2:hashCode="bi6kWhNw4A4zyl" int2:id="WK8LVwKj">
      <int2:state int2:type="AugLoop_Text_Critique" int2:value="Rejected"/>
    </int2:bookmark>
    <int2:bookmark int2:bookmarkName="_Int_ixzTBt9W" int2:invalidationBookmarkName="" int2:hashCode="NUcLPDP+h93EZj" int2:id="C3qPnvor">
      <int2:state int2:type="AugLoop_Text_Critique" int2:value="Rejected"/>
    </int2:bookmark>
    <int2:bookmark int2:bookmarkName="_Int_kKr6e75Q" int2:invalidationBookmarkName="" int2:hashCode="v9fu1ddnFE+IM7" int2:id="GMGvHKl7">
      <int2:state int2:type="AugLoop_Text_Critique" int2:value="Rejected"/>
    </int2:bookmark>
    <int2:bookmark int2:bookmarkName="_Int_jDbk2iDm" int2:invalidationBookmarkName="" int2:hashCode="v9fu1ddnFE+IM7" int2:id="mNJblsf8">
      <int2:state int2:type="AugLoop_Text_Critique" int2:value="Rejected"/>
    </int2:bookmark>
    <int2:bookmark int2:bookmarkName="_Int_HBSawdKz" int2:invalidationBookmarkName="" int2:hashCode="FPj6SS/c7jGdbV" int2:id="6U6zBEeI">
      <int2:state int2:type="AugLoop_Text_Critique" int2:value="Rejected"/>
    </int2:bookmark>
    <int2:bookmark int2:bookmarkName="_Int_RxhV10Ti" int2:invalidationBookmarkName="" int2:hashCode="v9fu1ddnFE+IM7" int2:id="g8UEyDAE">
      <int2:state int2:type="AugLoop_Text_Critique" int2:value="Rejected"/>
    </int2:bookmark>
    <int2:bookmark int2:bookmarkName="_Int_VqHbiPjj" int2:invalidationBookmarkName="" int2:hashCode="b39xLERzutWd+F" int2:id="8V3A7y7j">
      <int2:state int2:type="AugLoop_Text_Critique" int2:value="Rejected"/>
    </int2:bookmark>
    <int2:bookmark int2:bookmarkName="_Int_Z4zbNvss" int2:invalidationBookmarkName="" int2:hashCode="v9fu1ddnFE+IM7" int2:id="Cz2g1xRv">
      <int2:state int2:type="AugLoop_Text_Critique" int2:value="Rejected"/>
    </int2:bookmark>
    <int2:bookmark int2:bookmarkName="_Int_htUBkiX8" int2:invalidationBookmarkName="" int2:hashCode="a0oIhAAUeloWhr" int2:id="iyyk10zN">
      <int2:state int2:type="AugLoop_Text_Critique" int2:value="Rejected"/>
    </int2:bookmark>
    <int2:bookmark int2:bookmarkName="_Int_W48NgyYQ" int2:invalidationBookmarkName="" int2:hashCode="rLaZCfdlg+19gK" int2:id="ARDEK4Rj">
      <int2:state int2:type="AugLoop_Text_Critique" int2:value="Rejected"/>
    </int2:bookmark>
    <int2:bookmark int2:bookmarkName="_Int_ayLqX7Wo" int2:invalidationBookmarkName="" int2:hashCode="yIxiwsoLtgKuGw" int2:id="Z7S5UTqz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adae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B0249B"/>
    <w:rsid w:val="0105142F"/>
    <w:rsid w:val="011504C9"/>
    <w:rsid w:val="0251B9BF"/>
    <w:rsid w:val="04C8415C"/>
    <w:rsid w:val="05E875EC"/>
    <w:rsid w:val="06E06FB5"/>
    <w:rsid w:val="06E266ED"/>
    <w:rsid w:val="0886A09D"/>
    <w:rsid w:val="09DAEDB0"/>
    <w:rsid w:val="0B105D05"/>
    <w:rsid w:val="0C4CDAEF"/>
    <w:rsid w:val="0C4ED227"/>
    <w:rsid w:val="0DFFF1B8"/>
    <w:rsid w:val="0EED3701"/>
    <w:rsid w:val="0FCB5AE4"/>
    <w:rsid w:val="10B66608"/>
    <w:rsid w:val="10F766E0"/>
    <w:rsid w:val="1172AD87"/>
    <w:rsid w:val="12523669"/>
    <w:rsid w:val="12AFAC2F"/>
    <w:rsid w:val="134294C5"/>
    <w:rsid w:val="1428E324"/>
    <w:rsid w:val="144B7C90"/>
    <w:rsid w:val="154C67BF"/>
    <w:rsid w:val="15B8FFBC"/>
    <w:rsid w:val="15E74CF1"/>
    <w:rsid w:val="16047097"/>
    <w:rsid w:val="161FADA3"/>
    <w:rsid w:val="1682230D"/>
    <w:rsid w:val="16D9344C"/>
    <w:rsid w:val="17D66CC9"/>
    <w:rsid w:val="181DF36E"/>
    <w:rsid w:val="18C177ED"/>
    <w:rsid w:val="19A7FC18"/>
    <w:rsid w:val="1ABABE14"/>
    <w:rsid w:val="1CDF9CDA"/>
    <w:rsid w:val="1D54DFB7"/>
    <w:rsid w:val="1E32A9CF"/>
    <w:rsid w:val="1E8D34F2"/>
    <w:rsid w:val="1EB2C44D"/>
    <w:rsid w:val="1EC98A52"/>
    <w:rsid w:val="1F30B971"/>
    <w:rsid w:val="20290553"/>
    <w:rsid w:val="209B9425"/>
    <w:rsid w:val="21851EEA"/>
    <w:rsid w:val="222191E2"/>
    <w:rsid w:val="222850DA"/>
    <w:rsid w:val="2360A615"/>
    <w:rsid w:val="242978F4"/>
    <w:rsid w:val="24FC7676"/>
    <w:rsid w:val="2604B71C"/>
    <w:rsid w:val="28FCEA17"/>
    <w:rsid w:val="2A98BA78"/>
    <w:rsid w:val="2B3E5DE3"/>
    <w:rsid w:val="2BEE4BBC"/>
    <w:rsid w:val="2C1729FF"/>
    <w:rsid w:val="2C2A4C01"/>
    <w:rsid w:val="2C348AD9"/>
    <w:rsid w:val="2CFC5F8E"/>
    <w:rsid w:val="2DD05B3A"/>
    <w:rsid w:val="2DFB9C3C"/>
    <w:rsid w:val="2EA358BC"/>
    <w:rsid w:val="2F4ECAC1"/>
    <w:rsid w:val="300DB64D"/>
    <w:rsid w:val="30AAC91D"/>
    <w:rsid w:val="3180B99B"/>
    <w:rsid w:val="3254E220"/>
    <w:rsid w:val="32866B83"/>
    <w:rsid w:val="32D7BB14"/>
    <w:rsid w:val="343F9CBE"/>
    <w:rsid w:val="34D6708B"/>
    <w:rsid w:val="350B17BD"/>
    <w:rsid w:val="357E02EC"/>
    <w:rsid w:val="358C85D4"/>
    <w:rsid w:val="358DF0B1"/>
    <w:rsid w:val="35BE0C45"/>
    <w:rsid w:val="35C36B35"/>
    <w:rsid w:val="36069AC5"/>
    <w:rsid w:val="3689396C"/>
    <w:rsid w:val="37EC805D"/>
    <w:rsid w:val="39D476D8"/>
    <w:rsid w:val="3A34A2AB"/>
    <w:rsid w:val="3A51740F"/>
    <w:rsid w:val="3A5FF6F7"/>
    <w:rsid w:val="3AB6CBC8"/>
    <w:rsid w:val="3C2A0199"/>
    <w:rsid w:val="3C483F8E"/>
    <w:rsid w:val="3C6D3129"/>
    <w:rsid w:val="3FCC5479"/>
    <w:rsid w:val="41DB5982"/>
    <w:rsid w:val="4570700A"/>
    <w:rsid w:val="470C406B"/>
    <w:rsid w:val="483B8A83"/>
    <w:rsid w:val="4867FBE0"/>
    <w:rsid w:val="49E66B67"/>
    <w:rsid w:val="4A03CC41"/>
    <w:rsid w:val="4C9BD923"/>
    <w:rsid w:val="4DFD8247"/>
    <w:rsid w:val="4EAC660E"/>
    <w:rsid w:val="4F911289"/>
    <w:rsid w:val="4F9952A8"/>
    <w:rsid w:val="4FB0249B"/>
    <w:rsid w:val="507AFB4B"/>
    <w:rsid w:val="512CE2EA"/>
    <w:rsid w:val="51352309"/>
    <w:rsid w:val="51B173F3"/>
    <w:rsid w:val="51D39D2B"/>
    <w:rsid w:val="546DDDD5"/>
    <w:rsid w:val="54C38271"/>
    <w:rsid w:val="54D38CD5"/>
    <w:rsid w:val="5583FDF2"/>
    <w:rsid w:val="56003767"/>
    <w:rsid w:val="565F52D2"/>
    <w:rsid w:val="579C07C8"/>
    <w:rsid w:val="5834E5F0"/>
    <w:rsid w:val="583A338F"/>
    <w:rsid w:val="59FA83DF"/>
    <w:rsid w:val="5A82043F"/>
    <w:rsid w:val="5B6D003F"/>
    <w:rsid w:val="5E464E2C"/>
    <w:rsid w:val="5F16C2FB"/>
    <w:rsid w:val="6320B269"/>
    <w:rsid w:val="647AF53D"/>
    <w:rsid w:val="6515A8ED"/>
    <w:rsid w:val="65B440D1"/>
    <w:rsid w:val="65CF44C6"/>
    <w:rsid w:val="6632E24D"/>
    <w:rsid w:val="66B1794E"/>
    <w:rsid w:val="67441C8A"/>
    <w:rsid w:val="67501132"/>
    <w:rsid w:val="6956061F"/>
    <w:rsid w:val="6A87B1F4"/>
    <w:rsid w:val="6D684177"/>
    <w:rsid w:val="6E4967D2"/>
    <w:rsid w:val="6F0411D8"/>
    <w:rsid w:val="70B7EF9F"/>
    <w:rsid w:val="70F5DF36"/>
    <w:rsid w:val="71647C9B"/>
    <w:rsid w:val="72B9C5B7"/>
    <w:rsid w:val="73D782FB"/>
    <w:rsid w:val="7432D5E2"/>
    <w:rsid w:val="754C2D81"/>
    <w:rsid w:val="7613AE4B"/>
    <w:rsid w:val="76295261"/>
    <w:rsid w:val="76318B59"/>
    <w:rsid w:val="76E7FDE2"/>
    <w:rsid w:val="76E90B7F"/>
    <w:rsid w:val="78AA923E"/>
    <w:rsid w:val="78AAF41E"/>
    <w:rsid w:val="78B98D31"/>
    <w:rsid w:val="7909F2E3"/>
    <w:rsid w:val="79DF086B"/>
    <w:rsid w:val="7A6366A3"/>
    <w:rsid w:val="7B2F91A6"/>
    <w:rsid w:val="7BE294E0"/>
    <w:rsid w:val="7C203F23"/>
    <w:rsid w:val="7CCB6FC1"/>
    <w:rsid w:val="7CFE1943"/>
    <w:rsid w:val="7E4EDE91"/>
    <w:rsid w:val="7E58FFD7"/>
    <w:rsid w:val="7FB4E70C"/>
    <w:rsid w:val="7FF4D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0249B"/>
  <w15:chartTrackingRefBased/>
  <w15:docId w15:val="{1344CDE8-64D5-4F4E-82E9-B0F9CB2220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DFFF1B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DFFF1B8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DFFF1B8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DFFF1B8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DFFF1B8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DFFF1B8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DFFF1B8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0DFFF1B8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0DFFF1B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0DFFF1B8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0DFFF1B8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0DFFF1B8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DFFF1B8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0DFFF1B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DFFF1B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DFFF1B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DFFF1B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DFFF1B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DFFF1B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DFFF1B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DFFF1B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DFFF1B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DFFF1B8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DFFF1B8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0DFFF1B8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DFFF1B8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DFFF1B8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DFFF1B8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0DFFF1B8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DFFF1B8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-lawresources.co.uk/Loss-of-control.php" TargetMode="External" Id="R3a8f11cb400e4cf9" /><Relationship Type="http://schemas.openxmlformats.org/officeDocument/2006/relationships/hyperlink" Target="https://www.mountfordchambers.com/loss-of-control-judge-or-jury/" TargetMode="External" Id="R297d0f88e35444e7" /><Relationship Type="http://schemas.openxmlformats.org/officeDocument/2006/relationships/hyperlink" Target="https://www.studocu.com/en-gb/document/aston-university/criminal-law/loss-of-control-lecture-notes-5/12377561" TargetMode="External" Id="R0228ecc9924048f6" /><Relationship Type="http://schemas.openxmlformats.org/officeDocument/2006/relationships/hyperlink" Target="https://www.grayandcosolicitors.co.uk/section-39-common-assault/" TargetMode="External" Id="Rb4d4c7be4980415f" /><Relationship Type="http://schemas.openxmlformats.org/officeDocument/2006/relationships/hyperlink" Target="https://brittontime.com/2021/08/17/what-is-actual-bodily-harm-abh-everything-you-need-to-know/" TargetMode="External" Id="Rfeadf888b8b94b71" /><Relationship Type="http://schemas.openxmlformats.org/officeDocument/2006/relationships/hyperlink" Target="https://www.legalmatch.com/law-library/article/what-is-assault.html" TargetMode="External" Id="Rde1481e154f74453" /><Relationship Type="http://schemas.openxmlformats.org/officeDocument/2006/relationships/hyperlink" Target="https://www.lawteacher.net/lectures/criminal-law/non-fatal-offences/wounding-gbh/" TargetMode="External" Id="R7ae9a22e2abb49b7" /><Relationship Type="http://schemas.microsoft.com/office/2020/10/relationships/intelligence" Target="intelligence2.xml" Id="R9de5d2b699e541fe" /><Relationship Type="http://schemas.openxmlformats.org/officeDocument/2006/relationships/numbering" Target="numbering.xml" Id="Rd82d0bd3d4554c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2024-01-19T16:55:37.4301837Z</dcterms:created>
  <dcterms:modified xsi:type="dcterms:W3CDTF">2024-01-19T19:46:14.3160495Z</dcterms:modified>
  <dc:creator>Will Brooks (2307173)</dc:creator>
  <lastModifiedBy>Will Brooks (2307173)</lastModifiedBy>
</coreProperties>
</file>