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ABF69" w14:textId="109B9AD2" w:rsidR="009257EB" w:rsidRPr="00092E3F" w:rsidRDefault="00092E3F">
      <w:pPr>
        <w:rPr>
          <w:b/>
          <w:bCs/>
          <w:sz w:val="32"/>
          <w:szCs w:val="32"/>
          <w:lang w:val="en-US"/>
        </w:rPr>
      </w:pPr>
      <w:r w:rsidRPr="00092E3F">
        <w:rPr>
          <w:b/>
          <w:bCs/>
          <w:sz w:val="32"/>
          <w:szCs w:val="32"/>
          <w:lang w:val="en-US"/>
        </w:rPr>
        <w:t>Free Movement of workers – Questions</w:t>
      </w:r>
    </w:p>
    <w:p w14:paraId="1513FFE6" w14:textId="77EC9FD2" w:rsidR="00092E3F" w:rsidRDefault="00092E3F" w:rsidP="00092E3F">
      <w:pPr>
        <w:pStyle w:val="ListParagraph"/>
        <w:numPr>
          <w:ilvl w:val="0"/>
          <w:numId w:val="1"/>
        </w:numPr>
        <w:rPr>
          <w:sz w:val="32"/>
          <w:szCs w:val="32"/>
          <w:lang w:val="en-US"/>
        </w:rPr>
      </w:pPr>
      <w:r w:rsidRPr="00092E3F">
        <w:rPr>
          <w:sz w:val="32"/>
          <w:szCs w:val="32"/>
          <w:lang w:val="en-US"/>
        </w:rPr>
        <w:t>How important is the principle of EU citizenship introduced by TFEU?</w:t>
      </w:r>
    </w:p>
    <w:p w14:paraId="4BBC2AA2" w14:textId="77777777" w:rsidR="00092E3F" w:rsidRPr="00092E3F" w:rsidRDefault="00092E3F" w:rsidP="00092E3F">
      <w:pPr>
        <w:pStyle w:val="ListParagraph"/>
        <w:rPr>
          <w:sz w:val="32"/>
          <w:szCs w:val="32"/>
          <w:lang w:val="en-US"/>
        </w:rPr>
      </w:pPr>
    </w:p>
    <w:p w14:paraId="3F5F8EE2" w14:textId="0CBC5FB2" w:rsidR="00092E3F" w:rsidRDefault="00092E3F" w:rsidP="00092E3F">
      <w:pPr>
        <w:pStyle w:val="ListParagraph"/>
        <w:numPr>
          <w:ilvl w:val="0"/>
          <w:numId w:val="1"/>
        </w:numPr>
        <w:rPr>
          <w:sz w:val="32"/>
          <w:szCs w:val="32"/>
          <w:lang w:val="en-US"/>
        </w:rPr>
      </w:pPr>
      <w:r w:rsidRPr="00092E3F">
        <w:rPr>
          <w:sz w:val="32"/>
          <w:szCs w:val="32"/>
          <w:lang w:val="en-US"/>
        </w:rPr>
        <w:t>Do the citizenship principle and the resulting equal treatment amount to a “green light” for “benefits tourists”?</w:t>
      </w:r>
    </w:p>
    <w:p w14:paraId="46A92B38" w14:textId="77777777" w:rsidR="00092E3F" w:rsidRPr="00092E3F" w:rsidRDefault="00092E3F" w:rsidP="00092E3F">
      <w:pPr>
        <w:pStyle w:val="ListParagraph"/>
        <w:rPr>
          <w:sz w:val="32"/>
          <w:szCs w:val="32"/>
          <w:lang w:val="en-US"/>
        </w:rPr>
      </w:pPr>
    </w:p>
    <w:p w14:paraId="31AFF726" w14:textId="77777777" w:rsidR="00092E3F" w:rsidRPr="00092E3F" w:rsidRDefault="00092E3F" w:rsidP="00092E3F">
      <w:pPr>
        <w:pStyle w:val="ListParagraph"/>
        <w:rPr>
          <w:sz w:val="32"/>
          <w:szCs w:val="32"/>
          <w:lang w:val="en-US"/>
        </w:rPr>
      </w:pPr>
    </w:p>
    <w:p w14:paraId="16373205" w14:textId="53CF45D4" w:rsidR="00092E3F" w:rsidRDefault="00092E3F" w:rsidP="00092E3F">
      <w:pPr>
        <w:pStyle w:val="ListParagraph"/>
        <w:numPr>
          <w:ilvl w:val="0"/>
          <w:numId w:val="1"/>
        </w:numPr>
        <w:rPr>
          <w:sz w:val="32"/>
          <w:szCs w:val="32"/>
          <w:lang w:val="en-US"/>
        </w:rPr>
      </w:pPr>
      <w:r w:rsidRPr="00092E3F">
        <w:rPr>
          <w:sz w:val="32"/>
          <w:szCs w:val="32"/>
          <w:lang w:val="en-US"/>
        </w:rPr>
        <w:t>What is the difference between the residence rights for workers and citizens who are not economically active but have sufficient resources so they are not an unreasonable burden on the host Member State?</w:t>
      </w:r>
    </w:p>
    <w:p w14:paraId="51B6AA29" w14:textId="2609D937" w:rsidR="00092E3F" w:rsidRDefault="00092E3F" w:rsidP="00092E3F">
      <w:pPr>
        <w:pStyle w:val="ListParagraph"/>
        <w:rPr>
          <w:sz w:val="32"/>
          <w:szCs w:val="32"/>
          <w:lang w:val="en-US"/>
        </w:rPr>
      </w:pPr>
    </w:p>
    <w:p w14:paraId="62DEEC85" w14:textId="1D24867B" w:rsidR="001F6C29" w:rsidRDefault="001F6C29" w:rsidP="00092E3F">
      <w:pPr>
        <w:pStyle w:val="ListParagraph"/>
        <w:rPr>
          <w:sz w:val="32"/>
          <w:szCs w:val="32"/>
          <w:lang w:val="en-US"/>
        </w:rPr>
      </w:pPr>
    </w:p>
    <w:p w14:paraId="1D47E032" w14:textId="0D9855B3" w:rsidR="001F6C29" w:rsidRDefault="001F6C29" w:rsidP="00092E3F">
      <w:pPr>
        <w:pStyle w:val="ListParagraph"/>
        <w:rPr>
          <w:sz w:val="32"/>
          <w:szCs w:val="32"/>
          <w:lang w:val="en-US"/>
        </w:rPr>
      </w:pPr>
      <w:r>
        <w:rPr>
          <w:sz w:val="32"/>
          <w:szCs w:val="32"/>
          <w:lang w:val="en-US"/>
        </w:rPr>
        <w:t>Answers</w:t>
      </w:r>
    </w:p>
    <w:p w14:paraId="48A8DC53" w14:textId="281C7D29" w:rsidR="001F6C29" w:rsidRDefault="001F6C29" w:rsidP="00092E3F">
      <w:pPr>
        <w:pStyle w:val="ListParagraph"/>
        <w:rPr>
          <w:sz w:val="32"/>
          <w:szCs w:val="32"/>
          <w:lang w:val="en-US"/>
        </w:rPr>
      </w:pPr>
    </w:p>
    <w:p w14:paraId="67FA4C28" w14:textId="796E1121" w:rsidR="001F6C29" w:rsidRDefault="001F6C29" w:rsidP="001F6C29">
      <w:pPr>
        <w:pStyle w:val="ListParagraph"/>
        <w:numPr>
          <w:ilvl w:val="0"/>
          <w:numId w:val="2"/>
        </w:numPr>
        <w:rPr>
          <w:sz w:val="32"/>
          <w:szCs w:val="32"/>
          <w:lang w:val="en-US"/>
        </w:rPr>
      </w:pPr>
      <w:r>
        <w:rPr>
          <w:sz w:val="32"/>
          <w:szCs w:val="32"/>
          <w:lang w:val="en-US"/>
        </w:rPr>
        <w:t xml:space="preserve">The citizenship principle shifts the emphasis away from economic rights.  It provides a range of new rights for the non-economically active, though such citizens must usually have sufficient resources.  In addition, it has enhanced the rights of workers and work seekers by providing enhanced rights of equal treatment.  The importance of the principle is captured by the cases on the “substance of the rights test”.  This has resulted in non-EU nationals who are outside of the </w:t>
      </w:r>
      <w:r>
        <w:rPr>
          <w:b/>
          <w:bCs/>
          <w:sz w:val="32"/>
          <w:szCs w:val="32"/>
          <w:lang w:val="en-US"/>
        </w:rPr>
        <w:t xml:space="preserve">Citizens’ Right Directive (CRD) </w:t>
      </w:r>
      <w:r>
        <w:rPr>
          <w:sz w:val="32"/>
          <w:szCs w:val="32"/>
          <w:lang w:val="en-US"/>
        </w:rPr>
        <w:t>having residence if it means that a dependent EU citizen will not be forced to leave the EU.</w:t>
      </w:r>
    </w:p>
    <w:p w14:paraId="0E941707" w14:textId="725EA200" w:rsidR="001F6C29" w:rsidRDefault="001F6C29" w:rsidP="001F6C29">
      <w:pPr>
        <w:pStyle w:val="ListParagraph"/>
        <w:numPr>
          <w:ilvl w:val="0"/>
          <w:numId w:val="2"/>
        </w:numPr>
        <w:rPr>
          <w:sz w:val="32"/>
          <w:szCs w:val="32"/>
          <w:lang w:val="en-US"/>
        </w:rPr>
      </w:pPr>
      <w:r>
        <w:rPr>
          <w:sz w:val="32"/>
          <w:szCs w:val="32"/>
          <w:lang w:val="en-US"/>
        </w:rPr>
        <w:t xml:space="preserve">The citizenship principle has resulted in more rights of equal treatment.  However, </w:t>
      </w:r>
      <w:r>
        <w:rPr>
          <w:b/>
          <w:bCs/>
          <w:sz w:val="32"/>
          <w:szCs w:val="32"/>
          <w:lang w:val="en-US"/>
        </w:rPr>
        <w:t xml:space="preserve">Art 24(2) CRD </w:t>
      </w:r>
      <w:r>
        <w:rPr>
          <w:sz w:val="32"/>
          <w:szCs w:val="32"/>
          <w:lang w:val="en-US"/>
        </w:rPr>
        <w:t>takes away any obligation to provide social assistance for those who do not have residence</w:t>
      </w:r>
      <w:r w:rsidR="00931AD0">
        <w:rPr>
          <w:sz w:val="32"/>
          <w:szCs w:val="32"/>
          <w:lang w:val="en-US"/>
        </w:rPr>
        <w:t xml:space="preserve">.  Those who do have such residence are either working or have sufficient resources.  Eventually, if </w:t>
      </w:r>
      <w:r w:rsidR="00931AD0">
        <w:rPr>
          <w:sz w:val="32"/>
          <w:szCs w:val="32"/>
          <w:lang w:val="en-US"/>
        </w:rPr>
        <w:lastRenderedPageBreak/>
        <w:t>they lack sufficient resources, they will not qualify for permanent residence.  Those who have worked are entitled to full social assistance and this has always been the case as contributors to the economy of the host Member State.  In addition, in relation to benefits, Member States can require a real link to exist between the claimant and the state.  This could be 5 years of residence so that such benefits are limited to those with permanent residence who have full equality anyway.</w:t>
      </w:r>
    </w:p>
    <w:p w14:paraId="3379D243" w14:textId="6173E43E" w:rsidR="00931AD0" w:rsidRPr="00092E3F" w:rsidRDefault="00931AD0" w:rsidP="001F6C29">
      <w:pPr>
        <w:pStyle w:val="ListParagraph"/>
        <w:numPr>
          <w:ilvl w:val="0"/>
          <w:numId w:val="2"/>
        </w:numPr>
        <w:rPr>
          <w:sz w:val="32"/>
          <w:szCs w:val="32"/>
          <w:lang w:val="en-US"/>
        </w:rPr>
      </w:pPr>
      <w:r>
        <w:rPr>
          <w:sz w:val="32"/>
          <w:szCs w:val="32"/>
          <w:lang w:val="en-US"/>
        </w:rPr>
        <w:t>Essentially, the key difference in residence rights between workers and non-economically active citizens is the right to be treated the same as nationals.  Workers have full equality from the very start, as do their family members.</w:t>
      </w:r>
    </w:p>
    <w:sectPr w:rsidR="00931AD0" w:rsidRPr="00092E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230E67"/>
    <w:multiLevelType w:val="hybridMultilevel"/>
    <w:tmpl w:val="00340ACE"/>
    <w:lvl w:ilvl="0" w:tplc="6630A9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FD44478"/>
    <w:multiLevelType w:val="hybridMultilevel"/>
    <w:tmpl w:val="059EF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E3F"/>
    <w:rsid w:val="00092E3F"/>
    <w:rsid w:val="001F6C29"/>
    <w:rsid w:val="009257EB"/>
    <w:rsid w:val="00931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A5F67"/>
  <w15:chartTrackingRefBased/>
  <w15:docId w15:val="{7972B539-01C1-4B94-BC2A-134987932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E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306</Words>
  <Characters>1746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2021-03-18T12:23:00Z</dcterms:created>
  <dcterms:modified xsi:type="dcterms:W3CDTF">2021-03-18T12:23:00Z</dcterms:modified>
</cp:coreProperties>
</file>