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40C" w:rsidRDefault="00D61BEA" w:rsidP="003251F3">
      <w:pPr>
        <w:jc w:val="both"/>
      </w:pPr>
      <w:r>
        <w:t xml:space="preserve">This image is an illumination of the </w:t>
      </w:r>
      <w:r w:rsidR="00AC4F83">
        <w:rPr>
          <w:i/>
        </w:rPr>
        <w:t>Dans</w:t>
      </w:r>
      <w:r>
        <w:rPr>
          <w:i/>
        </w:rPr>
        <w:t>e Macabre</w:t>
      </w:r>
      <w:r>
        <w:t xml:space="preserve">, as featured in the manuscript </w:t>
      </w:r>
      <w:r>
        <w:rPr>
          <w:i/>
        </w:rPr>
        <w:t>l’Empire de la Mort</w:t>
      </w:r>
      <w:r>
        <w:t xml:space="preserve"> [Empire of the Dead] by French </w:t>
      </w:r>
      <w:r w:rsidR="008B0E3A">
        <w:t>artist and prin</w:t>
      </w:r>
      <w:r w:rsidR="00AE330A">
        <w:t>ter Pierre</w:t>
      </w:r>
      <w:r w:rsidR="008B0E3A">
        <w:t xml:space="preserve"> Le Rouge</w:t>
      </w:r>
      <w:r w:rsidR="00AE330A">
        <w:t xml:space="preserve"> (</w:t>
      </w:r>
      <w:r w:rsidR="008B0E3A">
        <w:t xml:space="preserve"> </w:t>
      </w:r>
      <w:r w:rsidR="00AE330A">
        <w:t xml:space="preserve">d. 1493) </w:t>
      </w:r>
      <w:r w:rsidR="008B0E3A">
        <w:t>–and is dated to circa 1491 – 1492.</w:t>
      </w:r>
      <w:r w:rsidR="00AE330A">
        <w:rPr>
          <w:rStyle w:val="FootnoteReference"/>
        </w:rPr>
        <w:footnoteReference w:id="1"/>
      </w:r>
      <w:r w:rsidR="009108AE">
        <w:t xml:space="preserve"> </w:t>
      </w:r>
      <w:r w:rsidR="00743603">
        <w:t>This is from the first edition of the text, which was put onto the market by the Parisian publisher Anthoine Véra</w:t>
      </w:r>
      <w:r w:rsidR="00BB5A3B">
        <w:t>r</w:t>
      </w:r>
      <w:r w:rsidR="00743603">
        <w:t>d</w:t>
      </w:r>
      <w:r w:rsidR="00BB22D7">
        <w:t xml:space="preserve"> (d. 1512)</w:t>
      </w:r>
      <w:r w:rsidR="00743603">
        <w:t xml:space="preserve"> with intention of it </w:t>
      </w:r>
      <w:r w:rsidR="00BB5A3B">
        <w:t>being sold</w:t>
      </w:r>
      <w:r w:rsidR="0045140C">
        <w:t xml:space="preserve"> directly</w:t>
      </w:r>
      <w:r w:rsidR="00BB5A3B">
        <w:t xml:space="preserve"> to a wealthy client – or in </w:t>
      </w:r>
      <w:r w:rsidR="0045140C">
        <w:t>rather</w:t>
      </w:r>
      <w:r w:rsidR="00BB5A3B">
        <w:t xml:space="preserve">, a range of different clients. </w:t>
      </w:r>
      <w:r w:rsidR="0045140C">
        <w:t xml:space="preserve">As implied by this fact, it is important to note that this is manuscript was not created entirely through </w:t>
      </w:r>
      <w:r w:rsidR="00667691">
        <w:t>the use of hand-drawn illuminations, but in fact was done so through the combined use of drawings and woodblock prints (from various sources), and is therefore a product of mixed media.</w:t>
      </w:r>
      <w:r w:rsidR="00667691">
        <w:rPr>
          <w:rStyle w:val="FootnoteReference"/>
        </w:rPr>
        <w:footnoteReference w:id="2"/>
      </w:r>
      <w:r w:rsidR="00667691">
        <w:t xml:space="preserve">  </w:t>
      </w:r>
      <w:r w:rsidR="00282908">
        <w:t>This is a method of manufacturing that Vérard was known to have specialised in, as it enabled him to produce manuscripts that were not only intricate in appearance or scale, but could be mass produced to a large audience or market of potenti</w:t>
      </w:r>
      <w:r w:rsidR="00297B52">
        <w:t>al buyers.</w:t>
      </w:r>
      <w:r w:rsidR="00FF745E">
        <w:rPr>
          <w:rStyle w:val="FootnoteReference"/>
        </w:rPr>
        <w:footnoteReference w:id="3"/>
      </w:r>
      <w:r w:rsidR="00297B52">
        <w:t xml:space="preserve"> The</w:t>
      </w:r>
      <w:r w:rsidR="00282908">
        <w:t xml:space="preserve"> commercial scope of which Vérard, as did other printers of the period (such as </w:t>
      </w:r>
      <w:proofErr w:type="spellStart"/>
      <w:r w:rsidR="00282908">
        <w:t>Guyot</w:t>
      </w:r>
      <w:proofErr w:type="spellEnd"/>
      <w:r w:rsidR="00282908">
        <w:t xml:space="preserve"> Marchant) began to take advantage of on a large scale.</w:t>
      </w:r>
      <w:r w:rsidR="00905C39">
        <w:rPr>
          <w:rStyle w:val="FootnoteReference"/>
        </w:rPr>
        <w:footnoteReference w:id="4"/>
      </w:r>
      <w:r w:rsidR="007E27DE">
        <w:t xml:space="preserve"> As such, this</w:t>
      </w:r>
      <w:r w:rsidR="00287197">
        <w:t xml:space="preserve"> also</w:t>
      </w:r>
      <w:r w:rsidR="007E27DE">
        <w:t xml:space="preserve"> serve</w:t>
      </w:r>
      <w:r w:rsidR="00BB22D7">
        <w:t>d to tr</w:t>
      </w:r>
      <w:r w:rsidR="00AC4F83">
        <w:t xml:space="preserve">ansmit, and by extension spread the concept of the </w:t>
      </w:r>
      <w:r w:rsidR="00AC4F83">
        <w:rPr>
          <w:i/>
        </w:rPr>
        <w:t>Danse Macabre</w:t>
      </w:r>
      <w:r w:rsidR="00AC4F83">
        <w:t xml:space="preserve"> to the point where it became </w:t>
      </w:r>
      <w:r w:rsidR="00FB2182">
        <w:t xml:space="preserve">widely </w:t>
      </w:r>
      <w:proofErr w:type="gramStart"/>
      <w:r w:rsidR="00FB2182">
        <w:t>reproduced</w:t>
      </w:r>
      <w:proofErr w:type="gramEnd"/>
      <w:r w:rsidR="00FB2182">
        <w:t xml:space="preserve"> and adapted</w:t>
      </w:r>
      <w:r w:rsidR="00AC4F83">
        <w:t xml:space="preserve"> in various formats (ranging from manuscripts to wall frescoes)</w:t>
      </w:r>
      <w:r w:rsidR="00287197">
        <w:t xml:space="preserve"> across the European continent.</w:t>
      </w:r>
    </w:p>
    <w:p w:rsidR="00297B52" w:rsidRDefault="00725A4C" w:rsidP="003251F3">
      <w:pPr>
        <w:jc w:val="both"/>
      </w:pPr>
      <w:r>
        <w:t xml:space="preserve">Although authorship of the manuscript </w:t>
      </w:r>
      <w:proofErr w:type="gramStart"/>
      <w:r>
        <w:t>has been attributed</w:t>
      </w:r>
      <w:proofErr w:type="gramEnd"/>
      <w:r>
        <w:t xml:space="preserve"> directly to Le Rouge, the method to which it was manufactured means that this is not as straightforward as it seems. </w:t>
      </w:r>
      <w:r w:rsidR="003D177F">
        <w:t xml:space="preserve"> Given the need by publishers to produce results that were swift – yet also of high quality </w:t>
      </w:r>
      <w:r w:rsidR="008B6F1C">
        <w:t>– artists</w:t>
      </w:r>
      <w:r w:rsidR="003D177F">
        <w:t xml:space="preserve"> were increasingly encouraged to </w:t>
      </w:r>
      <w:r w:rsidR="008B6F1C">
        <w:t>re-</w:t>
      </w:r>
      <w:r w:rsidR="003D177F">
        <w:t xml:space="preserve">use the woodblocks or stencils </w:t>
      </w:r>
      <w:r w:rsidR="008743F4">
        <w:t>of their peers in order to meet this demand.</w:t>
      </w:r>
      <w:r w:rsidR="005C144A">
        <w:rPr>
          <w:rStyle w:val="FootnoteReference"/>
        </w:rPr>
        <w:footnoteReference w:id="5"/>
      </w:r>
      <w:r w:rsidR="008743F4">
        <w:t xml:space="preserve"> </w:t>
      </w:r>
      <w:r w:rsidR="00A80D83">
        <w:t xml:space="preserve">This provided a </w:t>
      </w:r>
      <w:r w:rsidR="00AD0345">
        <w:t>wider</w:t>
      </w:r>
      <w:r w:rsidR="00A80D83">
        <w:t xml:space="preserve"> commercial outlet for printers, who could now gain further income from their work through the renting (or sale) of stencils </w:t>
      </w:r>
      <w:r w:rsidR="00AD0345">
        <w:t>in addition to the commission they were paid by publishe</w:t>
      </w:r>
      <w:r w:rsidR="00004BE0">
        <w:t>rs from the sales of their work</w:t>
      </w:r>
      <w:r w:rsidR="00AD0345">
        <w:t xml:space="preserve">. </w:t>
      </w:r>
      <w:proofErr w:type="gramStart"/>
      <w:r w:rsidR="00004BE0">
        <w:t xml:space="preserve">Conversely, this also </w:t>
      </w:r>
      <w:r w:rsidR="00F40DE9">
        <w:t>allowed the manufacturing process to become far more collaborative in nature in the sense that an artist could now supplement their manuscripts with the illustrations with others – or, in the circumstances where they lacked skill in a particular area</w:t>
      </w:r>
      <w:r w:rsidR="004A6BFB">
        <w:t>,</w:t>
      </w:r>
      <w:r w:rsidR="00F40DE9">
        <w:t xml:space="preserve"> use a </w:t>
      </w:r>
      <w:r w:rsidR="004A6BFB">
        <w:t>woodblock</w:t>
      </w:r>
      <w:r w:rsidR="00F40DE9">
        <w:t xml:space="preserve"> of higher quality by another printer.</w:t>
      </w:r>
      <w:proofErr w:type="gramEnd"/>
      <w:r w:rsidR="000370C8">
        <w:rPr>
          <w:rStyle w:val="FootnoteReference"/>
        </w:rPr>
        <w:footnoteReference w:id="6"/>
      </w:r>
      <w:r w:rsidR="00F40DE9">
        <w:t xml:space="preserve">  </w:t>
      </w:r>
      <w:r w:rsidR="001632B9">
        <w:t xml:space="preserve">Le Rouge </w:t>
      </w:r>
      <w:proofErr w:type="gramStart"/>
      <w:r w:rsidR="001632B9">
        <w:t>was known</w:t>
      </w:r>
      <w:proofErr w:type="gramEnd"/>
      <w:r w:rsidR="001632B9">
        <w:t xml:space="preserve"> have adopted this method in the production in other works he had published during this period, namely a Book of Hours printed in 1491.</w:t>
      </w:r>
      <w:r w:rsidR="001632B9">
        <w:rPr>
          <w:rStyle w:val="FootnoteReference"/>
        </w:rPr>
        <w:footnoteReference w:id="7"/>
      </w:r>
      <w:r w:rsidR="002F0EDC">
        <w:t xml:space="preserve"> In this example, Le Rouge used the prints of artist (and fellow peer in the employ of Vérard) </w:t>
      </w:r>
      <w:r w:rsidR="00206DD5" w:rsidRPr="00206DD5">
        <w:t>Jean du Pré</w:t>
      </w:r>
      <w:r w:rsidR="00476E1B">
        <w:t xml:space="preserve"> (d.</w:t>
      </w:r>
      <w:r w:rsidR="00982F05">
        <w:t xml:space="preserve"> </w:t>
      </w:r>
      <w:r w:rsidR="00476E1B">
        <w:t>1504)</w:t>
      </w:r>
      <w:r w:rsidR="00206DD5">
        <w:t xml:space="preserve"> to replace his own illustrations of the </w:t>
      </w:r>
      <w:r w:rsidR="00206DD5">
        <w:rPr>
          <w:i/>
        </w:rPr>
        <w:t>Three Living and the Three Dead</w:t>
      </w:r>
      <w:r w:rsidR="00206DD5">
        <w:t xml:space="preserve"> –</w:t>
      </w:r>
      <w:r w:rsidR="00C41044">
        <w:t xml:space="preserve"> </w:t>
      </w:r>
      <w:r w:rsidR="00206DD5">
        <w:t>as he clearly felt tha</w:t>
      </w:r>
      <w:r w:rsidR="00036C66">
        <w:t xml:space="preserve">t they were of superior quality.  These prints are also present within the first and second editions of the </w:t>
      </w:r>
      <w:r w:rsidR="00036C66" w:rsidRPr="00036C66">
        <w:rPr>
          <w:i/>
        </w:rPr>
        <w:t>l’Empire de la Mort</w:t>
      </w:r>
      <w:r w:rsidR="00036C66">
        <w:t>, and in a later Book of Hours printed by du</w:t>
      </w:r>
      <w:r w:rsidR="00036C66" w:rsidRPr="00036C66">
        <w:t xml:space="preserve"> Pré</w:t>
      </w:r>
      <w:r w:rsidR="00036C66">
        <w:t xml:space="preserve"> in 1495 (albeit with small edits).</w:t>
      </w:r>
      <w:r w:rsidR="00344BC7">
        <w:rPr>
          <w:rStyle w:val="FootnoteReference"/>
        </w:rPr>
        <w:footnoteReference w:id="8"/>
      </w:r>
      <w:r w:rsidR="00036C66">
        <w:t xml:space="preserve"> </w:t>
      </w:r>
      <w:r w:rsidR="00634B31">
        <w:t>This means, therefore, that although Le Rouge made the vast majority of this manuscript, he was not the principal artist given the use of prints by others.</w:t>
      </w:r>
      <w:r w:rsidR="005523ED">
        <w:t xml:space="preserve"> </w:t>
      </w:r>
    </w:p>
    <w:p w:rsidR="00027356" w:rsidRPr="00027356" w:rsidRDefault="005523ED" w:rsidP="003251F3">
      <w:pPr>
        <w:jc w:val="both"/>
        <w:rPr>
          <w:i/>
        </w:rPr>
      </w:pPr>
      <w:r>
        <w:t xml:space="preserve">As mentioned previously, this manuscript </w:t>
      </w:r>
      <w:proofErr w:type="gramStart"/>
      <w:r>
        <w:t>was assembled</w:t>
      </w:r>
      <w:proofErr w:type="gramEnd"/>
      <w:r>
        <w:t xml:space="preserve"> by Le Rouge on the behalf of Vérard, who had the express intent of </w:t>
      </w:r>
      <w:r w:rsidR="004F77CD">
        <w:t xml:space="preserve">selling it to a potential buyer – or more specifically, a wealthy client.  Vérard </w:t>
      </w:r>
      <w:proofErr w:type="gramStart"/>
      <w:r w:rsidR="004F77CD">
        <w:t>was recorded</w:t>
      </w:r>
      <w:proofErr w:type="gramEnd"/>
      <w:r w:rsidR="004F77CD">
        <w:t xml:space="preserve"> to have had a long list of high-status clients, including </w:t>
      </w:r>
      <w:r w:rsidR="00722C15">
        <w:t>then king</w:t>
      </w:r>
      <w:r w:rsidR="004F77CD">
        <w:t xml:space="preserve"> of France Charles VIII</w:t>
      </w:r>
      <w:r w:rsidR="008329E9">
        <w:t xml:space="preserve">, </w:t>
      </w:r>
      <w:r w:rsidR="008329E9">
        <w:lastRenderedPageBreak/>
        <w:t>and his wife, Anne de Bretagne</w:t>
      </w:r>
      <w:r w:rsidR="00B84798">
        <w:t xml:space="preserve"> – to which he made personalised manuscripts</w:t>
      </w:r>
      <w:r w:rsidR="004F77CD">
        <w:t>.</w:t>
      </w:r>
      <w:r w:rsidR="00FF745E">
        <w:rPr>
          <w:rStyle w:val="FootnoteReference"/>
        </w:rPr>
        <w:footnoteReference w:id="9"/>
      </w:r>
      <w:r w:rsidR="00B84798">
        <w:t xml:space="preserve"> The potential buyer (or wealthy client) in this case is not a specific client, however, but in fact a wide range of clients, as evidenced by the sheer amount of surviving examples that exist of this particular manuscript, and the fact that this is the</w:t>
      </w:r>
      <w:r w:rsidR="002D5EED">
        <w:t xml:space="preserve"> first of a series of editions.</w:t>
      </w:r>
      <w:r w:rsidR="009F54F5">
        <w:t xml:space="preserve"> The illuminations featured </w:t>
      </w:r>
      <w:proofErr w:type="gramStart"/>
      <w:r w:rsidR="009F54F5">
        <w:t>are not tailored</w:t>
      </w:r>
      <w:proofErr w:type="gramEnd"/>
      <w:r w:rsidR="009F54F5">
        <w:t xml:space="preserve"> to a particular client, and therefore were clearly designed for mass manufacture, as is the text – to deliver a message that was not only universal in appeal, but could also please a wide range of clients. </w:t>
      </w:r>
      <w:r w:rsidR="00027356">
        <w:t xml:space="preserve"> </w:t>
      </w:r>
    </w:p>
    <w:p w:rsidR="005523ED" w:rsidRDefault="00245EEB" w:rsidP="003251F3">
      <w:pPr>
        <w:jc w:val="both"/>
      </w:pPr>
      <w:r>
        <w:t xml:space="preserve">The combined use of illuminations and prints would also create an impression of quality on the part of the illustrator, </w:t>
      </w:r>
      <w:r w:rsidR="00317834">
        <w:t>seeing,</w:t>
      </w:r>
      <w:r>
        <w:t xml:space="preserve"> as it would resemble a manuscript made by purely traditional means – while also creating an illusion of wealth for the buyer. </w:t>
      </w:r>
      <w:r w:rsidR="00317834">
        <w:t xml:space="preserve">This in turn makes the concept of the </w:t>
      </w:r>
      <w:r w:rsidR="00317834">
        <w:rPr>
          <w:i/>
        </w:rPr>
        <w:t>Danse Macabre</w:t>
      </w:r>
      <w:r w:rsidR="00317834">
        <w:t xml:space="preserve"> far more accessible to those who would otherwise not have the means to</w:t>
      </w:r>
      <w:r w:rsidR="00F42F53">
        <w:t xml:space="preserve"> commission a traditional manuscript, but would be wealthy enough to be a</w:t>
      </w:r>
      <w:r w:rsidR="00027356">
        <w:t xml:space="preserve">ble to purchase a brand new book </w:t>
      </w:r>
      <w:r w:rsidR="00F42F53">
        <w:t xml:space="preserve">otherwise. </w:t>
      </w:r>
      <w:r w:rsidR="002B2346">
        <w:t xml:space="preserve"> Conversely, this process would also allow the</w:t>
      </w:r>
      <w:r w:rsidR="001C4F30">
        <w:t xml:space="preserve"> regional</w:t>
      </w:r>
      <w:r w:rsidR="002B2346">
        <w:t xml:space="preserve"> standardisation of this concept, namely the characters that were featured – which in this case appear to be the cardinal, the knight, the bishop, the bard,</w:t>
      </w:r>
      <w:r w:rsidR="00AB3601">
        <w:t xml:space="preserve"> the preacher, </w:t>
      </w:r>
      <w:r w:rsidR="002B2346">
        <w:t xml:space="preserve">the infant, </w:t>
      </w:r>
      <w:r w:rsidR="00AB3601">
        <w:t xml:space="preserve">the monk, </w:t>
      </w:r>
      <w:r w:rsidR="002B2346">
        <w:t xml:space="preserve">and what appears to be the king (given his beard). </w:t>
      </w:r>
      <w:r w:rsidR="001C4F30">
        <w:t xml:space="preserve"> </w:t>
      </w:r>
      <w:r w:rsidR="00AB3601">
        <w:t xml:space="preserve">These characters tend to appear together far more frequently in French versions of the text as opposed to those made in Northern Europe </w:t>
      </w:r>
      <w:r w:rsidR="00BE1DDA">
        <w:t xml:space="preserve">for example – a number of these </w:t>
      </w:r>
      <w:proofErr w:type="gramStart"/>
      <w:r w:rsidR="00BE1DDA">
        <w:t>are not featured</w:t>
      </w:r>
      <w:proofErr w:type="gramEnd"/>
      <w:r w:rsidR="00BE1DDA">
        <w:t xml:space="preserve"> in German manuscripts, nor did they appear in Notke’s paintings in Lubeck or Tallinn. Danish versions of the text do adopt these characters however, in addition to a wide roster of others – such as the student and post-reformation, the Pope.</w:t>
      </w:r>
      <w:r w:rsidR="00BE1DDA">
        <w:rPr>
          <w:rStyle w:val="FootnoteReference"/>
        </w:rPr>
        <w:footnoteReference w:id="10"/>
      </w:r>
    </w:p>
    <w:p w:rsidR="008931C2" w:rsidRDefault="008931C2" w:rsidP="003251F3">
      <w:pPr>
        <w:jc w:val="both"/>
      </w:pPr>
    </w:p>
    <w:p w:rsidR="008931C2" w:rsidRDefault="008931C2">
      <w:r>
        <w:br w:type="page"/>
      </w:r>
    </w:p>
    <w:p w:rsidR="002B2346" w:rsidRDefault="008931C2" w:rsidP="003251F3">
      <w:pPr>
        <w:jc w:val="both"/>
      </w:pPr>
      <w:r>
        <w:rPr>
          <w:u w:val="single"/>
        </w:rPr>
        <w:lastRenderedPageBreak/>
        <w:t>Bibliography</w:t>
      </w:r>
    </w:p>
    <w:p w:rsidR="008931C2" w:rsidRPr="008931C2" w:rsidRDefault="008931C2" w:rsidP="008931C2">
      <w:pPr>
        <w:jc w:val="both"/>
      </w:pPr>
      <w:r w:rsidRPr="008931C2">
        <w:t>Morgan, N. 2016.</w:t>
      </w:r>
      <w:r w:rsidRPr="008931C2">
        <w:rPr>
          <w:i/>
          <w:iCs/>
        </w:rPr>
        <w:t> Christian Works:</w:t>
      </w:r>
      <w:r>
        <w:rPr>
          <w:i/>
          <w:iCs/>
        </w:rPr>
        <w:t xml:space="preserve"> </w:t>
      </w:r>
      <w:r w:rsidRPr="008931C2">
        <w:rPr>
          <w:i/>
          <w:iCs/>
        </w:rPr>
        <w:t>[Horae: ad usum Romanum (Rome</w:t>
      </w:r>
      <w:proofErr w:type="gramStart"/>
      <w:r w:rsidRPr="008931C2">
        <w:rPr>
          <w:i/>
          <w:iCs/>
        </w:rPr>
        <w:t>) :</w:t>
      </w:r>
      <w:proofErr w:type="gramEnd"/>
      <w:r w:rsidRPr="008931C2">
        <w:rPr>
          <w:i/>
          <w:iCs/>
        </w:rPr>
        <w:t xml:space="preserve"> (Fr</w:t>
      </w:r>
      <w:r w:rsidR="006E3026">
        <w:rPr>
          <w:i/>
          <w:iCs/>
        </w:rPr>
        <w:t>ench and Latin),</w:t>
      </w:r>
      <w:r w:rsidR="006E3026" w:rsidRPr="006E3026">
        <w:rPr>
          <w:i/>
          <w:iCs/>
        </w:rPr>
        <w:t xml:space="preserve"> accessed 29</w:t>
      </w:r>
      <w:r w:rsidR="006E3026" w:rsidRPr="006E3026">
        <w:rPr>
          <w:i/>
          <w:iCs/>
          <w:vertAlign w:val="superscript"/>
        </w:rPr>
        <w:t>th</w:t>
      </w:r>
      <w:r w:rsidR="006E3026" w:rsidRPr="006E3026">
        <w:rPr>
          <w:i/>
          <w:iCs/>
        </w:rPr>
        <w:t xml:space="preserve"> November 2017, URL: https://cudl.lib.cam.ac.uk/view/PR-INC-00005-D-00001-00019-02530/19</w:t>
      </w:r>
      <w:r w:rsidR="006E3026">
        <w:rPr>
          <w:i/>
          <w:iCs/>
        </w:rPr>
        <w:t xml:space="preserve"> </w:t>
      </w:r>
    </w:p>
    <w:p w:rsidR="008931C2" w:rsidRPr="008931C2" w:rsidRDefault="008931C2" w:rsidP="008931C2">
      <w:pPr>
        <w:jc w:val="both"/>
      </w:pPr>
      <w:r w:rsidRPr="008931C2">
        <w:t>Oosterwijk, S. 2004.</w:t>
      </w:r>
      <w:r w:rsidRPr="008931C2">
        <w:rPr>
          <w:i/>
          <w:iCs/>
        </w:rPr>
        <w:t> 'Of Corpses, Constables and Kings: The</w:t>
      </w:r>
      <w:r>
        <w:rPr>
          <w:i/>
          <w:iCs/>
        </w:rPr>
        <w:t xml:space="preserve"> </w:t>
      </w:r>
      <w:r w:rsidRPr="008931C2">
        <w:rPr>
          <w:i/>
          <w:iCs/>
        </w:rPr>
        <w:t>Danse Macabre in Late Medieval and Renaissance Culture'</w:t>
      </w:r>
      <w:r w:rsidRPr="008931C2">
        <w:t xml:space="preserve">, Journal of the British Archaeological Association, </w:t>
      </w:r>
      <w:r>
        <w:t>v</w:t>
      </w:r>
      <w:r w:rsidRPr="008931C2">
        <w:t>157</w:t>
      </w:r>
      <w:r>
        <w:t xml:space="preserve"> (1)</w:t>
      </w:r>
    </w:p>
    <w:p w:rsidR="008931C2" w:rsidRPr="008931C2" w:rsidRDefault="008931C2" w:rsidP="008931C2">
      <w:pPr>
        <w:jc w:val="both"/>
      </w:pPr>
      <w:r w:rsidRPr="008931C2">
        <w:t>Winn, M.B. 2009.</w:t>
      </w:r>
      <w:r w:rsidRPr="008931C2">
        <w:rPr>
          <w:i/>
          <w:iCs/>
        </w:rPr>
        <w:t> 'Vérard's Editions of Tristan'</w:t>
      </w:r>
      <w:r w:rsidRPr="008931C2">
        <w:t xml:space="preserve">, Arthuriana, </w:t>
      </w:r>
      <w:r>
        <w:t>v</w:t>
      </w:r>
      <w:r w:rsidRPr="008931C2">
        <w:t>19</w:t>
      </w:r>
      <w:r>
        <w:t xml:space="preserve"> (1)</w:t>
      </w:r>
    </w:p>
    <w:p w:rsidR="008931C2" w:rsidRPr="008931C2" w:rsidRDefault="008931C2" w:rsidP="003251F3">
      <w:pPr>
        <w:jc w:val="both"/>
      </w:pPr>
      <w:bookmarkStart w:id="0" w:name="_GoBack"/>
      <w:bookmarkEnd w:id="0"/>
    </w:p>
    <w:p w:rsidR="002B2346" w:rsidRPr="00317834" w:rsidRDefault="002B2346" w:rsidP="003251F3">
      <w:pPr>
        <w:jc w:val="both"/>
      </w:pPr>
    </w:p>
    <w:p w:rsidR="00297B52" w:rsidRDefault="00297B52" w:rsidP="003251F3">
      <w:pPr>
        <w:jc w:val="both"/>
      </w:pPr>
    </w:p>
    <w:p w:rsidR="00287197" w:rsidRPr="00AC4F83" w:rsidRDefault="00287197" w:rsidP="003251F3">
      <w:pPr>
        <w:jc w:val="both"/>
      </w:pPr>
    </w:p>
    <w:p w:rsidR="0045140C" w:rsidRDefault="0045140C" w:rsidP="003251F3">
      <w:pPr>
        <w:jc w:val="both"/>
      </w:pPr>
    </w:p>
    <w:p w:rsidR="00460E9E" w:rsidRPr="008B0E3A" w:rsidRDefault="00460E9E" w:rsidP="003251F3">
      <w:pPr>
        <w:jc w:val="both"/>
      </w:pPr>
    </w:p>
    <w:sectPr w:rsidR="00460E9E" w:rsidRPr="008B0E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30A" w:rsidRDefault="00AE330A" w:rsidP="00AE330A">
      <w:pPr>
        <w:spacing w:after="0" w:line="240" w:lineRule="auto"/>
      </w:pPr>
      <w:r>
        <w:separator/>
      </w:r>
    </w:p>
  </w:endnote>
  <w:endnote w:type="continuationSeparator" w:id="0">
    <w:p w:rsidR="00AE330A" w:rsidRDefault="00AE330A" w:rsidP="00AE3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30A" w:rsidRDefault="00AE330A" w:rsidP="00AE330A">
      <w:pPr>
        <w:spacing w:after="0" w:line="240" w:lineRule="auto"/>
      </w:pPr>
      <w:r>
        <w:separator/>
      </w:r>
    </w:p>
  </w:footnote>
  <w:footnote w:type="continuationSeparator" w:id="0">
    <w:p w:rsidR="00AE330A" w:rsidRDefault="00AE330A" w:rsidP="00AE330A">
      <w:pPr>
        <w:spacing w:after="0" w:line="240" w:lineRule="auto"/>
      </w:pPr>
      <w:r>
        <w:continuationSeparator/>
      </w:r>
    </w:p>
  </w:footnote>
  <w:footnote w:id="1">
    <w:p w:rsidR="00AE330A" w:rsidRDefault="00AE330A">
      <w:pPr>
        <w:pStyle w:val="FootnoteText"/>
      </w:pPr>
      <w:r>
        <w:rPr>
          <w:rStyle w:val="FootnoteReference"/>
        </w:rPr>
        <w:footnoteRef/>
      </w:r>
      <w:r>
        <w:t xml:space="preserve"> </w:t>
      </w:r>
      <w:r w:rsidR="006E27FB" w:rsidRPr="006E27FB">
        <w:t>Morgan, N. 2016.</w:t>
      </w:r>
      <w:r w:rsidR="006E27FB" w:rsidRPr="006E27FB">
        <w:rPr>
          <w:i/>
          <w:iCs/>
        </w:rPr>
        <w:t> Christian Works</w:t>
      </w:r>
      <w:r w:rsidR="006E27FB">
        <w:rPr>
          <w:i/>
          <w:iCs/>
        </w:rPr>
        <w:t xml:space="preserve">: </w:t>
      </w:r>
      <w:r w:rsidR="006E27FB" w:rsidRPr="006E27FB">
        <w:rPr>
          <w:i/>
          <w:iCs/>
        </w:rPr>
        <w:t>Horae: ad usum Roma</w:t>
      </w:r>
      <w:r w:rsidR="006E27FB">
        <w:rPr>
          <w:i/>
          <w:iCs/>
        </w:rPr>
        <w:t>num (Rome) : (French and Latin), accessed 29</w:t>
      </w:r>
      <w:r w:rsidR="006E27FB" w:rsidRPr="006E27FB">
        <w:rPr>
          <w:i/>
          <w:iCs/>
          <w:vertAlign w:val="superscript"/>
        </w:rPr>
        <w:t>th</w:t>
      </w:r>
      <w:r w:rsidR="006E27FB">
        <w:rPr>
          <w:i/>
          <w:iCs/>
        </w:rPr>
        <w:t xml:space="preserve"> November 2017, URL:</w:t>
      </w:r>
      <w:r w:rsidR="006E27FB" w:rsidRPr="006E27FB">
        <w:t xml:space="preserve"> </w:t>
      </w:r>
      <w:r w:rsidR="006E27FB" w:rsidRPr="006E27FB">
        <w:rPr>
          <w:i/>
          <w:iCs/>
        </w:rPr>
        <w:t>https://cudl.lib.cam.ac.uk/view/PR-INC-00005-D-00001-00019-02530/19</w:t>
      </w:r>
    </w:p>
  </w:footnote>
  <w:footnote w:id="2">
    <w:p w:rsidR="00667691" w:rsidRDefault="00667691">
      <w:pPr>
        <w:pStyle w:val="FootnoteText"/>
      </w:pPr>
      <w:r>
        <w:rPr>
          <w:rStyle w:val="FootnoteReference"/>
        </w:rPr>
        <w:footnoteRef/>
      </w:r>
      <w:r>
        <w:t xml:space="preserve"> Morgan, N. 2016</w:t>
      </w:r>
    </w:p>
  </w:footnote>
  <w:footnote w:id="3">
    <w:p w:rsidR="00FF745E" w:rsidRDefault="00FF745E">
      <w:pPr>
        <w:pStyle w:val="FootnoteText"/>
      </w:pPr>
      <w:r>
        <w:rPr>
          <w:rStyle w:val="FootnoteReference"/>
        </w:rPr>
        <w:footnoteRef/>
      </w:r>
      <w:r>
        <w:t xml:space="preserve"> </w:t>
      </w:r>
      <w:r w:rsidRPr="00FF745E">
        <w:t>Winn, M.B. 2009.</w:t>
      </w:r>
      <w:r w:rsidRPr="00FF745E">
        <w:rPr>
          <w:i/>
          <w:iCs/>
        </w:rPr>
        <w:t> 'Vérard's Editions of Tristan'</w:t>
      </w:r>
      <w:r w:rsidRPr="00FF745E">
        <w:t xml:space="preserve">, Arthuriana, </w:t>
      </w:r>
      <w:r>
        <w:t>v</w:t>
      </w:r>
      <w:r w:rsidRPr="00FF745E">
        <w:t>19</w:t>
      </w:r>
      <w:r>
        <w:t xml:space="preserve"> (1)</w:t>
      </w:r>
      <w:r w:rsidRPr="00FF745E">
        <w:t xml:space="preserve">: </w:t>
      </w:r>
      <w:r>
        <w:t>pp</w:t>
      </w:r>
      <w:r w:rsidRPr="00FF745E">
        <w:t>47</w:t>
      </w:r>
    </w:p>
  </w:footnote>
  <w:footnote w:id="4">
    <w:p w:rsidR="00905C39" w:rsidRDefault="00905C39">
      <w:pPr>
        <w:pStyle w:val="FootnoteText"/>
      </w:pPr>
      <w:r>
        <w:rPr>
          <w:rStyle w:val="FootnoteReference"/>
        </w:rPr>
        <w:footnoteRef/>
      </w:r>
      <w:r>
        <w:t xml:space="preserve"> </w:t>
      </w:r>
      <w:r w:rsidR="00510B06" w:rsidRPr="00510B06">
        <w:t>Oosterwijk, S. 2004.</w:t>
      </w:r>
      <w:r w:rsidR="00510B06" w:rsidRPr="00510B06">
        <w:rPr>
          <w:i/>
          <w:iCs/>
        </w:rPr>
        <w:t> 'Of Corpses, Constables and Kings: The</w:t>
      </w:r>
      <w:r w:rsidR="00510B06">
        <w:rPr>
          <w:i/>
          <w:iCs/>
        </w:rPr>
        <w:t xml:space="preserve"> </w:t>
      </w:r>
      <w:r w:rsidR="00510B06" w:rsidRPr="00510B06">
        <w:rPr>
          <w:i/>
          <w:iCs/>
        </w:rPr>
        <w:t>Danse Macabre</w:t>
      </w:r>
      <w:r w:rsidR="00510B06">
        <w:rPr>
          <w:i/>
          <w:iCs/>
        </w:rPr>
        <w:t xml:space="preserve"> </w:t>
      </w:r>
      <w:r w:rsidR="00510B06" w:rsidRPr="00510B06">
        <w:rPr>
          <w:i/>
          <w:iCs/>
        </w:rPr>
        <w:t>in Late Medieval and Renaissance Culture'</w:t>
      </w:r>
      <w:r w:rsidR="00510B06" w:rsidRPr="00510B06">
        <w:t xml:space="preserve">, Journal of the British Archaeological Association, </w:t>
      </w:r>
      <w:r w:rsidR="00510B06">
        <w:t>v</w:t>
      </w:r>
      <w:r w:rsidR="00510B06" w:rsidRPr="00510B06">
        <w:t>157</w:t>
      </w:r>
      <w:r w:rsidR="00510B06">
        <w:t xml:space="preserve"> (1): pp69</w:t>
      </w:r>
      <w:r w:rsidR="00D862D8">
        <w:t>, Winn, M.B. 2009, pp48</w:t>
      </w:r>
    </w:p>
  </w:footnote>
  <w:footnote w:id="5">
    <w:p w:rsidR="005C144A" w:rsidRDefault="005C144A">
      <w:pPr>
        <w:pStyle w:val="FootnoteText"/>
      </w:pPr>
      <w:r>
        <w:rPr>
          <w:rStyle w:val="FootnoteReference"/>
        </w:rPr>
        <w:footnoteRef/>
      </w:r>
      <w:r>
        <w:t xml:space="preserve"> Morgan, N. 2016</w:t>
      </w:r>
    </w:p>
  </w:footnote>
  <w:footnote w:id="6">
    <w:p w:rsidR="000370C8" w:rsidRDefault="000370C8">
      <w:pPr>
        <w:pStyle w:val="FootnoteText"/>
      </w:pPr>
      <w:r>
        <w:rPr>
          <w:rStyle w:val="FootnoteReference"/>
        </w:rPr>
        <w:footnoteRef/>
      </w:r>
      <w:r>
        <w:t xml:space="preserve"> Morgan, N. 2016, Oosterwijk, S. 2004, pp70</w:t>
      </w:r>
    </w:p>
  </w:footnote>
  <w:footnote w:id="7">
    <w:p w:rsidR="001632B9" w:rsidRDefault="001632B9">
      <w:pPr>
        <w:pStyle w:val="FootnoteText"/>
      </w:pPr>
      <w:r>
        <w:rPr>
          <w:rStyle w:val="FootnoteReference"/>
        </w:rPr>
        <w:footnoteRef/>
      </w:r>
      <w:r>
        <w:t xml:space="preserve"> Morgan, N. 2016</w:t>
      </w:r>
    </w:p>
  </w:footnote>
  <w:footnote w:id="8">
    <w:p w:rsidR="00344BC7" w:rsidRDefault="00344BC7">
      <w:pPr>
        <w:pStyle w:val="FootnoteText"/>
      </w:pPr>
      <w:r>
        <w:rPr>
          <w:rStyle w:val="FootnoteReference"/>
        </w:rPr>
        <w:footnoteRef/>
      </w:r>
      <w:r>
        <w:t xml:space="preserve"> Morgan, N. 2016</w:t>
      </w:r>
    </w:p>
  </w:footnote>
  <w:footnote w:id="9">
    <w:p w:rsidR="00FF745E" w:rsidRDefault="00FF745E">
      <w:pPr>
        <w:pStyle w:val="FootnoteText"/>
      </w:pPr>
      <w:r>
        <w:rPr>
          <w:rStyle w:val="FootnoteReference"/>
        </w:rPr>
        <w:footnoteRef/>
      </w:r>
      <w:r>
        <w:t xml:space="preserve"> </w:t>
      </w:r>
      <w:r w:rsidR="001275F0">
        <w:t>Winn, M.B. 2009, pp49</w:t>
      </w:r>
    </w:p>
  </w:footnote>
  <w:footnote w:id="10">
    <w:p w:rsidR="00BE1DDA" w:rsidRDefault="00BE1DDA">
      <w:pPr>
        <w:pStyle w:val="FootnoteText"/>
      </w:pPr>
      <w:r>
        <w:rPr>
          <w:rStyle w:val="FootnoteReference"/>
        </w:rPr>
        <w:footnoteRef/>
      </w:r>
      <w:r>
        <w:t xml:space="preserve"> </w:t>
      </w:r>
      <w:r w:rsidR="00A919EA">
        <w:t>Oosterwijk, S. 2004, pp80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764FB"/>
    <w:multiLevelType w:val="hybridMultilevel"/>
    <w:tmpl w:val="663A41DE"/>
    <w:lvl w:ilvl="0" w:tplc="426A46EE">
      <w:start w:val="1"/>
      <w:numFmt w:val="bullet"/>
      <w:lvlText w:val="•"/>
      <w:lvlJc w:val="left"/>
      <w:pPr>
        <w:tabs>
          <w:tab w:val="num" w:pos="720"/>
        </w:tabs>
        <w:ind w:left="720" w:hanging="360"/>
      </w:pPr>
      <w:rPr>
        <w:rFonts w:ascii="Arial" w:hAnsi="Arial" w:hint="default"/>
      </w:rPr>
    </w:lvl>
    <w:lvl w:ilvl="1" w:tplc="9D3A27FE" w:tentative="1">
      <w:start w:val="1"/>
      <w:numFmt w:val="bullet"/>
      <w:lvlText w:val="•"/>
      <w:lvlJc w:val="left"/>
      <w:pPr>
        <w:tabs>
          <w:tab w:val="num" w:pos="1440"/>
        </w:tabs>
        <w:ind w:left="1440" w:hanging="360"/>
      </w:pPr>
      <w:rPr>
        <w:rFonts w:ascii="Arial" w:hAnsi="Arial" w:hint="default"/>
      </w:rPr>
    </w:lvl>
    <w:lvl w:ilvl="2" w:tplc="892C038C" w:tentative="1">
      <w:start w:val="1"/>
      <w:numFmt w:val="bullet"/>
      <w:lvlText w:val="•"/>
      <w:lvlJc w:val="left"/>
      <w:pPr>
        <w:tabs>
          <w:tab w:val="num" w:pos="2160"/>
        </w:tabs>
        <w:ind w:left="2160" w:hanging="360"/>
      </w:pPr>
      <w:rPr>
        <w:rFonts w:ascii="Arial" w:hAnsi="Arial" w:hint="default"/>
      </w:rPr>
    </w:lvl>
    <w:lvl w:ilvl="3" w:tplc="6A940CBA" w:tentative="1">
      <w:start w:val="1"/>
      <w:numFmt w:val="bullet"/>
      <w:lvlText w:val="•"/>
      <w:lvlJc w:val="left"/>
      <w:pPr>
        <w:tabs>
          <w:tab w:val="num" w:pos="2880"/>
        </w:tabs>
        <w:ind w:left="2880" w:hanging="360"/>
      </w:pPr>
      <w:rPr>
        <w:rFonts w:ascii="Arial" w:hAnsi="Arial" w:hint="default"/>
      </w:rPr>
    </w:lvl>
    <w:lvl w:ilvl="4" w:tplc="8CC86074" w:tentative="1">
      <w:start w:val="1"/>
      <w:numFmt w:val="bullet"/>
      <w:lvlText w:val="•"/>
      <w:lvlJc w:val="left"/>
      <w:pPr>
        <w:tabs>
          <w:tab w:val="num" w:pos="3600"/>
        </w:tabs>
        <w:ind w:left="3600" w:hanging="360"/>
      </w:pPr>
      <w:rPr>
        <w:rFonts w:ascii="Arial" w:hAnsi="Arial" w:hint="default"/>
      </w:rPr>
    </w:lvl>
    <w:lvl w:ilvl="5" w:tplc="E048ECA0" w:tentative="1">
      <w:start w:val="1"/>
      <w:numFmt w:val="bullet"/>
      <w:lvlText w:val="•"/>
      <w:lvlJc w:val="left"/>
      <w:pPr>
        <w:tabs>
          <w:tab w:val="num" w:pos="4320"/>
        </w:tabs>
        <w:ind w:left="4320" w:hanging="360"/>
      </w:pPr>
      <w:rPr>
        <w:rFonts w:ascii="Arial" w:hAnsi="Arial" w:hint="default"/>
      </w:rPr>
    </w:lvl>
    <w:lvl w:ilvl="6" w:tplc="38FC85B4" w:tentative="1">
      <w:start w:val="1"/>
      <w:numFmt w:val="bullet"/>
      <w:lvlText w:val="•"/>
      <w:lvlJc w:val="left"/>
      <w:pPr>
        <w:tabs>
          <w:tab w:val="num" w:pos="5040"/>
        </w:tabs>
        <w:ind w:left="5040" w:hanging="360"/>
      </w:pPr>
      <w:rPr>
        <w:rFonts w:ascii="Arial" w:hAnsi="Arial" w:hint="default"/>
      </w:rPr>
    </w:lvl>
    <w:lvl w:ilvl="7" w:tplc="BCF24822" w:tentative="1">
      <w:start w:val="1"/>
      <w:numFmt w:val="bullet"/>
      <w:lvlText w:val="•"/>
      <w:lvlJc w:val="left"/>
      <w:pPr>
        <w:tabs>
          <w:tab w:val="num" w:pos="5760"/>
        </w:tabs>
        <w:ind w:left="5760" w:hanging="360"/>
      </w:pPr>
      <w:rPr>
        <w:rFonts w:ascii="Arial" w:hAnsi="Arial" w:hint="default"/>
      </w:rPr>
    </w:lvl>
    <w:lvl w:ilvl="8" w:tplc="8E28212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136C56"/>
    <w:multiLevelType w:val="hybridMultilevel"/>
    <w:tmpl w:val="C032CC24"/>
    <w:lvl w:ilvl="0" w:tplc="1D162408">
      <w:start w:val="1"/>
      <w:numFmt w:val="bullet"/>
      <w:lvlText w:val="–"/>
      <w:lvlJc w:val="left"/>
      <w:pPr>
        <w:tabs>
          <w:tab w:val="num" w:pos="720"/>
        </w:tabs>
        <w:ind w:left="720" w:hanging="360"/>
      </w:pPr>
      <w:rPr>
        <w:rFonts w:ascii="Arial" w:hAnsi="Arial" w:hint="default"/>
      </w:rPr>
    </w:lvl>
    <w:lvl w:ilvl="1" w:tplc="B9E8AB56">
      <w:start w:val="1"/>
      <w:numFmt w:val="bullet"/>
      <w:lvlText w:val="–"/>
      <w:lvlJc w:val="left"/>
      <w:pPr>
        <w:tabs>
          <w:tab w:val="num" w:pos="1440"/>
        </w:tabs>
        <w:ind w:left="1440" w:hanging="360"/>
      </w:pPr>
      <w:rPr>
        <w:rFonts w:ascii="Arial" w:hAnsi="Arial" w:hint="default"/>
      </w:rPr>
    </w:lvl>
    <w:lvl w:ilvl="2" w:tplc="8A1E0774" w:tentative="1">
      <w:start w:val="1"/>
      <w:numFmt w:val="bullet"/>
      <w:lvlText w:val="–"/>
      <w:lvlJc w:val="left"/>
      <w:pPr>
        <w:tabs>
          <w:tab w:val="num" w:pos="2160"/>
        </w:tabs>
        <w:ind w:left="2160" w:hanging="360"/>
      </w:pPr>
      <w:rPr>
        <w:rFonts w:ascii="Arial" w:hAnsi="Arial" w:hint="default"/>
      </w:rPr>
    </w:lvl>
    <w:lvl w:ilvl="3" w:tplc="557AB48E" w:tentative="1">
      <w:start w:val="1"/>
      <w:numFmt w:val="bullet"/>
      <w:lvlText w:val="–"/>
      <w:lvlJc w:val="left"/>
      <w:pPr>
        <w:tabs>
          <w:tab w:val="num" w:pos="2880"/>
        </w:tabs>
        <w:ind w:left="2880" w:hanging="360"/>
      </w:pPr>
      <w:rPr>
        <w:rFonts w:ascii="Arial" w:hAnsi="Arial" w:hint="default"/>
      </w:rPr>
    </w:lvl>
    <w:lvl w:ilvl="4" w:tplc="4ED6E984" w:tentative="1">
      <w:start w:val="1"/>
      <w:numFmt w:val="bullet"/>
      <w:lvlText w:val="–"/>
      <w:lvlJc w:val="left"/>
      <w:pPr>
        <w:tabs>
          <w:tab w:val="num" w:pos="3600"/>
        </w:tabs>
        <w:ind w:left="3600" w:hanging="360"/>
      </w:pPr>
      <w:rPr>
        <w:rFonts w:ascii="Arial" w:hAnsi="Arial" w:hint="default"/>
      </w:rPr>
    </w:lvl>
    <w:lvl w:ilvl="5" w:tplc="22045126" w:tentative="1">
      <w:start w:val="1"/>
      <w:numFmt w:val="bullet"/>
      <w:lvlText w:val="–"/>
      <w:lvlJc w:val="left"/>
      <w:pPr>
        <w:tabs>
          <w:tab w:val="num" w:pos="4320"/>
        </w:tabs>
        <w:ind w:left="4320" w:hanging="360"/>
      </w:pPr>
      <w:rPr>
        <w:rFonts w:ascii="Arial" w:hAnsi="Arial" w:hint="default"/>
      </w:rPr>
    </w:lvl>
    <w:lvl w:ilvl="6" w:tplc="9D927720" w:tentative="1">
      <w:start w:val="1"/>
      <w:numFmt w:val="bullet"/>
      <w:lvlText w:val="–"/>
      <w:lvlJc w:val="left"/>
      <w:pPr>
        <w:tabs>
          <w:tab w:val="num" w:pos="5040"/>
        </w:tabs>
        <w:ind w:left="5040" w:hanging="360"/>
      </w:pPr>
      <w:rPr>
        <w:rFonts w:ascii="Arial" w:hAnsi="Arial" w:hint="default"/>
      </w:rPr>
    </w:lvl>
    <w:lvl w:ilvl="7" w:tplc="A058F0B2" w:tentative="1">
      <w:start w:val="1"/>
      <w:numFmt w:val="bullet"/>
      <w:lvlText w:val="–"/>
      <w:lvlJc w:val="left"/>
      <w:pPr>
        <w:tabs>
          <w:tab w:val="num" w:pos="5760"/>
        </w:tabs>
        <w:ind w:left="5760" w:hanging="360"/>
      </w:pPr>
      <w:rPr>
        <w:rFonts w:ascii="Arial" w:hAnsi="Arial" w:hint="default"/>
      </w:rPr>
    </w:lvl>
    <w:lvl w:ilvl="8" w:tplc="A64894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C67955"/>
    <w:multiLevelType w:val="hybridMultilevel"/>
    <w:tmpl w:val="1D743D68"/>
    <w:lvl w:ilvl="0" w:tplc="335CD2CA">
      <w:start w:val="1"/>
      <w:numFmt w:val="bullet"/>
      <w:lvlText w:val="•"/>
      <w:lvlJc w:val="left"/>
      <w:pPr>
        <w:tabs>
          <w:tab w:val="num" w:pos="720"/>
        </w:tabs>
        <w:ind w:left="720" w:hanging="360"/>
      </w:pPr>
      <w:rPr>
        <w:rFonts w:ascii="Arial" w:hAnsi="Arial" w:hint="default"/>
      </w:rPr>
    </w:lvl>
    <w:lvl w:ilvl="1" w:tplc="4AC86CA8" w:tentative="1">
      <w:start w:val="1"/>
      <w:numFmt w:val="bullet"/>
      <w:lvlText w:val="•"/>
      <w:lvlJc w:val="left"/>
      <w:pPr>
        <w:tabs>
          <w:tab w:val="num" w:pos="1440"/>
        </w:tabs>
        <w:ind w:left="1440" w:hanging="360"/>
      </w:pPr>
      <w:rPr>
        <w:rFonts w:ascii="Arial" w:hAnsi="Arial" w:hint="default"/>
      </w:rPr>
    </w:lvl>
    <w:lvl w:ilvl="2" w:tplc="EAF43DAE" w:tentative="1">
      <w:start w:val="1"/>
      <w:numFmt w:val="bullet"/>
      <w:lvlText w:val="•"/>
      <w:lvlJc w:val="left"/>
      <w:pPr>
        <w:tabs>
          <w:tab w:val="num" w:pos="2160"/>
        </w:tabs>
        <w:ind w:left="2160" w:hanging="360"/>
      </w:pPr>
      <w:rPr>
        <w:rFonts w:ascii="Arial" w:hAnsi="Arial" w:hint="default"/>
      </w:rPr>
    </w:lvl>
    <w:lvl w:ilvl="3" w:tplc="8B12964E" w:tentative="1">
      <w:start w:val="1"/>
      <w:numFmt w:val="bullet"/>
      <w:lvlText w:val="•"/>
      <w:lvlJc w:val="left"/>
      <w:pPr>
        <w:tabs>
          <w:tab w:val="num" w:pos="2880"/>
        </w:tabs>
        <w:ind w:left="2880" w:hanging="360"/>
      </w:pPr>
      <w:rPr>
        <w:rFonts w:ascii="Arial" w:hAnsi="Arial" w:hint="default"/>
      </w:rPr>
    </w:lvl>
    <w:lvl w:ilvl="4" w:tplc="951031D2" w:tentative="1">
      <w:start w:val="1"/>
      <w:numFmt w:val="bullet"/>
      <w:lvlText w:val="•"/>
      <w:lvlJc w:val="left"/>
      <w:pPr>
        <w:tabs>
          <w:tab w:val="num" w:pos="3600"/>
        </w:tabs>
        <w:ind w:left="3600" w:hanging="360"/>
      </w:pPr>
      <w:rPr>
        <w:rFonts w:ascii="Arial" w:hAnsi="Arial" w:hint="default"/>
      </w:rPr>
    </w:lvl>
    <w:lvl w:ilvl="5" w:tplc="BF84CD52" w:tentative="1">
      <w:start w:val="1"/>
      <w:numFmt w:val="bullet"/>
      <w:lvlText w:val="•"/>
      <w:lvlJc w:val="left"/>
      <w:pPr>
        <w:tabs>
          <w:tab w:val="num" w:pos="4320"/>
        </w:tabs>
        <w:ind w:left="4320" w:hanging="360"/>
      </w:pPr>
      <w:rPr>
        <w:rFonts w:ascii="Arial" w:hAnsi="Arial" w:hint="default"/>
      </w:rPr>
    </w:lvl>
    <w:lvl w:ilvl="6" w:tplc="7F008944" w:tentative="1">
      <w:start w:val="1"/>
      <w:numFmt w:val="bullet"/>
      <w:lvlText w:val="•"/>
      <w:lvlJc w:val="left"/>
      <w:pPr>
        <w:tabs>
          <w:tab w:val="num" w:pos="5040"/>
        </w:tabs>
        <w:ind w:left="5040" w:hanging="360"/>
      </w:pPr>
      <w:rPr>
        <w:rFonts w:ascii="Arial" w:hAnsi="Arial" w:hint="default"/>
      </w:rPr>
    </w:lvl>
    <w:lvl w:ilvl="7" w:tplc="7FB6CC6A" w:tentative="1">
      <w:start w:val="1"/>
      <w:numFmt w:val="bullet"/>
      <w:lvlText w:val="•"/>
      <w:lvlJc w:val="left"/>
      <w:pPr>
        <w:tabs>
          <w:tab w:val="num" w:pos="5760"/>
        </w:tabs>
        <w:ind w:left="5760" w:hanging="360"/>
      </w:pPr>
      <w:rPr>
        <w:rFonts w:ascii="Arial" w:hAnsi="Arial" w:hint="default"/>
      </w:rPr>
    </w:lvl>
    <w:lvl w:ilvl="8" w:tplc="8D520DF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977"/>
    <w:rsid w:val="00004BE0"/>
    <w:rsid w:val="00027356"/>
    <w:rsid w:val="00036C66"/>
    <w:rsid w:val="000370C8"/>
    <w:rsid w:val="001275F0"/>
    <w:rsid w:val="001632B9"/>
    <w:rsid w:val="001C4F30"/>
    <w:rsid w:val="00206DD5"/>
    <w:rsid w:val="00215BDA"/>
    <w:rsid w:val="00245EEB"/>
    <w:rsid w:val="00282908"/>
    <w:rsid w:val="00287197"/>
    <w:rsid w:val="00297B52"/>
    <w:rsid w:val="002B2346"/>
    <w:rsid w:val="002D5EED"/>
    <w:rsid w:val="002F0EDC"/>
    <w:rsid w:val="00317834"/>
    <w:rsid w:val="003251F3"/>
    <w:rsid w:val="00330944"/>
    <w:rsid w:val="00344BC7"/>
    <w:rsid w:val="003D177F"/>
    <w:rsid w:val="004001EE"/>
    <w:rsid w:val="0045140C"/>
    <w:rsid w:val="00460E9E"/>
    <w:rsid w:val="00476E1B"/>
    <w:rsid w:val="004A6BFB"/>
    <w:rsid w:val="004F77CD"/>
    <w:rsid w:val="00510B06"/>
    <w:rsid w:val="005523ED"/>
    <w:rsid w:val="005C144A"/>
    <w:rsid w:val="005D43AD"/>
    <w:rsid w:val="005E311F"/>
    <w:rsid w:val="00634B31"/>
    <w:rsid w:val="00667691"/>
    <w:rsid w:val="006E27FB"/>
    <w:rsid w:val="006E3026"/>
    <w:rsid w:val="00722C15"/>
    <w:rsid w:val="00725A4C"/>
    <w:rsid w:val="00743603"/>
    <w:rsid w:val="00747326"/>
    <w:rsid w:val="007E27DE"/>
    <w:rsid w:val="008329E9"/>
    <w:rsid w:val="008743F4"/>
    <w:rsid w:val="008931C2"/>
    <w:rsid w:val="008B0E3A"/>
    <w:rsid w:val="008B6F1C"/>
    <w:rsid w:val="00905C39"/>
    <w:rsid w:val="009108AE"/>
    <w:rsid w:val="00982F05"/>
    <w:rsid w:val="009F54F5"/>
    <w:rsid w:val="00A73F12"/>
    <w:rsid w:val="00A80D83"/>
    <w:rsid w:val="00A919EA"/>
    <w:rsid w:val="00AB3601"/>
    <w:rsid w:val="00AC4F83"/>
    <w:rsid w:val="00AD0345"/>
    <w:rsid w:val="00AE330A"/>
    <w:rsid w:val="00B84798"/>
    <w:rsid w:val="00BB22D7"/>
    <w:rsid w:val="00BB5A3B"/>
    <w:rsid w:val="00BE1DDA"/>
    <w:rsid w:val="00C41044"/>
    <w:rsid w:val="00C47511"/>
    <w:rsid w:val="00D61BEA"/>
    <w:rsid w:val="00D862D8"/>
    <w:rsid w:val="00DB7F28"/>
    <w:rsid w:val="00E54977"/>
    <w:rsid w:val="00F40DE9"/>
    <w:rsid w:val="00F42F53"/>
    <w:rsid w:val="00FB2182"/>
    <w:rsid w:val="00FF7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4D69"/>
  <w15:docId w15:val="{00E94F0B-EC5F-4536-9445-117225AA3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F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F12"/>
    <w:rPr>
      <w:rFonts w:ascii="Tahoma" w:hAnsi="Tahoma" w:cs="Tahoma"/>
      <w:sz w:val="16"/>
      <w:szCs w:val="16"/>
    </w:rPr>
  </w:style>
  <w:style w:type="paragraph" w:styleId="FootnoteText">
    <w:name w:val="footnote text"/>
    <w:basedOn w:val="Normal"/>
    <w:link w:val="FootnoteTextChar"/>
    <w:uiPriority w:val="99"/>
    <w:semiHidden/>
    <w:unhideWhenUsed/>
    <w:rsid w:val="00AE33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330A"/>
    <w:rPr>
      <w:sz w:val="20"/>
      <w:szCs w:val="20"/>
    </w:rPr>
  </w:style>
  <w:style w:type="character" w:styleId="FootnoteReference">
    <w:name w:val="footnote reference"/>
    <w:basedOn w:val="DefaultParagraphFont"/>
    <w:uiPriority w:val="99"/>
    <w:semiHidden/>
    <w:unhideWhenUsed/>
    <w:rsid w:val="00AE33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964025">
      <w:bodyDiv w:val="1"/>
      <w:marLeft w:val="0"/>
      <w:marRight w:val="0"/>
      <w:marTop w:val="0"/>
      <w:marBottom w:val="0"/>
      <w:divBdr>
        <w:top w:val="none" w:sz="0" w:space="0" w:color="auto"/>
        <w:left w:val="none" w:sz="0" w:space="0" w:color="auto"/>
        <w:bottom w:val="none" w:sz="0" w:space="0" w:color="auto"/>
        <w:right w:val="none" w:sz="0" w:space="0" w:color="auto"/>
      </w:divBdr>
      <w:divsChild>
        <w:div w:id="902376081">
          <w:marLeft w:val="1166"/>
          <w:marRight w:val="0"/>
          <w:marTop w:val="115"/>
          <w:marBottom w:val="0"/>
          <w:divBdr>
            <w:top w:val="none" w:sz="0" w:space="0" w:color="auto"/>
            <w:left w:val="none" w:sz="0" w:space="0" w:color="auto"/>
            <w:bottom w:val="none" w:sz="0" w:space="0" w:color="auto"/>
            <w:right w:val="none" w:sz="0" w:space="0" w:color="auto"/>
          </w:divBdr>
        </w:div>
        <w:div w:id="608243517">
          <w:marLeft w:val="1166"/>
          <w:marRight w:val="0"/>
          <w:marTop w:val="115"/>
          <w:marBottom w:val="0"/>
          <w:divBdr>
            <w:top w:val="none" w:sz="0" w:space="0" w:color="auto"/>
            <w:left w:val="none" w:sz="0" w:space="0" w:color="auto"/>
            <w:bottom w:val="none" w:sz="0" w:space="0" w:color="auto"/>
            <w:right w:val="none" w:sz="0" w:space="0" w:color="auto"/>
          </w:divBdr>
        </w:div>
        <w:div w:id="930895089">
          <w:marLeft w:val="1166"/>
          <w:marRight w:val="0"/>
          <w:marTop w:val="115"/>
          <w:marBottom w:val="0"/>
          <w:divBdr>
            <w:top w:val="none" w:sz="0" w:space="0" w:color="auto"/>
            <w:left w:val="none" w:sz="0" w:space="0" w:color="auto"/>
            <w:bottom w:val="none" w:sz="0" w:space="0" w:color="auto"/>
            <w:right w:val="none" w:sz="0" w:space="0" w:color="auto"/>
          </w:divBdr>
        </w:div>
        <w:div w:id="1824731761">
          <w:marLeft w:val="1166"/>
          <w:marRight w:val="0"/>
          <w:marTop w:val="115"/>
          <w:marBottom w:val="0"/>
          <w:divBdr>
            <w:top w:val="none" w:sz="0" w:space="0" w:color="auto"/>
            <w:left w:val="none" w:sz="0" w:space="0" w:color="auto"/>
            <w:bottom w:val="none" w:sz="0" w:space="0" w:color="auto"/>
            <w:right w:val="none" w:sz="0" w:space="0" w:color="auto"/>
          </w:divBdr>
        </w:div>
        <w:div w:id="852838190">
          <w:marLeft w:val="1166"/>
          <w:marRight w:val="0"/>
          <w:marTop w:val="115"/>
          <w:marBottom w:val="0"/>
          <w:divBdr>
            <w:top w:val="none" w:sz="0" w:space="0" w:color="auto"/>
            <w:left w:val="none" w:sz="0" w:space="0" w:color="auto"/>
            <w:bottom w:val="none" w:sz="0" w:space="0" w:color="auto"/>
            <w:right w:val="none" w:sz="0" w:space="0" w:color="auto"/>
          </w:divBdr>
        </w:div>
        <w:div w:id="263541833">
          <w:marLeft w:val="1166"/>
          <w:marRight w:val="0"/>
          <w:marTop w:val="115"/>
          <w:marBottom w:val="0"/>
          <w:divBdr>
            <w:top w:val="none" w:sz="0" w:space="0" w:color="auto"/>
            <w:left w:val="none" w:sz="0" w:space="0" w:color="auto"/>
            <w:bottom w:val="none" w:sz="0" w:space="0" w:color="auto"/>
            <w:right w:val="none" w:sz="0" w:space="0" w:color="auto"/>
          </w:divBdr>
        </w:div>
        <w:div w:id="51777981">
          <w:marLeft w:val="1166"/>
          <w:marRight w:val="0"/>
          <w:marTop w:val="115"/>
          <w:marBottom w:val="0"/>
          <w:divBdr>
            <w:top w:val="none" w:sz="0" w:space="0" w:color="auto"/>
            <w:left w:val="none" w:sz="0" w:space="0" w:color="auto"/>
            <w:bottom w:val="none" w:sz="0" w:space="0" w:color="auto"/>
            <w:right w:val="none" w:sz="0" w:space="0" w:color="auto"/>
          </w:divBdr>
        </w:div>
      </w:divsChild>
    </w:div>
    <w:div w:id="958951913">
      <w:bodyDiv w:val="1"/>
      <w:marLeft w:val="0"/>
      <w:marRight w:val="0"/>
      <w:marTop w:val="0"/>
      <w:marBottom w:val="0"/>
      <w:divBdr>
        <w:top w:val="none" w:sz="0" w:space="0" w:color="auto"/>
        <w:left w:val="none" w:sz="0" w:space="0" w:color="auto"/>
        <w:bottom w:val="none" w:sz="0" w:space="0" w:color="auto"/>
        <w:right w:val="none" w:sz="0" w:space="0" w:color="auto"/>
      </w:divBdr>
      <w:divsChild>
        <w:div w:id="1130897384">
          <w:marLeft w:val="547"/>
          <w:marRight w:val="0"/>
          <w:marTop w:val="115"/>
          <w:marBottom w:val="0"/>
          <w:divBdr>
            <w:top w:val="none" w:sz="0" w:space="0" w:color="auto"/>
            <w:left w:val="none" w:sz="0" w:space="0" w:color="auto"/>
            <w:bottom w:val="none" w:sz="0" w:space="0" w:color="auto"/>
            <w:right w:val="none" w:sz="0" w:space="0" w:color="auto"/>
          </w:divBdr>
        </w:div>
        <w:div w:id="1188985215">
          <w:marLeft w:val="547"/>
          <w:marRight w:val="0"/>
          <w:marTop w:val="115"/>
          <w:marBottom w:val="0"/>
          <w:divBdr>
            <w:top w:val="none" w:sz="0" w:space="0" w:color="auto"/>
            <w:left w:val="none" w:sz="0" w:space="0" w:color="auto"/>
            <w:bottom w:val="none" w:sz="0" w:space="0" w:color="auto"/>
            <w:right w:val="none" w:sz="0" w:space="0" w:color="auto"/>
          </w:divBdr>
        </w:div>
        <w:div w:id="1084566249">
          <w:marLeft w:val="547"/>
          <w:marRight w:val="0"/>
          <w:marTop w:val="115"/>
          <w:marBottom w:val="0"/>
          <w:divBdr>
            <w:top w:val="none" w:sz="0" w:space="0" w:color="auto"/>
            <w:left w:val="none" w:sz="0" w:space="0" w:color="auto"/>
            <w:bottom w:val="none" w:sz="0" w:space="0" w:color="auto"/>
            <w:right w:val="none" w:sz="0" w:space="0" w:color="auto"/>
          </w:divBdr>
        </w:div>
        <w:div w:id="354769833">
          <w:marLeft w:val="547"/>
          <w:marRight w:val="0"/>
          <w:marTop w:val="115"/>
          <w:marBottom w:val="0"/>
          <w:divBdr>
            <w:top w:val="none" w:sz="0" w:space="0" w:color="auto"/>
            <w:left w:val="none" w:sz="0" w:space="0" w:color="auto"/>
            <w:bottom w:val="none" w:sz="0" w:space="0" w:color="auto"/>
            <w:right w:val="none" w:sz="0" w:space="0" w:color="auto"/>
          </w:divBdr>
        </w:div>
        <w:div w:id="1490093836">
          <w:marLeft w:val="547"/>
          <w:marRight w:val="0"/>
          <w:marTop w:val="115"/>
          <w:marBottom w:val="0"/>
          <w:divBdr>
            <w:top w:val="none" w:sz="0" w:space="0" w:color="auto"/>
            <w:left w:val="none" w:sz="0" w:space="0" w:color="auto"/>
            <w:bottom w:val="none" w:sz="0" w:space="0" w:color="auto"/>
            <w:right w:val="none" w:sz="0" w:space="0" w:color="auto"/>
          </w:divBdr>
        </w:div>
        <w:div w:id="1687318467">
          <w:marLeft w:val="547"/>
          <w:marRight w:val="0"/>
          <w:marTop w:val="115"/>
          <w:marBottom w:val="0"/>
          <w:divBdr>
            <w:top w:val="none" w:sz="0" w:space="0" w:color="auto"/>
            <w:left w:val="none" w:sz="0" w:space="0" w:color="auto"/>
            <w:bottom w:val="none" w:sz="0" w:space="0" w:color="auto"/>
            <w:right w:val="none" w:sz="0" w:space="0" w:color="auto"/>
          </w:divBdr>
        </w:div>
      </w:divsChild>
    </w:div>
    <w:div w:id="964770619">
      <w:bodyDiv w:val="1"/>
      <w:marLeft w:val="0"/>
      <w:marRight w:val="0"/>
      <w:marTop w:val="0"/>
      <w:marBottom w:val="0"/>
      <w:divBdr>
        <w:top w:val="none" w:sz="0" w:space="0" w:color="auto"/>
        <w:left w:val="none" w:sz="0" w:space="0" w:color="auto"/>
        <w:bottom w:val="none" w:sz="0" w:space="0" w:color="auto"/>
        <w:right w:val="none" w:sz="0" w:space="0" w:color="auto"/>
      </w:divBdr>
      <w:divsChild>
        <w:div w:id="2136870714">
          <w:marLeft w:val="547"/>
          <w:marRight w:val="0"/>
          <w:marTop w:val="115"/>
          <w:marBottom w:val="0"/>
          <w:divBdr>
            <w:top w:val="none" w:sz="0" w:space="0" w:color="auto"/>
            <w:left w:val="none" w:sz="0" w:space="0" w:color="auto"/>
            <w:bottom w:val="none" w:sz="0" w:space="0" w:color="auto"/>
            <w:right w:val="none" w:sz="0" w:space="0" w:color="auto"/>
          </w:divBdr>
        </w:div>
        <w:div w:id="1251357068">
          <w:marLeft w:val="547"/>
          <w:marRight w:val="0"/>
          <w:marTop w:val="115"/>
          <w:marBottom w:val="0"/>
          <w:divBdr>
            <w:top w:val="none" w:sz="0" w:space="0" w:color="auto"/>
            <w:left w:val="none" w:sz="0" w:space="0" w:color="auto"/>
            <w:bottom w:val="none" w:sz="0" w:space="0" w:color="auto"/>
            <w:right w:val="none" w:sz="0" w:space="0" w:color="auto"/>
          </w:divBdr>
        </w:div>
        <w:div w:id="776481961">
          <w:marLeft w:val="547"/>
          <w:marRight w:val="0"/>
          <w:marTop w:val="115"/>
          <w:marBottom w:val="0"/>
          <w:divBdr>
            <w:top w:val="none" w:sz="0" w:space="0" w:color="auto"/>
            <w:left w:val="none" w:sz="0" w:space="0" w:color="auto"/>
            <w:bottom w:val="none" w:sz="0" w:space="0" w:color="auto"/>
            <w:right w:val="none" w:sz="0" w:space="0" w:color="auto"/>
          </w:divBdr>
        </w:div>
        <w:div w:id="1225415177">
          <w:marLeft w:val="547"/>
          <w:marRight w:val="0"/>
          <w:marTop w:val="115"/>
          <w:marBottom w:val="0"/>
          <w:divBdr>
            <w:top w:val="none" w:sz="0" w:space="0" w:color="auto"/>
            <w:left w:val="none" w:sz="0" w:space="0" w:color="auto"/>
            <w:bottom w:val="none" w:sz="0" w:space="0" w:color="auto"/>
            <w:right w:val="none" w:sz="0" w:space="0" w:color="auto"/>
          </w:divBdr>
        </w:div>
      </w:divsChild>
    </w:div>
    <w:div w:id="146488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C5AE3-1B51-43D1-A0C3-D29A44EC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847</Words>
  <Characters>4833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Vincent Hingley (1501141)</cp:lastModifiedBy>
  <cp:revision>2</cp:revision>
  <dcterms:created xsi:type="dcterms:W3CDTF">2017-12-01T15:01:00Z</dcterms:created>
  <dcterms:modified xsi:type="dcterms:W3CDTF">2017-12-01T15:01:00Z</dcterms:modified>
</cp:coreProperties>
</file>