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029367618"/>
        <w:docPartObj>
          <w:docPartGallery w:val="Cover Pages"/>
          <w:docPartUnique/>
        </w:docPartObj>
      </w:sdtPr>
      <w:sdtEndPr>
        <w:rPr>
          <w:rFonts w:ascii="Arial" w:eastAsiaTheme="minorHAnsi" w:hAnsi="Arial" w:cs="Arial"/>
          <w:b/>
          <w:bCs/>
          <w:color w:val="000000"/>
          <w:kern w:val="2"/>
          <w:sz w:val="24"/>
          <w:szCs w:val="24"/>
          <w:lang w:val="en-GB"/>
          <w14:ligatures w14:val="standardContextual"/>
        </w:rPr>
      </w:sdtEndPr>
      <w:sdtContent>
        <w:p w14:paraId="1DB837C0" w14:textId="47DA59A0" w:rsidR="004713C1" w:rsidRDefault="004713C1">
          <w:pPr>
            <w:pStyle w:val="NoSpacing"/>
            <w:spacing w:before="1540" w:after="240"/>
            <w:jc w:val="center"/>
            <w:rPr>
              <w:color w:val="156082" w:themeColor="accent1"/>
            </w:rPr>
          </w:pPr>
          <w:r>
            <w:rPr>
              <w:noProof/>
              <w:color w:val="156082" w:themeColor="accent1"/>
            </w:rPr>
            <w:drawing>
              <wp:inline distT="0" distB="0" distL="0" distR="0" wp14:anchorId="53BAAAB5" wp14:editId="3B33C46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658CAF088B04790AD8B8ECA7A308F8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F3F83BC" w14:textId="7CF0312A" w:rsidR="004713C1" w:rsidRDefault="0099479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Leaders in a global business</w:t>
              </w:r>
            </w:p>
          </w:sdtContent>
        </w:sdt>
        <w:sdt>
          <w:sdtPr>
            <w:rPr>
              <w:color w:val="156082" w:themeColor="accent1"/>
              <w:sz w:val="28"/>
              <w:szCs w:val="28"/>
            </w:rPr>
            <w:alias w:val="Subtitle"/>
            <w:tag w:val=""/>
            <w:id w:val="328029620"/>
            <w:placeholder>
              <w:docPart w:val="137461264F6D44D2BD1A9F61AD195E18"/>
            </w:placeholder>
            <w:dataBinding w:prefixMappings="xmlns:ns0='http://purl.org/dc/elements/1.1/' xmlns:ns1='http://schemas.openxmlformats.org/package/2006/metadata/core-properties' " w:xpath="/ns1:coreProperties[1]/ns0:subject[1]" w:storeItemID="{6C3C8BC8-F283-45AE-878A-BAB7291924A1}"/>
            <w:text/>
          </w:sdtPr>
          <w:sdtContent>
            <w:p w14:paraId="02ADABFA" w14:textId="5A5F7CC4" w:rsidR="004713C1" w:rsidRDefault="0099479B">
              <w:pPr>
                <w:pStyle w:val="NoSpacing"/>
                <w:jc w:val="center"/>
                <w:rPr>
                  <w:color w:val="156082" w:themeColor="accent1"/>
                  <w:sz w:val="28"/>
                  <w:szCs w:val="28"/>
                </w:rPr>
              </w:pPr>
              <w:r>
                <w:rPr>
                  <w:color w:val="156082" w:themeColor="accent1"/>
                  <w:sz w:val="28"/>
                  <w:szCs w:val="28"/>
                </w:rPr>
                <w:t>A Critical Anslysis of Commercial, Cultural and Environmental Leadership Tensions at Shell plc.</w:t>
              </w:r>
            </w:p>
          </w:sdtContent>
        </w:sdt>
        <w:p w14:paraId="5BAB3FC7" w14:textId="77777777" w:rsidR="004713C1" w:rsidRDefault="004713C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C03B8A1" wp14:editId="45CEDE5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4T00:00:00Z">
                                    <w:dateFormat w:val="MMMM d, yyyy"/>
                                    <w:lid w:val="en-US"/>
                                    <w:storeMappedDataAs w:val="dateTime"/>
                                    <w:calendar w:val="gregorian"/>
                                  </w:date>
                                </w:sdtPr>
                                <w:sdtContent>
                                  <w:p w14:paraId="08C6F176" w14:textId="78EB170A" w:rsidR="004713C1" w:rsidRDefault="008F61F7">
                                    <w:pPr>
                                      <w:pStyle w:val="NoSpacing"/>
                                      <w:spacing w:after="40"/>
                                      <w:jc w:val="center"/>
                                      <w:rPr>
                                        <w:caps/>
                                        <w:color w:val="156082" w:themeColor="accent1"/>
                                        <w:sz w:val="28"/>
                                        <w:szCs w:val="28"/>
                                      </w:rPr>
                                    </w:pPr>
                                    <w:r>
                                      <w:rPr>
                                        <w:caps/>
                                        <w:color w:val="156082" w:themeColor="accent1"/>
                                        <w:sz w:val="28"/>
                                        <w:szCs w:val="28"/>
                                      </w:rPr>
                                      <w:t>July 24, 2026</w:t>
                                    </w:r>
                                  </w:p>
                                </w:sdtContent>
                              </w:sdt>
                              <w:p w14:paraId="5329FAF5" w14:textId="17550083" w:rsidR="004713C1" w:rsidRDefault="004713C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F61F7">
                                      <w:rPr>
                                        <w:caps/>
                                        <w:color w:val="156082" w:themeColor="accent1"/>
                                      </w:rPr>
                                      <w:t>irina kitley</w:t>
                                    </w:r>
                                  </w:sdtContent>
                                </w:sdt>
                              </w:p>
                              <w:p w14:paraId="0C8D6099" w14:textId="0E7A1E40" w:rsidR="004713C1" w:rsidRDefault="004713C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F61F7">
                                      <w:rPr>
                                        <w:color w:val="156082" w:themeColor="accent1"/>
                                      </w:rPr>
                                      <w:t>2219546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03B8A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4T00:00:00Z">
                              <w:dateFormat w:val="MMMM d, yyyy"/>
                              <w:lid w:val="en-US"/>
                              <w:storeMappedDataAs w:val="dateTime"/>
                              <w:calendar w:val="gregorian"/>
                            </w:date>
                          </w:sdtPr>
                          <w:sdtContent>
                            <w:p w14:paraId="08C6F176" w14:textId="78EB170A" w:rsidR="004713C1" w:rsidRDefault="008F61F7">
                              <w:pPr>
                                <w:pStyle w:val="NoSpacing"/>
                                <w:spacing w:after="40"/>
                                <w:jc w:val="center"/>
                                <w:rPr>
                                  <w:caps/>
                                  <w:color w:val="156082" w:themeColor="accent1"/>
                                  <w:sz w:val="28"/>
                                  <w:szCs w:val="28"/>
                                </w:rPr>
                              </w:pPr>
                              <w:r>
                                <w:rPr>
                                  <w:caps/>
                                  <w:color w:val="156082" w:themeColor="accent1"/>
                                  <w:sz w:val="28"/>
                                  <w:szCs w:val="28"/>
                                </w:rPr>
                                <w:t>July 24, 2026</w:t>
                              </w:r>
                            </w:p>
                          </w:sdtContent>
                        </w:sdt>
                        <w:p w14:paraId="5329FAF5" w14:textId="17550083" w:rsidR="004713C1" w:rsidRDefault="004713C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F61F7">
                                <w:rPr>
                                  <w:caps/>
                                  <w:color w:val="156082" w:themeColor="accent1"/>
                                </w:rPr>
                                <w:t>irina kitley</w:t>
                              </w:r>
                            </w:sdtContent>
                          </w:sdt>
                        </w:p>
                        <w:p w14:paraId="0C8D6099" w14:textId="0E7A1E40" w:rsidR="004713C1" w:rsidRDefault="004713C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F61F7">
                                <w:rPr>
                                  <w:color w:val="156082" w:themeColor="accent1"/>
                                </w:rPr>
                                <w:t>2219546</w:t>
                              </w:r>
                            </w:sdtContent>
                          </w:sdt>
                        </w:p>
                      </w:txbxContent>
                    </v:textbox>
                    <w10:wrap anchorx="margin" anchory="page"/>
                  </v:shape>
                </w:pict>
              </mc:Fallback>
            </mc:AlternateContent>
          </w:r>
          <w:r>
            <w:rPr>
              <w:noProof/>
              <w:color w:val="156082" w:themeColor="accent1"/>
            </w:rPr>
            <w:drawing>
              <wp:inline distT="0" distB="0" distL="0" distR="0" wp14:anchorId="2C339D7F" wp14:editId="532DE35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3B5CDE" w14:textId="09023321" w:rsidR="004713C1" w:rsidRDefault="004713C1">
          <w:pPr>
            <w:rPr>
              <w:rFonts w:ascii="Arial" w:eastAsia="Times New Roman" w:hAnsi="Arial" w:cs="Arial"/>
              <w:b/>
              <w:bCs/>
              <w:color w:val="000000"/>
              <w:kern w:val="0"/>
              <w:lang w:eastAsia="en-GB"/>
              <w14:ligatures w14:val="none"/>
            </w:rPr>
          </w:pPr>
          <w:r>
            <w:rPr>
              <w:rFonts w:ascii="Arial" w:hAnsi="Arial" w:cs="Arial"/>
              <w:b/>
              <w:bCs/>
              <w:color w:val="000000"/>
            </w:rPr>
            <w:br w:type="page"/>
          </w:r>
        </w:p>
      </w:sdtContent>
    </w:sdt>
    <w:p w14:paraId="78D042AA" w14:textId="77777777" w:rsidR="00DF4294" w:rsidRDefault="00DF4294" w:rsidP="00E86003">
      <w:pPr>
        <w:pStyle w:val="NormalWeb"/>
        <w:spacing w:before="300" w:beforeAutospacing="0" w:after="150" w:afterAutospacing="0" w:line="276" w:lineRule="auto"/>
        <w:jc w:val="both"/>
        <w:rPr>
          <w:rFonts w:ascii="Arial" w:hAnsi="Arial" w:cs="Arial"/>
          <w:b/>
          <w:bCs/>
          <w:color w:val="000000"/>
        </w:rPr>
      </w:pPr>
    </w:p>
    <w:p w14:paraId="1C10DC9E" w14:textId="77777777" w:rsidR="00DF4294" w:rsidRPr="00EB40DE" w:rsidRDefault="00DF4294" w:rsidP="00EB40DE">
      <w:pPr>
        <w:pStyle w:val="Heading1"/>
        <w:rPr>
          <w:color w:val="auto"/>
        </w:rPr>
      </w:pPr>
      <w:bookmarkStart w:id="0" w:name="_Toc235779610"/>
      <w:r w:rsidRPr="00EB40DE">
        <w:rPr>
          <w:color w:val="auto"/>
        </w:rPr>
        <w:t>Executive Summary</w:t>
      </w:r>
      <w:bookmarkEnd w:id="0"/>
    </w:p>
    <w:p w14:paraId="4DEC6500" w14:textId="77777777" w:rsidR="00DF4294" w:rsidRPr="00430E78" w:rsidRDefault="00DF4294"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This report critically examines Shell plc as a lens for understanding how global leaders navigate the tension between commercial imperatives and environmental stewardship. Since 2023, Shell's leadership under CEO Wael Sawan has pursued a deliberate strategic reset: scaling back renewables investment, weakening emissions targets, and refocusing capital on oil, gas and liquefied natural gas in response to shareholder pressure for stronger returns. The analysis evaluates this repositioning against three lenses drawn from the assessment brief: the tension between commercial imperatives and environmental stewardship in energy transition leadership; the complexity of leading responsibly across a culturally and legally diverse, multi-stakeholder global operation, illustrated through ongoing Niger Delta litigation; and Shell's credibility as an environmental steward, examined through greenwashing rulings, climate litigation, and emerging mandatory disclosure regimes. The report finds that Shell's leadership exemplifies a widening gap between the rhetoric of responsible global leadership and the practice of shareholder-value maximisation, a gap increasingly exposed by courts, regulators and activist investors rather than closed through voluntary corporate governance. Recommendations focus on treating stakeholder salience as dynamic, calibrating environmental communication to underlying business reality, and treating mandatory disclosure as a floor rather than a communications strategy in itself.</w:t>
      </w:r>
    </w:p>
    <w:p w14:paraId="3D0D666F" w14:textId="77777777" w:rsidR="00DF4294" w:rsidRPr="00430E78" w:rsidRDefault="00DF4294" w:rsidP="005B6B37">
      <w:pPr>
        <w:pStyle w:val="NormalWeb"/>
        <w:spacing w:before="300" w:beforeAutospacing="0" w:after="150" w:afterAutospacing="0" w:line="360" w:lineRule="auto"/>
        <w:jc w:val="both"/>
        <w:rPr>
          <w:rFonts w:ascii="Arial" w:hAnsi="Arial" w:cs="Arial"/>
          <w:b/>
          <w:bCs/>
          <w:color w:val="000000"/>
        </w:rPr>
      </w:pPr>
    </w:p>
    <w:p w14:paraId="44884D79" w14:textId="77777777" w:rsidR="00DF4294" w:rsidRPr="00430E78" w:rsidRDefault="00DF4294" w:rsidP="005B6B37">
      <w:pPr>
        <w:pStyle w:val="NormalWeb"/>
        <w:spacing w:before="300" w:beforeAutospacing="0" w:after="150" w:afterAutospacing="0" w:line="360" w:lineRule="auto"/>
        <w:jc w:val="both"/>
        <w:rPr>
          <w:rFonts w:ascii="Arial" w:hAnsi="Arial" w:cs="Arial"/>
          <w:b/>
          <w:bCs/>
          <w:color w:val="000000"/>
        </w:rPr>
      </w:pPr>
    </w:p>
    <w:p w14:paraId="6E9809CB" w14:textId="77777777" w:rsidR="00DF4294" w:rsidRPr="00430E78" w:rsidRDefault="00DF4294" w:rsidP="005B6B37">
      <w:pPr>
        <w:pStyle w:val="NormalWeb"/>
        <w:spacing w:before="300" w:beforeAutospacing="0" w:after="150" w:afterAutospacing="0" w:line="360" w:lineRule="auto"/>
        <w:jc w:val="both"/>
        <w:rPr>
          <w:rFonts w:ascii="Arial" w:hAnsi="Arial" w:cs="Arial"/>
          <w:b/>
          <w:bCs/>
          <w:color w:val="000000"/>
        </w:rPr>
      </w:pPr>
    </w:p>
    <w:p w14:paraId="327EFE68" w14:textId="77777777" w:rsidR="00DF4294" w:rsidRPr="00430E78" w:rsidRDefault="00DF4294" w:rsidP="005B6B37">
      <w:pPr>
        <w:pStyle w:val="NormalWeb"/>
        <w:spacing w:before="300" w:beforeAutospacing="0" w:after="150" w:afterAutospacing="0" w:line="360" w:lineRule="auto"/>
        <w:jc w:val="both"/>
        <w:rPr>
          <w:rFonts w:ascii="Arial" w:hAnsi="Arial" w:cs="Arial"/>
          <w:b/>
          <w:bCs/>
          <w:color w:val="000000"/>
        </w:rPr>
      </w:pPr>
    </w:p>
    <w:p w14:paraId="16FA7D41" w14:textId="77777777" w:rsidR="00DF4294" w:rsidRPr="00430E78" w:rsidRDefault="00DF4294" w:rsidP="005B6B37">
      <w:pPr>
        <w:pStyle w:val="NormalWeb"/>
        <w:spacing w:before="300" w:beforeAutospacing="0" w:after="150" w:afterAutospacing="0" w:line="360" w:lineRule="auto"/>
        <w:jc w:val="both"/>
        <w:rPr>
          <w:rFonts w:ascii="Arial" w:hAnsi="Arial" w:cs="Arial"/>
          <w:b/>
          <w:bCs/>
          <w:color w:val="000000"/>
        </w:rPr>
      </w:pPr>
    </w:p>
    <w:p w14:paraId="05063E1B" w14:textId="37E5D6E6" w:rsidR="002E3A4B" w:rsidRDefault="002E3A4B">
      <w:pPr>
        <w:rPr>
          <w:rFonts w:ascii="Arial" w:eastAsia="Times New Roman" w:hAnsi="Arial" w:cs="Arial"/>
          <w:b/>
          <w:bCs/>
          <w:color w:val="000000"/>
          <w:kern w:val="0"/>
          <w:lang w:eastAsia="en-GB"/>
          <w14:ligatures w14:val="none"/>
        </w:rPr>
      </w:pPr>
      <w:r>
        <w:rPr>
          <w:rFonts w:ascii="Arial" w:hAnsi="Arial" w:cs="Arial"/>
          <w:b/>
          <w:bCs/>
          <w:color w:val="000000"/>
        </w:rPr>
        <w:br w:type="page"/>
      </w:r>
    </w:p>
    <w:sdt>
      <w:sdtPr>
        <w:id w:val="110346322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5116CB5" w14:textId="010E7F6E" w:rsidR="008553C1" w:rsidRDefault="008553C1">
          <w:pPr>
            <w:pStyle w:val="TOCHeading"/>
          </w:pPr>
          <w:r>
            <w:t>Table of Contents</w:t>
          </w:r>
        </w:p>
        <w:p w14:paraId="17DF5DE7" w14:textId="5DF4BA8F" w:rsidR="008553C1" w:rsidRDefault="008553C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79610" w:history="1"/>
        </w:p>
        <w:p w14:paraId="6F222315" w14:textId="5855BA21" w:rsidR="008553C1" w:rsidRDefault="008553C1">
          <w:pPr>
            <w:pStyle w:val="TOC1"/>
            <w:tabs>
              <w:tab w:val="right" w:leader="dot" w:pos="9016"/>
            </w:tabs>
            <w:rPr>
              <w:rFonts w:eastAsiaTheme="minorEastAsia"/>
              <w:noProof/>
              <w:lang w:eastAsia="en-GB"/>
            </w:rPr>
          </w:pPr>
          <w:hyperlink w:anchor="_Toc235779611" w:history="1">
            <w:r w:rsidRPr="008D3018">
              <w:rPr>
                <w:rStyle w:val="Hyperlink"/>
                <w:noProof/>
              </w:rPr>
              <w:t>1. Introduction</w:t>
            </w:r>
            <w:r>
              <w:rPr>
                <w:noProof/>
                <w:webHidden/>
              </w:rPr>
              <w:tab/>
            </w:r>
            <w:r>
              <w:rPr>
                <w:noProof/>
                <w:webHidden/>
              </w:rPr>
              <w:fldChar w:fldCharType="begin"/>
            </w:r>
            <w:r>
              <w:rPr>
                <w:noProof/>
                <w:webHidden/>
              </w:rPr>
              <w:instrText xml:space="preserve"> PAGEREF _Toc235779611 \h </w:instrText>
            </w:r>
            <w:r>
              <w:rPr>
                <w:noProof/>
                <w:webHidden/>
              </w:rPr>
            </w:r>
            <w:r>
              <w:rPr>
                <w:noProof/>
                <w:webHidden/>
              </w:rPr>
              <w:fldChar w:fldCharType="separate"/>
            </w:r>
            <w:r>
              <w:rPr>
                <w:noProof/>
                <w:webHidden/>
              </w:rPr>
              <w:t>3</w:t>
            </w:r>
            <w:r>
              <w:rPr>
                <w:noProof/>
                <w:webHidden/>
              </w:rPr>
              <w:fldChar w:fldCharType="end"/>
            </w:r>
          </w:hyperlink>
        </w:p>
        <w:p w14:paraId="0BA8D75D" w14:textId="04D00CDE" w:rsidR="008553C1" w:rsidRDefault="008553C1">
          <w:pPr>
            <w:pStyle w:val="TOC1"/>
            <w:tabs>
              <w:tab w:val="right" w:leader="dot" w:pos="9016"/>
            </w:tabs>
            <w:rPr>
              <w:rFonts w:eastAsiaTheme="minorEastAsia"/>
              <w:noProof/>
              <w:lang w:eastAsia="en-GB"/>
            </w:rPr>
          </w:pPr>
          <w:hyperlink w:anchor="_Toc235779612" w:history="1">
            <w:r w:rsidRPr="008D3018">
              <w:rPr>
                <w:rStyle w:val="Hyperlink"/>
                <w:noProof/>
              </w:rPr>
              <w:t>2. Main Findings</w:t>
            </w:r>
            <w:r>
              <w:rPr>
                <w:noProof/>
                <w:webHidden/>
              </w:rPr>
              <w:tab/>
            </w:r>
            <w:r>
              <w:rPr>
                <w:noProof/>
                <w:webHidden/>
              </w:rPr>
              <w:fldChar w:fldCharType="begin"/>
            </w:r>
            <w:r>
              <w:rPr>
                <w:noProof/>
                <w:webHidden/>
              </w:rPr>
              <w:instrText xml:space="preserve"> PAGEREF _Toc235779612 \h </w:instrText>
            </w:r>
            <w:r>
              <w:rPr>
                <w:noProof/>
                <w:webHidden/>
              </w:rPr>
            </w:r>
            <w:r>
              <w:rPr>
                <w:noProof/>
                <w:webHidden/>
              </w:rPr>
              <w:fldChar w:fldCharType="separate"/>
            </w:r>
            <w:r>
              <w:rPr>
                <w:noProof/>
                <w:webHidden/>
              </w:rPr>
              <w:t>5</w:t>
            </w:r>
            <w:r>
              <w:rPr>
                <w:noProof/>
                <w:webHidden/>
              </w:rPr>
              <w:fldChar w:fldCharType="end"/>
            </w:r>
          </w:hyperlink>
        </w:p>
        <w:p w14:paraId="675AD2A4" w14:textId="207CB04D" w:rsidR="008553C1" w:rsidRDefault="008553C1">
          <w:pPr>
            <w:pStyle w:val="TOC2"/>
            <w:tabs>
              <w:tab w:val="right" w:leader="dot" w:pos="9016"/>
            </w:tabs>
            <w:rPr>
              <w:rFonts w:eastAsiaTheme="minorEastAsia"/>
              <w:noProof/>
              <w:lang w:eastAsia="en-GB"/>
            </w:rPr>
          </w:pPr>
          <w:hyperlink w:anchor="_Toc235779613" w:history="1">
            <w:r w:rsidRPr="008D3018">
              <w:rPr>
                <w:rStyle w:val="Hyperlink"/>
                <w:noProof/>
              </w:rPr>
              <w:t>2.1 Commercial Imperatives versus Environmental Stewardship: Leading the Energy Transition U-turn</w:t>
            </w:r>
            <w:r>
              <w:rPr>
                <w:noProof/>
                <w:webHidden/>
              </w:rPr>
              <w:tab/>
            </w:r>
            <w:r>
              <w:rPr>
                <w:noProof/>
                <w:webHidden/>
              </w:rPr>
              <w:fldChar w:fldCharType="begin"/>
            </w:r>
            <w:r>
              <w:rPr>
                <w:noProof/>
                <w:webHidden/>
              </w:rPr>
              <w:instrText xml:space="preserve"> PAGEREF _Toc235779613 \h </w:instrText>
            </w:r>
            <w:r>
              <w:rPr>
                <w:noProof/>
                <w:webHidden/>
              </w:rPr>
            </w:r>
            <w:r>
              <w:rPr>
                <w:noProof/>
                <w:webHidden/>
              </w:rPr>
              <w:fldChar w:fldCharType="separate"/>
            </w:r>
            <w:r>
              <w:rPr>
                <w:noProof/>
                <w:webHidden/>
              </w:rPr>
              <w:t>5</w:t>
            </w:r>
            <w:r>
              <w:rPr>
                <w:noProof/>
                <w:webHidden/>
              </w:rPr>
              <w:fldChar w:fldCharType="end"/>
            </w:r>
          </w:hyperlink>
        </w:p>
        <w:p w14:paraId="224FBED6" w14:textId="6E6588B4" w:rsidR="008553C1" w:rsidRDefault="008553C1">
          <w:pPr>
            <w:pStyle w:val="TOC2"/>
            <w:tabs>
              <w:tab w:val="right" w:leader="dot" w:pos="9016"/>
            </w:tabs>
            <w:rPr>
              <w:rFonts w:eastAsiaTheme="minorEastAsia"/>
              <w:noProof/>
              <w:lang w:eastAsia="en-GB"/>
            </w:rPr>
          </w:pPr>
          <w:hyperlink w:anchor="_Toc235779614" w:history="1">
            <w:r w:rsidRPr="008D3018">
              <w:rPr>
                <w:rStyle w:val="Hyperlink"/>
                <w:noProof/>
              </w:rPr>
              <w:t>2.2 Leading Responsibly Across Culturally Diverse and Complex Stakeholders: The Niger Delta</w:t>
            </w:r>
            <w:r>
              <w:rPr>
                <w:noProof/>
                <w:webHidden/>
              </w:rPr>
              <w:tab/>
            </w:r>
            <w:r>
              <w:rPr>
                <w:noProof/>
                <w:webHidden/>
              </w:rPr>
              <w:fldChar w:fldCharType="begin"/>
            </w:r>
            <w:r>
              <w:rPr>
                <w:noProof/>
                <w:webHidden/>
              </w:rPr>
              <w:instrText xml:space="preserve"> PAGEREF _Toc235779614 \h </w:instrText>
            </w:r>
            <w:r>
              <w:rPr>
                <w:noProof/>
                <w:webHidden/>
              </w:rPr>
            </w:r>
            <w:r>
              <w:rPr>
                <w:noProof/>
                <w:webHidden/>
              </w:rPr>
              <w:fldChar w:fldCharType="separate"/>
            </w:r>
            <w:r>
              <w:rPr>
                <w:noProof/>
                <w:webHidden/>
              </w:rPr>
              <w:t>7</w:t>
            </w:r>
            <w:r>
              <w:rPr>
                <w:noProof/>
                <w:webHidden/>
              </w:rPr>
              <w:fldChar w:fldCharType="end"/>
            </w:r>
          </w:hyperlink>
        </w:p>
        <w:p w14:paraId="6858E8BD" w14:textId="7E9D058E" w:rsidR="008553C1" w:rsidRDefault="008553C1">
          <w:pPr>
            <w:pStyle w:val="TOC2"/>
            <w:tabs>
              <w:tab w:val="right" w:leader="dot" w:pos="9016"/>
            </w:tabs>
            <w:rPr>
              <w:rFonts w:eastAsiaTheme="minorEastAsia"/>
              <w:noProof/>
              <w:lang w:eastAsia="en-GB"/>
            </w:rPr>
          </w:pPr>
          <w:hyperlink w:anchor="_Toc235779615" w:history="1">
            <w:r w:rsidRPr="008D3018">
              <w:rPr>
                <w:rStyle w:val="Hyperlink"/>
                <w:noProof/>
              </w:rPr>
              <w:t>2.3 Environmental Steward or Strategic Communicator? Greenwashing, Disclosure and Accountability</w:t>
            </w:r>
            <w:r>
              <w:rPr>
                <w:noProof/>
                <w:webHidden/>
              </w:rPr>
              <w:tab/>
            </w:r>
            <w:r>
              <w:rPr>
                <w:noProof/>
                <w:webHidden/>
              </w:rPr>
              <w:fldChar w:fldCharType="begin"/>
            </w:r>
            <w:r>
              <w:rPr>
                <w:noProof/>
                <w:webHidden/>
              </w:rPr>
              <w:instrText xml:space="preserve"> PAGEREF _Toc235779615 \h </w:instrText>
            </w:r>
            <w:r>
              <w:rPr>
                <w:noProof/>
                <w:webHidden/>
              </w:rPr>
            </w:r>
            <w:r>
              <w:rPr>
                <w:noProof/>
                <w:webHidden/>
              </w:rPr>
              <w:fldChar w:fldCharType="separate"/>
            </w:r>
            <w:r>
              <w:rPr>
                <w:noProof/>
                <w:webHidden/>
              </w:rPr>
              <w:t>9</w:t>
            </w:r>
            <w:r>
              <w:rPr>
                <w:noProof/>
                <w:webHidden/>
              </w:rPr>
              <w:fldChar w:fldCharType="end"/>
            </w:r>
          </w:hyperlink>
        </w:p>
        <w:p w14:paraId="35E58210" w14:textId="1C6B02FE" w:rsidR="008553C1" w:rsidRDefault="008553C1">
          <w:pPr>
            <w:pStyle w:val="TOC1"/>
            <w:tabs>
              <w:tab w:val="right" w:leader="dot" w:pos="9016"/>
            </w:tabs>
            <w:rPr>
              <w:rFonts w:eastAsiaTheme="minorEastAsia"/>
              <w:noProof/>
              <w:lang w:eastAsia="en-GB"/>
            </w:rPr>
          </w:pPr>
          <w:hyperlink w:anchor="_Toc235779616" w:history="1">
            <w:r w:rsidRPr="008D3018">
              <w:rPr>
                <w:rStyle w:val="Hyperlink"/>
                <w:noProof/>
              </w:rPr>
              <w:t>3. Conclusion</w:t>
            </w:r>
            <w:r>
              <w:rPr>
                <w:noProof/>
                <w:webHidden/>
              </w:rPr>
              <w:tab/>
            </w:r>
            <w:r>
              <w:rPr>
                <w:noProof/>
                <w:webHidden/>
              </w:rPr>
              <w:fldChar w:fldCharType="begin"/>
            </w:r>
            <w:r>
              <w:rPr>
                <w:noProof/>
                <w:webHidden/>
              </w:rPr>
              <w:instrText xml:space="preserve"> PAGEREF _Toc235779616 \h </w:instrText>
            </w:r>
            <w:r>
              <w:rPr>
                <w:noProof/>
                <w:webHidden/>
              </w:rPr>
            </w:r>
            <w:r>
              <w:rPr>
                <w:noProof/>
                <w:webHidden/>
              </w:rPr>
              <w:fldChar w:fldCharType="separate"/>
            </w:r>
            <w:r>
              <w:rPr>
                <w:noProof/>
                <w:webHidden/>
              </w:rPr>
              <w:t>12</w:t>
            </w:r>
            <w:r>
              <w:rPr>
                <w:noProof/>
                <w:webHidden/>
              </w:rPr>
              <w:fldChar w:fldCharType="end"/>
            </w:r>
          </w:hyperlink>
        </w:p>
        <w:p w14:paraId="40BB6CC4" w14:textId="58916C4D" w:rsidR="008553C1" w:rsidRDefault="008553C1">
          <w:pPr>
            <w:pStyle w:val="TOC1"/>
            <w:tabs>
              <w:tab w:val="right" w:leader="dot" w:pos="9016"/>
            </w:tabs>
            <w:rPr>
              <w:rFonts w:eastAsiaTheme="minorEastAsia"/>
              <w:noProof/>
              <w:lang w:eastAsia="en-GB"/>
            </w:rPr>
          </w:pPr>
          <w:hyperlink w:anchor="_Toc235779617" w:history="1">
            <w:r w:rsidRPr="008D3018">
              <w:rPr>
                <w:rStyle w:val="Hyperlink"/>
                <w:noProof/>
              </w:rPr>
              <w:t>4. Bibliography</w:t>
            </w:r>
            <w:r>
              <w:rPr>
                <w:noProof/>
                <w:webHidden/>
              </w:rPr>
              <w:tab/>
            </w:r>
            <w:r>
              <w:rPr>
                <w:noProof/>
                <w:webHidden/>
              </w:rPr>
              <w:fldChar w:fldCharType="begin"/>
            </w:r>
            <w:r>
              <w:rPr>
                <w:noProof/>
                <w:webHidden/>
              </w:rPr>
              <w:instrText xml:space="preserve"> PAGEREF _Toc235779617 \h </w:instrText>
            </w:r>
            <w:r>
              <w:rPr>
                <w:noProof/>
                <w:webHidden/>
              </w:rPr>
            </w:r>
            <w:r>
              <w:rPr>
                <w:noProof/>
                <w:webHidden/>
              </w:rPr>
              <w:fldChar w:fldCharType="separate"/>
            </w:r>
            <w:r>
              <w:rPr>
                <w:noProof/>
                <w:webHidden/>
              </w:rPr>
              <w:t>14</w:t>
            </w:r>
            <w:r>
              <w:rPr>
                <w:noProof/>
                <w:webHidden/>
              </w:rPr>
              <w:fldChar w:fldCharType="end"/>
            </w:r>
          </w:hyperlink>
        </w:p>
        <w:p w14:paraId="788424A8" w14:textId="71486395" w:rsidR="008553C1" w:rsidRDefault="008553C1">
          <w:r>
            <w:rPr>
              <w:b/>
              <w:bCs/>
              <w:noProof/>
            </w:rPr>
            <w:fldChar w:fldCharType="end"/>
          </w:r>
        </w:p>
      </w:sdtContent>
    </w:sdt>
    <w:p w14:paraId="0772152B" w14:textId="247D1338" w:rsidR="008553C1" w:rsidRDefault="008553C1">
      <w:pPr>
        <w:rPr>
          <w:rFonts w:ascii="Arial" w:eastAsia="Times New Roman" w:hAnsi="Arial" w:cs="Arial"/>
          <w:b/>
          <w:bCs/>
          <w:color w:val="000000"/>
          <w:kern w:val="0"/>
          <w:lang w:eastAsia="en-GB"/>
          <w14:ligatures w14:val="none"/>
        </w:rPr>
      </w:pPr>
      <w:r>
        <w:rPr>
          <w:rFonts w:ascii="Arial" w:hAnsi="Arial" w:cs="Arial"/>
          <w:b/>
          <w:bCs/>
          <w:color w:val="000000"/>
        </w:rPr>
        <w:br w:type="page"/>
      </w:r>
    </w:p>
    <w:p w14:paraId="6D570915" w14:textId="77777777" w:rsidR="00DF4294" w:rsidRPr="00430E78" w:rsidRDefault="00DF4294" w:rsidP="005B6B37">
      <w:pPr>
        <w:pStyle w:val="NormalWeb"/>
        <w:spacing w:before="300" w:beforeAutospacing="0" w:after="150" w:afterAutospacing="0" w:line="360" w:lineRule="auto"/>
        <w:jc w:val="both"/>
        <w:rPr>
          <w:rFonts w:ascii="Arial" w:hAnsi="Arial" w:cs="Arial"/>
          <w:b/>
          <w:bCs/>
          <w:color w:val="000000"/>
        </w:rPr>
      </w:pPr>
    </w:p>
    <w:p w14:paraId="6119374B" w14:textId="22A3E7F4" w:rsidR="00E86003" w:rsidRPr="002E3A4B" w:rsidRDefault="00E86003" w:rsidP="002E3A4B">
      <w:pPr>
        <w:pStyle w:val="Heading1"/>
        <w:rPr>
          <w:color w:val="auto"/>
        </w:rPr>
      </w:pPr>
      <w:bookmarkStart w:id="1" w:name="_Toc235779611"/>
      <w:r w:rsidRPr="002E3A4B">
        <w:rPr>
          <w:color w:val="auto"/>
        </w:rPr>
        <w:t>1. Introduction</w:t>
      </w:r>
      <w:bookmarkEnd w:id="1"/>
    </w:p>
    <w:p w14:paraId="1F6B3441" w14:textId="1C7A607A"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Formed by the 2005 unification of Royal Dutch Petroleum and The "Shell" Transport and Trading Company, Shell is one of the world's largest energy companies, operating across upstream oil and gas extraction, integrated gas, chemicals, and a smaller but strategically significant portfolio of low-carbon and renewable energy businesses (Shell plc, 2024a). It employs close to 90,000 people across more than 70 countries, placing decisions taken by its senior leadership at the intersection of commercial strategy, climate policy, human rights law and community relations across radically different regulatory and cultural contexts (Shell plc, 2024b).</w:t>
      </w:r>
    </w:p>
    <w:p w14:paraId="6EC06CB0" w14:textId="08E5261C" w:rsidR="00E86003" w:rsidRDefault="00E86003" w:rsidP="005B6B37">
      <w:pPr>
        <w:pStyle w:val="NormalWeb"/>
        <w:spacing w:before="0" w:beforeAutospacing="0" w:after="200" w:afterAutospacing="0" w:line="360" w:lineRule="auto"/>
        <w:jc w:val="both"/>
        <w:rPr>
          <w:rFonts w:ascii="Arial" w:hAnsi="Arial" w:cs="Arial"/>
          <w:color w:val="000000"/>
        </w:rPr>
      </w:pPr>
      <w:r w:rsidRPr="00430E78">
        <w:rPr>
          <w:rFonts w:ascii="Arial" w:hAnsi="Arial" w:cs="Arial"/>
          <w:color w:val="000000"/>
        </w:rPr>
        <w:t>Shell is a purposeful choice for this assignment precisely because it does not offer a comfortable case study. Global leadership scholarship stresses that leading multinational organisations means reconciling competing, often contradictory demands from different parts of an operating environment (</w:t>
      </w:r>
      <w:r w:rsidR="005217D2" w:rsidRPr="00430E78">
        <w:rPr>
          <w:rFonts w:ascii="Arial" w:hAnsi="Arial" w:cs="Arial"/>
          <w:color w:val="000000"/>
        </w:rPr>
        <w:t>Meadenall, Osland and Bird, 2017</w:t>
      </w:r>
      <w:r w:rsidR="005217D2">
        <w:rPr>
          <w:rFonts w:ascii="Arial" w:hAnsi="Arial" w:cs="Arial"/>
          <w:color w:val="000000"/>
        </w:rPr>
        <w:t xml:space="preserve">; </w:t>
      </w:r>
      <w:r w:rsidRPr="00430E78">
        <w:rPr>
          <w:rFonts w:ascii="Arial" w:hAnsi="Arial" w:cs="Arial"/>
          <w:color w:val="000000"/>
        </w:rPr>
        <w:t>Yukl and Gardner, 2020; Spencer-Oatey, 2020</w:t>
      </w:r>
      <w:r w:rsidR="007C611B">
        <w:rPr>
          <w:rFonts w:ascii="Arial" w:hAnsi="Arial" w:cs="Arial"/>
          <w:color w:val="000000"/>
        </w:rPr>
        <w:t>; Harvard Business Publishing, 2024</w:t>
      </w:r>
      <w:r w:rsidRPr="00430E78">
        <w:rPr>
          <w:rFonts w:ascii="Arial" w:hAnsi="Arial" w:cs="Arial"/>
          <w:color w:val="000000"/>
        </w:rPr>
        <w:t>). Few organisations illustrate that reconciliation</w:t>
      </w:r>
      <w:r w:rsidR="009A14E3">
        <w:rPr>
          <w:rFonts w:ascii="Arial" w:hAnsi="Arial" w:cs="Arial"/>
          <w:color w:val="000000"/>
        </w:rPr>
        <w:t>,</w:t>
      </w:r>
      <w:r w:rsidRPr="00430E78">
        <w:rPr>
          <w:rFonts w:ascii="Arial" w:hAnsi="Arial" w:cs="Arial"/>
          <w:color w:val="000000"/>
        </w:rPr>
        <w:t xml:space="preserve"> or its failure</w:t>
      </w:r>
      <w:r w:rsidR="009A14E3">
        <w:rPr>
          <w:rFonts w:ascii="Arial" w:hAnsi="Arial" w:cs="Arial"/>
          <w:color w:val="000000"/>
        </w:rPr>
        <w:t>,</w:t>
      </w:r>
      <w:r w:rsidRPr="00430E78">
        <w:rPr>
          <w:rFonts w:ascii="Arial" w:hAnsi="Arial" w:cs="Arial"/>
          <w:color w:val="000000"/>
        </w:rPr>
        <w:t xml:space="preserve"> as starkly as Shell. Unlike organisations that can plausibly frame environmental sustainability as a natural extension of their core business, Shell's core business, the extraction, refining and sale of fossil fuels, is structurally in tension with the climate commitments its leadership has publicly made. This tension has intensified rather than resolved since Wael Sawan became CEO in January 2023. Sawan's leadership style, markedly more operationally focused than his predecessor's transformation rhetoric (Dogru, 2020</w:t>
      </w:r>
      <w:r w:rsidR="00375E8A">
        <w:rPr>
          <w:rFonts w:ascii="Arial" w:hAnsi="Arial" w:cs="Arial"/>
          <w:color w:val="000000"/>
        </w:rPr>
        <w:t>, Tsai, 2022</w:t>
      </w:r>
      <w:r w:rsidRPr="00430E78">
        <w:rPr>
          <w:rFonts w:ascii="Arial" w:hAnsi="Arial" w:cs="Arial"/>
          <w:color w:val="000000"/>
        </w:rPr>
        <w:t>), has been defined by an explicit strategic reset: cutting investment in offshore wind, solar and hydrogen; weakening a 2030 carbon reduction target and scrapping a 2035 target; and reallocating capital toward liquefied natural gas and upstream oil and gas exploration, a division that alone accounted for over a third of the company's adjusted earnings in 2023 (Reuters, 2024a; Reuters, 2024b). At the same time, Shell has continued to describe itself publicly as "powering progress" toward a lower-carbon future (Adfree Cities, 2024), a claim that UK, Dutch and international courts, regulators and shareholders have each, in different ways, tested and in some cases rejected.</w:t>
      </w:r>
    </w:p>
    <w:p w14:paraId="50CB036F" w14:textId="100F8C9B" w:rsidR="005937BA" w:rsidRPr="005937BA" w:rsidRDefault="005937BA" w:rsidP="005937BA">
      <w:pPr>
        <w:pStyle w:val="NormalWeb"/>
        <w:spacing w:after="200" w:line="360" w:lineRule="auto"/>
        <w:jc w:val="both"/>
        <w:rPr>
          <w:rFonts w:ascii="Arial" w:hAnsi="Arial" w:cs="Arial"/>
        </w:rPr>
      </w:pPr>
      <w:r w:rsidRPr="005937BA">
        <w:rPr>
          <w:rFonts w:ascii="Arial" w:hAnsi="Arial" w:cs="Arial"/>
        </w:rPr>
        <w:lastRenderedPageBreak/>
        <w:t>Shell's leadership challenge is also unusually instructive because it contrasts sharply with the sustainability narratives most commonly associated with global leadership. Few organisations illustrate the tension between commercial imperatives and environmental stewardship as Shell</w:t>
      </w:r>
      <w:r w:rsidR="00B75DAE">
        <w:rPr>
          <w:rFonts w:ascii="Arial" w:hAnsi="Arial" w:cs="Arial"/>
        </w:rPr>
        <w:t xml:space="preserve"> does</w:t>
      </w:r>
      <w:r w:rsidRPr="005937BA">
        <w:rPr>
          <w:rFonts w:ascii="Arial" w:hAnsi="Arial" w:cs="Arial"/>
        </w:rPr>
        <w:t>; few operate across as culturally and legally diverse a stakeholder base, from Anglo-Dutch institutional shareholders in London and The Hague to communities in the Niger Delta, where decades of oil extraction have reshaped land, livelihoods and local governance well beyond any single change of corporate leadership (Watts, 20</w:t>
      </w:r>
      <w:r w:rsidR="008A53E0">
        <w:rPr>
          <w:rFonts w:ascii="Arial" w:hAnsi="Arial" w:cs="Arial"/>
        </w:rPr>
        <w:t>0</w:t>
      </w:r>
      <w:r w:rsidRPr="005937BA">
        <w:rPr>
          <w:rFonts w:ascii="Arial" w:hAnsi="Arial" w:cs="Arial"/>
        </w:rPr>
        <w:t>4</w:t>
      </w:r>
      <w:r w:rsidR="00FD0EDB">
        <w:rPr>
          <w:rFonts w:ascii="Arial" w:hAnsi="Arial" w:cs="Arial"/>
        </w:rPr>
        <w:t xml:space="preserve">; Sam </w:t>
      </w:r>
      <w:r w:rsidR="00FD0EDB" w:rsidRPr="00FD0EDB">
        <w:rPr>
          <w:rFonts w:ascii="Arial" w:hAnsi="Arial" w:cs="Arial"/>
          <w:i/>
          <w:iCs/>
        </w:rPr>
        <w:t>et al</w:t>
      </w:r>
      <w:r w:rsidR="00FD0EDB">
        <w:rPr>
          <w:rFonts w:ascii="Arial" w:hAnsi="Arial" w:cs="Arial"/>
        </w:rPr>
        <w:t>., 2024</w:t>
      </w:r>
      <w:r w:rsidRPr="005937BA">
        <w:rPr>
          <w:rFonts w:ascii="Arial" w:hAnsi="Arial" w:cs="Arial"/>
        </w:rPr>
        <w:t>); and few have had their claims to environmental leadership so directly and repeatedly tested by external authorities, from the Hague Court of Appeal to the UK Advertising Standards Authority. Unilever's Sustainable Living Plan under Paul Polman and Nike's post-1990s labour and environmental reforms are widely cited as broadly successful, if imperfect, examples of leaders reconciling growth with social and environmental commitments (</w:t>
      </w:r>
      <w:r w:rsidR="00CB39DE" w:rsidRPr="00CB39DE">
        <w:rPr>
          <w:rFonts w:ascii="Arial" w:hAnsi="Arial" w:cs="Arial"/>
        </w:rPr>
        <w:t>Locke, 2013</w:t>
      </w:r>
      <w:r w:rsidR="00CB39DE">
        <w:rPr>
          <w:rFonts w:ascii="Arial" w:hAnsi="Arial" w:cs="Arial"/>
        </w:rPr>
        <w:t xml:space="preserve">; </w:t>
      </w:r>
      <w:r w:rsidRPr="005937BA">
        <w:rPr>
          <w:rFonts w:ascii="Arial" w:hAnsi="Arial" w:cs="Arial"/>
        </w:rPr>
        <w:t>Polman and Winston, 2021</w:t>
      </w:r>
      <w:r w:rsidR="00607FE5">
        <w:rPr>
          <w:rFonts w:ascii="Arial" w:hAnsi="Arial" w:cs="Arial"/>
        </w:rPr>
        <w:t>; Soltanisehat and Jestratijevic, 2026</w:t>
      </w:r>
      <w:r w:rsidRPr="005937BA">
        <w:rPr>
          <w:rFonts w:ascii="Arial" w:hAnsi="Arial" w:cs="Arial"/>
        </w:rPr>
        <w:t>). Shell's leadership under Sawan contrasts more sharply still: its core commercial activity, rather than a peripheral supply chain or marketing function, is itself the source of the harm its leadership claims to be managing, which keeps the underlying tension contested rather than progressively resolved.</w:t>
      </w:r>
    </w:p>
    <w:p w14:paraId="1286406A" w14:textId="174FA141" w:rsidR="005937BA" w:rsidRDefault="005937BA" w:rsidP="005937BA">
      <w:pPr>
        <w:pStyle w:val="NormalWeb"/>
        <w:spacing w:before="0" w:beforeAutospacing="0" w:after="200" w:afterAutospacing="0" w:line="360" w:lineRule="auto"/>
        <w:jc w:val="both"/>
        <w:rPr>
          <w:rFonts w:ascii="Arial" w:hAnsi="Arial" w:cs="Arial"/>
        </w:rPr>
      </w:pPr>
      <w:r w:rsidRPr="005937BA">
        <w:rPr>
          <w:rFonts w:ascii="Arial" w:hAnsi="Arial" w:cs="Arial"/>
        </w:rPr>
        <w:t>The analysis that follows examines this tension through three lenses: first, how Shell's leadership balances commercial imperatives against environmental stewardship commitments; second, how it leads responsibly across a culturally diverse and legally fragmented set of global stakeholders; and third, how effectively, and how credibly, it functions as an environmental steward when its public communications are tested against its underlying practice.</w:t>
      </w:r>
    </w:p>
    <w:p w14:paraId="523E1F4A" w14:textId="344332F9" w:rsidR="00EB40DE" w:rsidRPr="00EB40DE" w:rsidRDefault="00EB40DE" w:rsidP="00EB40DE">
      <w:pPr>
        <w:rPr>
          <w:rFonts w:ascii="Arial" w:eastAsia="Times New Roman" w:hAnsi="Arial" w:cs="Arial"/>
          <w:kern w:val="0"/>
          <w:lang w:eastAsia="en-GB"/>
          <w14:ligatures w14:val="none"/>
        </w:rPr>
      </w:pPr>
      <w:r>
        <w:rPr>
          <w:rFonts w:ascii="Arial" w:hAnsi="Arial" w:cs="Arial"/>
        </w:rPr>
        <w:br w:type="page"/>
      </w:r>
    </w:p>
    <w:p w14:paraId="07476CCC" w14:textId="5D1696B4" w:rsidR="00E86003" w:rsidRPr="002E3A4B" w:rsidRDefault="00E86003" w:rsidP="002E3A4B">
      <w:pPr>
        <w:pStyle w:val="Heading1"/>
        <w:rPr>
          <w:color w:val="auto"/>
          <w:sz w:val="24"/>
          <w:szCs w:val="24"/>
        </w:rPr>
      </w:pPr>
      <w:bookmarkStart w:id="2" w:name="_Toc235779612"/>
      <w:r w:rsidRPr="002E3A4B">
        <w:rPr>
          <w:color w:val="auto"/>
        </w:rPr>
        <w:lastRenderedPageBreak/>
        <w:t>2.</w:t>
      </w:r>
      <w:r w:rsidRPr="002E3A4B">
        <w:rPr>
          <w:color w:val="auto"/>
          <w:sz w:val="24"/>
          <w:szCs w:val="24"/>
        </w:rPr>
        <w:t xml:space="preserve"> </w:t>
      </w:r>
      <w:r w:rsidR="001A2C2F" w:rsidRPr="002E3A4B">
        <w:rPr>
          <w:color w:val="auto"/>
        </w:rPr>
        <w:t>Main Findings</w:t>
      </w:r>
      <w:bookmarkEnd w:id="2"/>
    </w:p>
    <w:p w14:paraId="5A257299" w14:textId="77777777" w:rsidR="00E86003" w:rsidRPr="002E3A4B" w:rsidRDefault="00E86003" w:rsidP="002E3A4B">
      <w:pPr>
        <w:pStyle w:val="Heading2"/>
        <w:rPr>
          <w:color w:val="auto"/>
        </w:rPr>
      </w:pPr>
      <w:bookmarkStart w:id="3" w:name="_Toc235779613"/>
      <w:r w:rsidRPr="002E3A4B">
        <w:rPr>
          <w:color w:val="auto"/>
        </w:rPr>
        <w:t>2.1 Commercial Imperatives versus Environmental Stewardship: Leading the Energy Transition U-turn</w:t>
      </w:r>
      <w:bookmarkEnd w:id="3"/>
    </w:p>
    <w:p w14:paraId="69AA4307" w14:textId="519521C0"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Global leadership theory has long recognised that leaders of multinational organisations must reconcile competing and often contradictory demands from different parts of their operating environment (</w:t>
      </w:r>
      <w:r w:rsidR="00E011FB" w:rsidRPr="00E011FB">
        <w:rPr>
          <w:rFonts w:ascii="Arial" w:hAnsi="Arial" w:cs="Arial"/>
          <w:color w:val="000000"/>
        </w:rPr>
        <w:t>Morrison, 2016</w:t>
      </w:r>
      <w:r w:rsidR="00E011FB">
        <w:rPr>
          <w:rFonts w:ascii="Arial" w:hAnsi="Arial" w:cs="Arial"/>
          <w:color w:val="000000"/>
        </w:rPr>
        <w:t xml:space="preserve">; </w:t>
      </w:r>
      <w:r w:rsidRPr="00430E78">
        <w:rPr>
          <w:rFonts w:ascii="Arial" w:hAnsi="Arial" w:cs="Arial"/>
          <w:color w:val="000000"/>
        </w:rPr>
        <w:t>Yukl and Gardner, 2020). Nowhere is this more visible than in Shell's recent strategic history. Under Sawan's predecessor, Ben van Beurden, Shell positioned itself as an industry leader in the energy transition, adopting a 2030 target to cut the carbon intensity of the energy products it sold and a longer-term target aligned with net-zero ambitions. Within eighteen months of Sawan's appointment, both targets had been diluted or abandoned, and Shell had begun systematically retreating from renewables: selling retail power businesses, splitting and shrinking its low-carbon energy division, stepping back from new offshore wind developments, and cutting jobs in exploration by around a fifth even as that unit remained highly profitable (Reuters, 2024a; Reuters, 2024b). Sawan has framed this as operational discipline rather than climate retreat, arguing publicly that Shell must deliver more value with fewer emissions and focus capital on the highest-returning parts of the portfolio (Bloomberg, 2026).</w:t>
      </w:r>
    </w:p>
    <w:p w14:paraId="43DA4F84" w14:textId="5423FD88"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Applying responsible leadership theory (Maak and Pless, 2006</w:t>
      </w:r>
      <w:r w:rsidR="004717B1">
        <w:rPr>
          <w:rFonts w:ascii="Arial" w:hAnsi="Arial" w:cs="Arial"/>
          <w:color w:val="000000"/>
        </w:rPr>
        <w:t>; Heim, Laker and Tabaeirfard, 2026</w:t>
      </w:r>
      <w:r w:rsidRPr="00430E78">
        <w:rPr>
          <w:rFonts w:ascii="Arial" w:hAnsi="Arial" w:cs="Arial"/>
          <w:color w:val="000000"/>
        </w:rPr>
        <w:t>) to this reset reveals its central tension. Maak and Pless argue that responsible leaders build legitimacy by consciously balancing the claims of a wide "web" of stakeholders rather than privileging shareholders alone, a relational view of leadership that stands in direct contrast to the older shareholder-primacy doctrine associated with Friedman (1970)</w:t>
      </w:r>
      <w:r w:rsidR="00961202">
        <w:rPr>
          <w:rFonts w:ascii="Arial" w:hAnsi="Arial" w:cs="Arial"/>
          <w:color w:val="000000"/>
        </w:rPr>
        <w:t>, since reassessed by Srivastava, Dixit and Srivastava (2022)</w:t>
      </w:r>
      <w:r w:rsidRPr="00430E78">
        <w:rPr>
          <w:rFonts w:ascii="Arial" w:hAnsi="Arial" w:cs="Arial"/>
          <w:color w:val="000000"/>
        </w:rPr>
        <w:t xml:space="preserve">. Sawan's strategy sits closer to Friedman's position than Maak and Pless's: it explicitly privileges one stakeholder group, shareholders seeking a narrower valuation gap with US rivals such as ExxonMobil and Chevron, over others, including employees who publicly protested the retreat from renewables in an open letter attracting over 80,000 internal views (The Globe and Mail, 2023), and climate-focused institutional investors. Sawan's own response to that letter, engaging directly and repeatedly in the internal comment thread rather than dismissing it, does demonstrate elements of the self-awareness and social skill associated with emotionally intelligent </w:t>
      </w:r>
      <w:r w:rsidRPr="00430E78">
        <w:rPr>
          <w:rFonts w:ascii="Arial" w:hAnsi="Arial" w:cs="Arial"/>
          <w:color w:val="000000"/>
        </w:rPr>
        <w:lastRenderedPageBreak/>
        <w:t>leadership (Goleman, 1998</w:t>
      </w:r>
      <w:r w:rsidR="00513949">
        <w:rPr>
          <w:rFonts w:ascii="Arial" w:hAnsi="Arial" w:cs="Arial"/>
          <w:color w:val="000000"/>
        </w:rPr>
        <w:t>; Dogru, 2022</w:t>
      </w:r>
      <w:r w:rsidRPr="00430E78">
        <w:rPr>
          <w:rFonts w:ascii="Arial" w:hAnsi="Arial" w:cs="Arial"/>
          <w:color w:val="000000"/>
        </w:rPr>
        <w:t>), even where the underlying strategic decision remained unchanged.</w:t>
      </w:r>
    </w:p>
    <w:p w14:paraId="29294AFA" w14:textId="10E9B584"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This reset is not unique to Shell: BP and Equinor have made comparable retreats, driven by the same post-2022 combination of an energy price shock and disappointing renewables returns (Reuters, 2024b). But the scale and speed of Shell's reversal illustrates a broader leadership dilemma identified in the literature on global mindset: leaders operating across highly complex, ambiguous environments must learn to hold contradictory pressures in productive tension rather than resolve them prematurely in either direction (</w:t>
      </w:r>
      <w:r w:rsidR="002B014A" w:rsidRPr="002B014A">
        <w:rPr>
          <w:rFonts w:ascii="Arial" w:hAnsi="Arial" w:cs="Arial"/>
          <w:color w:val="000000"/>
        </w:rPr>
        <w:t>Gregersen, Morrison and Black, 1998</w:t>
      </w:r>
      <w:r w:rsidR="002B014A">
        <w:rPr>
          <w:rFonts w:ascii="Arial" w:hAnsi="Arial" w:cs="Arial"/>
          <w:color w:val="000000"/>
        </w:rPr>
        <w:t xml:space="preserve">; </w:t>
      </w:r>
      <w:r w:rsidRPr="00430E78">
        <w:rPr>
          <w:rFonts w:ascii="Arial" w:hAnsi="Arial" w:cs="Arial"/>
          <w:color w:val="000000"/>
        </w:rPr>
        <w:t xml:space="preserve">Kedia and Mukherji, 1999; Levy </w:t>
      </w:r>
      <w:r w:rsidRPr="002B014A">
        <w:rPr>
          <w:rFonts w:ascii="Arial" w:hAnsi="Arial" w:cs="Arial"/>
          <w:i/>
          <w:iCs/>
          <w:color w:val="000000"/>
        </w:rPr>
        <w:t>et al</w:t>
      </w:r>
      <w:r w:rsidRPr="00430E78">
        <w:rPr>
          <w:rFonts w:ascii="Arial" w:hAnsi="Arial" w:cs="Arial"/>
          <w:color w:val="000000"/>
        </w:rPr>
        <w:t>., 2007</w:t>
      </w:r>
      <w:r w:rsidR="0069261D">
        <w:rPr>
          <w:rFonts w:ascii="Arial" w:hAnsi="Arial" w:cs="Arial"/>
          <w:color w:val="000000"/>
        </w:rPr>
        <w:t>; Tsai, 2022</w:t>
      </w:r>
      <w:r w:rsidRPr="00430E78">
        <w:rPr>
          <w:rFonts w:ascii="Arial" w:hAnsi="Arial" w:cs="Arial"/>
          <w:color w:val="000000"/>
        </w:rPr>
        <w:t>). Sawan's leadership arguably resolved that tension unilaterally, in favour of near-term shareholder returns, at the expense of previously stated environmental commitments, a choice with clear implications for organisational culture and the credibility of any future transformation narrative Shell's leadership might wish to tell (Liddle, 2021).</w:t>
      </w:r>
    </w:p>
    <w:p w14:paraId="302E325C" w14:textId="62751954" w:rsidR="00E86003" w:rsidRDefault="00E86003" w:rsidP="005B6B37">
      <w:pPr>
        <w:pStyle w:val="NormalWeb"/>
        <w:spacing w:before="0" w:beforeAutospacing="0" w:after="200" w:afterAutospacing="0" w:line="360" w:lineRule="auto"/>
        <w:jc w:val="both"/>
        <w:rPr>
          <w:rFonts w:ascii="Arial" w:hAnsi="Arial" w:cs="Arial"/>
          <w:color w:val="000000"/>
        </w:rPr>
      </w:pPr>
      <w:r w:rsidRPr="00430E78">
        <w:rPr>
          <w:rFonts w:ascii="Arial" w:hAnsi="Arial" w:cs="Arial"/>
          <w:color w:val="000000"/>
        </w:rPr>
        <w:t>Shareholders themselves are far from unified on this point, which complicates any simple reading of the reset as straightforward shareholder-primacy leadership. At Shell's 2024 AGM, 21.8% of shareholder votes went against management's climate strategy, and 18.6% backed a resolution filed by activist group Follow This and 27 co-filing institutional investors managing some four trillion euros in assets, calling for emissions targets aligned with the Paris Agreement (</w:t>
      </w:r>
      <w:r w:rsidR="00BB7F03" w:rsidRPr="00BB7F03">
        <w:rPr>
          <w:rFonts w:ascii="Arial" w:hAnsi="Arial" w:cs="Arial"/>
          <w:color w:val="000000"/>
        </w:rPr>
        <w:t>ESG Dive, 2024</w:t>
      </w:r>
      <w:r w:rsidR="00BB7F03">
        <w:rPr>
          <w:rFonts w:ascii="Arial" w:hAnsi="Arial" w:cs="Arial"/>
          <w:color w:val="000000"/>
        </w:rPr>
        <w:t xml:space="preserve">; </w:t>
      </w:r>
      <w:r w:rsidRPr="00430E78">
        <w:rPr>
          <w:rFonts w:ascii="Arial" w:hAnsi="Arial" w:cs="Arial"/>
          <w:color w:val="000000"/>
        </w:rPr>
        <w:t>Follow This, 2025a). Support for a differently framed resolution requesting disclosure of Shell's strategy under declining oil and gas demand scenarios fell to around 13% the following year, though Follow This maintained that double-digit support for a first-year resolution still signalled meaningful investor discontent (</w:t>
      </w:r>
      <w:r w:rsidR="008E769D" w:rsidRPr="008E769D">
        <w:rPr>
          <w:rFonts w:ascii="Arial" w:hAnsi="Arial" w:cs="Arial"/>
          <w:color w:val="000000"/>
        </w:rPr>
        <w:t>Follow This, 2025b</w:t>
      </w:r>
      <w:r w:rsidR="008E769D">
        <w:rPr>
          <w:rFonts w:ascii="Arial" w:hAnsi="Arial" w:cs="Arial"/>
          <w:color w:val="000000"/>
        </w:rPr>
        <w:t xml:space="preserve">; </w:t>
      </w:r>
      <w:r w:rsidRPr="00430E78">
        <w:rPr>
          <w:rFonts w:ascii="Arial" w:hAnsi="Arial" w:cs="Arial"/>
          <w:color w:val="000000"/>
        </w:rPr>
        <w:t xml:space="preserve">IPE, 2026). Shell's own board has resisted these resolutions consistently since 2016, characterising them in successive years as unwise, unreasonable, unrealistic and, most recently, more harmful than helpful (Follow This, 2025a). The 2021 Hague District Court ruling in Milieudefensie v Shell, which ordered Shell to cut emissions by 45% by 2030 relative to 2019 levels, briefly appeared to settle the tension by external legal mandate rather than internal leadership choice; but the November 2024 Court of Appeal ruling overturned the specific reduction target while still affirming that Shell carries an underlying legal duty of care to mitigate its contribution to climate change, drawing on the precautionary principle and existing human rights instruments (Mayer Brown, </w:t>
      </w:r>
      <w:r w:rsidRPr="00430E78">
        <w:rPr>
          <w:rFonts w:ascii="Arial" w:hAnsi="Arial" w:cs="Arial"/>
          <w:color w:val="000000"/>
        </w:rPr>
        <w:lastRenderedPageBreak/>
        <w:t>2024; Stibbe, 2024). The net effect, reflected in Milieudefensie's decision to continue pursuing the case, is that Shell's leadership retains wide discretion over how, and how fast, it balances commercial and environmental imperatives, discretion it has used since 2023 to move decisively toward the commercial pole of that balance (Freshfields, 2024; Climate Case Chart, 2025).</w:t>
      </w:r>
    </w:p>
    <w:p w14:paraId="4B451690" w14:textId="77777777" w:rsidR="002E3A4B" w:rsidRPr="00430E78" w:rsidRDefault="002E3A4B" w:rsidP="005B6B37">
      <w:pPr>
        <w:pStyle w:val="NormalWeb"/>
        <w:spacing w:before="0" w:beforeAutospacing="0" w:after="200" w:afterAutospacing="0" w:line="360" w:lineRule="auto"/>
        <w:jc w:val="both"/>
        <w:rPr>
          <w:rFonts w:ascii="Arial" w:hAnsi="Arial" w:cs="Arial"/>
        </w:rPr>
      </w:pPr>
    </w:p>
    <w:p w14:paraId="774ECF95" w14:textId="77777777" w:rsidR="00E86003" w:rsidRDefault="00E86003" w:rsidP="002E3A4B">
      <w:pPr>
        <w:pStyle w:val="Heading2"/>
        <w:rPr>
          <w:color w:val="auto"/>
        </w:rPr>
      </w:pPr>
      <w:bookmarkStart w:id="4" w:name="_Toc235779614"/>
      <w:r w:rsidRPr="002E3A4B">
        <w:rPr>
          <w:color w:val="auto"/>
        </w:rPr>
        <w:t>2.2 Leading Responsibly Across Culturally Diverse and Complex Stakeholders: The Niger Delta</w:t>
      </w:r>
      <w:bookmarkEnd w:id="4"/>
    </w:p>
    <w:p w14:paraId="3F494A66" w14:textId="77777777" w:rsidR="00656EF3" w:rsidRPr="00656EF3" w:rsidRDefault="00656EF3" w:rsidP="00656EF3"/>
    <w:p w14:paraId="257E7101" w14:textId="6DCD97FA"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Shell's leadership challenge is not confined to reconciling shareholder and climate pressure; it also requires leading an organisation whose operational footprint spans jurisdictions with starkly different legal systems, cultural expectations and power dynamics between the company and the communities it affects. Global leadership research emphasises that leaders must build cultural intelligence, the capability to function and lead effectively across culturally diverse settings, rather than assume a single leadership style transfers unchanged across contexts (Earley and Ang, 2003; Ang and Van Dyne, 2008</w:t>
      </w:r>
      <w:r w:rsidR="000554D2">
        <w:rPr>
          <w:rFonts w:ascii="Arial" w:hAnsi="Arial" w:cs="Arial"/>
          <w:color w:val="000000"/>
        </w:rPr>
        <w:t xml:space="preserve">; Richter </w:t>
      </w:r>
      <w:r w:rsidR="000554D2" w:rsidRPr="000554D2">
        <w:rPr>
          <w:rFonts w:ascii="Arial" w:hAnsi="Arial" w:cs="Arial"/>
          <w:i/>
          <w:iCs/>
          <w:color w:val="000000"/>
        </w:rPr>
        <w:t>et al</w:t>
      </w:r>
      <w:r w:rsidR="000554D2">
        <w:rPr>
          <w:rFonts w:ascii="Arial" w:hAnsi="Arial" w:cs="Arial"/>
          <w:color w:val="000000"/>
        </w:rPr>
        <w:t>., 2023</w:t>
      </w:r>
      <w:r w:rsidRPr="00430E78">
        <w:rPr>
          <w:rFonts w:ascii="Arial" w:hAnsi="Arial" w:cs="Arial"/>
          <w:color w:val="000000"/>
        </w:rPr>
        <w:t>). The clearest illustration of what happens when that capability is absent is Shell's decades-long presence in the Niger Delta, where oil extraction by the Shell Petroleum Development Company of Nigeria has left a legacy of pollution that communities such as Ogale and Bille, representing a combined population of roughly 50,000 people, argue has poisoned drinking water, destroyed farmland and devastated fisheries (Business and Human Rights Resource Centre, 2025; Amnesty International Nigeria, 2025).</w:t>
      </w:r>
    </w:p>
    <w:p w14:paraId="7EC20029" w14:textId="06C9CB80"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The Bille and Ogale communities' claims, consolidated as Okpabi and Others v Royal Dutch Shell plc, illustrate how far a global leadership team's stakeholder map can extend beyond its immediate commercial relationships. Foundational stakeholder theory defines a stakeholder simply as any group or individual who can affect, or is affected by, the achievement of an organisation's objectives (Freeman, 1984</w:t>
      </w:r>
      <w:r w:rsidR="00917AB0">
        <w:rPr>
          <w:rFonts w:ascii="Arial" w:hAnsi="Arial" w:cs="Arial"/>
          <w:color w:val="000000"/>
        </w:rPr>
        <w:t>; Heim, Laker and Tabaiefard, 2026</w:t>
      </w:r>
      <w:r w:rsidRPr="00430E78">
        <w:rPr>
          <w:rFonts w:ascii="Arial" w:hAnsi="Arial" w:cs="Arial"/>
          <w:color w:val="000000"/>
        </w:rPr>
        <w:t xml:space="preserve">), a definition broad enough to encompass Niger Delta communities from the outset. Yet Shell's initial legal position, that liability rested with its former Nigerian subsidiary rather than the parent company, was rejected first by the UK Supreme Court in 2021, which found it arguable that Shell owed a duty of care </w:t>
      </w:r>
      <w:r w:rsidRPr="00430E78">
        <w:rPr>
          <w:rFonts w:ascii="Arial" w:hAnsi="Arial" w:cs="Arial"/>
          <w:color w:val="000000"/>
        </w:rPr>
        <w:lastRenderedPageBreak/>
        <w:t>to affected communities, and then reinforced in June 2025, when the High Court ruled that Shell plc and its former Nigerian subsidiary could be held legally responsible for legacy pollution, with a full trial scheduled for 2027 (Business and Human Rights Resource Centre, 2025; Leigh Day, 2025). Applying the stakeholder salience framework (Mitchell, Agle and Wood, 1997), which argues that managerial attention tracks the power, legitimacy and urgency stakeholders are perceived to hold rather than the objective severity of their claims, helps explain why these communities were, for many years, effectively invisible to Shell's global leadership despite the severity of their claims: judged purely on power and urgency in the short term, Niger Delta communities with limited resources to litigate scored low on salience relative to institutional shareholders and regulators in London, The Hague or Washington. It has taken over a decade of sustained litigation, and the accumulation of legal legitimacy through consistent partial victories, for that salience to rise to a level that materially shapes Shell's global leadership agenda.</w:t>
      </w:r>
    </w:p>
    <w:p w14:paraId="738D2C10" w14:textId="5040B211" w:rsidR="00E86003" w:rsidRDefault="00E86003" w:rsidP="005B6B37">
      <w:pPr>
        <w:pStyle w:val="NormalWeb"/>
        <w:spacing w:before="0" w:beforeAutospacing="0" w:after="200" w:afterAutospacing="0" w:line="360" w:lineRule="auto"/>
        <w:jc w:val="both"/>
        <w:rPr>
          <w:rFonts w:ascii="Arial" w:hAnsi="Arial" w:cs="Arial"/>
          <w:color w:val="000000"/>
        </w:rPr>
      </w:pPr>
      <w:r w:rsidRPr="00430E78">
        <w:rPr>
          <w:rFonts w:ascii="Arial" w:hAnsi="Arial" w:cs="Arial"/>
          <w:color w:val="000000"/>
        </w:rPr>
        <w:t>This case also illustrates the limits of applying a single, headquarters-centred model of stakeholder engagement across radically different cultural and institutional contexts. Global leadership frameworks emphasise that leaders must adapt their behaviour to different cultural expectations of authority, accountability and dispute resolution without losing their own authenticity or ethical grounding, a skill distinct from simple cultural awareness (Molinsky, 2013; Ramakrishnan, 2013; Abrahams and Morgan, 2017</w:t>
      </w:r>
      <w:r w:rsidR="000447B3">
        <w:rPr>
          <w:rFonts w:ascii="Arial" w:hAnsi="Arial" w:cs="Arial"/>
          <w:color w:val="000000"/>
        </w:rPr>
        <w:t>; Tsai, 2022</w:t>
      </w:r>
      <w:r w:rsidRPr="00430E78">
        <w:rPr>
          <w:rFonts w:ascii="Arial" w:hAnsi="Arial" w:cs="Arial"/>
          <w:color w:val="000000"/>
        </w:rPr>
        <w:t>). Shell's traditional position in Nigeria, that the majority of spills result from third-party theft and sabotage rather than operational failure (Business and Human Rights Resource Centre, 2025), reflects a defensible technical argument, but one that has consistently failed to build legitimacy with affected communities or UK courts, in part because it has not been matched by transparent independent verification or a credible, community-led clean-up programme. Hofstede's cultural dimensions offer one partial explanation for why headquarters-driven crisis responses, calibrated for a high-individualism, low-power-distance UK and Dutch shareholder base, have repeatedly failed to satisfy Nigerian community stakeholders operating within different collective and relational expectations of corporate accountability (Hofstede, 1980; Hofstede, Hofstede and Minkov, 2010</w:t>
      </w:r>
      <w:r w:rsidR="00B244F8">
        <w:rPr>
          <w:rFonts w:ascii="Arial" w:hAnsi="Arial" w:cs="Arial"/>
          <w:color w:val="000000"/>
        </w:rPr>
        <w:t xml:space="preserve">; Richter </w:t>
      </w:r>
      <w:r w:rsidR="00B244F8" w:rsidRPr="00B244F8">
        <w:rPr>
          <w:rFonts w:ascii="Arial" w:hAnsi="Arial" w:cs="Arial"/>
          <w:i/>
          <w:iCs/>
          <w:color w:val="000000"/>
        </w:rPr>
        <w:t>et al</w:t>
      </w:r>
      <w:r w:rsidR="00B244F8">
        <w:rPr>
          <w:rFonts w:ascii="Arial" w:hAnsi="Arial" w:cs="Arial"/>
          <w:color w:val="000000"/>
        </w:rPr>
        <w:t>., 2023</w:t>
      </w:r>
      <w:r w:rsidRPr="00430E78">
        <w:rPr>
          <w:rFonts w:ascii="Arial" w:hAnsi="Arial" w:cs="Arial"/>
          <w:color w:val="000000"/>
        </w:rPr>
        <w:t xml:space="preserve">). Research on cultural intelligence as a leadership capability suggests this gap is addressable: leaders who consciously cycle through experience, reflection, </w:t>
      </w:r>
      <w:r w:rsidRPr="00430E78">
        <w:rPr>
          <w:rFonts w:ascii="Arial" w:hAnsi="Arial" w:cs="Arial"/>
          <w:color w:val="000000"/>
        </w:rPr>
        <w:lastRenderedPageBreak/>
        <w:t xml:space="preserve">conceptualisation and experimentation in unfamiliar cultural contexts build the situational judgement needed to translate global commitments into locally credible action, rather than exporting a single template regardless of context (Ng, Van Dyne and Ang, 2009; Rockstuhl </w:t>
      </w:r>
      <w:r w:rsidRPr="00B11F7A">
        <w:rPr>
          <w:rFonts w:ascii="Arial" w:hAnsi="Arial" w:cs="Arial"/>
          <w:i/>
          <w:iCs/>
          <w:color w:val="000000"/>
        </w:rPr>
        <w:t>et al</w:t>
      </w:r>
      <w:r w:rsidRPr="00430E78">
        <w:rPr>
          <w:rFonts w:ascii="Arial" w:hAnsi="Arial" w:cs="Arial"/>
          <w:color w:val="000000"/>
        </w:rPr>
        <w:t>., 2011). On the evidence of the Niger Delta litigation, Shell's global leadership has, for most of the past two decades, defaulted to the template rather than the adaptation, at a substantial and continuing cost to both affected communities and the company's own legitimacy (Ramakrishnan, 20</w:t>
      </w:r>
      <w:r w:rsidR="00B244F8">
        <w:rPr>
          <w:rFonts w:ascii="Arial" w:hAnsi="Arial" w:cs="Arial"/>
          <w:color w:val="000000"/>
        </w:rPr>
        <w:t>2</w:t>
      </w:r>
      <w:r w:rsidRPr="00430E78">
        <w:rPr>
          <w:rFonts w:ascii="Arial" w:hAnsi="Arial" w:cs="Arial"/>
          <w:color w:val="000000"/>
        </w:rPr>
        <w:t>3).</w:t>
      </w:r>
    </w:p>
    <w:p w14:paraId="2119D3F7" w14:textId="77777777" w:rsidR="00656EF3" w:rsidRPr="00430E78" w:rsidRDefault="00656EF3" w:rsidP="005B6B37">
      <w:pPr>
        <w:pStyle w:val="NormalWeb"/>
        <w:spacing w:before="0" w:beforeAutospacing="0" w:after="200" w:afterAutospacing="0" w:line="360" w:lineRule="auto"/>
        <w:jc w:val="both"/>
        <w:rPr>
          <w:rFonts w:ascii="Arial" w:hAnsi="Arial" w:cs="Arial"/>
        </w:rPr>
      </w:pPr>
    </w:p>
    <w:p w14:paraId="09E055BB" w14:textId="77777777" w:rsidR="00E86003" w:rsidRDefault="00E86003" w:rsidP="002E3A4B">
      <w:pPr>
        <w:pStyle w:val="Heading2"/>
        <w:rPr>
          <w:color w:val="auto"/>
        </w:rPr>
      </w:pPr>
      <w:bookmarkStart w:id="5" w:name="_Toc235779615"/>
      <w:r w:rsidRPr="002E3A4B">
        <w:rPr>
          <w:color w:val="auto"/>
        </w:rPr>
        <w:t>2.3 Environmental Steward or Strategic Communicator? Greenwashing, Disclosure and Accountability</w:t>
      </w:r>
      <w:bookmarkEnd w:id="5"/>
    </w:p>
    <w:p w14:paraId="78A7A011" w14:textId="77777777" w:rsidR="002E3A4B" w:rsidRPr="002E3A4B" w:rsidRDefault="002E3A4B" w:rsidP="002E3A4B"/>
    <w:p w14:paraId="7E459A68" w14:textId="2A7A4485"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The final analytical lens concerns Shell's credibility as an environmental steward: not what its leadership says about sustainability, but how consistently that communication matches underlying practice. This is precisely the gap that the academic literature on greenwashing defines: a combination of poor, or at least contested, environmental performance and disproportionately positive environmental communication (Delmas and Burbano, 2011; Lyon and Maxwell, 2011</w:t>
      </w:r>
      <w:r w:rsidR="0078369E">
        <w:rPr>
          <w:rFonts w:ascii="Arial" w:hAnsi="Arial" w:cs="Arial"/>
          <w:color w:val="000000"/>
        </w:rPr>
        <w:t>; Ziolo, 2024</w:t>
      </w:r>
      <w:r w:rsidRPr="00430E78">
        <w:rPr>
          <w:rFonts w:ascii="Arial" w:hAnsi="Arial" w:cs="Arial"/>
          <w:color w:val="000000"/>
        </w:rPr>
        <w:t>). Institutional theory offers a longer-standing explanation for why this gap persists: organisations frequently adopt symbolic structures and language that satisfy external expectations of legitimacy irrespective of whether those symbols are matched by substantive operational change, a pattern known as decoupling (Meyer and Rowan, 1977). Applied to corporate sustainability communication, decoupling frames greenwashing not as occasional dishonesty but as a structurally predictable response to conflicting institutional pressures (Torelli, Balluchi and Furlotti, 2020).</w:t>
      </w:r>
    </w:p>
    <w:p w14:paraId="4F417FD1" w14:textId="77777777"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 xml:space="preserve">Shell's advertising history illustrates this decoupling directly. In 2023, the UK Advertising Standards Authority banned a Shell television advert, billboard and YouTube campaign for implying a level of investment in renewable and low-carbon energy disproportionate to the company's actual business mix, following a complaint from campaign group Adfree Cities (Campaign Asia, 2023; IR Magazine, 2023; edie, 2023). Shell rejected the ruling but did not appeal it further. A closely related pattern followed in 2024 and 2025: Adfree Cities and more than seventy other complainants challenged a new "Powering Progress" campaign on similar grounds, yet in April 2025 </w:t>
      </w:r>
      <w:r w:rsidRPr="00430E78">
        <w:rPr>
          <w:rFonts w:ascii="Arial" w:hAnsi="Arial" w:cs="Arial"/>
          <w:color w:val="000000"/>
        </w:rPr>
        <w:lastRenderedPageBreak/>
        <w:t>the ASA cleared a related Shell television advert while banning a comparable advert from rival TotalEnergies for very similar claims, a divergence that campaigners and advertising researchers argued exposed the regulator's own inconsistency rather than settling the underlying question of whether Shell's messaging misrepresents its business (ASA, 2025; edie, 2025; Badvertising, 2025). A separate 2025 ruling cleared a business-to-business LinkedIn campaign on the narrower grounds that its specialist audience was unlikely to read it as representative of Shell's wider consumer-facing activity (edie, 2025). Taken together, these rulings show a leadership team willing to continue running marketing campaigns emphasising low-carbon investment at a scale disproportionate to the low single-digit percentage of Shell's capital expenditure such activities represent, testing regulatory tolerance repeatedly rather than resolving the underlying credibility gap identified by greenwashing scholarship (Delmas and Burbano, 2011).</w:t>
      </w:r>
    </w:p>
    <w:p w14:paraId="1ED14E78" w14:textId="77777777"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Emerging mandatory disclosure regimes are beginning to close the space in which this kind of decoupling can persist unchallenged. The consolidation of the Task Force on Climate-related Financial Disclosures recommendations into the International Sustainability Standards Board's IFRS S1 and S2 standards, effective from January 2024, together with the European Union's Corporate Sustainability Reporting Directive and its associated European Sustainability Reporting Standards, now require companies including Shell to disclose climate-related governance, strategy, risk management and Scope 1, 2 and, increasingly, Scope 3 emissions data in far greater and more auditable detail than voluntary sustainability reporting previously demanded (IFRS Foundation, 2024; Manifest Climate, 2024). The Hague Court of Appeal's 2024 ruling reinforces this shift from voluntary to enforceable standards: while it declined to impose a specific emissions percentage on Shell, it explicitly affirmed that large emitters carry a legal, not merely reputational, duty of care to mitigate climate change, measured against the goals of the Paris Agreement and the scientific consensus reflected in the Intergovernmental Panel on Climate Change's most recent synthesis report (UNFCCC, 2015; IPCC, 2023; Human Rights Law Centre, 2025).</w:t>
      </w:r>
    </w:p>
    <w:p w14:paraId="5EBC0764" w14:textId="6D22FDC5" w:rsidR="002E3A4B" w:rsidRDefault="00E86003" w:rsidP="005B6B37">
      <w:pPr>
        <w:pStyle w:val="NormalWeb"/>
        <w:spacing w:before="0" w:beforeAutospacing="0" w:after="200" w:afterAutospacing="0" w:line="360" w:lineRule="auto"/>
        <w:jc w:val="both"/>
        <w:rPr>
          <w:rFonts w:ascii="Arial" w:hAnsi="Arial" w:cs="Arial"/>
          <w:color w:val="000000"/>
        </w:rPr>
      </w:pPr>
      <w:r w:rsidRPr="00430E78">
        <w:rPr>
          <w:rFonts w:ascii="Arial" w:hAnsi="Arial" w:cs="Arial"/>
          <w:color w:val="000000"/>
        </w:rPr>
        <w:t>Read against theories of organisational legitimacy (Suchman, 1995</w:t>
      </w:r>
      <w:r w:rsidR="006274F9">
        <w:rPr>
          <w:rFonts w:ascii="Arial" w:hAnsi="Arial" w:cs="Arial"/>
          <w:color w:val="000000"/>
        </w:rPr>
        <w:t>; Ziolo, 2024),</w:t>
      </w:r>
      <w:r w:rsidRPr="00430E78">
        <w:rPr>
          <w:rFonts w:ascii="Arial" w:hAnsi="Arial" w:cs="Arial"/>
          <w:color w:val="000000"/>
        </w:rPr>
        <w:t xml:space="preserve"> Shell's leadership faces a narrowing set of strategies for managing the gap between commercial reality and stakeholder expectation. Suchman's distinction between pragmatic, moral and cognitive legitimacy is instructive: Shell has generally retained </w:t>
      </w:r>
      <w:r w:rsidRPr="00430E78">
        <w:rPr>
          <w:rFonts w:ascii="Arial" w:hAnsi="Arial" w:cs="Arial"/>
          <w:color w:val="000000"/>
        </w:rPr>
        <w:lastRenderedPageBreak/>
        <w:t>pragmatic legitimacy with shareholders, its share price has outperformed European rivals since the 2023 reset, and cognitive legitimacy as a taken-for-granted energy supplier, but its moral legitimacy, the belief that its conduct is inherently right rather than merely useful or normal, has been repeatedly and publicly contested by courts, regulators, employees and Niger Delta communities alike. Neither triple bottom line thinking (Elkington, 1997) nor creating-shared-value frameworks (Porter and Kramer, 2011</w:t>
      </w:r>
      <w:r w:rsidR="006B001F">
        <w:rPr>
          <w:rFonts w:ascii="Arial" w:hAnsi="Arial" w:cs="Arial"/>
          <w:color w:val="000000"/>
        </w:rPr>
        <w:t>; Srivastra, Dixit and Srivastra, 2022</w:t>
      </w:r>
      <w:r w:rsidRPr="00430E78">
        <w:rPr>
          <w:rFonts w:ascii="Arial" w:hAnsi="Arial" w:cs="Arial"/>
          <w:color w:val="000000"/>
        </w:rPr>
        <w:t xml:space="preserve">), </w:t>
      </w:r>
      <w:r w:rsidR="006B001F">
        <w:rPr>
          <w:rFonts w:ascii="Arial" w:hAnsi="Arial" w:cs="Arial"/>
          <w:color w:val="000000"/>
        </w:rPr>
        <w:t>all</w:t>
      </w:r>
      <w:r w:rsidRPr="00430E78">
        <w:rPr>
          <w:rFonts w:ascii="Arial" w:hAnsi="Arial" w:cs="Arial"/>
          <w:color w:val="000000"/>
        </w:rPr>
        <w:t xml:space="preserve"> of which assume that environmental and commercial value can be substantially reconciled through better strategy design, adequately capture a case in which the core product is itself the primary driver of the externality being managed. A just transition perspective, which insists that the social and economic costs of decarbonisation be distributed fairly rather than left to market forces or corporate discretion alone (ILO, 2015; McCauley and Heffron, 2018</w:t>
      </w:r>
      <w:r w:rsidR="006B001F">
        <w:rPr>
          <w:rFonts w:ascii="Arial" w:hAnsi="Arial" w:cs="Arial"/>
          <w:color w:val="000000"/>
        </w:rPr>
        <w:t>; Heffron, 2023</w:t>
      </w:r>
      <w:r w:rsidRPr="00430E78">
        <w:rPr>
          <w:rFonts w:ascii="Arial" w:hAnsi="Arial" w:cs="Arial"/>
          <w:color w:val="000000"/>
        </w:rPr>
        <w:t>), offers Shell's leadership a more structurally honest framework than either triple bottom line or shared value thinking, precisely because it does not assume the underlying contradiction can be designed away. This is arguably Shell's deepest leadership challenge: incremental disclosure and stakeholder engagement improvements, however genuine, cannot fully resolve a structural contradiction between a fossil-fuel-based business model and a credible environmental stewardship claim.</w:t>
      </w:r>
    </w:p>
    <w:p w14:paraId="453A6AE0" w14:textId="1134D1F9" w:rsidR="00E86003" w:rsidRPr="002E3A4B" w:rsidRDefault="002E3A4B" w:rsidP="002E3A4B">
      <w:pPr>
        <w:rPr>
          <w:rFonts w:ascii="Arial" w:eastAsia="Times New Roman" w:hAnsi="Arial" w:cs="Arial"/>
          <w:color w:val="000000"/>
          <w:kern w:val="0"/>
          <w:lang w:eastAsia="en-GB"/>
          <w14:ligatures w14:val="none"/>
        </w:rPr>
      </w:pPr>
      <w:r>
        <w:rPr>
          <w:rFonts w:ascii="Arial" w:hAnsi="Arial" w:cs="Arial"/>
          <w:color w:val="000000"/>
        </w:rPr>
        <w:br w:type="page"/>
      </w:r>
    </w:p>
    <w:p w14:paraId="6E747133" w14:textId="77777777" w:rsidR="00E86003" w:rsidRPr="002E3A4B" w:rsidRDefault="00E86003" w:rsidP="002E3A4B">
      <w:pPr>
        <w:pStyle w:val="Heading1"/>
        <w:rPr>
          <w:color w:val="auto"/>
        </w:rPr>
      </w:pPr>
      <w:bookmarkStart w:id="6" w:name="_Toc235779616"/>
      <w:r w:rsidRPr="002E3A4B">
        <w:rPr>
          <w:color w:val="auto"/>
        </w:rPr>
        <w:lastRenderedPageBreak/>
        <w:t>3. Conclusion</w:t>
      </w:r>
      <w:bookmarkEnd w:id="6"/>
    </w:p>
    <w:p w14:paraId="0427A49F" w14:textId="6C51B238"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Shell plc offers a genuinely critical lens on what it means to lead responsibly, across borders, in an organisation whose core commercial activity sits in direct tension with global environmental goals. Three findings stand out. First, Shell's leadership under Wael Sawan has resolved the tension between commercial imperatives and environmental stewardship by deliberately privileging near-term shareholder returns, scaling back renewables and weakening emissions targets that its own previous leadership had set, a choice defensible in narrow financial terms but difficult to reconcile with responsible leadership theory's emphasis on balancing, rather than subordinating, the claims of a wide stakeholder web (Maak and Pless, 2006</w:t>
      </w:r>
      <w:r w:rsidR="00FF481B">
        <w:rPr>
          <w:rFonts w:ascii="Arial" w:hAnsi="Arial" w:cs="Arial"/>
          <w:color w:val="000000"/>
        </w:rPr>
        <w:t>; Heim, Laker and Tabaeifard, 2026</w:t>
      </w:r>
      <w:r w:rsidRPr="00430E78">
        <w:rPr>
          <w:rFonts w:ascii="Arial" w:hAnsi="Arial" w:cs="Arial"/>
          <w:color w:val="000000"/>
        </w:rPr>
        <w:t>). Second, leading responsibly across Shell's genuinely global and culturally diverse stakeholder base has proven far harder than managing shareholders and regulators in London or The Hague; the decade-long Niger Delta litigation demonstrates that stakeholder salience, and therefore leadership attention, has tracked legal and reputational power more closely than the severity of harm experienced by affected communities (Mitchell, Agle and Wood, 1997). Third, Shell's credibility as an environmental steward remains persistently undermined by a gap between communication and practice that meets established academic definitions of greenwashing, a gap that regulators, courts and mandatory disclosure regimes are increasingly, if unevenly, closing (Delmas and Burbano, 2011; IFRS Foundation, 2024).</w:t>
      </w:r>
    </w:p>
    <w:p w14:paraId="7FE31B3C" w14:textId="160329CC" w:rsidR="00E86003" w:rsidRPr="00430E78" w:rsidRDefault="00E86003" w:rsidP="005B6B37">
      <w:pPr>
        <w:pStyle w:val="NormalWeb"/>
        <w:spacing w:before="0" w:beforeAutospacing="0" w:after="200" w:afterAutospacing="0" w:line="360" w:lineRule="auto"/>
        <w:jc w:val="both"/>
        <w:rPr>
          <w:rFonts w:ascii="Arial" w:hAnsi="Arial" w:cs="Arial"/>
        </w:rPr>
      </w:pPr>
      <w:r w:rsidRPr="00430E78">
        <w:rPr>
          <w:rFonts w:ascii="Arial" w:hAnsi="Arial" w:cs="Arial"/>
          <w:color w:val="000000"/>
        </w:rPr>
        <w:t>For senior leaders in comparable global organisations, three practical implications follow, each grounded in the leadership and organisational behaviour literature underpinning this report. Leadership teams should treat stakeholder salience as dynamic rather than fixed (Mullins, 2019</w:t>
      </w:r>
      <w:r w:rsidR="00DE5B27">
        <w:rPr>
          <w:rFonts w:ascii="Arial" w:hAnsi="Arial" w:cs="Arial"/>
          <w:color w:val="000000"/>
        </w:rPr>
        <w:t>; Harvard Business Publishing, 2024</w:t>
      </w:r>
      <w:r w:rsidRPr="00430E78">
        <w:rPr>
          <w:rFonts w:ascii="Arial" w:hAnsi="Arial" w:cs="Arial"/>
          <w:color w:val="000000"/>
        </w:rPr>
        <w:t>): communities with limited immediate power can, as the Niger Delta case shows, accumulate legitimacy and urgency over time, and organisations that wait for litigation to force recognition incur far greater reputational and financial cost than those that build genuine engagement mechanisms proactively, informed by real cultural intelligence rather than headquarters-driven assumption (Molinsky, 2013</w:t>
      </w:r>
      <w:r w:rsidR="00DE5B27">
        <w:rPr>
          <w:rFonts w:ascii="Arial" w:hAnsi="Arial" w:cs="Arial"/>
          <w:color w:val="000000"/>
        </w:rPr>
        <w:t>; Tsai, 2022</w:t>
      </w:r>
      <w:r w:rsidRPr="00430E78">
        <w:rPr>
          <w:rFonts w:ascii="Arial" w:hAnsi="Arial" w:cs="Arial"/>
          <w:color w:val="000000"/>
        </w:rPr>
        <w:t xml:space="preserve">). Environmental claims in marketing and investor communications should be calibrated to the true proportion of low-carbon activity within the business, not to the proportion of attention leadership wishes stakeholders to pay it, given that regulators are </w:t>
      </w:r>
      <w:r w:rsidRPr="00430E78">
        <w:rPr>
          <w:rFonts w:ascii="Arial" w:hAnsi="Arial" w:cs="Arial"/>
          <w:color w:val="000000"/>
        </w:rPr>
        <w:lastRenderedPageBreak/>
        <w:t>demonstrably willing to test, and occasionally sanction, the gap between the two. Finally, as mandatory disclosure regimes such as IFRS S1 and S2 and the Corporate Sustainability Reporting Directive mature, organisations should treat compliance as a floor rather than a communications strategy in itself; the leadership teams best placed to retain moral, and not merely pragmatic, legitimacy will be those that align disclosed strategy, capital allocation and public communication consistently, rather than treating each as a separate audience-management exercise (Morrison, 2016; Yukl and Gardner, 2020).</w:t>
      </w:r>
    </w:p>
    <w:p w14:paraId="4698C4D5" w14:textId="77777777" w:rsidR="00E86003" w:rsidRPr="00430E78" w:rsidRDefault="00E86003" w:rsidP="005B6B37">
      <w:pPr>
        <w:pStyle w:val="NormalWeb"/>
        <w:spacing w:before="0" w:beforeAutospacing="0" w:after="200" w:afterAutospacing="0" w:line="360" w:lineRule="auto"/>
        <w:jc w:val="both"/>
        <w:rPr>
          <w:rFonts w:ascii="Arial" w:hAnsi="Arial" w:cs="Arial"/>
          <w:color w:val="000000"/>
        </w:rPr>
      </w:pPr>
      <w:r w:rsidRPr="00430E78">
        <w:rPr>
          <w:rFonts w:ascii="Arial" w:hAnsi="Arial" w:cs="Arial"/>
          <w:color w:val="000000"/>
        </w:rPr>
        <w:t>Shell's experience since 2023 suggests this alignment remains, for now, aspirational rather than achieved. Whether the current leadership's wager, that near-term commercial discipline will preserve enough legitimacy to sustain the business through a genuinely uncertain energy transition, proves correct is likely to be tested as much in courtrooms and shareholder meetings as in the market.</w:t>
      </w:r>
    </w:p>
    <w:p w14:paraId="4BA285FE" w14:textId="268A3A11" w:rsidR="00412867" w:rsidRDefault="00412867">
      <w:pPr>
        <w:rPr>
          <w:rFonts w:ascii="Arial" w:eastAsia="Times New Roman" w:hAnsi="Arial" w:cs="Arial"/>
          <w:color w:val="000000"/>
          <w:kern w:val="0"/>
          <w:lang w:eastAsia="en-GB"/>
          <w14:ligatures w14:val="none"/>
        </w:rPr>
      </w:pPr>
      <w:r>
        <w:rPr>
          <w:rFonts w:ascii="Arial" w:hAnsi="Arial" w:cs="Arial"/>
          <w:color w:val="000000"/>
        </w:rPr>
        <w:br w:type="page"/>
      </w:r>
    </w:p>
    <w:p w14:paraId="1FE25999" w14:textId="77777777" w:rsidR="00F342AB" w:rsidRPr="00430E78" w:rsidRDefault="00F342AB" w:rsidP="00430E78">
      <w:pPr>
        <w:pStyle w:val="NormalWeb"/>
        <w:spacing w:before="0" w:beforeAutospacing="0" w:after="200" w:afterAutospacing="0" w:line="276" w:lineRule="auto"/>
        <w:jc w:val="both"/>
        <w:rPr>
          <w:rFonts w:ascii="Arial" w:hAnsi="Arial" w:cs="Arial"/>
          <w:color w:val="000000"/>
        </w:rPr>
      </w:pPr>
    </w:p>
    <w:p w14:paraId="24F23AE4" w14:textId="77777777" w:rsidR="00F342AB" w:rsidRPr="00430E78" w:rsidRDefault="00F342AB" w:rsidP="00430E78">
      <w:pPr>
        <w:pStyle w:val="NormalWeb"/>
        <w:spacing w:before="0" w:beforeAutospacing="0" w:after="200" w:afterAutospacing="0" w:line="276" w:lineRule="auto"/>
        <w:jc w:val="both"/>
        <w:rPr>
          <w:rFonts w:ascii="Arial" w:hAnsi="Arial" w:cs="Arial"/>
        </w:rPr>
      </w:pPr>
    </w:p>
    <w:p w14:paraId="41BF95E2" w14:textId="1DD65124" w:rsidR="00052E4D" w:rsidRPr="00412867" w:rsidRDefault="00412867" w:rsidP="00412867">
      <w:pPr>
        <w:pStyle w:val="Heading1"/>
        <w:rPr>
          <w:color w:val="auto"/>
          <w:sz w:val="24"/>
          <w:szCs w:val="24"/>
        </w:rPr>
      </w:pPr>
      <w:bookmarkStart w:id="7" w:name="_Toc235779617"/>
      <w:r w:rsidRPr="00412867">
        <w:rPr>
          <w:color w:val="auto"/>
        </w:rPr>
        <w:t xml:space="preserve">4. </w:t>
      </w:r>
      <w:r w:rsidR="00DE5B27" w:rsidRPr="00412867">
        <w:rPr>
          <w:color w:val="auto"/>
        </w:rPr>
        <w:t>Bibliography</w:t>
      </w:r>
      <w:bookmarkEnd w:id="7"/>
    </w:p>
    <w:p w14:paraId="6DE5C9BA"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Abrahams, N.R. and Morgan, A. (2017) </w:t>
      </w:r>
      <w:r w:rsidRPr="00C50A71">
        <w:rPr>
          <w:rFonts w:ascii="Arial" w:hAnsi="Arial" w:cs="Arial"/>
          <w:i/>
          <w:iCs/>
          <w:color w:val="000000"/>
        </w:rPr>
        <w:t>Managing Cultural Differences: Global Leadership for the 21st Century</w:t>
      </w:r>
      <w:r w:rsidRPr="00430E78">
        <w:rPr>
          <w:rFonts w:ascii="Arial" w:hAnsi="Arial" w:cs="Arial"/>
          <w:color w:val="000000"/>
        </w:rPr>
        <w:t>. Abingdon: Routledge.</w:t>
      </w:r>
    </w:p>
    <w:p w14:paraId="2378E17A"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Adfree Cities (2024) </w:t>
      </w:r>
      <w:r w:rsidRPr="00C50A71">
        <w:rPr>
          <w:rFonts w:ascii="Arial" w:hAnsi="Arial" w:cs="Arial"/>
          <w:i/>
          <w:iCs/>
          <w:color w:val="000000"/>
        </w:rPr>
        <w:t>Shell greenwash ads defy regulator's warnings again</w:t>
      </w:r>
      <w:r w:rsidRPr="00430E78">
        <w:rPr>
          <w:rFonts w:ascii="Arial" w:hAnsi="Arial" w:cs="Arial"/>
          <w:color w:val="000000"/>
        </w:rPr>
        <w:t>. Available at: https://adfreecities.org.uk/2024/08/shell-greenwash-ads-defy-regulators-warnings-again/ (Accessed: 11 July 2026).</w:t>
      </w:r>
    </w:p>
    <w:p w14:paraId="6F6ED75D" w14:textId="3C4F472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Amnesty International Nigeria (2025) </w:t>
      </w:r>
      <w:r w:rsidRPr="00C50A71">
        <w:rPr>
          <w:rFonts w:ascii="Arial" w:hAnsi="Arial" w:cs="Arial"/>
          <w:i/>
          <w:iCs/>
          <w:color w:val="000000"/>
        </w:rPr>
        <w:t>UK court case to rule on Shell's toxic legacy in Nigeria</w:t>
      </w:r>
      <w:r w:rsidRPr="00430E78">
        <w:rPr>
          <w:rFonts w:ascii="Arial" w:hAnsi="Arial" w:cs="Arial"/>
          <w:color w:val="000000"/>
        </w:rPr>
        <w:t>. Available at: https://www.amnesty.org.ng/2025/03/13/uk-court-begins-case-to-rule-on-shells-toxic-legacy-in-nigeria/ (Accessed: 1</w:t>
      </w:r>
      <w:r w:rsidR="00C50A71">
        <w:rPr>
          <w:rFonts w:ascii="Arial" w:hAnsi="Arial" w:cs="Arial"/>
          <w:color w:val="000000"/>
        </w:rPr>
        <w:t>2</w:t>
      </w:r>
      <w:r w:rsidRPr="00430E78">
        <w:rPr>
          <w:rFonts w:ascii="Arial" w:hAnsi="Arial" w:cs="Arial"/>
          <w:color w:val="000000"/>
        </w:rPr>
        <w:t xml:space="preserve"> July 2026).</w:t>
      </w:r>
    </w:p>
    <w:p w14:paraId="0A490705"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Ang, S. and Van Dyne, L. (eds) (2008) </w:t>
      </w:r>
      <w:r w:rsidRPr="00C50A71">
        <w:rPr>
          <w:rFonts w:ascii="Arial" w:hAnsi="Arial" w:cs="Arial"/>
          <w:i/>
          <w:iCs/>
          <w:color w:val="000000"/>
        </w:rPr>
        <w:t>Handbook of Cultural Intelligence: Theory, Measurement, and Applications</w:t>
      </w:r>
      <w:r w:rsidRPr="00430E78">
        <w:rPr>
          <w:rFonts w:ascii="Arial" w:hAnsi="Arial" w:cs="Arial"/>
          <w:color w:val="000000"/>
        </w:rPr>
        <w:t>. Armonk, NY: M.E. Sharpe.</w:t>
      </w:r>
    </w:p>
    <w:p w14:paraId="2E9F0496" w14:textId="383EBA2D"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ASA (Advertising Standards Authority) (2025) </w:t>
      </w:r>
      <w:r w:rsidRPr="00C50A71">
        <w:rPr>
          <w:rFonts w:ascii="Arial" w:hAnsi="Arial" w:cs="Arial"/>
          <w:i/>
          <w:iCs/>
          <w:color w:val="000000"/>
        </w:rPr>
        <w:t>ASA Ruling on Shell UK Ltd.</w:t>
      </w:r>
      <w:r w:rsidRPr="00430E78">
        <w:rPr>
          <w:rFonts w:ascii="Arial" w:hAnsi="Arial" w:cs="Arial"/>
          <w:color w:val="000000"/>
        </w:rPr>
        <w:t xml:space="preserve"> Available at: https://www.asa.org.uk/rulings/shell-uk-ltd-g24-1248246-shell-uk-ltd.html (Accessed: 1</w:t>
      </w:r>
      <w:r w:rsidR="00631398">
        <w:rPr>
          <w:rFonts w:ascii="Arial" w:hAnsi="Arial" w:cs="Arial"/>
          <w:color w:val="000000"/>
        </w:rPr>
        <w:t>5</w:t>
      </w:r>
      <w:r w:rsidRPr="00430E78">
        <w:rPr>
          <w:rFonts w:ascii="Arial" w:hAnsi="Arial" w:cs="Arial"/>
          <w:color w:val="000000"/>
        </w:rPr>
        <w:t xml:space="preserve"> July 2026).</w:t>
      </w:r>
    </w:p>
    <w:p w14:paraId="257FCA0E" w14:textId="196838B2"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Badvertising (2025) </w:t>
      </w:r>
      <w:r w:rsidRPr="00C50A71">
        <w:rPr>
          <w:rFonts w:ascii="Arial" w:hAnsi="Arial" w:cs="Arial"/>
          <w:i/>
          <w:iCs/>
          <w:color w:val="000000"/>
        </w:rPr>
        <w:t>Total Energies advert banned for greenwash – but Shell let off the hook</w:t>
      </w:r>
      <w:r w:rsidRPr="00430E78">
        <w:rPr>
          <w:rFonts w:ascii="Arial" w:hAnsi="Arial" w:cs="Arial"/>
          <w:color w:val="000000"/>
        </w:rPr>
        <w:t>. Available at: https://www.badverts.org/latest/total-energies-advert-banned-but-not-shell-2025 (Accessed: 1</w:t>
      </w:r>
      <w:r w:rsidR="00631398">
        <w:rPr>
          <w:rFonts w:ascii="Arial" w:hAnsi="Arial" w:cs="Arial"/>
          <w:color w:val="000000"/>
        </w:rPr>
        <w:t>5</w:t>
      </w:r>
      <w:r w:rsidRPr="00430E78">
        <w:rPr>
          <w:rFonts w:ascii="Arial" w:hAnsi="Arial" w:cs="Arial"/>
          <w:color w:val="000000"/>
        </w:rPr>
        <w:t xml:space="preserve"> July 2026).</w:t>
      </w:r>
    </w:p>
    <w:p w14:paraId="32775394" w14:textId="00AEA202"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Bloomberg (2026) </w:t>
      </w:r>
      <w:r w:rsidRPr="00F24DE5">
        <w:rPr>
          <w:rFonts w:ascii="Arial" w:hAnsi="Arial" w:cs="Arial"/>
          <w:i/>
          <w:iCs/>
          <w:color w:val="000000"/>
        </w:rPr>
        <w:t>Watch Shell CEO Wael Sawan on Oil, Renewables and the Future of Energy.</w:t>
      </w:r>
      <w:r w:rsidRPr="00430E78">
        <w:rPr>
          <w:rFonts w:ascii="Arial" w:hAnsi="Arial" w:cs="Arial"/>
          <w:color w:val="000000"/>
        </w:rPr>
        <w:t xml:space="preserve"> Available at: https://www.bloomberg.com/news/videos/2026-04-13/shell-ceo-wael-sawan-on-oil-renewables-and-the-future-of-energy-mnwq4v8f (Accessed: 1</w:t>
      </w:r>
      <w:r w:rsidR="00631398">
        <w:rPr>
          <w:rFonts w:ascii="Arial" w:hAnsi="Arial" w:cs="Arial"/>
          <w:color w:val="000000"/>
        </w:rPr>
        <w:t>8</w:t>
      </w:r>
      <w:r w:rsidRPr="00430E78">
        <w:rPr>
          <w:rFonts w:ascii="Arial" w:hAnsi="Arial" w:cs="Arial"/>
          <w:color w:val="000000"/>
        </w:rPr>
        <w:t xml:space="preserve"> July 2026).</w:t>
      </w:r>
    </w:p>
    <w:p w14:paraId="26CE1C19" w14:textId="307C5A76"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Business and Human Rights Resource Centre (2025) </w:t>
      </w:r>
      <w:r w:rsidRPr="00F24DE5">
        <w:rPr>
          <w:rFonts w:ascii="Arial" w:hAnsi="Arial" w:cs="Arial"/>
          <w:i/>
          <w:iCs/>
          <w:color w:val="000000"/>
        </w:rPr>
        <w:t>Shell lawsuit (re oil spills &amp; Ogale &amp; Bille communities in Nigeria – Okpabi v Shell)</w:t>
      </w:r>
      <w:r w:rsidRPr="00430E78">
        <w:rPr>
          <w:rFonts w:ascii="Arial" w:hAnsi="Arial" w:cs="Arial"/>
          <w:color w:val="000000"/>
        </w:rPr>
        <w:t>. Available at: https://www.business-humanrights.org/en/latest-news/shell-lawsuit-re-oil-spills-ogale-bille-communities-in-nigeria-okpabi-v-shell/ (Accessed: 1</w:t>
      </w:r>
      <w:r w:rsidR="00631398">
        <w:rPr>
          <w:rFonts w:ascii="Arial" w:hAnsi="Arial" w:cs="Arial"/>
          <w:color w:val="000000"/>
        </w:rPr>
        <w:t>8</w:t>
      </w:r>
      <w:r w:rsidRPr="00430E78">
        <w:rPr>
          <w:rFonts w:ascii="Arial" w:hAnsi="Arial" w:cs="Arial"/>
          <w:color w:val="000000"/>
        </w:rPr>
        <w:t xml:space="preserve"> July 2026).</w:t>
      </w:r>
    </w:p>
    <w:p w14:paraId="4C18C1EC"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Campaign Asia (2023) </w:t>
      </w:r>
      <w:r w:rsidRPr="00F24DE5">
        <w:rPr>
          <w:rFonts w:ascii="Arial" w:hAnsi="Arial" w:cs="Arial"/>
          <w:i/>
          <w:iCs/>
          <w:color w:val="000000"/>
        </w:rPr>
        <w:t>ASA bans three Shell ads for greenwashing.</w:t>
      </w:r>
      <w:r w:rsidRPr="00430E78">
        <w:rPr>
          <w:rFonts w:ascii="Arial" w:hAnsi="Arial" w:cs="Arial"/>
          <w:color w:val="000000"/>
        </w:rPr>
        <w:t xml:space="preserve"> Available at: https://www.campaignasia.com/article/asa-bans-three-shell-ads-for-greenwashing/gm4j8dyuuh8w45cdb4gilxf44y (Accessed: 11 July 2026).</w:t>
      </w:r>
    </w:p>
    <w:p w14:paraId="6CD46894" w14:textId="047E182E"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Climate Case Chart (2025</w:t>
      </w:r>
      <w:r w:rsidRPr="00F24DE5">
        <w:rPr>
          <w:rFonts w:ascii="Arial" w:hAnsi="Arial" w:cs="Arial"/>
          <w:i/>
          <w:iCs/>
          <w:color w:val="000000"/>
        </w:rPr>
        <w:t>) Milieudefensie et al. v. Royal Dutch Shell plc</w:t>
      </w:r>
      <w:r w:rsidRPr="00430E78">
        <w:rPr>
          <w:rFonts w:ascii="Arial" w:hAnsi="Arial" w:cs="Arial"/>
          <w:color w:val="000000"/>
        </w:rPr>
        <w:t>. Available at: https://www.climatecasechart.com/document/milieudefensie-et-al-v-royal-dutch-shell-plc_c3e4 (Accessed: 1</w:t>
      </w:r>
      <w:r w:rsidR="00631398">
        <w:rPr>
          <w:rFonts w:ascii="Arial" w:hAnsi="Arial" w:cs="Arial"/>
          <w:color w:val="000000"/>
        </w:rPr>
        <w:t>4</w:t>
      </w:r>
      <w:r w:rsidRPr="00430E78">
        <w:rPr>
          <w:rFonts w:ascii="Arial" w:hAnsi="Arial" w:cs="Arial"/>
          <w:color w:val="000000"/>
        </w:rPr>
        <w:t xml:space="preserve"> July 2026).</w:t>
      </w:r>
    </w:p>
    <w:p w14:paraId="2BBCDA8C"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Delmas, M.A. and Burbano, V.C. (2011) 'The drivers of greenwashing', </w:t>
      </w:r>
      <w:r w:rsidRPr="00F24DE5">
        <w:rPr>
          <w:rFonts w:ascii="Arial" w:hAnsi="Arial" w:cs="Arial"/>
          <w:i/>
          <w:iCs/>
          <w:color w:val="000000"/>
        </w:rPr>
        <w:t>California Management Review</w:t>
      </w:r>
      <w:r w:rsidRPr="00430E78">
        <w:rPr>
          <w:rFonts w:ascii="Arial" w:hAnsi="Arial" w:cs="Arial"/>
          <w:color w:val="000000"/>
        </w:rPr>
        <w:t>, 54(1), pp. 64–87.</w:t>
      </w:r>
    </w:p>
    <w:p w14:paraId="0718EC2D" w14:textId="77777777" w:rsidR="00052E4D" w:rsidRDefault="00052E4D" w:rsidP="00E26B9A">
      <w:pPr>
        <w:pStyle w:val="NormalWeb"/>
        <w:spacing w:before="0" w:beforeAutospacing="0" w:after="160" w:afterAutospacing="0"/>
        <w:ind w:left="57" w:right="57" w:hanging="720"/>
        <w:jc w:val="both"/>
        <w:rPr>
          <w:rFonts w:ascii="Arial" w:hAnsi="Arial" w:cs="Arial"/>
          <w:color w:val="000000"/>
        </w:rPr>
      </w:pPr>
      <w:r w:rsidRPr="00430E78">
        <w:rPr>
          <w:rFonts w:ascii="Arial" w:hAnsi="Arial" w:cs="Arial"/>
          <w:color w:val="000000"/>
        </w:rPr>
        <w:t xml:space="preserve">Dogru, C. (ed.) (2020) </w:t>
      </w:r>
      <w:r w:rsidRPr="008F32DF">
        <w:rPr>
          <w:rFonts w:ascii="Arial" w:hAnsi="Arial" w:cs="Arial"/>
          <w:i/>
          <w:iCs/>
          <w:color w:val="000000"/>
        </w:rPr>
        <w:t>Leadership Styles</w:t>
      </w:r>
      <w:r w:rsidRPr="00430E78">
        <w:rPr>
          <w:rFonts w:ascii="Arial" w:hAnsi="Arial" w:cs="Arial"/>
          <w:color w:val="000000"/>
        </w:rPr>
        <w:t>. Hershey, PA: IGI Global.</w:t>
      </w:r>
    </w:p>
    <w:p w14:paraId="489F5D0B" w14:textId="7AD6F5A8" w:rsidR="00E91576" w:rsidRPr="00430E78" w:rsidRDefault="00E91576" w:rsidP="00E26B9A">
      <w:pPr>
        <w:pStyle w:val="NormalWeb"/>
        <w:spacing w:before="0" w:beforeAutospacing="0" w:after="160" w:afterAutospacing="0"/>
        <w:ind w:left="57" w:right="57" w:hanging="720"/>
        <w:jc w:val="both"/>
        <w:rPr>
          <w:rFonts w:ascii="Arial" w:hAnsi="Arial" w:cs="Arial"/>
        </w:rPr>
      </w:pPr>
      <w:r w:rsidRPr="00E91576">
        <w:rPr>
          <w:rFonts w:ascii="Arial" w:hAnsi="Arial" w:cs="Arial"/>
        </w:rPr>
        <w:t>Do</w:t>
      </w:r>
      <w:r>
        <w:rPr>
          <w:rFonts w:ascii="Arial" w:hAnsi="Arial" w:cs="Arial"/>
        </w:rPr>
        <w:t>g</w:t>
      </w:r>
      <w:r w:rsidRPr="00E91576">
        <w:rPr>
          <w:rFonts w:ascii="Arial" w:hAnsi="Arial" w:cs="Arial"/>
        </w:rPr>
        <w:t xml:space="preserve">ru, </w:t>
      </w:r>
      <w:r>
        <w:rPr>
          <w:rFonts w:ascii="Arial" w:hAnsi="Arial" w:cs="Arial"/>
        </w:rPr>
        <w:t>C</w:t>
      </w:r>
      <w:r w:rsidRPr="00E91576">
        <w:rPr>
          <w:rFonts w:ascii="Arial" w:hAnsi="Arial" w:cs="Arial"/>
        </w:rPr>
        <w:t xml:space="preserve">. (2022) 'A meta-analysis of the relationships between emotional intelligence and employee outcomes', </w:t>
      </w:r>
      <w:r w:rsidRPr="008F32DF">
        <w:rPr>
          <w:rFonts w:ascii="Arial" w:hAnsi="Arial" w:cs="Arial"/>
          <w:i/>
          <w:iCs/>
        </w:rPr>
        <w:t>Frontiers in Psychology</w:t>
      </w:r>
      <w:r w:rsidRPr="00E91576">
        <w:rPr>
          <w:rFonts w:ascii="Arial" w:hAnsi="Arial" w:cs="Arial"/>
        </w:rPr>
        <w:t>, 13, 611348.</w:t>
      </w:r>
    </w:p>
    <w:p w14:paraId="6229407B"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lastRenderedPageBreak/>
        <w:t xml:space="preserve">Earley, P.C. and Ang, S. (2003) </w:t>
      </w:r>
      <w:r w:rsidRPr="00B20E29">
        <w:rPr>
          <w:rFonts w:ascii="Arial" w:hAnsi="Arial" w:cs="Arial"/>
          <w:i/>
          <w:iCs/>
          <w:color w:val="000000"/>
        </w:rPr>
        <w:t>Cultural Intelligence: Individual Interactions Across Cultures</w:t>
      </w:r>
      <w:r w:rsidRPr="00430E78">
        <w:rPr>
          <w:rFonts w:ascii="Arial" w:hAnsi="Arial" w:cs="Arial"/>
          <w:color w:val="000000"/>
        </w:rPr>
        <w:t>. Palo Alto, CA: Stanford University Press.</w:t>
      </w:r>
    </w:p>
    <w:p w14:paraId="639B891F"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edie (2023) </w:t>
      </w:r>
      <w:r w:rsidRPr="00B20E29">
        <w:rPr>
          <w:rFonts w:ascii="Arial" w:hAnsi="Arial" w:cs="Arial"/>
          <w:i/>
          <w:iCs/>
          <w:color w:val="000000"/>
        </w:rPr>
        <w:t>Shell ordered to pull 'misleading' clean energy adverts by UK watchdog</w:t>
      </w:r>
      <w:r w:rsidRPr="00430E78">
        <w:rPr>
          <w:rFonts w:ascii="Arial" w:hAnsi="Arial" w:cs="Arial"/>
          <w:color w:val="000000"/>
        </w:rPr>
        <w:t>. Available at: https://www.edie.net/shell-has-misleading-ads-banned-in-the-uk/ (Accessed: 11 July 2026).</w:t>
      </w:r>
    </w:p>
    <w:p w14:paraId="60E84D51"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edie (2025) </w:t>
      </w:r>
      <w:r w:rsidRPr="00B20E29">
        <w:rPr>
          <w:rFonts w:ascii="Arial" w:hAnsi="Arial" w:cs="Arial"/>
          <w:i/>
          <w:iCs/>
          <w:color w:val="000000"/>
        </w:rPr>
        <w:t>Shell renewable energy advert wasn't greenwashing, ASA rules</w:t>
      </w:r>
      <w:r w:rsidRPr="00430E78">
        <w:rPr>
          <w:rFonts w:ascii="Arial" w:hAnsi="Arial" w:cs="Arial"/>
          <w:color w:val="000000"/>
        </w:rPr>
        <w:t>. Available at: https://www.edie.net/shell-renewable-energy-advert-wasnt-greenwashing-asa-rules/ (Accessed: 11 July 2026).</w:t>
      </w:r>
    </w:p>
    <w:p w14:paraId="4AEAFB36"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Elkington, J. (1997) </w:t>
      </w:r>
      <w:r w:rsidRPr="00B20E29">
        <w:rPr>
          <w:rFonts w:ascii="Arial" w:hAnsi="Arial" w:cs="Arial"/>
          <w:i/>
          <w:iCs/>
          <w:color w:val="000000"/>
        </w:rPr>
        <w:t>Cannibals with Forks: The Triple Bottom Line of 21st Century Business</w:t>
      </w:r>
      <w:r w:rsidRPr="00430E78">
        <w:rPr>
          <w:rFonts w:ascii="Arial" w:hAnsi="Arial" w:cs="Arial"/>
          <w:color w:val="000000"/>
        </w:rPr>
        <w:t>. Oxford: Capstone.</w:t>
      </w:r>
    </w:p>
    <w:p w14:paraId="33B417D7"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ESG Dive (2024) </w:t>
      </w:r>
      <w:r w:rsidRPr="00B20E29">
        <w:rPr>
          <w:rFonts w:ascii="Arial" w:hAnsi="Arial" w:cs="Arial"/>
          <w:i/>
          <w:iCs/>
          <w:color w:val="000000"/>
        </w:rPr>
        <w:t>Shell shareholders approve diluted climate strategy at annual meeting</w:t>
      </w:r>
      <w:r w:rsidRPr="00430E78">
        <w:rPr>
          <w:rFonts w:ascii="Arial" w:hAnsi="Arial" w:cs="Arial"/>
          <w:color w:val="000000"/>
        </w:rPr>
        <w:t>. Available at: https://www.esgdive.com/news/shell-shareholders-approve-diluted-climate-strategy-2024-agm-follow-this/717018/ (Accessed: 11 July 2026).</w:t>
      </w:r>
    </w:p>
    <w:p w14:paraId="1F03690D"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Follow This (2025a) </w:t>
      </w:r>
      <w:r w:rsidRPr="00B20E29">
        <w:rPr>
          <w:rFonts w:ascii="Arial" w:hAnsi="Arial" w:cs="Arial"/>
          <w:i/>
          <w:iCs/>
          <w:color w:val="000000"/>
        </w:rPr>
        <w:t>Shell sets out for confrontation with shareholders as it advises to vote against climate resolution of 27 investors</w:t>
      </w:r>
      <w:r w:rsidRPr="00430E78">
        <w:rPr>
          <w:rFonts w:ascii="Arial" w:hAnsi="Arial" w:cs="Arial"/>
          <w:color w:val="000000"/>
        </w:rPr>
        <w:t>. Available at: https://follow-this.org/shell-sets-out-for-confrontation-with-shareholders-as-it-advises-to-vote-against-climate-resolution-of-27-investors/ (Accessed: 11 July 2026).</w:t>
      </w:r>
    </w:p>
    <w:p w14:paraId="60E1D84F"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Follow This (2025b) </w:t>
      </w:r>
      <w:r w:rsidRPr="00B20E29">
        <w:rPr>
          <w:rFonts w:ascii="Arial" w:hAnsi="Arial" w:cs="Arial"/>
          <w:i/>
          <w:iCs/>
          <w:color w:val="000000"/>
        </w:rPr>
        <w:t>Shell shareholders signal doubt over fossil fuel focus by voting for Follow This resolution</w:t>
      </w:r>
      <w:r w:rsidRPr="00430E78">
        <w:rPr>
          <w:rFonts w:ascii="Arial" w:hAnsi="Arial" w:cs="Arial"/>
          <w:color w:val="000000"/>
        </w:rPr>
        <w:t>. Available at: https://follow-this.org/shell-shareholders-signal-doubt-over-fossil-fuel-focus-by-voting-for-follow-this-resolution/ (Accessed: 11 July 2026).</w:t>
      </w:r>
    </w:p>
    <w:p w14:paraId="53343E91"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Freeman, R.E. (1984) </w:t>
      </w:r>
      <w:r w:rsidRPr="00B20E29">
        <w:rPr>
          <w:rFonts w:ascii="Arial" w:hAnsi="Arial" w:cs="Arial"/>
          <w:i/>
          <w:iCs/>
          <w:color w:val="000000"/>
        </w:rPr>
        <w:t>Strategic Management: A Stakeholder Approach</w:t>
      </w:r>
      <w:r w:rsidRPr="00430E78">
        <w:rPr>
          <w:rFonts w:ascii="Arial" w:hAnsi="Arial" w:cs="Arial"/>
          <w:color w:val="000000"/>
        </w:rPr>
        <w:t>. Boston: Pitman.</w:t>
      </w:r>
    </w:p>
    <w:p w14:paraId="165121C9"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Freshfields (2024) </w:t>
      </w:r>
      <w:r w:rsidRPr="00B20E29">
        <w:rPr>
          <w:rFonts w:ascii="Arial" w:hAnsi="Arial" w:cs="Arial"/>
          <w:i/>
          <w:iCs/>
          <w:color w:val="000000"/>
        </w:rPr>
        <w:t>Milieudefensie v. Shell: Appeal verdict key takeaways</w:t>
      </w:r>
      <w:r w:rsidRPr="00430E78">
        <w:rPr>
          <w:rFonts w:ascii="Arial" w:hAnsi="Arial" w:cs="Arial"/>
          <w:color w:val="000000"/>
        </w:rPr>
        <w:t>. Available at: https://www.freshfields.com/en/our-thinking/blogs/sustainability/milieudefensie-v-shell-appeal-verdict-key-takeaways-102jqz6 (Accessed: 11 July 2026).</w:t>
      </w:r>
    </w:p>
    <w:p w14:paraId="4189DF15"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Friedman, M. (1970) 'The social responsibility of business is to increase its profits', </w:t>
      </w:r>
      <w:r w:rsidRPr="00B20E29">
        <w:rPr>
          <w:rFonts w:ascii="Arial" w:hAnsi="Arial" w:cs="Arial"/>
          <w:i/>
          <w:iCs/>
          <w:color w:val="000000"/>
        </w:rPr>
        <w:t>The New York Times Magazine</w:t>
      </w:r>
      <w:r w:rsidRPr="00430E78">
        <w:rPr>
          <w:rFonts w:ascii="Arial" w:hAnsi="Arial" w:cs="Arial"/>
          <w:color w:val="000000"/>
        </w:rPr>
        <w:t>, 13 September.</w:t>
      </w:r>
    </w:p>
    <w:p w14:paraId="613FF1E8"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Goleman, D. (1998) 'What makes a leader?', </w:t>
      </w:r>
      <w:r w:rsidRPr="00B20E29">
        <w:rPr>
          <w:rFonts w:ascii="Arial" w:hAnsi="Arial" w:cs="Arial"/>
          <w:i/>
          <w:iCs/>
          <w:color w:val="000000"/>
        </w:rPr>
        <w:t>Harvard Business Review</w:t>
      </w:r>
      <w:r w:rsidRPr="00430E78">
        <w:rPr>
          <w:rFonts w:ascii="Arial" w:hAnsi="Arial" w:cs="Arial"/>
          <w:color w:val="000000"/>
        </w:rPr>
        <w:t>, 76(6), pp. 93–102.</w:t>
      </w:r>
    </w:p>
    <w:p w14:paraId="6D3043D8" w14:textId="77777777" w:rsidR="00052E4D" w:rsidRDefault="00052E4D" w:rsidP="00E26B9A">
      <w:pPr>
        <w:pStyle w:val="NormalWeb"/>
        <w:spacing w:before="0" w:beforeAutospacing="0" w:after="160" w:afterAutospacing="0"/>
        <w:ind w:left="57" w:right="57" w:hanging="720"/>
        <w:jc w:val="both"/>
        <w:rPr>
          <w:rFonts w:ascii="Arial" w:hAnsi="Arial" w:cs="Arial"/>
          <w:color w:val="000000"/>
        </w:rPr>
      </w:pPr>
      <w:r w:rsidRPr="00430E78">
        <w:rPr>
          <w:rFonts w:ascii="Arial" w:hAnsi="Arial" w:cs="Arial"/>
          <w:color w:val="000000"/>
        </w:rPr>
        <w:t xml:space="preserve">Gregersen, H.B., Morrison, A.J. and Black, J.S. (1998) 'Developing leaders for the global frontier', </w:t>
      </w:r>
      <w:r w:rsidRPr="00B20E29">
        <w:rPr>
          <w:rFonts w:ascii="Arial" w:hAnsi="Arial" w:cs="Arial"/>
          <w:i/>
          <w:iCs/>
          <w:color w:val="000000"/>
        </w:rPr>
        <w:t>Sloan Management Review</w:t>
      </w:r>
      <w:r w:rsidRPr="00430E78">
        <w:rPr>
          <w:rFonts w:ascii="Arial" w:hAnsi="Arial" w:cs="Arial"/>
          <w:color w:val="000000"/>
        </w:rPr>
        <w:t>, 40(1), pp. 21–32.</w:t>
      </w:r>
    </w:p>
    <w:p w14:paraId="20E534E1" w14:textId="2BA8E482" w:rsidR="00C434D6" w:rsidRPr="00C434D6" w:rsidRDefault="00454D19" w:rsidP="00C434D6">
      <w:pPr>
        <w:pStyle w:val="NormalWeb"/>
        <w:spacing w:before="0" w:beforeAutospacing="0" w:after="160" w:afterAutospacing="0"/>
        <w:ind w:left="57" w:right="57" w:hanging="720"/>
        <w:jc w:val="both"/>
        <w:rPr>
          <w:rFonts w:ascii="Arial" w:hAnsi="Arial" w:cs="Arial"/>
        </w:rPr>
      </w:pPr>
      <w:r w:rsidRPr="00454D19">
        <w:rPr>
          <w:rFonts w:ascii="Arial" w:hAnsi="Arial" w:cs="Arial"/>
        </w:rPr>
        <w:t xml:space="preserve">Harvard Business Publishing (2024) </w:t>
      </w:r>
      <w:r w:rsidRPr="00B20E29">
        <w:rPr>
          <w:rFonts w:ascii="Arial" w:hAnsi="Arial" w:cs="Arial"/>
          <w:i/>
          <w:iCs/>
        </w:rPr>
        <w:t>2024 Global Leadership Development Study: Research Findings. Boston: Harvard Business Publishing Corporate Learning</w:t>
      </w:r>
      <w:r w:rsidRPr="00454D19">
        <w:rPr>
          <w:rFonts w:ascii="Arial" w:hAnsi="Arial" w:cs="Arial"/>
        </w:rPr>
        <w:t xml:space="preserve">. Available at: https://www.harvardbusiness.org/insight/2024-global-leadership-development-study-research-findings/ (Accessed: </w:t>
      </w:r>
      <w:r>
        <w:rPr>
          <w:rFonts w:ascii="Arial" w:hAnsi="Arial" w:cs="Arial"/>
        </w:rPr>
        <w:t>17</w:t>
      </w:r>
      <w:r w:rsidRPr="00454D19">
        <w:rPr>
          <w:rFonts w:ascii="Arial" w:hAnsi="Arial" w:cs="Arial"/>
        </w:rPr>
        <w:t xml:space="preserve"> July 2026).</w:t>
      </w:r>
    </w:p>
    <w:p w14:paraId="142A7295" w14:textId="77777777" w:rsidR="00C434D6" w:rsidRPr="00C434D6" w:rsidRDefault="00C434D6" w:rsidP="00C434D6">
      <w:pPr>
        <w:pStyle w:val="NormalWeb"/>
        <w:ind w:left="57" w:right="57" w:hanging="720"/>
        <w:jc w:val="both"/>
        <w:rPr>
          <w:rFonts w:ascii="Arial" w:hAnsi="Arial" w:cs="Arial"/>
        </w:rPr>
      </w:pPr>
      <w:r w:rsidRPr="00C434D6">
        <w:rPr>
          <w:rFonts w:ascii="Arial" w:hAnsi="Arial" w:cs="Arial"/>
        </w:rPr>
        <w:t xml:space="preserve">Heffron, R.J. (2023) 'Ten years of energy justice research 2013–2023', </w:t>
      </w:r>
      <w:r w:rsidRPr="00B20E29">
        <w:rPr>
          <w:rFonts w:ascii="Arial" w:hAnsi="Arial" w:cs="Arial"/>
          <w:i/>
          <w:iCs/>
        </w:rPr>
        <w:t>International Energy Law Review</w:t>
      </w:r>
      <w:r w:rsidRPr="00C434D6">
        <w:rPr>
          <w:rFonts w:ascii="Arial" w:hAnsi="Arial" w:cs="Arial"/>
        </w:rPr>
        <w:t>, 5, pp. 156–159.</w:t>
      </w:r>
    </w:p>
    <w:p w14:paraId="33E0942E" w14:textId="3B7A859C" w:rsidR="00C434D6" w:rsidRPr="00430E78" w:rsidRDefault="00C434D6" w:rsidP="00C434D6">
      <w:pPr>
        <w:pStyle w:val="NormalWeb"/>
        <w:spacing w:before="0" w:beforeAutospacing="0" w:after="160" w:afterAutospacing="0"/>
        <w:ind w:left="57" w:right="57" w:hanging="720"/>
        <w:jc w:val="both"/>
        <w:rPr>
          <w:rFonts w:ascii="Arial" w:hAnsi="Arial" w:cs="Arial"/>
        </w:rPr>
      </w:pPr>
      <w:r w:rsidRPr="00C434D6">
        <w:rPr>
          <w:rFonts w:ascii="Arial" w:hAnsi="Arial" w:cs="Arial"/>
        </w:rPr>
        <w:t xml:space="preserve">Heim, I., Laker, B. and Tabaeifard, S.J. (2026) 'Responsible leadership: a systematic literature review, theoretical framework, and future research directions', </w:t>
      </w:r>
      <w:r w:rsidRPr="00B20E29">
        <w:rPr>
          <w:rFonts w:ascii="Arial" w:hAnsi="Arial" w:cs="Arial"/>
          <w:i/>
          <w:iCs/>
        </w:rPr>
        <w:t>Journal of Business Research,</w:t>
      </w:r>
      <w:r w:rsidRPr="00C434D6">
        <w:rPr>
          <w:rFonts w:ascii="Arial" w:hAnsi="Arial" w:cs="Arial"/>
        </w:rPr>
        <w:t xml:space="preserve"> 203, 115801.</w:t>
      </w:r>
    </w:p>
    <w:p w14:paraId="6FA7AB41"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Hofstede, G. (1980) </w:t>
      </w:r>
      <w:r w:rsidRPr="0077154A">
        <w:rPr>
          <w:rFonts w:ascii="Arial" w:hAnsi="Arial" w:cs="Arial"/>
          <w:i/>
          <w:iCs/>
          <w:color w:val="000000"/>
        </w:rPr>
        <w:t>Culture's Consequences: International Differences in Work-Related Values</w:t>
      </w:r>
      <w:r w:rsidRPr="00430E78">
        <w:rPr>
          <w:rFonts w:ascii="Arial" w:hAnsi="Arial" w:cs="Arial"/>
          <w:color w:val="000000"/>
        </w:rPr>
        <w:t>. Beverly Hills, CA: Sage.</w:t>
      </w:r>
    </w:p>
    <w:p w14:paraId="0E61CB23"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lastRenderedPageBreak/>
        <w:t xml:space="preserve">Hofstede, G., Hofstede, G.J. and Minkov, M. (2010) </w:t>
      </w:r>
      <w:r w:rsidRPr="00DC1798">
        <w:rPr>
          <w:rFonts w:ascii="Arial" w:hAnsi="Arial" w:cs="Arial"/>
          <w:i/>
          <w:iCs/>
          <w:color w:val="000000"/>
        </w:rPr>
        <w:t>Cultures and Organizations: Software of the Mind.</w:t>
      </w:r>
      <w:r w:rsidRPr="00430E78">
        <w:rPr>
          <w:rFonts w:ascii="Arial" w:hAnsi="Arial" w:cs="Arial"/>
          <w:color w:val="000000"/>
        </w:rPr>
        <w:t xml:space="preserve"> 3rd edn. New York: McGraw-Hill.</w:t>
      </w:r>
    </w:p>
    <w:p w14:paraId="58BAAE31" w14:textId="5CE3CC4A"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Human Rights Law Centre (2025) </w:t>
      </w:r>
      <w:r w:rsidRPr="00DC1798">
        <w:rPr>
          <w:rFonts w:ascii="Arial" w:hAnsi="Arial" w:cs="Arial"/>
          <w:i/>
          <w:iCs/>
          <w:color w:val="000000"/>
        </w:rPr>
        <w:t>Landmark decision ordering Shell to cut CO2 emissions from its global operations by 45% overturned by Hague Court of Appeal</w:t>
      </w:r>
      <w:r w:rsidRPr="00430E78">
        <w:rPr>
          <w:rFonts w:ascii="Arial" w:hAnsi="Arial" w:cs="Arial"/>
          <w:color w:val="000000"/>
        </w:rPr>
        <w:t>. Available at: https://www.hrlc.org.au/case-summaries/2025-03-20-milieudefensie-v-shell/ (Accessed: 1</w:t>
      </w:r>
      <w:r w:rsidR="00DC1798">
        <w:rPr>
          <w:rFonts w:ascii="Arial" w:hAnsi="Arial" w:cs="Arial"/>
          <w:color w:val="000000"/>
        </w:rPr>
        <w:t>2</w:t>
      </w:r>
      <w:r w:rsidRPr="00430E78">
        <w:rPr>
          <w:rFonts w:ascii="Arial" w:hAnsi="Arial" w:cs="Arial"/>
          <w:color w:val="000000"/>
        </w:rPr>
        <w:t xml:space="preserve"> July 2026).</w:t>
      </w:r>
    </w:p>
    <w:p w14:paraId="0CB97BA6"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IFRS Foundation (2024) </w:t>
      </w:r>
      <w:r w:rsidRPr="00DC1798">
        <w:rPr>
          <w:rFonts w:ascii="Arial" w:hAnsi="Arial" w:cs="Arial"/>
          <w:i/>
          <w:iCs/>
          <w:color w:val="000000"/>
        </w:rPr>
        <w:t>Progress on Corporate Climate-related Disclosures—2024 Report</w:t>
      </w:r>
      <w:r w:rsidRPr="00430E78">
        <w:rPr>
          <w:rFonts w:ascii="Arial" w:hAnsi="Arial" w:cs="Arial"/>
          <w:color w:val="000000"/>
        </w:rPr>
        <w:t>. London: IFRS Foundation.</w:t>
      </w:r>
    </w:p>
    <w:p w14:paraId="42C94DB8"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ILO (International Labour Organization) (2015) </w:t>
      </w:r>
      <w:r w:rsidRPr="00DC1798">
        <w:rPr>
          <w:rFonts w:ascii="Arial" w:hAnsi="Arial" w:cs="Arial"/>
          <w:i/>
          <w:iCs/>
          <w:color w:val="000000"/>
        </w:rPr>
        <w:t>Guidelines for a Just Transition Towards Environmentally Sustainable Economies and Societies for All</w:t>
      </w:r>
      <w:r w:rsidRPr="00430E78">
        <w:rPr>
          <w:rFonts w:ascii="Arial" w:hAnsi="Arial" w:cs="Arial"/>
          <w:color w:val="000000"/>
        </w:rPr>
        <w:t>. Geneva: ILO.</w:t>
      </w:r>
    </w:p>
    <w:p w14:paraId="3FB77172"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IPCC (Intergovernmental Panel on Climate Change) (2023) </w:t>
      </w:r>
      <w:r w:rsidRPr="00DC1798">
        <w:rPr>
          <w:rFonts w:ascii="Arial" w:hAnsi="Arial" w:cs="Arial"/>
          <w:i/>
          <w:iCs/>
          <w:color w:val="000000"/>
        </w:rPr>
        <w:t>AR6 Synthesis Report: Climate Change 2023</w:t>
      </w:r>
      <w:r w:rsidRPr="00430E78">
        <w:rPr>
          <w:rFonts w:ascii="Arial" w:hAnsi="Arial" w:cs="Arial"/>
          <w:color w:val="000000"/>
        </w:rPr>
        <w:t>. Geneva: IPCC.</w:t>
      </w:r>
    </w:p>
    <w:p w14:paraId="7B8807F0"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IPE (2026) </w:t>
      </w:r>
      <w:r w:rsidRPr="00A936A6">
        <w:rPr>
          <w:rFonts w:ascii="Arial" w:hAnsi="Arial" w:cs="Arial"/>
          <w:i/>
          <w:iCs/>
          <w:color w:val="000000"/>
        </w:rPr>
        <w:t>Shell AGM climate vote signals investor doubt but falls short of expectations</w:t>
      </w:r>
      <w:r w:rsidRPr="00430E78">
        <w:rPr>
          <w:rFonts w:ascii="Arial" w:hAnsi="Arial" w:cs="Arial"/>
          <w:color w:val="000000"/>
        </w:rPr>
        <w:t>. Available at: https://www.ipe.com/news/shell-agm-climate-vote-signals-investor-doubt-but-falls-short-of-expectations/10136828.article (Accessed: 11 July 2026).</w:t>
      </w:r>
    </w:p>
    <w:p w14:paraId="2CA5871D"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IR Magazine (2023) </w:t>
      </w:r>
      <w:r w:rsidRPr="00A936A6">
        <w:rPr>
          <w:rFonts w:ascii="Arial" w:hAnsi="Arial" w:cs="Arial"/>
          <w:i/>
          <w:iCs/>
          <w:color w:val="000000"/>
        </w:rPr>
        <w:t>Regulator bans Shell adverts over greenwashing claims</w:t>
      </w:r>
      <w:r w:rsidRPr="00430E78">
        <w:rPr>
          <w:rFonts w:ascii="Arial" w:hAnsi="Arial" w:cs="Arial"/>
          <w:color w:val="000000"/>
        </w:rPr>
        <w:t>. Available at: https://www.irmagazine.com/esg/regulator-bans-shell-adverts-over-greenwashing-claims (Accessed: 11 July 2026).</w:t>
      </w:r>
    </w:p>
    <w:p w14:paraId="653D2000"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Kedia, B.L. and Mukherji, A. (1999) 'Global managers: developing a mindset for global competitiveness', </w:t>
      </w:r>
      <w:r w:rsidRPr="00A74734">
        <w:rPr>
          <w:rFonts w:ascii="Arial" w:hAnsi="Arial" w:cs="Arial"/>
          <w:i/>
          <w:iCs/>
          <w:color w:val="000000"/>
        </w:rPr>
        <w:t>Journal of World Business</w:t>
      </w:r>
      <w:r w:rsidRPr="00430E78">
        <w:rPr>
          <w:rFonts w:ascii="Arial" w:hAnsi="Arial" w:cs="Arial"/>
          <w:color w:val="000000"/>
        </w:rPr>
        <w:t>, 34(3), pp. 230–251.</w:t>
      </w:r>
    </w:p>
    <w:p w14:paraId="7501903D" w14:textId="366A31F8"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Leigh Day (2025) </w:t>
      </w:r>
      <w:r w:rsidRPr="00A74734">
        <w:rPr>
          <w:rFonts w:ascii="Arial" w:hAnsi="Arial" w:cs="Arial"/>
          <w:i/>
          <w:iCs/>
          <w:color w:val="000000"/>
        </w:rPr>
        <w:t>High Court trial finds Shell plc and its former Nigerian subsidiary can be held legally responsible for legacy oil pollution in Nigeria.</w:t>
      </w:r>
      <w:r w:rsidRPr="00430E78">
        <w:rPr>
          <w:rFonts w:ascii="Arial" w:hAnsi="Arial" w:cs="Arial"/>
          <w:color w:val="000000"/>
        </w:rPr>
        <w:t xml:space="preserve"> Available at: https://www.leighday.co.uk/news/press-releases/2025-news/high-court-trial-finds-shell-plc-and-its-former-nigerian-subsidiary-can-be-held-legally-responsible-for-legacy-oil-pollution-in-nigeria/ (Accessed: </w:t>
      </w:r>
      <w:r w:rsidR="00A74734">
        <w:rPr>
          <w:rFonts w:ascii="Arial" w:hAnsi="Arial" w:cs="Arial"/>
          <w:color w:val="000000"/>
        </w:rPr>
        <w:t>20</w:t>
      </w:r>
      <w:r w:rsidRPr="00430E78">
        <w:rPr>
          <w:rFonts w:ascii="Arial" w:hAnsi="Arial" w:cs="Arial"/>
          <w:color w:val="000000"/>
        </w:rPr>
        <w:t xml:space="preserve"> July 2026).</w:t>
      </w:r>
    </w:p>
    <w:p w14:paraId="5807781C"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Levy, O., Beechler, S., Taylor, S. and Boyacigiller, N.A. (2007) 'What we talk about when we talk about "global mindset": managerial cognition in multinational corporations', </w:t>
      </w:r>
      <w:r w:rsidRPr="00A74734">
        <w:rPr>
          <w:rFonts w:ascii="Arial" w:hAnsi="Arial" w:cs="Arial"/>
          <w:i/>
          <w:iCs/>
          <w:color w:val="000000"/>
        </w:rPr>
        <w:t>Journal of International Business Studies</w:t>
      </w:r>
      <w:r w:rsidRPr="00430E78">
        <w:rPr>
          <w:rFonts w:ascii="Arial" w:hAnsi="Arial" w:cs="Arial"/>
          <w:color w:val="000000"/>
        </w:rPr>
        <w:t>, 38(2), pp. 231–258.</w:t>
      </w:r>
    </w:p>
    <w:p w14:paraId="31979F11" w14:textId="77777777" w:rsidR="00052E4D" w:rsidRDefault="00052E4D" w:rsidP="00E26B9A">
      <w:pPr>
        <w:pStyle w:val="NormalWeb"/>
        <w:spacing w:before="0" w:beforeAutospacing="0" w:after="160" w:afterAutospacing="0"/>
        <w:ind w:left="57" w:right="57" w:hanging="720"/>
        <w:jc w:val="both"/>
        <w:rPr>
          <w:rFonts w:ascii="Arial" w:hAnsi="Arial" w:cs="Arial"/>
          <w:color w:val="000000"/>
        </w:rPr>
      </w:pPr>
      <w:r w:rsidRPr="00430E78">
        <w:rPr>
          <w:rFonts w:ascii="Arial" w:hAnsi="Arial" w:cs="Arial"/>
          <w:color w:val="000000"/>
        </w:rPr>
        <w:t xml:space="preserve">Liddle, D. (2021) </w:t>
      </w:r>
      <w:r w:rsidRPr="00A74734">
        <w:rPr>
          <w:rFonts w:ascii="Arial" w:hAnsi="Arial" w:cs="Arial"/>
          <w:i/>
          <w:iCs/>
          <w:color w:val="000000"/>
        </w:rPr>
        <w:t>Transformational Culture: Develop a Winning Culture for Improved Business Performance</w:t>
      </w:r>
      <w:r w:rsidRPr="00430E78">
        <w:rPr>
          <w:rFonts w:ascii="Arial" w:hAnsi="Arial" w:cs="Arial"/>
          <w:color w:val="000000"/>
        </w:rPr>
        <w:t>. London: Kogan Page.</w:t>
      </w:r>
    </w:p>
    <w:p w14:paraId="25D34EA2" w14:textId="42FD6423" w:rsidR="00B84DA0" w:rsidRPr="00430E78" w:rsidRDefault="00B84DA0" w:rsidP="00E26B9A">
      <w:pPr>
        <w:pStyle w:val="NormalWeb"/>
        <w:spacing w:before="0" w:beforeAutospacing="0" w:after="160" w:afterAutospacing="0"/>
        <w:ind w:left="57" w:right="57" w:hanging="720"/>
        <w:jc w:val="both"/>
        <w:rPr>
          <w:rFonts w:ascii="Arial" w:hAnsi="Arial" w:cs="Arial"/>
        </w:rPr>
      </w:pPr>
      <w:r w:rsidRPr="00B84DA0">
        <w:rPr>
          <w:rFonts w:ascii="Arial" w:hAnsi="Arial" w:cs="Arial"/>
        </w:rPr>
        <w:t xml:space="preserve">Locke, R.M. (2013) </w:t>
      </w:r>
      <w:r w:rsidRPr="00A74734">
        <w:rPr>
          <w:rFonts w:ascii="Arial" w:hAnsi="Arial" w:cs="Arial"/>
          <w:i/>
          <w:iCs/>
        </w:rPr>
        <w:t>The Promise and Limits of Private Power: Promoting Labor Standards in a Global Economy</w:t>
      </w:r>
      <w:r w:rsidRPr="00B84DA0">
        <w:rPr>
          <w:rFonts w:ascii="Arial" w:hAnsi="Arial" w:cs="Arial"/>
        </w:rPr>
        <w:t>. Cambridge: Cambridge University Press.</w:t>
      </w:r>
    </w:p>
    <w:p w14:paraId="20BE214D" w14:textId="7A5E6E46"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Lyon, T.P. and Maxwell, J.W. (2011) 'Greenwash: corporate environmental disclosure under threat of audit', </w:t>
      </w:r>
      <w:r w:rsidRPr="00A74734">
        <w:rPr>
          <w:rFonts w:ascii="Arial" w:hAnsi="Arial" w:cs="Arial"/>
          <w:i/>
          <w:iCs/>
          <w:color w:val="000000"/>
        </w:rPr>
        <w:t xml:space="preserve">Journal of Economics </w:t>
      </w:r>
      <w:r w:rsidR="00A74734">
        <w:rPr>
          <w:rFonts w:ascii="Arial" w:hAnsi="Arial" w:cs="Arial"/>
          <w:i/>
          <w:iCs/>
          <w:color w:val="000000"/>
        </w:rPr>
        <w:t>and</w:t>
      </w:r>
      <w:r w:rsidRPr="00A74734">
        <w:rPr>
          <w:rFonts w:ascii="Arial" w:hAnsi="Arial" w:cs="Arial"/>
          <w:i/>
          <w:iCs/>
          <w:color w:val="000000"/>
        </w:rPr>
        <w:t xml:space="preserve"> Management Strategy</w:t>
      </w:r>
      <w:r w:rsidRPr="00430E78">
        <w:rPr>
          <w:rFonts w:ascii="Arial" w:hAnsi="Arial" w:cs="Arial"/>
          <w:color w:val="000000"/>
        </w:rPr>
        <w:t>, 20(1), pp. 3–41.</w:t>
      </w:r>
    </w:p>
    <w:p w14:paraId="39103D72"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Maak, T. and Pless, N.M. (2006) 'Responsible leadership in a stakeholder society: a relational perspective', </w:t>
      </w:r>
      <w:r w:rsidRPr="00F5142B">
        <w:rPr>
          <w:rFonts w:ascii="Arial" w:hAnsi="Arial" w:cs="Arial"/>
          <w:i/>
          <w:iCs/>
          <w:color w:val="000000"/>
        </w:rPr>
        <w:t>Journal of Business Ethics</w:t>
      </w:r>
      <w:r w:rsidRPr="00430E78">
        <w:rPr>
          <w:rFonts w:ascii="Arial" w:hAnsi="Arial" w:cs="Arial"/>
          <w:color w:val="000000"/>
        </w:rPr>
        <w:t>, 66(1), pp. 99–115.</w:t>
      </w:r>
    </w:p>
    <w:p w14:paraId="3F121A47" w14:textId="269F4112"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Manifest Climate (2024) </w:t>
      </w:r>
      <w:r w:rsidRPr="00F5142B">
        <w:rPr>
          <w:rFonts w:ascii="Arial" w:hAnsi="Arial" w:cs="Arial"/>
          <w:i/>
          <w:iCs/>
          <w:color w:val="000000"/>
        </w:rPr>
        <w:t>Global Climate Disclosure Requirements Comparison</w:t>
      </w:r>
      <w:r w:rsidRPr="00430E78">
        <w:rPr>
          <w:rFonts w:ascii="Arial" w:hAnsi="Arial" w:cs="Arial"/>
          <w:color w:val="000000"/>
        </w:rPr>
        <w:t>. Available at: https://www.manifestclimate.com/global-climate-disclosure-requirements-comparison/ (Accessed: 1</w:t>
      </w:r>
      <w:r w:rsidR="00F5142B">
        <w:rPr>
          <w:rFonts w:ascii="Arial" w:hAnsi="Arial" w:cs="Arial"/>
          <w:color w:val="000000"/>
        </w:rPr>
        <w:t>3</w:t>
      </w:r>
      <w:r w:rsidRPr="00430E78">
        <w:rPr>
          <w:rFonts w:ascii="Arial" w:hAnsi="Arial" w:cs="Arial"/>
          <w:color w:val="000000"/>
        </w:rPr>
        <w:t xml:space="preserve"> July 2026).</w:t>
      </w:r>
    </w:p>
    <w:p w14:paraId="3486E3CB" w14:textId="24E2DD2F"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Mayer Brown (2024) </w:t>
      </w:r>
      <w:r w:rsidRPr="00EE5639">
        <w:rPr>
          <w:rFonts w:ascii="Arial" w:hAnsi="Arial" w:cs="Arial"/>
          <w:i/>
          <w:iCs/>
          <w:color w:val="000000"/>
        </w:rPr>
        <w:t>Milieudefensie v Shell: Dutch appeals court overturns ruling that Shell must reduce its CO2 emissions by 45%.</w:t>
      </w:r>
      <w:r w:rsidRPr="00430E78">
        <w:rPr>
          <w:rFonts w:ascii="Arial" w:hAnsi="Arial" w:cs="Arial"/>
          <w:color w:val="000000"/>
        </w:rPr>
        <w:t xml:space="preserve"> Available at: </w:t>
      </w:r>
      <w:r w:rsidRPr="00430E78">
        <w:rPr>
          <w:rFonts w:ascii="Arial" w:hAnsi="Arial" w:cs="Arial"/>
          <w:color w:val="000000"/>
        </w:rPr>
        <w:lastRenderedPageBreak/>
        <w:t>https://www.mayerbrown.com/en/insights/publications/2024/11/milieudefensie-v-shell-dutch-appeals-court-overturns-ruling-that-shell-must-reduce-its-co2-emissions-by-45-per-cent (Accessed: 1</w:t>
      </w:r>
      <w:r w:rsidR="004217F0">
        <w:rPr>
          <w:rFonts w:ascii="Arial" w:hAnsi="Arial" w:cs="Arial"/>
          <w:color w:val="000000"/>
        </w:rPr>
        <w:t>3</w:t>
      </w:r>
      <w:r w:rsidRPr="00430E78">
        <w:rPr>
          <w:rFonts w:ascii="Arial" w:hAnsi="Arial" w:cs="Arial"/>
          <w:color w:val="000000"/>
        </w:rPr>
        <w:t xml:space="preserve"> July 2026).</w:t>
      </w:r>
    </w:p>
    <w:p w14:paraId="35DDBFF5"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McCauley, D. and Heffron, R. (2018) 'Just transition: integrating climate, energy and environmental justice', </w:t>
      </w:r>
      <w:r w:rsidRPr="004217F0">
        <w:rPr>
          <w:rFonts w:ascii="Arial" w:hAnsi="Arial" w:cs="Arial"/>
          <w:i/>
          <w:iCs/>
          <w:color w:val="000000"/>
        </w:rPr>
        <w:t>Energy Policy</w:t>
      </w:r>
      <w:r w:rsidRPr="00430E78">
        <w:rPr>
          <w:rFonts w:ascii="Arial" w:hAnsi="Arial" w:cs="Arial"/>
          <w:color w:val="000000"/>
        </w:rPr>
        <w:t>, 119, pp. 1–7.</w:t>
      </w:r>
    </w:p>
    <w:p w14:paraId="1719F259"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Meadenall, M., Osland, J. (eds) and Bird, A. (2017) </w:t>
      </w:r>
      <w:r w:rsidRPr="006D6CBF">
        <w:rPr>
          <w:rFonts w:ascii="Arial" w:hAnsi="Arial" w:cs="Arial"/>
          <w:i/>
          <w:iCs/>
          <w:color w:val="000000"/>
        </w:rPr>
        <w:t>Global Leadership: Research, Practice and Development</w:t>
      </w:r>
      <w:r w:rsidRPr="00430E78">
        <w:rPr>
          <w:rFonts w:ascii="Arial" w:hAnsi="Arial" w:cs="Arial"/>
          <w:color w:val="000000"/>
        </w:rPr>
        <w:t>. Abingdon: Routledge.</w:t>
      </w:r>
    </w:p>
    <w:p w14:paraId="5972F9BA"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Meyer, J.W. and Rowan, B. (1977) 'Institutionalized organizations: formal structure as myth and ceremony', </w:t>
      </w:r>
      <w:r w:rsidRPr="006D6CBF">
        <w:rPr>
          <w:rFonts w:ascii="Arial" w:hAnsi="Arial" w:cs="Arial"/>
          <w:i/>
          <w:iCs/>
          <w:color w:val="000000"/>
        </w:rPr>
        <w:t>American Journal of Sociology</w:t>
      </w:r>
      <w:r w:rsidRPr="00430E78">
        <w:rPr>
          <w:rFonts w:ascii="Arial" w:hAnsi="Arial" w:cs="Arial"/>
          <w:color w:val="000000"/>
        </w:rPr>
        <w:t>, 83(2), pp. 340–363.</w:t>
      </w:r>
    </w:p>
    <w:p w14:paraId="2AE333A8"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Mitchell, R.K., Agle, B.R. and Wood, D.J. (1997) 'Toward a theory of stakeholder identification and salience: defining the principle of who and what really counts', </w:t>
      </w:r>
      <w:r w:rsidRPr="006D6CBF">
        <w:rPr>
          <w:rFonts w:ascii="Arial" w:hAnsi="Arial" w:cs="Arial"/>
          <w:i/>
          <w:iCs/>
          <w:color w:val="000000"/>
        </w:rPr>
        <w:t>Academy of Management Review</w:t>
      </w:r>
      <w:r w:rsidRPr="00430E78">
        <w:rPr>
          <w:rFonts w:ascii="Arial" w:hAnsi="Arial" w:cs="Arial"/>
          <w:color w:val="000000"/>
        </w:rPr>
        <w:t>, 22(4), pp. 853–886.</w:t>
      </w:r>
    </w:p>
    <w:p w14:paraId="69417AC3"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Molinsky, A. (2013) </w:t>
      </w:r>
      <w:r w:rsidRPr="006D6CBF">
        <w:rPr>
          <w:rFonts w:ascii="Arial" w:hAnsi="Arial" w:cs="Arial"/>
          <w:i/>
          <w:iCs/>
          <w:color w:val="000000"/>
        </w:rPr>
        <w:t>Global Dexterity: How to Adapt Your Behavior Across Cultures without Losing Yourself in the Process</w:t>
      </w:r>
      <w:r w:rsidRPr="00430E78">
        <w:rPr>
          <w:rFonts w:ascii="Arial" w:hAnsi="Arial" w:cs="Arial"/>
          <w:color w:val="000000"/>
        </w:rPr>
        <w:t>. Boston: Harvard Business Review Press.</w:t>
      </w:r>
    </w:p>
    <w:p w14:paraId="100F76AA"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Morrison, J. (2016) </w:t>
      </w:r>
      <w:r w:rsidRPr="006D6CBF">
        <w:rPr>
          <w:rFonts w:ascii="Arial" w:hAnsi="Arial" w:cs="Arial"/>
          <w:i/>
          <w:iCs/>
          <w:color w:val="000000"/>
        </w:rPr>
        <w:t>The Global Business Environment</w:t>
      </w:r>
      <w:r w:rsidRPr="00430E78">
        <w:rPr>
          <w:rFonts w:ascii="Arial" w:hAnsi="Arial" w:cs="Arial"/>
          <w:color w:val="000000"/>
        </w:rPr>
        <w:t>. 4th edn. London: Palgrave.</w:t>
      </w:r>
    </w:p>
    <w:p w14:paraId="3C4819D8"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Mullins, L.J. (2019) </w:t>
      </w:r>
      <w:r w:rsidRPr="006D6CBF">
        <w:rPr>
          <w:rFonts w:ascii="Arial" w:hAnsi="Arial" w:cs="Arial"/>
          <w:i/>
          <w:iCs/>
          <w:color w:val="000000"/>
        </w:rPr>
        <w:t>Organisational Behaviour in the Workplace</w:t>
      </w:r>
      <w:r w:rsidRPr="00430E78">
        <w:rPr>
          <w:rFonts w:ascii="Arial" w:hAnsi="Arial" w:cs="Arial"/>
          <w:color w:val="000000"/>
        </w:rPr>
        <w:t>. 12th edn. Harlow: Pearson.</w:t>
      </w:r>
    </w:p>
    <w:p w14:paraId="35145540" w14:textId="33C7B6CF" w:rsidR="00052E4D" w:rsidRDefault="00052E4D" w:rsidP="00E26B9A">
      <w:pPr>
        <w:pStyle w:val="NormalWeb"/>
        <w:spacing w:before="0" w:beforeAutospacing="0" w:after="160" w:afterAutospacing="0"/>
        <w:ind w:left="57" w:right="57" w:hanging="720"/>
        <w:jc w:val="both"/>
        <w:rPr>
          <w:rFonts w:ascii="Arial" w:hAnsi="Arial" w:cs="Arial"/>
          <w:color w:val="000000"/>
        </w:rPr>
      </w:pPr>
      <w:r w:rsidRPr="00430E78">
        <w:rPr>
          <w:rFonts w:ascii="Arial" w:hAnsi="Arial" w:cs="Arial"/>
          <w:color w:val="000000"/>
        </w:rPr>
        <w:t xml:space="preserve">Ng, K.Y., Van Dyne, L. and Ang, S. (2009) 'From experience to experiential learning: cultural intelligence as a learning capability for global leader development', </w:t>
      </w:r>
      <w:r w:rsidRPr="006D6CBF">
        <w:rPr>
          <w:rFonts w:ascii="Arial" w:hAnsi="Arial" w:cs="Arial"/>
          <w:i/>
          <w:iCs/>
          <w:color w:val="000000"/>
        </w:rPr>
        <w:t xml:space="preserve">Academy of Management Learning </w:t>
      </w:r>
      <w:r w:rsidR="006D6CBF">
        <w:rPr>
          <w:rFonts w:ascii="Arial" w:hAnsi="Arial" w:cs="Arial"/>
          <w:i/>
          <w:iCs/>
          <w:color w:val="000000"/>
        </w:rPr>
        <w:t xml:space="preserve">and </w:t>
      </w:r>
      <w:r w:rsidRPr="006D6CBF">
        <w:rPr>
          <w:rFonts w:ascii="Arial" w:hAnsi="Arial" w:cs="Arial"/>
          <w:i/>
          <w:iCs/>
          <w:color w:val="000000"/>
        </w:rPr>
        <w:t>Education</w:t>
      </w:r>
      <w:r w:rsidRPr="00430E78">
        <w:rPr>
          <w:rFonts w:ascii="Arial" w:hAnsi="Arial" w:cs="Arial"/>
          <w:color w:val="000000"/>
        </w:rPr>
        <w:t>, 8(4), pp. 511–526.</w:t>
      </w:r>
    </w:p>
    <w:p w14:paraId="546FA9F8" w14:textId="56C0870D" w:rsidR="005D67F5" w:rsidRPr="00430E78" w:rsidRDefault="005D67F5" w:rsidP="00E26B9A">
      <w:pPr>
        <w:pStyle w:val="NormalWeb"/>
        <w:spacing w:before="0" w:beforeAutospacing="0" w:after="160" w:afterAutospacing="0"/>
        <w:ind w:left="57" w:right="57" w:hanging="720"/>
        <w:jc w:val="both"/>
        <w:rPr>
          <w:rFonts w:ascii="Arial" w:hAnsi="Arial" w:cs="Arial"/>
        </w:rPr>
      </w:pPr>
      <w:r w:rsidRPr="005D67F5">
        <w:rPr>
          <w:rFonts w:ascii="Arial" w:hAnsi="Arial" w:cs="Arial"/>
        </w:rPr>
        <w:t xml:space="preserve">Polman, P. and Winston, A. (2021) </w:t>
      </w:r>
      <w:r w:rsidRPr="00A04B01">
        <w:rPr>
          <w:rFonts w:ascii="Arial" w:hAnsi="Arial" w:cs="Arial"/>
          <w:i/>
          <w:iCs/>
        </w:rPr>
        <w:t>Net Positive: How Courageous Companies Thrive by Giving More Than They Take</w:t>
      </w:r>
      <w:r w:rsidRPr="005D67F5">
        <w:rPr>
          <w:rFonts w:ascii="Arial" w:hAnsi="Arial" w:cs="Arial"/>
        </w:rPr>
        <w:t>. Boston: Harvard Business Review Press.</w:t>
      </w:r>
    </w:p>
    <w:p w14:paraId="447777B3" w14:textId="3637E1A6" w:rsidR="007935E8" w:rsidRPr="007935E8" w:rsidRDefault="00052E4D" w:rsidP="007935E8">
      <w:pPr>
        <w:pStyle w:val="NormalWeb"/>
        <w:spacing w:before="0" w:beforeAutospacing="0" w:after="160" w:afterAutospacing="0"/>
        <w:ind w:left="57" w:right="57" w:hanging="720"/>
        <w:jc w:val="both"/>
        <w:rPr>
          <w:rFonts w:ascii="Arial" w:hAnsi="Arial" w:cs="Arial"/>
          <w:color w:val="000000"/>
        </w:rPr>
      </w:pPr>
      <w:r w:rsidRPr="00430E78">
        <w:rPr>
          <w:rFonts w:ascii="Arial" w:hAnsi="Arial" w:cs="Arial"/>
          <w:color w:val="000000"/>
        </w:rPr>
        <w:t xml:space="preserve">Porter, M.E. and Kramer, M.R. (2011) 'Creating shared value', </w:t>
      </w:r>
      <w:r w:rsidRPr="00A04B01">
        <w:rPr>
          <w:rFonts w:ascii="Arial" w:hAnsi="Arial" w:cs="Arial"/>
          <w:i/>
          <w:iCs/>
          <w:color w:val="000000"/>
        </w:rPr>
        <w:t>Harvard Business Review</w:t>
      </w:r>
      <w:r w:rsidRPr="00430E78">
        <w:rPr>
          <w:rFonts w:ascii="Arial" w:hAnsi="Arial" w:cs="Arial"/>
          <w:color w:val="000000"/>
        </w:rPr>
        <w:t>, 89(1/2), pp. 62–77.</w:t>
      </w:r>
    </w:p>
    <w:p w14:paraId="61F16B4F" w14:textId="73F7D85D"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Ramakrishnan, K. (20</w:t>
      </w:r>
      <w:r w:rsidR="00787F4C">
        <w:rPr>
          <w:rFonts w:ascii="Arial" w:hAnsi="Arial" w:cs="Arial"/>
          <w:color w:val="000000"/>
        </w:rPr>
        <w:t>1</w:t>
      </w:r>
      <w:r w:rsidRPr="00430E78">
        <w:rPr>
          <w:rFonts w:ascii="Arial" w:hAnsi="Arial" w:cs="Arial"/>
          <w:color w:val="000000"/>
        </w:rPr>
        <w:t xml:space="preserve">3) </w:t>
      </w:r>
      <w:r w:rsidRPr="00A04B01">
        <w:rPr>
          <w:rFonts w:ascii="Arial" w:hAnsi="Arial" w:cs="Arial"/>
          <w:i/>
          <w:iCs/>
          <w:color w:val="000000"/>
        </w:rPr>
        <w:t>Managerial Leadership in Multicultural Organisations</w:t>
      </w:r>
      <w:r w:rsidRPr="00430E78">
        <w:rPr>
          <w:rFonts w:ascii="Arial" w:hAnsi="Arial" w:cs="Arial"/>
          <w:color w:val="000000"/>
        </w:rPr>
        <w:t>. Harlow: Prentice-Hall.</w:t>
      </w:r>
    </w:p>
    <w:p w14:paraId="05AEABA4"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Reuters (2024a) </w:t>
      </w:r>
      <w:r w:rsidRPr="00A04B01">
        <w:rPr>
          <w:rFonts w:ascii="Arial" w:hAnsi="Arial" w:cs="Arial"/>
          <w:i/>
          <w:iCs/>
          <w:color w:val="000000"/>
        </w:rPr>
        <w:t>Exclusive-Shell plans wide cuts in oil exploration division, sources say</w:t>
      </w:r>
      <w:r w:rsidRPr="00430E78">
        <w:rPr>
          <w:rFonts w:ascii="Arial" w:hAnsi="Arial" w:cs="Arial"/>
          <w:color w:val="000000"/>
        </w:rPr>
        <w:t>. Available at: https://uk.finance.yahoo.com/news/exclusive-shell-plans-wide-cuts-135133557.html (Accessed: 11 July 2026).</w:t>
      </w:r>
    </w:p>
    <w:p w14:paraId="18FB624F"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Reuters (2024b) </w:t>
      </w:r>
      <w:r w:rsidRPr="00A04B01">
        <w:rPr>
          <w:rFonts w:ascii="Arial" w:hAnsi="Arial" w:cs="Arial"/>
          <w:i/>
          <w:iCs/>
          <w:color w:val="000000"/>
        </w:rPr>
        <w:t>Exclusive-Shell Slows Offshore Wind Spending, Splits Power Business in CEO Review</w:t>
      </w:r>
      <w:r w:rsidRPr="00430E78">
        <w:rPr>
          <w:rFonts w:ascii="Arial" w:hAnsi="Arial" w:cs="Arial"/>
          <w:color w:val="000000"/>
        </w:rPr>
        <w:t>. Available at: https://money.usnews.com/investing/news/articles/2024-12-04/exclusive-shell-slows-investments-in-offshore-wind-splits-power-business (Accessed: 11 July 2026).</w:t>
      </w:r>
    </w:p>
    <w:p w14:paraId="7EF73F38" w14:textId="77777777" w:rsidR="00052E4D" w:rsidRDefault="00052E4D" w:rsidP="00E26B9A">
      <w:pPr>
        <w:pStyle w:val="NormalWeb"/>
        <w:spacing w:before="0" w:beforeAutospacing="0" w:after="160" w:afterAutospacing="0"/>
        <w:ind w:left="57" w:right="57" w:hanging="720"/>
        <w:jc w:val="both"/>
        <w:rPr>
          <w:rFonts w:ascii="Arial" w:hAnsi="Arial" w:cs="Arial"/>
          <w:color w:val="000000"/>
        </w:rPr>
      </w:pPr>
      <w:r w:rsidRPr="00430E78">
        <w:rPr>
          <w:rFonts w:ascii="Arial" w:hAnsi="Arial" w:cs="Arial"/>
          <w:color w:val="000000"/>
        </w:rPr>
        <w:t xml:space="preserve">Rockstuhl, T., Seiler, S., Ang, S., Van Dyne, L. and Annen, H. (2011) 'Beyond general intelligence (IQ) and emotional intelligence (EQ): the role of cultural intelligence (CQ) on cross-border leadership effectiveness in a globalized world', </w:t>
      </w:r>
      <w:r w:rsidRPr="00A04B01">
        <w:rPr>
          <w:rFonts w:ascii="Arial" w:hAnsi="Arial" w:cs="Arial"/>
          <w:i/>
          <w:iCs/>
          <w:color w:val="000000"/>
        </w:rPr>
        <w:t>Journal of Social Issues</w:t>
      </w:r>
      <w:r w:rsidRPr="00430E78">
        <w:rPr>
          <w:rFonts w:ascii="Arial" w:hAnsi="Arial" w:cs="Arial"/>
          <w:color w:val="000000"/>
        </w:rPr>
        <w:t>, 67(4), pp. 825–840.</w:t>
      </w:r>
    </w:p>
    <w:p w14:paraId="346340CF" w14:textId="2F3716F0" w:rsidR="00854CC4" w:rsidRPr="00430E78" w:rsidRDefault="00854CC4" w:rsidP="00E26B9A">
      <w:pPr>
        <w:pStyle w:val="NormalWeb"/>
        <w:spacing w:before="0" w:beforeAutospacing="0" w:after="160" w:afterAutospacing="0"/>
        <w:ind w:left="57" w:right="57" w:hanging="720"/>
        <w:jc w:val="both"/>
        <w:rPr>
          <w:rFonts w:ascii="Arial" w:hAnsi="Arial" w:cs="Arial"/>
        </w:rPr>
      </w:pPr>
      <w:r w:rsidRPr="00854CC4">
        <w:rPr>
          <w:rFonts w:ascii="Arial" w:hAnsi="Arial" w:cs="Arial"/>
        </w:rPr>
        <w:t xml:space="preserve">Sam, K., Zabbey, N., Vincent-Akpu, I.F., Komi, G., Onyagbodor, P.O. and Babatunde, B.B. (2024) 'Socio-economic baseline for oil-impacted communities in Ogoniland: towards a restoration framework in Niger Delta, Nigeria', </w:t>
      </w:r>
      <w:r w:rsidRPr="0001581D">
        <w:rPr>
          <w:rFonts w:ascii="Arial" w:hAnsi="Arial" w:cs="Arial"/>
          <w:i/>
          <w:iCs/>
        </w:rPr>
        <w:t>Environmental Science and Pollution Research</w:t>
      </w:r>
      <w:r w:rsidRPr="00854CC4">
        <w:rPr>
          <w:rFonts w:ascii="Arial" w:hAnsi="Arial" w:cs="Arial"/>
        </w:rPr>
        <w:t>, 31(17), pp. 25671–25687.</w:t>
      </w:r>
    </w:p>
    <w:p w14:paraId="6E415555"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Shell plc (2024a) </w:t>
      </w:r>
      <w:r w:rsidRPr="0001581D">
        <w:rPr>
          <w:rFonts w:ascii="Arial" w:hAnsi="Arial" w:cs="Arial"/>
          <w:i/>
          <w:iCs/>
          <w:color w:val="000000"/>
        </w:rPr>
        <w:t>Annual Report and Accounts 2023</w:t>
      </w:r>
      <w:r w:rsidRPr="00430E78">
        <w:rPr>
          <w:rFonts w:ascii="Arial" w:hAnsi="Arial" w:cs="Arial"/>
          <w:color w:val="000000"/>
        </w:rPr>
        <w:t>. London: Shell plc.</w:t>
      </w:r>
    </w:p>
    <w:p w14:paraId="5B737FCF" w14:textId="281A8738" w:rsidR="00052E4D" w:rsidRDefault="00052E4D" w:rsidP="00E26B9A">
      <w:pPr>
        <w:pStyle w:val="NormalWeb"/>
        <w:spacing w:before="0" w:beforeAutospacing="0" w:after="160" w:afterAutospacing="0"/>
        <w:ind w:left="57" w:right="57" w:hanging="720"/>
        <w:jc w:val="both"/>
        <w:rPr>
          <w:rFonts w:ascii="Arial" w:hAnsi="Arial" w:cs="Arial"/>
          <w:color w:val="000000"/>
        </w:rPr>
      </w:pPr>
      <w:r w:rsidRPr="00430E78">
        <w:rPr>
          <w:rFonts w:ascii="Arial" w:hAnsi="Arial" w:cs="Arial"/>
          <w:color w:val="000000"/>
        </w:rPr>
        <w:lastRenderedPageBreak/>
        <w:t xml:space="preserve">Shell plc (2024b) </w:t>
      </w:r>
      <w:r w:rsidRPr="001E1D2F">
        <w:rPr>
          <w:rFonts w:ascii="Arial" w:hAnsi="Arial" w:cs="Arial"/>
          <w:i/>
          <w:iCs/>
          <w:color w:val="000000"/>
        </w:rPr>
        <w:t>About Shell</w:t>
      </w:r>
      <w:r w:rsidRPr="00430E78">
        <w:rPr>
          <w:rFonts w:ascii="Arial" w:hAnsi="Arial" w:cs="Arial"/>
          <w:color w:val="000000"/>
        </w:rPr>
        <w:t>. Available at: https://www.shell.com/about-us.html (Accessed: 1</w:t>
      </w:r>
      <w:r w:rsidR="001E1D2F">
        <w:rPr>
          <w:rFonts w:ascii="Arial" w:hAnsi="Arial" w:cs="Arial"/>
          <w:color w:val="000000"/>
        </w:rPr>
        <w:t>5</w:t>
      </w:r>
      <w:r w:rsidRPr="00430E78">
        <w:rPr>
          <w:rFonts w:ascii="Arial" w:hAnsi="Arial" w:cs="Arial"/>
          <w:color w:val="000000"/>
        </w:rPr>
        <w:t xml:space="preserve"> July 2026).</w:t>
      </w:r>
    </w:p>
    <w:p w14:paraId="7938630F" w14:textId="4F614F52" w:rsidR="008779AF" w:rsidRPr="00430E78" w:rsidRDefault="008779AF" w:rsidP="00E26B9A">
      <w:pPr>
        <w:pStyle w:val="NormalWeb"/>
        <w:spacing w:before="0" w:beforeAutospacing="0" w:after="160" w:afterAutospacing="0"/>
        <w:ind w:left="57" w:right="57" w:hanging="720"/>
        <w:jc w:val="both"/>
        <w:rPr>
          <w:rFonts w:ascii="Arial" w:hAnsi="Arial" w:cs="Arial"/>
        </w:rPr>
      </w:pPr>
      <w:r w:rsidRPr="008779AF">
        <w:rPr>
          <w:rFonts w:ascii="Arial" w:hAnsi="Arial" w:cs="Arial"/>
        </w:rPr>
        <w:t xml:space="preserve">Soltanisehat, M. and Jestratijevic, I. (2026) 'Sustainability reporting in the spotlight: exploring evidence from Nike's corporate reports', </w:t>
      </w:r>
      <w:r w:rsidRPr="001E1D2F">
        <w:rPr>
          <w:rFonts w:ascii="Arial" w:hAnsi="Arial" w:cs="Arial"/>
          <w:i/>
          <w:iCs/>
        </w:rPr>
        <w:t>Accounting and Auditing</w:t>
      </w:r>
      <w:r w:rsidRPr="008779AF">
        <w:rPr>
          <w:rFonts w:ascii="Arial" w:hAnsi="Arial" w:cs="Arial"/>
        </w:rPr>
        <w:t>, 2(1), 3.</w:t>
      </w:r>
    </w:p>
    <w:p w14:paraId="78FB119F" w14:textId="77777777" w:rsidR="00052E4D" w:rsidRPr="00430E78" w:rsidRDefault="00052E4D" w:rsidP="00E26B9A">
      <w:pPr>
        <w:pStyle w:val="NormalWeb"/>
        <w:spacing w:before="0" w:beforeAutospacing="0" w:after="160" w:afterAutospacing="0"/>
        <w:ind w:left="57" w:right="57" w:hanging="720"/>
        <w:jc w:val="both"/>
        <w:rPr>
          <w:rFonts w:ascii="Arial" w:hAnsi="Arial" w:cs="Arial"/>
        </w:rPr>
      </w:pPr>
      <w:r w:rsidRPr="00430E78">
        <w:rPr>
          <w:rFonts w:ascii="Arial" w:hAnsi="Arial" w:cs="Arial"/>
          <w:color w:val="000000"/>
        </w:rPr>
        <w:t xml:space="preserve">Spencer-Oatey, H. (2020) 'Global leadership: key concepts and frameworks', in Jordans, E., Ng'weno, B. and Spencer-Oatey, H. (eds) </w:t>
      </w:r>
      <w:r w:rsidRPr="001E1D2F">
        <w:rPr>
          <w:rFonts w:ascii="Arial" w:hAnsi="Arial" w:cs="Arial"/>
          <w:i/>
          <w:iCs/>
          <w:color w:val="000000"/>
        </w:rPr>
        <w:t>Developing Global Leaders: Insights from African Case Studies</w:t>
      </w:r>
      <w:r w:rsidRPr="00430E78">
        <w:rPr>
          <w:rFonts w:ascii="Arial" w:hAnsi="Arial" w:cs="Arial"/>
          <w:color w:val="000000"/>
        </w:rPr>
        <w:t>. London: Palgrave.</w:t>
      </w:r>
    </w:p>
    <w:p w14:paraId="52DFF067" w14:textId="63FA27B1" w:rsidR="00052E4D" w:rsidRPr="00430E78" w:rsidRDefault="00052E4D" w:rsidP="00430E78">
      <w:pPr>
        <w:pStyle w:val="NormalWeb"/>
        <w:spacing w:before="0" w:beforeAutospacing="0" w:after="160" w:afterAutospacing="0"/>
        <w:ind w:hanging="720"/>
        <w:jc w:val="both"/>
        <w:rPr>
          <w:rFonts w:ascii="Arial" w:hAnsi="Arial" w:cs="Arial"/>
        </w:rPr>
      </w:pPr>
      <w:r w:rsidRPr="00430E78">
        <w:rPr>
          <w:rFonts w:ascii="Arial" w:hAnsi="Arial" w:cs="Arial"/>
          <w:color w:val="000000"/>
        </w:rPr>
        <w:t xml:space="preserve">Stibbe (2024) </w:t>
      </w:r>
      <w:r w:rsidRPr="001E1D2F">
        <w:rPr>
          <w:rFonts w:ascii="Arial" w:hAnsi="Arial" w:cs="Arial"/>
          <w:i/>
          <w:iCs/>
          <w:color w:val="000000"/>
        </w:rPr>
        <w:t>No reduction order for Shell on appeal: what does this mean?</w:t>
      </w:r>
      <w:r w:rsidRPr="00430E78">
        <w:rPr>
          <w:rFonts w:ascii="Arial" w:hAnsi="Arial" w:cs="Arial"/>
          <w:color w:val="000000"/>
        </w:rPr>
        <w:t xml:space="preserve"> Available at: https://www.stibbe.com/publications-and-insights/no-reduction-order-for-shell-on-appeal-what-does-this-mean (Accessed: 1</w:t>
      </w:r>
      <w:r w:rsidR="001E1D2F">
        <w:rPr>
          <w:rFonts w:ascii="Arial" w:hAnsi="Arial" w:cs="Arial"/>
          <w:color w:val="000000"/>
        </w:rPr>
        <w:t>2</w:t>
      </w:r>
      <w:r w:rsidRPr="00430E78">
        <w:rPr>
          <w:rFonts w:ascii="Arial" w:hAnsi="Arial" w:cs="Arial"/>
          <w:color w:val="000000"/>
        </w:rPr>
        <w:t xml:space="preserve"> July 2026).</w:t>
      </w:r>
    </w:p>
    <w:p w14:paraId="74169221" w14:textId="77777777" w:rsidR="00052E4D" w:rsidRPr="00430E78" w:rsidRDefault="00052E4D" w:rsidP="00430E78">
      <w:pPr>
        <w:pStyle w:val="NormalWeb"/>
        <w:spacing w:before="0" w:beforeAutospacing="0" w:after="160" w:afterAutospacing="0"/>
        <w:ind w:hanging="720"/>
        <w:jc w:val="both"/>
        <w:rPr>
          <w:rFonts w:ascii="Arial" w:hAnsi="Arial" w:cs="Arial"/>
        </w:rPr>
      </w:pPr>
      <w:r w:rsidRPr="00430E78">
        <w:rPr>
          <w:rFonts w:ascii="Arial" w:hAnsi="Arial" w:cs="Arial"/>
          <w:color w:val="000000"/>
        </w:rPr>
        <w:t xml:space="preserve">Suchman, M.C. (1995) 'Managing legitimacy: strategic and institutional approaches', </w:t>
      </w:r>
      <w:r w:rsidRPr="001E1D2F">
        <w:rPr>
          <w:rFonts w:ascii="Arial" w:hAnsi="Arial" w:cs="Arial"/>
          <w:i/>
          <w:iCs/>
          <w:color w:val="000000"/>
        </w:rPr>
        <w:t>Academy of Management Review</w:t>
      </w:r>
      <w:r w:rsidRPr="00430E78">
        <w:rPr>
          <w:rFonts w:ascii="Arial" w:hAnsi="Arial" w:cs="Arial"/>
          <w:color w:val="000000"/>
        </w:rPr>
        <w:t>, 20(3), pp. 571–610.</w:t>
      </w:r>
    </w:p>
    <w:p w14:paraId="20F0FFB7" w14:textId="1D2BF831" w:rsidR="00052E4D" w:rsidRPr="00430E78" w:rsidRDefault="00052E4D" w:rsidP="00430E78">
      <w:pPr>
        <w:pStyle w:val="NormalWeb"/>
        <w:spacing w:before="0" w:beforeAutospacing="0" w:after="160" w:afterAutospacing="0"/>
        <w:ind w:hanging="720"/>
        <w:jc w:val="both"/>
        <w:rPr>
          <w:rFonts w:ascii="Arial" w:hAnsi="Arial" w:cs="Arial"/>
        </w:rPr>
      </w:pPr>
      <w:r w:rsidRPr="00430E78">
        <w:rPr>
          <w:rFonts w:ascii="Arial" w:hAnsi="Arial" w:cs="Arial"/>
          <w:color w:val="000000"/>
        </w:rPr>
        <w:t xml:space="preserve">The Globe and Mail (2023) </w:t>
      </w:r>
      <w:r w:rsidRPr="001E1D2F">
        <w:rPr>
          <w:rFonts w:ascii="Arial" w:hAnsi="Arial" w:cs="Arial"/>
          <w:i/>
          <w:iCs/>
          <w:color w:val="000000"/>
        </w:rPr>
        <w:t>Shell CEO Wael Sawan under pressure from within on renewables shift</w:t>
      </w:r>
      <w:r w:rsidRPr="00430E78">
        <w:rPr>
          <w:rFonts w:ascii="Arial" w:hAnsi="Arial" w:cs="Arial"/>
          <w:color w:val="000000"/>
        </w:rPr>
        <w:t>. Available at: https://www.theglobeandmail.com/business/industry-news/energy-and-resources/article-shell-ceo-wael-sawan-under-pressure-from-within-on-renewables-shift/ (Accessed: 1</w:t>
      </w:r>
      <w:r w:rsidR="001E1D2F">
        <w:rPr>
          <w:rFonts w:ascii="Arial" w:hAnsi="Arial" w:cs="Arial"/>
          <w:color w:val="000000"/>
        </w:rPr>
        <w:t>9</w:t>
      </w:r>
      <w:r w:rsidRPr="00430E78">
        <w:rPr>
          <w:rFonts w:ascii="Arial" w:hAnsi="Arial" w:cs="Arial"/>
          <w:color w:val="000000"/>
        </w:rPr>
        <w:t xml:space="preserve"> July 2026).</w:t>
      </w:r>
    </w:p>
    <w:p w14:paraId="588ECF8B" w14:textId="77777777" w:rsidR="00052E4D" w:rsidRDefault="00052E4D" w:rsidP="00430E78">
      <w:pPr>
        <w:pStyle w:val="NormalWeb"/>
        <w:spacing w:before="0" w:beforeAutospacing="0" w:after="160" w:afterAutospacing="0"/>
        <w:ind w:hanging="720"/>
        <w:jc w:val="both"/>
        <w:rPr>
          <w:rFonts w:ascii="Arial" w:hAnsi="Arial" w:cs="Arial"/>
          <w:color w:val="000000"/>
        </w:rPr>
      </w:pPr>
      <w:r w:rsidRPr="00430E78">
        <w:rPr>
          <w:rFonts w:ascii="Arial" w:hAnsi="Arial" w:cs="Arial"/>
          <w:color w:val="000000"/>
        </w:rPr>
        <w:t xml:space="preserve">Torelli, R., Balluchi, F. and Furlotti, K. (2020) 'Greenwashing and environmental communication: effects on stakeholders' perceptions', </w:t>
      </w:r>
      <w:r w:rsidRPr="001E1D2F">
        <w:rPr>
          <w:rFonts w:ascii="Arial" w:hAnsi="Arial" w:cs="Arial"/>
          <w:i/>
          <w:iCs/>
          <w:color w:val="000000"/>
        </w:rPr>
        <w:t>Business Strategy and the Environment</w:t>
      </w:r>
      <w:r w:rsidRPr="00430E78">
        <w:rPr>
          <w:rFonts w:ascii="Arial" w:hAnsi="Arial" w:cs="Arial"/>
          <w:color w:val="000000"/>
        </w:rPr>
        <w:t>, 29(2), pp. 407–421.</w:t>
      </w:r>
    </w:p>
    <w:p w14:paraId="1890303A" w14:textId="5791A451" w:rsidR="00977CC0" w:rsidRPr="00430E78" w:rsidRDefault="00977CC0" w:rsidP="00430E78">
      <w:pPr>
        <w:pStyle w:val="NormalWeb"/>
        <w:spacing w:before="0" w:beforeAutospacing="0" w:after="160" w:afterAutospacing="0"/>
        <w:ind w:hanging="720"/>
        <w:jc w:val="both"/>
        <w:rPr>
          <w:rFonts w:ascii="Arial" w:hAnsi="Arial" w:cs="Arial"/>
        </w:rPr>
      </w:pPr>
      <w:r w:rsidRPr="00977CC0">
        <w:rPr>
          <w:rFonts w:ascii="Arial" w:hAnsi="Arial" w:cs="Arial"/>
        </w:rPr>
        <w:t xml:space="preserve">Tsai, C.J. (2022) 'Cross-cultural leadership behavior adjustment and leader effectiveness: a framework and implications', </w:t>
      </w:r>
      <w:r w:rsidRPr="001E1D2F">
        <w:rPr>
          <w:rFonts w:ascii="Arial" w:hAnsi="Arial" w:cs="Arial"/>
          <w:i/>
          <w:iCs/>
        </w:rPr>
        <w:t>International Studies of Management and Organization</w:t>
      </w:r>
      <w:r w:rsidRPr="00977CC0">
        <w:rPr>
          <w:rFonts w:ascii="Arial" w:hAnsi="Arial" w:cs="Arial"/>
        </w:rPr>
        <w:t>, 52(3–4), pp. 205–225.</w:t>
      </w:r>
    </w:p>
    <w:p w14:paraId="79BCECF2" w14:textId="77777777" w:rsidR="00052E4D" w:rsidRDefault="00052E4D" w:rsidP="00430E78">
      <w:pPr>
        <w:pStyle w:val="NormalWeb"/>
        <w:spacing w:before="0" w:beforeAutospacing="0" w:after="160" w:afterAutospacing="0"/>
        <w:ind w:hanging="720"/>
        <w:jc w:val="both"/>
        <w:rPr>
          <w:rFonts w:ascii="Arial" w:hAnsi="Arial" w:cs="Arial"/>
          <w:color w:val="000000"/>
        </w:rPr>
      </w:pPr>
      <w:r w:rsidRPr="00430E78">
        <w:rPr>
          <w:rFonts w:ascii="Arial" w:hAnsi="Arial" w:cs="Arial"/>
          <w:color w:val="000000"/>
        </w:rPr>
        <w:t xml:space="preserve">UNFCCC (United Nations Framework Convention on Climate Change) (2015) </w:t>
      </w:r>
      <w:r w:rsidRPr="001E1D2F">
        <w:rPr>
          <w:rFonts w:ascii="Arial" w:hAnsi="Arial" w:cs="Arial"/>
          <w:i/>
          <w:iCs/>
          <w:color w:val="000000"/>
        </w:rPr>
        <w:t>Paris Agreement</w:t>
      </w:r>
      <w:r w:rsidRPr="00430E78">
        <w:rPr>
          <w:rFonts w:ascii="Arial" w:hAnsi="Arial" w:cs="Arial"/>
          <w:color w:val="000000"/>
        </w:rPr>
        <w:t>. Paris: UNFCCC.</w:t>
      </w:r>
    </w:p>
    <w:p w14:paraId="719F6AC4" w14:textId="24CD9A7A" w:rsidR="0020006D" w:rsidRPr="00430E78" w:rsidRDefault="0020006D" w:rsidP="00430E78">
      <w:pPr>
        <w:pStyle w:val="NormalWeb"/>
        <w:spacing w:before="0" w:beforeAutospacing="0" w:after="160" w:afterAutospacing="0"/>
        <w:ind w:hanging="720"/>
        <w:jc w:val="both"/>
        <w:rPr>
          <w:rFonts w:ascii="Arial" w:hAnsi="Arial" w:cs="Arial"/>
        </w:rPr>
      </w:pPr>
      <w:r w:rsidRPr="0020006D">
        <w:rPr>
          <w:rFonts w:ascii="Arial" w:hAnsi="Arial" w:cs="Arial"/>
        </w:rPr>
        <w:t xml:space="preserve">Watts, M. (2004) 'Resource curse? Governmentality, oil and power in the Niger Delta, Nigeria', </w:t>
      </w:r>
      <w:r w:rsidRPr="001E1D2F">
        <w:rPr>
          <w:rFonts w:ascii="Arial" w:hAnsi="Arial" w:cs="Arial"/>
          <w:i/>
          <w:iCs/>
        </w:rPr>
        <w:t>Geopolitics</w:t>
      </w:r>
      <w:r w:rsidRPr="0020006D">
        <w:rPr>
          <w:rFonts w:ascii="Arial" w:hAnsi="Arial" w:cs="Arial"/>
        </w:rPr>
        <w:t>, 9(1), pp. 50–80.</w:t>
      </w:r>
    </w:p>
    <w:p w14:paraId="02923512" w14:textId="77777777" w:rsidR="005871B3" w:rsidRDefault="00052E4D" w:rsidP="005871B3">
      <w:pPr>
        <w:pStyle w:val="NormalWeb"/>
        <w:spacing w:before="0" w:beforeAutospacing="0" w:after="160" w:afterAutospacing="0"/>
        <w:ind w:hanging="720"/>
        <w:jc w:val="both"/>
        <w:rPr>
          <w:rFonts w:ascii="Arial" w:hAnsi="Arial" w:cs="Arial"/>
          <w:color w:val="000000"/>
        </w:rPr>
      </w:pPr>
      <w:r w:rsidRPr="00430E78">
        <w:rPr>
          <w:rFonts w:ascii="Arial" w:hAnsi="Arial" w:cs="Arial"/>
          <w:color w:val="000000"/>
        </w:rPr>
        <w:t xml:space="preserve">Yukl, G. and Gardner, W.L. (2020) </w:t>
      </w:r>
      <w:r w:rsidRPr="001E1D2F">
        <w:rPr>
          <w:rFonts w:ascii="Arial" w:hAnsi="Arial" w:cs="Arial"/>
          <w:i/>
          <w:iCs/>
          <w:color w:val="000000"/>
        </w:rPr>
        <w:t>Leadership in Organisations</w:t>
      </w:r>
      <w:r w:rsidRPr="00430E78">
        <w:rPr>
          <w:rFonts w:ascii="Arial" w:hAnsi="Arial" w:cs="Arial"/>
          <w:color w:val="000000"/>
        </w:rPr>
        <w:t>. Global edn, 9th edn. Harlow: Pearson.</w:t>
      </w:r>
    </w:p>
    <w:p w14:paraId="4A820DA1" w14:textId="6BE9C75D" w:rsidR="00F20C55" w:rsidRPr="005871B3" w:rsidRDefault="005871B3" w:rsidP="005871B3">
      <w:pPr>
        <w:pStyle w:val="NormalWeb"/>
        <w:spacing w:before="0" w:beforeAutospacing="0" w:after="160" w:afterAutospacing="0"/>
        <w:ind w:hanging="720"/>
        <w:jc w:val="both"/>
        <w:rPr>
          <w:rFonts w:ascii="Arial" w:hAnsi="Arial" w:cs="Arial"/>
          <w:color w:val="000000"/>
        </w:rPr>
      </w:pPr>
      <w:r w:rsidRPr="005871B3">
        <w:rPr>
          <w:rFonts w:ascii="Arial" w:hAnsi="Arial" w:cs="Arial"/>
        </w:rPr>
        <w:t xml:space="preserve">Zioło, M. (2024) 'Literature review of greenwashing research: state of the art', </w:t>
      </w:r>
      <w:r w:rsidRPr="001E1D2F">
        <w:rPr>
          <w:rFonts w:ascii="Arial" w:hAnsi="Arial" w:cs="Arial"/>
          <w:i/>
          <w:iCs/>
        </w:rPr>
        <w:t>Corporate Social Responsibility and Environmental Management</w:t>
      </w:r>
      <w:r w:rsidRPr="005871B3">
        <w:rPr>
          <w:rFonts w:ascii="Arial" w:hAnsi="Arial" w:cs="Arial"/>
        </w:rPr>
        <w:t>, 31(6), pp. 5169–5187.</w:t>
      </w:r>
    </w:p>
    <w:sectPr w:rsidR="00F20C55" w:rsidRPr="005871B3" w:rsidSect="004713C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D035B" w14:textId="77777777" w:rsidR="00A50A1B" w:rsidRDefault="00A50A1B" w:rsidP="00E86003">
      <w:pPr>
        <w:spacing w:after="0" w:line="240" w:lineRule="auto"/>
      </w:pPr>
      <w:r>
        <w:separator/>
      </w:r>
    </w:p>
  </w:endnote>
  <w:endnote w:type="continuationSeparator" w:id="0">
    <w:p w14:paraId="1B9F7D6C" w14:textId="77777777" w:rsidR="00A50A1B" w:rsidRDefault="00A50A1B" w:rsidP="00E86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926341"/>
      <w:docPartObj>
        <w:docPartGallery w:val="Page Numbers (Bottom of Page)"/>
        <w:docPartUnique/>
      </w:docPartObj>
    </w:sdtPr>
    <w:sdtEndPr>
      <w:rPr>
        <w:noProof/>
      </w:rPr>
    </w:sdtEndPr>
    <w:sdtContent>
      <w:p w14:paraId="65EB0034" w14:textId="0912CE1F" w:rsidR="00E86003" w:rsidRDefault="00E860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3643DB" w14:textId="77777777" w:rsidR="00E86003" w:rsidRDefault="00E86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5C5D1" w14:textId="77777777" w:rsidR="00A50A1B" w:rsidRDefault="00A50A1B" w:rsidP="00E86003">
      <w:pPr>
        <w:spacing w:after="0" w:line="240" w:lineRule="auto"/>
      </w:pPr>
      <w:r>
        <w:separator/>
      </w:r>
    </w:p>
  </w:footnote>
  <w:footnote w:type="continuationSeparator" w:id="0">
    <w:p w14:paraId="3223AD9E" w14:textId="77777777" w:rsidR="00A50A1B" w:rsidRDefault="00A50A1B" w:rsidP="00E860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6A4"/>
    <w:rsid w:val="0001581D"/>
    <w:rsid w:val="000447B3"/>
    <w:rsid w:val="00052E4D"/>
    <w:rsid w:val="000554D2"/>
    <w:rsid w:val="000D0119"/>
    <w:rsid w:val="000D461D"/>
    <w:rsid w:val="000E4DC7"/>
    <w:rsid w:val="00151757"/>
    <w:rsid w:val="001A2C2F"/>
    <w:rsid w:val="001E1D2F"/>
    <w:rsid w:val="0020006D"/>
    <w:rsid w:val="002B014A"/>
    <w:rsid w:val="002E3A4B"/>
    <w:rsid w:val="00326BD9"/>
    <w:rsid w:val="00375E8A"/>
    <w:rsid w:val="00412867"/>
    <w:rsid w:val="004177AF"/>
    <w:rsid w:val="004217F0"/>
    <w:rsid w:val="00430E78"/>
    <w:rsid w:val="00454D19"/>
    <w:rsid w:val="004713C1"/>
    <w:rsid w:val="004717B1"/>
    <w:rsid w:val="00513949"/>
    <w:rsid w:val="005217D2"/>
    <w:rsid w:val="00554279"/>
    <w:rsid w:val="005871B3"/>
    <w:rsid w:val="005937BA"/>
    <w:rsid w:val="005B6B37"/>
    <w:rsid w:val="005D67F5"/>
    <w:rsid w:val="00607FE5"/>
    <w:rsid w:val="006274F9"/>
    <w:rsid w:val="00631398"/>
    <w:rsid w:val="006434CD"/>
    <w:rsid w:val="00656EF3"/>
    <w:rsid w:val="0069261D"/>
    <w:rsid w:val="006B001F"/>
    <w:rsid w:val="006D6CBF"/>
    <w:rsid w:val="007536A4"/>
    <w:rsid w:val="0077154A"/>
    <w:rsid w:val="0078369E"/>
    <w:rsid w:val="00787F4C"/>
    <w:rsid w:val="007935E8"/>
    <w:rsid w:val="00797EF6"/>
    <w:rsid w:val="007A760C"/>
    <w:rsid w:val="007C611B"/>
    <w:rsid w:val="00854CC4"/>
    <w:rsid w:val="008553C1"/>
    <w:rsid w:val="008779AF"/>
    <w:rsid w:val="008A53E0"/>
    <w:rsid w:val="008E769D"/>
    <w:rsid w:val="008F32DF"/>
    <w:rsid w:val="008F61F7"/>
    <w:rsid w:val="00917AB0"/>
    <w:rsid w:val="00961202"/>
    <w:rsid w:val="00977CC0"/>
    <w:rsid w:val="0099479B"/>
    <w:rsid w:val="009A14E3"/>
    <w:rsid w:val="00A04B01"/>
    <w:rsid w:val="00A50A1B"/>
    <w:rsid w:val="00A74734"/>
    <w:rsid w:val="00A936A6"/>
    <w:rsid w:val="00B11F7A"/>
    <w:rsid w:val="00B20E29"/>
    <w:rsid w:val="00B244F8"/>
    <w:rsid w:val="00B75DAE"/>
    <w:rsid w:val="00B84DA0"/>
    <w:rsid w:val="00BB7F03"/>
    <w:rsid w:val="00C434D6"/>
    <w:rsid w:val="00C50A71"/>
    <w:rsid w:val="00CB39DE"/>
    <w:rsid w:val="00DC1798"/>
    <w:rsid w:val="00DE5B27"/>
    <w:rsid w:val="00DF4294"/>
    <w:rsid w:val="00E011FB"/>
    <w:rsid w:val="00E26B9A"/>
    <w:rsid w:val="00E86003"/>
    <w:rsid w:val="00E91576"/>
    <w:rsid w:val="00EB40DE"/>
    <w:rsid w:val="00EE5639"/>
    <w:rsid w:val="00F20C55"/>
    <w:rsid w:val="00F24DE5"/>
    <w:rsid w:val="00F342AB"/>
    <w:rsid w:val="00F5142B"/>
    <w:rsid w:val="00FA41CC"/>
    <w:rsid w:val="00FD0EDB"/>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BB67C"/>
  <w15:chartTrackingRefBased/>
  <w15:docId w15:val="{8A092DE9-265B-4592-82CA-268021BD2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6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36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36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36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36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36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6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6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6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6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36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36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36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36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36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36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36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36A4"/>
    <w:rPr>
      <w:rFonts w:eastAsiaTheme="majorEastAsia" w:cstheme="majorBidi"/>
      <w:color w:val="272727" w:themeColor="text1" w:themeTint="D8"/>
    </w:rPr>
  </w:style>
  <w:style w:type="paragraph" w:styleId="Title">
    <w:name w:val="Title"/>
    <w:basedOn w:val="Normal"/>
    <w:next w:val="Normal"/>
    <w:link w:val="TitleChar"/>
    <w:uiPriority w:val="10"/>
    <w:qFormat/>
    <w:rsid w:val="007536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6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36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6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6A4"/>
    <w:pPr>
      <w:spacing w:before="160"/>
      <w:jc w:val="center"/>
    </w:pPr>
    <w:rPr>
      <w:i/>
      <w:iCs/>
      <w:color w:val="404040" w:themeColor="text1" w:themeTint="BF"/>
    </w:rPr>
  </w:style>
  <w:style w:type="character" w:customStyle="1" w:styleId="QuoteChar">
    <w:name w:val="Quote Char"/>
    <w:basedOn w:val="DefaultParagraphFont"/>
    <w:link w:val="Quote"/>
    <w:uiPriority w:val="29"/>
    <w:rsid w:val="007536A4"/>
    <w:rPr>
      <w:i/>
      <w:iCs/>
      <w:color w:val="404040" w:themeColor="text1" w:themeTint="BF"/>
    </w:rPr>
  </w:style>
  <w:style w:type="paragraph" w:styleId="ListParagraph">
    <w:name w:val="List Paragraph"/>
    <w:basedOn w:val="Normal"/>
    <w:uiPriority w:val="34"/>
    <w:qFormat/>
    <w:rsid w:val="007536A4"/>
    <w:pPr>
      <w:ind w:left="720"/>
      <w:contextualSpacing/>
    </w:pPr>
  </w:style>
  <w:style w:type="character" w:styleId="IntenseEmphasis">
    <w:name w:val="Intense Emphasis"/>
    <w:basedOn w:val="DefaultParagraphFont"/>
    <w:uiPriority w:val="21"/>
    <w:qFormat/>
    <w:rsid w:val="007536A4"/>
    <w:rPr>
      <w:i/>
      <w:iCs/>
      <w:color w:val="0F4761" w:themeColor="accent1" w:themeShade="BF"/>
    </w:rPr>
  </w:style>
  <w:style w:type="paragraph" w:styleId="IntenseQuote">
    <w:name w:val="Intense Quote"/>
    <w:basedOn w:val="Normal"/>
    <w:next w:val="Normal"/>
    <w:link w:val="IntenseQuoteChar"/>
    <w:uiPriority w:val="30"/>
    <w:qFormat/>
    <w:rsid w:val="007536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6A4"/>
    <w:rPr>
      <w:i/>
      <w:iCs/>
      <w:color w:val="0F4761" w:themeColor="accent1" w:themeShade="BF"/>
    </w:rPr>
  </w:style>
  <w:style w:type="character" w:styleId="IntenseReference">
    <w:name w:val="Intense Reference"/>
    <w:basedOn w:val="DefaultParagraphFont"/>
    <w:uiPriority w:val="32"/>
    <w:qFormat/>
    <w:rsid w:val="007536A4"/>
    <w:rPr>
      <w:b/>
      <w:bCs/>
      <w:smallCaps/>
      <w:color w:val="0F4761" w:themeColor="accent1" w:themeShade="BF"/>
      <w:spacing w:val="5"/>
    </w:rPr>
  </w:style>
  <w:style w:type="paragraph" w:styleId="NormalWeb">
    <w:name w:val="Normal (Web)"/>
    <w:basedOn w:val="Normal"/>
    <w:uiPriority w:val="99"/>
    <w:unhideWhenUsed/>
    <w:rsid w:val="00E8600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86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003"/>
  </w:style>
  <w:style w:type="paragraph" w:styleId="Footer">
    <w:name w:val="footer"/>
    <w:basedOn w:val="Normal"/>
    <w:link w:val="FooterChar"/>
    <w:uiPriority w:val="99"/>
    <w:unhideWhenUsed/>
    <w:rsid w:val="00E86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003"/>
  </w:style>
  <w:style w:type="paragraph" w:styleId="TOCHeading">
    <w:name w:val="TOC Heading"/>
    <w:basedOn w:val="Heading1"/>
    <w:next w:val="Normal"/>
    <w:uiPriority w:val="39"/>
    <w:unhideWhenUsed/>
    <w:qFormat/>
    <w:rsid w:val="008553C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53C1"/>
    <w:pPr>
      <w:spacing w:after="100"/>
    </w:pPr>
  </w:style>
  <w:style w:type="paragraph" w:styleId="TOC2">
    <w:name w:val="toc 2"/>
    <w:basedOn w:val="Normal"/>
    <w:next w:val="Normal"/>
    <w:autoRedefine/>
    <w:uiPriority w:val="39"/>
    <w:unhideWhenUsed/>
    <w:rsid w:val="008553C1"/>
    <w:pPr>
      <w:spacing w:after="100"/>
      <w:ind w:left="240"/>
    </w:pPr>
  </w:style>
  <w:style w:type="character" w:styleId="Hyperlink">
    <w:name w:val="Hyperlink"/>
    <w:basedOn w:val="DefaultParagraphFont"/>
    <w:uiPriority w:val="99"/>
    <w:unhideWhenUsed/>
    <w:rsid w:val="008553C1"/>
    <w:rPr>
      <w:color w:val="467886" w:themeColor="hyperlink"/>
      <w:u w:val="single"/>
    </w:rPr>
  </w:style>
  <w:style w:type="paragraph" w:styleId="NoSpacing">
    <w:name w:val="No Spacing"/>
    <w:link w:val="NoSpacingChar"/>
    <w:uiPriority w:val="1"/>
    <w:qFormat/>
    <w:rsid w:val="004713C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713C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658CAF088B04790AD8B8ECA7A308F84"/>
        <w:category>
          <w:name w:val="General"/>
          <w:gallery w:val="placeholder"/>
        </w:category>
        <w:types>
          <w:type w:val="bbPlcHdr"/>
        </w:types>
        <w:behaviors>
          <w:behavior w:val="content"/>
        </w:behaviors>
        <w:guid w:val="{FD377A9B-94FB-41E8-90FF-B1CB8A9CBAD3}"/>
      </w:docPartPr>
      <w:docPartBody>
        <w:p w:rsidR="00000000" w:rsidRDefault="008B1644" w:rsidP="008B1644">
          <w:pPr>
            <w:pStyle w:val="6658CAF088B04790AD8B8ECA7A308F84"/>
          </w:pPr>
          <w:r>
            <w:rPr>
              <w:rFonts w:asciiTheme="majorHAnsi" w:eastAsiaTheme="majorEastAsia" w:hAnsiTheme="majorHAnsi" w:cstheme="majorBidi"/>
              <w:caps/>
              <w:color w:val="156082" w:themeColor="accent1"/>
              <w:sz w:val="80"/>
              <w:szCs w:val="80"/>
            </w:rPr>
            <w:t>[Document title]</w:t>
          </w:r>
        </w:p>
      </w:docPartBody>
    </w:docPart>
    <w:docPart>
      <w:docPartPr>
        <w:name w:val="137461264F6D44D2BD1A9F61AD195E18"/>
        <w:category>
          <w:name w:val="General"/>
          <w:gallery w:val="placeholder"/>
        </w:category>
        <w:types>
          <w:type w:val="bbPlcHdr"/>
        </w:types>
        <w:behaviors>
          <w:behavior w:val="content"/>
        </w:behaviors>
        <w:guid w:val="{7FA3FB84-97DD-456A-9E14-E3EA872F2BCE}"/>
      </w:docPartPr>
      <w:docPartBody>
        <w:p w:rsidR="00000000" w:rsidRDefault="008B1644" w:rsidP="008B1644">
          <w:pPr>
            <w:pStyle w:val="137461264F6D44D2BD1A9F61AD195E1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644"/>
    <w:rsid w:val="001634F4"/>
    <w:rsid w:val="008B1644"/>
    <w:rsid w:val="00FA4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58CAF088B04790AD8B8ECA7A308F84">
    <w:name w:val="6658CAF088B04790AD8B8ECA7A308F84"/>
    <w:rsid w:val="008B1644"/>
  </w:style>
  <w:style w:type="paragraph" w:customStyle="1" w:styleId="137461264F6D44D2BD1A9F61AD195E18">
    <w:name w:val="137461264F6D44D2BD1A9F61AD195E18"/>
    <w:rsid w:val="008B16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2219546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72F032-1793-453F-BBDD-574CC5B1E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19</Pages>
  <Words>6034</Words>
  <Characters>34396</Characters>
  <Application>Microsoft Office Word</Application>
  <DocSecurity>0</DocSecurity>
  <Lines>286</Lines>
  <Paragraphs>80</Paragraphs>
  <ScaleCrop>false</ScaleCrop>
  <Company>irina kitley</Company>
  <LinksUpToDate>false</LinksUpToDate>
  <CharactersWithSpaces>40350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 in a global business</dc:title>
  <dc:subject>A Critical Anslysis of Commercial, Cultural and Environmental Leadership Tensions at Shell plc.</dc:subject>
  <dc:creator>Irina Kitley</dc:creator>
  <cp:keywords/>
  <dc:description/>
  <cp:lastModifiedBy>Irina Kitley</cp:lastModifiedBy>
  <cp:revision>111</cp:revision>
  <dcterms:created xsi:type="dcterms:W3CDTF">2026-07-19T16:31:00Z</dcterms:created>
  <dcterms:modified xsi:type="dcterms:W3CDTF">2026-07-24T09:09:00Z</dcterms:modified>
</cp:coreProperties>
</file>