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0A56F6DB"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w:t>
      </w:r>
      <w:r w:rsidR="00F36505">
        <w:rPr>
          <w:rFonts w:ascii="Tahoma" w:hAnsi="Tahoma" w:cs="Tahoma"/>
        </w:rPr>
        <w:t>acquired</w:t>
      </w:r>
      <w:r>
        <w:rPr>
          <w:rFonts w:ascii="Tahoma" w:hAnsi="Tahoma" w:cs="Tahoma"/>
        </w:rPr>
        <w:t xml:space="preserve">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4548D4CC" w:rsidR="0079230B" w:rsidRDefault="0079230B" w:rsidP="0079230B">
      <w:pPr>
        <w:pStyle w:val="NormalWeb"/>
        <w:numPr>
          <w:ilvl w:val="0"/>
          <w:numId w:val="28"/>
        </w:numPr>
        <w:rPr>
          <w:rFonts w:ascii="SymbolMT" w:hAnsi="SymbolMT"/>
        </w:rPr>
      </w:pPr>
      <w:r>
        <w:rPr>
          <w:rFonts w:ascii="Calibri" w:hAnsi="Calibri" w:cs="Calibri"/>
        </w:rPr>
        <w:t>Ratings, Inspections</w:t>
      </w:r>
      <w:r w:rsidR="00F36505">
        <w:rPr>
          <w:rFonts w:ascii="Calibri" w:hAnsi="Calibri" w:cs="Calibri"/>
        </w:rPr>
        <w:t>,</w:t>
      </w:r>
      <w:r>
        <w:rPr>
          <w:rFonts w:ascii="Calibri" w:hAnsi="Calibri" w:cs="Calibri"/>
        </w:rPr>
        <w:t xml:space="preserve"> and Reporting Procedures </w:t>
      </w:r>
    </w:p>
    <w:p w14:paraId="1EB2ED0E" w14:textId="77777777" w:rsidR="00B945EA" w:rsidRDefault="00B945EA" w:rsidP="00B945EA">
      <w:pPr>
        <w:jc w:val="both"/>
        <w:rPr>
          <w:rFonts w:ascii="Tahoma" w:hAnsi="Tahoma" w:cs="Tahoma"/>
        </w:rPr>
      </w:pPr>
    </w:p>
    <w:p w14:paraId="7011E673" w14:textId="15C6A0A4"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 xml:space="preserve">hat have you </w:t>
      </w:r>
      <w:r w:rsidR="00F36505">
        <w:rPr>
          <w:rFonts w:ascii="Tahoma" w:hAnsi="Tahoma" w:cs="Tahoma"/>
        </w:rPr>
        <w:t>learned</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 xml:space="preserve">new </w:t>
      </w:r>
      <w:r w:rsidR="00F36505">
        <w:rPr>
          <w:rFonts w:ascii="Tahoma" w:hAnsi="Tahoma" w:cs="Tahoma"/>
          <w:b/>
          <w:bCs/>
        </w:rPr>
        <w:t>skills/knowledge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12B374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04D33">
              <w:rPr>
                <w:rFonts w:ascii="Tahoma" w:hAnsi="Tahoma" w:cs="Tahoma"/>
                <w:b/>
                <w:sz w:val="20"/>
                <w:szCs w:val="20"/>
              </w:rPr>
              <w:t>Ferdous Rahman</w:t>
            </w:r>
          </w:p>
          <w:p w14:paraId="498F0B10" w14:textId="77777777" w:rsidR="001B69C8" w:rsidRPr="003C3341" w:rsidRDefault="001B69C8">
            <w:pPr>
              <w:rPr>
                <w:rFonts w:ascii="Tahoma" w:hAnsi="Tahoma" w:cs="Tahoma"/>
                <w:b/>
                <w:sz w:val="20"/>
                <w:szCs w:val="20"/>
              </w:rPr>
            </w:pPr>
          </w:p>
          <w:p w14:paraId="69E1F0CF" w14:textId="2DBD2626"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04D33">
              <w:rPr>
                <w:rFonts w:ascii="Tahoma" w:hAnsi="Tahoma" w:cs="Tahoma"/>
                <w:b/>
                <w:sz w:val="20"/>
                <w:szCs w:val="20"/>
              </w:rPr>
              <w:t>2120267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BF9EE7D"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C14AC">
              <w:rPr>
                <w:rFonts w:ascii="Tahoma" w:hAnsi="Tahoma" w:cs="Tahoma"/>
                <w:b/>
                <w:sz w:val="20"/>
                <w:szCs w:val="20"/>
              </w:rPr>
              <w:t>F</w:t>
            </w:r>
            <w:r w:rsidR="00504D33">
              <w:rPr>
                <w:rFonts w:ascii="Tahoma" w:hAnsi="Tahoma" w:cs="Tahoma"/>
                <w:b/>
                <w:sz w:val="20"/>
                <w:szCs w:val="20"/>
              </w:rPr>
              <w:t>ood</w:t>
            </w:r>
            <w:r w:rsidR="00DC14AC">
              <w:rPr>
                <w:rFonts w:ascii="Tahoma" w:hAnsi="Tahoma" w:cs="Tahoma"/>
                <w:b/>
                <w:sz w:val="20"/>
                <w:szCs w:val="20"/>
              </w:rPr>
              <w:t xml:space="preserve"> </w:t>
            </w:r>
            <w:r w:rsidR="00504D33">
              <w:rPr>
                <w:rFonts w:ascii="Tahoma" w:hAnsi="Tahoma" w:cs="Tahoma"/>
                <w:b/>
                <w:sz w:val="20"/>
                <w:szCs w:val="20"/>
              </w:rPr>
              <w:t>&amp;</w:t>
            </w:r>
            <w:r w:rsidR="00DC14AC">
              <w:rPr>
                <w:rFonts w:ascii="Tahoma" w:hAnsi="Tahoma" w:cs="Tahoma"/>
                <w:b/>
                <w:sz w:val="20"/>
                <w:szCs w:val="20"/>
              </w:rPr>
              <w:t xml:space="preserve"> </w:t>
            </w:r>
            <w:r w:rsidR="00504D33">
              <w:rPr>
                <w:rFonts w:ascii="Tahoma" w:hAnsi="Tahoma" w:cs="Tahoma"/>
                <w:b/>
                <w:sz w:val="20"/>
                <w:szCs w:val="20"/>
              </w:rPr>
              <w:t xml:space="preserve">Beverage </w:t>
            </w:r>
            <w:r w:rsidR="00DC14AC">
              <w:rPr>
                <w:rFonts w:ascii="Tahoma" w:hAnsi="Tahoma" w:cs="Tahoma"/>
                <w:b/>
                <w:sz w:val="20"/>
                <w:szCs w:val="20"/>
              </w:rPr>
              <w:t>Operations</w:t>
            </w:r>
            <w:r w:rsidR="00504D33">
              <w:rPr>
                <w:rFonts w:ascii="Tahoma" w:hAnsi="Tahoma" w:cs="Tahoma"/>
                <w:b/>
                <w:sz w:val="20"/>
                <w:szCs w:val="20"/>
              </w:rPr>
              <w:t xml:space="preserve"> </w:t>
            </w:r>
            <w:r w:rsidR="00DC14AC">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4F47B64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C14AC">
              <w:rPr>
                <w:rFonts w:ascii="Tahoma" w:hAnsi="Tahoma" w:cs="Tahoma"/>
                <w:b/>
                <w:sz w:val="20"/>
                <w:szCs w:val="20"/>
              </w:rPr>
              <w:t xml:space="preserve">Ffion </w:t>
            </w:r>
            <w:r w:rsidR="00F36505">
              <w:rPr>
                <w:rFonts w:ascii="Tahoma" w:hAnsi="Tahoma" w:cs="Tahoma"/>
                <w:b/>
                <w:sz w:val="20"/>
                <w:szCs w:val="20"/>
              </w:rPr>
              <w:t>Cumberbatch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6B6AEEB7" w:rsidR="00B21F2E" w:rsidRPr="00946B23" w:rsidRDefault="00F36505" w:rsidP="00B21F2E">
            <w:pPr>
              <w:rPr>
                <w:rFonts w:ascii="Tahoma" w:hAnsi="Tahoma" w:cs="Tahoma"/>
                <w:b/>
                <w:sz w:val="20"/>
                <w:szCs w:val="20"/>
              </w:rPr>
            </w:pPr>
            <w:r>
              <w:rPr>
                <w:rFonts w:ascii="Tahoma" w:hAnsi="Tahoma" w:cs="Tahoma"/>
                <w:b/>
                <w:sz w:val="20"/>
                <w:szCs w:val="20"/>
              </w:rPr>
              <w:t>The topic</w:t>
            </w:r>
            <w:r w:rsidR="008F0D83">
              <w:rPr>
                <w:rFonts w:ascii="Tahoma" w:hAnsi="Tahoma" w:cs="Tahoma"/>
                <w:b/>
                <w:sz w:val="20"/>
                <w:szCs w:val="20"/>
              </w:rPr>
              <w:t xml:space="preserve">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10993121" w14:textId="77777777" w:rsidR="00504D33" w:rsidRPr="00504D33" w:rsidRDefault="00504D33" w:rsidP="00504D33">
            <w:pPr>
              <w:jc w:val="center"/>
              <w:rPr>
                <w:rFonts w:ascii="Tahoma" w:hAnsi="Tahoma" w:cs="Tahoma"/>
                <w:b/>
                <w:sz w:val="20"/>
                <w:szCs w:val="20"/>
                <w:lang w:val="en-US"/>
              </w:rPr>
            </w:pPr>
            <w:r w:rsidRPr="00504D33">
              <w:rPr>
                <w:rFonts w:ascii="Tahoma" w:hAnsi="Tahoma" w:cs="Tahoma"/>
                <w:b/>
                <w:sz w:val="20"/>
                <w:szCs w:val="20"/>
                <w:lang w:val="en-US"/>
              </w:rPr>
              <w:t>Allergies and intolerance and the importance within the industry</w:t>
            </w:r>
          </w:p>
          <w:p w14:paraId="5FFE80D9" w14:textId="77777777" w:rsidR="00504D33" w:rsidRPr="00504D33" w:rsidRDefault="00504D33" w:rsidP="00504D33">
            <w:pPr>
              <w:jc w:val="center"/>
              <w:rPr>
                <w:rFonts w:ascii="Tahoma" w:hAnsi="Tahoma" w:cs="Tahoma"/>
                <w:b/>
                <w:sz w:val="20"/>
                <w:szCs w:val="20"/>
                <w:lang w:val="en-US"/>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23EDC17D" w14:textId="5130B28E" w:rsidR="00DC14AC" w:rsidRPr="00DC14AC" w:rsidRDefault="00DC14AC" w:rsidP="00F36505">
            <w:pPr>
              <w:contextualSpacing/>
              <w:rPr>
                <w:rFonts w:eastAsia="Calibri"/>
                <w:szCs w:val="22"/>
                <w:lang w:val="en-US" w:eastAsia="en-US"/>
              </w:rPr>
            </w:pPr>
          </w:p>
          <w:p w14:paraId="73249147" w14:textId="77777777" w:rsidR="00DC14AC" w:rsidRPr="00DC14AC" w:rsidRDefault="00DC14AC" w:rsidP="00DC14AC">
            <w:pPr>
              <w:spacing w:after="160" w:line="259" w:lineRule="auto"/>
              <w:rPr>
                <w:rFonts w:ascii="Arial" w:eastAsia="Calibri" w:hAnsi="Arial" w:cs="Arial"/>
                <w:lang w:val="en-US" w:eastAsia="en-US"/>
              </w:rPr>
            </w:pPr>
            <w:r w:rsidRPr="00DC14AC">
              <w:rPr>
                <w:rFonts w:ascii="Arial" w:eastAsia="Calibri" w:hAnsi="Arial" w:cs="Arial"/>
                <w:lang w:val="en-US" w:eastAsia="en-US"/>
              </w:rPr>
              <w:t xml:space="preserve">Allergies and intolerance are two different things, intolerance can be defined as a reaction of the digestive system towards food while an allergy can be defined as an effect on the digestive system caused after the consumption of some </w:t>
            </w:r>
            <w:proofErr w:type="gramStart"/>
            <w:r w:rsidRPr="00DC14AC">
              <w:rPr>
                <w:rFonts w:ascii="Arial" w:eastAsia="Calibri" w:hAnsi="Arial" w:cs="Arial"/>
                <w:lang w:val="en-US" w:eastAsia="en-US"/>
              </w:rPr>
              <w:t>particular food</w:t>
            </w:r>
            <w:proofErr w:type="gramEnd"/>
            <w:r w:rsidRPr="00DC14AC">
              <w:rPr>
                <w:rFonts w:ascii="Arial" w:eastAsia="Calibri" w:hAnsi="Arial" w:cs="Arial"/>
                <w:lang w:val="en-US" w:eastAsia="en-US"/>
              </w:rPr>
              <w:t xml:space="preserve"> or drink. Intolerance occurs when a digestive system of a human is unable to digest food, it usually happens due to the deficiency of digestive enzymes. The food and beverage industry </w:t>
            </w:r>
            <w:proofErr w:type="gramStart"/>
            <w:r w:rsidRPr="00DC14AC">
              <w:rPr>
                <w:rFonts w:ascii="Arial" w:eastAsia="Calibri" w:hAnsi="Arial" w:cs="Arial"/>
                <w:lang w:val="en-US" w:eastAsia="en-US"/>
              </w:rPr>
              <w:t>is</w:t>
            </w:r>
            <w:proofErr w:type="gramEnd"/>
            <w:r w:rsidRPr="00DC14AC">
              <w:rPr>
                <w:rFonts w:ascii="Arial" w:eastAsia="Calibri" w:hAnsi="Arial" w:cs="Arial"/>
                <w:lang w:val="en-US" w:eastAsia="en-US"/>
              </w:rPr>
              <w:t xml:space="preserve"> not small, it includes restaurants, hotels, catering services, cafes, and food transportation services. These cases mostly happen with children as their immune system is not as strong as adults (</w:t>
            </w:r>
            <w:r w:rsidRPr="00DC14AC">
              <w:rPr>
                <w:rFonts w:eastAsia="Calibri"/>
                <w:szCs w:val="22"/>
                <w:lang w:val="en-US" w:eastAsia="en-US"/>
              </w:rPr>
              <w:t>Dupuis et.al 2016)</w:t>
            </w:r>
            <w:r w:rsidRPr="00DC14AC">
              <w:rPr>
                <w:rFonts w:ascii="Arial" w:eastAsia="Calibri" w:hAnsi="Arial" w:cs="Arial"/>
                <w:lang w:val="en-US" w:eastAsia="en-US"/>
              </w:rPr>
              <w:t xml:space="preserve">. Allergies and intolerance in the industry are important factors to consider for better health and safety. In medical terms, an adverse reaction to food that results in a </w:t>
            </w:r>
            <w:proofErr w:type="gramStart"/>
            <w:r w:rsidRPr="00DC14AC">
              <w:rPr>
                <w:rFonts w:ascii="Arial" w:eastAsia="Calibri" w:hAnsi="Arial" w:cs="Arial"/>
                <w:lang w:val="en-US" w:eastAsia="en-US"/>
              </w:rPr>
              <w:t>disease</w:t>
            </w:r>
            <w:proofErr w:type="gramEnd"/>
            <w:r w:rsidRPr="00DC14AC">
              <w:rPr>
                <w:rFonts w:ascii="Arial" w:eastAsia="Calibri" w:hAnsi="Arial" w:cs="Arial"/>
                <w:lang w:val="en-US" w:eastAsia="en-US"/>
              </w:rPr>
              <w:t xml:space="preserve"> or an infection is known as an allergy. Millions of people face diseases like Vomiting, diarrhea, and fever, that are caused by the consumption of food that is contaminated or it is allergic. A food allergy is a reaction of a digestive system that is caused when the body identifies a food as harmful. It is a process in which an immune system protects itself from bacterial or infected food that is dangerous to health. It is observed that allergic food is not harmful to everyone, but it can be quite effective for a few, it can cause vomiting, fever diarrhea, and abdominal pain (</w:t>
            </w:r>
            <w:r w:rsidRPr="00DC14AC">
              <w:rPr>
                <w:rFonts w:eastAsia="Calibri"/>
                <w:szCs w:val="22"/>
                <w:lang w:val="en-US" w:eastAsia="en-US"/>
              </w:rPr>
              <w:t>Grief, S.N., 2016)</w:t>
            </w:r>
            <w:r w:rsidRPr="00DC14AC">
              <w:rPr>
                <w:rFonts w:ascii="Arial" w:eastAsia="Calibri" w:hAnsi="Arial" w:cs="Arial"/>
                <w:lang w:val="en-US" w:eastAsia="en-US"/>
              </w:rPr>
              <w:t xml:space="preserve">. </w:t>
            </w:r>
          </w:p>
          <w:p w14:paraId="5CE64BD3" w14:textId="77777777" w:rsidR="00DC14AC" w:rsidRPr="00DC14AC" w:rsidRDefault="00DC14AC" w:rsidP="00DC14AC">
            <w:pPr>
              <w:spacing w:after="160" w:line="259" w:lineRule="auto"/>
              <w:rPr>
                <w:rFonts w:ascii="Arial" w:eastAsia="Calibri" w:hAnsi="Arial" w:cs="Arial"/>
                <w:lang w:val="en-US" w:eastAsia="en-US"/>
              </w:rPr>
            </w:pPr>
          </w:p>
          <w:p w14:paraId="09F7C163" w14:textId="77777777" w:rsidR="00DC14AC" w:rsidRPr="00DC14AC" w:rsidRDefault="00DC14AC" w:rsidP="00DC14AC">
            <w:pPr>
              <w:spacing w:after="160" w:line="259" w:lineRule="auto"/>
              <w:rPr>
                <w:rFonts w:ascii="Arial" w:eastAsia="Calibri" w:hAnsi="Arial" w:cs="Arial"/>
                <w:lang w:val="en-US" w:eastAsia="en-US"/>
              </w:rPr>
            </w:pPr>
            <w:r w:rsidRPr="00DC14AC">
              <w:rPr>
                <w:rFonts w:ascii="Arial" w:eastAsia="Calibri" w:hAnsi="Arial" w:cs="Arial"/>
                <w:lang w:val="en-US" w:eastAsia="en-US"/>
              </w:rPr>
              <w:t xml:space="preserve">During the visit to industries and interacting with the professionals working in the food and beverages industry, we learned the symptoms that appear after an intolerance of food and allergic reaction, with the help of that system we can easily identify the case. A person needs to know about the ingredients of the food and the most important thing is to consider how will those ingredients affect the immune system. This is the way to eliminate allergies and intolerance of food in the industry. Different people are allergic to certain foods, it is natural. To avoid food allergies, it is very important to separate those ingredients that are allergic to a person. The food industry has been working on it for a long time by </w:t>
            </w:r>
            <w:r w:rsidRPr="00DC14AC">
              <w:rPr>
                <w:rFonts w:ascii="Arial" w:eastAsia="Calibri" w:hAnsi="Arial" w:cs="Arial"/>
                <w:lang w:val="en-US" w:eastAsia="en-US"/>
              </w:rPr>
              <w:lastRenderedPageBreak/>
              <w:t>training the staff about the allergic risks and management, and it is very important to communicate with the consumer to know about it (</w:t>
            </w:r>
            <w:r w:rsidRPr="00DC14AC">
              <w:rPr>
                <w:rFonts w:eastAsia="Calibri"/>
                <w:szCs w:val="22"/>
                <w:lang w:val="en-US" w:eastAsia="en-US"/>
              </w:rPr>
              <w:t>Popping &amp; Diaz-Amigo 2018)</w:t>
            </w:r>
            <w:r w:rsidRPr="00DC14AC">
              <w:rPr>
                <w:rFonts w:ascii="Arial" w:eastAsia="Calibri" w:hAnsi="Arial" w:cs="Arial"/>
                <w:lang w:val="en-US" w:eastAsia="en-US"/>
              </w:rPr>
              <w:t xml:space="preserve">. There are a few symptoms that indicate food allergy and intolerance, like intolerance of food, which is not life-threatening while the allergy can become life-threatening in some cases. This knowledge is quite </w:t>
            </w:r>
            <w:proofErr w:type="gramStart"/>
            <w:r w:rsidRPr="00DC14AC">
              <w:rPr>
                <w:rFonts w:ascii="Arial" w:eastAsia="Calibri" w:hAnsi="Arial" w:cs="Arial"/>
                <w:lang w:val="en-US" w:eastAsia="en-US"/>
              </w:rPr>
              <w:t>useful</w:t>
            </w:r>
            <w:proofErr w:type="gramEnd"/>
            <w:r w:rsidRPr="00DC14AC">
              <w:rPr>
                <w:rFonts w:ascii="Arial" w:eastAsia="Calibri" w:hAnsi="Arial" w:cs="Arial"/>
                <w:lang w:val="en-US" w:eastAsia="en-US"/>
              </w:rPr>
              <w:t xml:space="preserve"> and it can help me in many different ways. I can try using this knowledge to ensure the health and safety of the consumer, If I am working in the food industry I should communicate with the consumer and I should be aware, if the consumer is allergic to any food or not, I should learn to manage these kinds of cases. While working in the food industry I can face these issues anytime.  </w:t>
            </w:r>
          </w:p>
          <w:p w14:paraId="00C29D61" w14:textId="77777777" w:rsidR="00DC14AC" w:rsidRPr="00DC14AC" w:rsidRDefault="00DC14AC" w:rsidP="00DC14AC">
            <w:pPr>
              <w:spacing w:after="160" w:line="259" w:lineRule="auto"/>
              <w:rPr>
                <w:rFonts w:ascii="Arial" w:eastAsia="Calibri" w:hAnsi="Arial" w:cs="Arial"/>
                <w:lang w:val="en-US" w:eastAsia="en-US"/>
              </w:rPr>
            </w:pPr>
            <w:r w:rsidRPr="00DC14AC">
              <w:rPr>
                <w:rFonts w:ascii="Arial" w:eastAsia="Calibri" w:hAnsi="Arial" w:cs="Arial"/>
                <w:lang w:val="en-US" w:eastAsia="en-US"/>
              </w:rPr>
              <w:t>The topic is very important to consider if anyone aims to work in the food and beverage industry (</w:t>
            </w:r>
            <w:proofErr w:type="spellStart"/>
            <w:r w:rsidRPr="00DC14AC">
              <w:rPr>
                <w:rFonts w:eastAsia="Calibri"/>
                <w:szCs w:val="22"/>
                <w:lang w:val="en-US" w:eastAsia="en-US"/>
              </w:rPr>
              <w:t>Facioni</w:t>
            </w:r>
            <w:proofErr w:type="spellEnd"/>
            <w:r w:rsidRPr="00DC14AC">
              <w:rPr>
                <w:rFonts w:eastAsia="Calibri"/>
                <w:szCs w:val="22"/>
                <w:lang w:val="en-US" w:eastAsia="en-US"/>
              </w:rPr>
              <w:t xml:space="preserve"> et.al 2020)</w:t>
            </w:r>
            <w:r w:rsidRPr="00DC14AC">
              <w:rPr>
                <w:rFonts w:ascii="Arial" w:eastAsia="Calibri" w:hAnsi="Arial" w:cs="Arial"/>
                <w:lang w:val="en-US" w:eastAsia="en-US"/>
              </w:rPr>
              <w:t>. Proper training of the people should be made to avoid or reduce the causes of food allergy and intolerance. It can help the professionals working in the food and beverages industry by managing the manufacturing of the food along with the ingredients that are going to be used (</w:t>
            </w:r>
            <w:r w:rsidRPr="00DC14AC">
              <w:rPr>
                <w:rFonts w:eastAsia="Calibri"/>
                <w:szCs w:val="22"/>
                <w:lang w:val="en-US" w:eastAsia="en-US"/>
              </w:rPr>
              <w:t>Turnbull, et.al 2015)</w:t>
            </w:r>
            <w:r w:rsidRPr="00DC14AC">
              <w:rPr>
                <w:rFonts w:ascii="Arial" w:eastAsia="Calibri" w:hAnsi="Arial" w:cs="Arial"/>
                <w:lang w:val="en-US" w:eastAsia="en-US"/>
              </w:rPr>
              <w:t xml:space="preserve">. There are a few factors that should be considered while working in the industry like the selection of ingredients, food contact surfaces, product scheduling, testing and most importantly mentioning the ingredients by properly labeling the packaging of the product. These steps, if followed properly can help in maintaining the health and safety of the people. </w:t>
            </w:r>
          </w:p>
          <w:p w14:paraId="451C3E5F" w14:textId="77777777" w:rsidR="00DC14AC" w:rsidRPr="00DC14AC" w:rsidRDefault="00DC14AC" w:rsidP="00DC14AC">
            <w:pPr>
              <w:spacing w:after="160" w:line="259" w:lineRule="auto"/>
              <w:rPr>
                <w:rFonts w:ascii="Arial" w:eastAsia="Calibri" w:hAnsi="Arial" w:cs="Arial"/>
                <w:lang w:val="en-US" w:eastAsia="en-US"/>
              </w:rPr>
            </w:pPr>
            <w:r w:rsidRPr="00DC14AC">
              <w:rPr>
                <w:rFonts w:ascii="Arial" w:eastAsia="Calibri" w:hAnsi="Arial" w:cs="Arial"/>
                <w:lang w:val="en-US" w:eastAsia="en-US"/>
              </w:rPr>
              <w:t>Along with the rise in allergic cases the industry has been working on the safety and protection of consumers’ health (</w:t>
            </w:r>
            <w:r w:rsidRPr="00DC14AC">
              <w:rPr>
                <w:rFonts w:eastAsia="Calibri"/>
                <w:szCs w:val="22"/>
                <w:lang w:val="en-US" w:eastAsia="en-US"/>
              </w:rPr>
              <w:t>Gupta et.al 2017)</w:t>
            </w:r>
            <w:r w:rsidRPr="00DC14AC">
              <w:rPr>
                <w:rFonts w:ascii="Arial" w:eastAsia="Calibri" w:hAnsi="Arial" w:cs="Arial"/>
                <w:lang w:val="en-US" w:eastAsia="en-US"/>
              </w:rPr>
              <w:t>. The food industry has started mentioning the ingredients on the packaging of food items so it can be easy for people to know if the food is allergic to them or not. Health organizations have been raising awareness related to allergies and intolerance, and important within the food industry to help people with their health. This topic has helped the health organization maintain some standards of food quality by raising awareness about allergies and intolerance to food. Different health organizations are now working actively on this issue to reduce food safety hazards and ensure that the product manufactured in the industry is safe and healthy for the consumer. Health organizations ensure that the staff working in the food industry must be aware of the consequences of allergy and intolerance and they should also know how to handle people that suffer from food allergies or food intolerance (</w:t>
            </w:r>
            <w:proofErr w:type="spellStart"/>
            <w:r w:rsidRPr="00DC14AC">
              <w:rPr>
                <w:rFonts w:eastAsia="Calibri"/>
                <w:szCs w:val="22"/>
                <w:lang w:val="en-US" w:eastAsia="en-US"/>
              </w:rPr>
              <w:t>Gilissen</w:t>
            </w:r>
            <w:proofErr w:type="spellEnd"/>
            <w:r w:rsidRPr="00DC14AC">
              <w:rPr>
                <w:rFonts w:eastAsia="Calibri"/>
                <w:szCs w:val="22"/>
                <w:lang w:val="en-US" w:eastAsia="en-US"/>
              </w:rPr>
              <w:t xml:space="preserve"> et.al 2014)</w:t>
            </w:r>
            <w:r w:rsidRPr="00DC14AC">
              <w:rPr>
                <w:rFonts w:ascii="Arial" w:eastAsia="Calibri" w:hAnsi="Arial" w:cs="Arial"/>
                <w:lang w:val="en-US" w:eastAsia="en-US"/>
              </w:rPr>
              <w:t>.</w:t>
            </w:r>
          </w:p>
          <w:p w14:paraId="67919BD3" w14:textId="77777777" w:rsidR="00DC14AC" w:rsidRPr="00DC14AC" w:rsidRDefault="00DC14AC" w:rsidP="00DC14AC">
            <w:pPr>
              <w:spacing w:after="160" w:line="259" w:lineRule="auto"/>
              <w:rPr>
                <w:rFonts w:ascii="Arial" w:eastAsia="Calibri" w:hAnsi="Arial" w:cs="Arial"/>
                <w:lang w:val="en-US" w:eastAsia="en-US"/>
              </w:rPr>
            </w:pPr>
          </w:p>
          <w:p w14:paraId="5813E6BC" w14:textId="77777777" w:rsidR="00DC14AC" w:rsidRPr="00DC14AC" w:rsidRDefault="00DC14AC" w:rsidP="00DC14AC">
            <w:pPr>
              <w:spacing w:after="160" w:line="259" w:lineRule="auto"/>
              <w:rPr>
                <w:rFonts w:ascii="Arial" w:eastAsia="Calibri" w:hAnsi="Arial" w:cs="Arial"/>
                <w:lang w:val="en-US" w:eastAsia="en-US"/>
              </w:rPr>
            </w:pPr>
          </w:p>
          <w:p w14:paraId="0E87A885" w14:textId="77777777" w:rsidR="00DC14AC" w:rsidRPr="00DC14AC" w:rsidRDefault="00DC14AC" w:rsidP="00DC14AC">
            <w:pPr>
              <w:spacing w:after="160" w:line="259" w:lineRule="auto"/>
              <w:rPr>
                <w:rFonts w:ascii="Arial" w:eastAsia="Calibri" w:hAnsi="Arial" w:cs="Arial"/>
                <w:lang w:val="en-US" w:eastAsia="en-US"/>
              </w:rPr>
            </w:pPr>
          </w:p>
          <w:p w14:paraId="4EF39C1A" w14:textId="40F93366" w:rsidR="00DC14AC" w:rsidRPr="00DC14AC" w:rsidRDefault="00DC14AC" w:rsidP="00DC14AC">
            <w:pPr>
              <w:spacing w:after="160" w:line="259" w:lineRule="auto"/>
              <w:rPr>
                <w:rFonts w:eastAsia="Calibri"/>
                <w:szCs w:val="22"/>
                <w:lang w:val="en-US" w:eastAsia="en-US"/>
              </w:rPr>
            </w:pPr>
          </w:p>
          <w:p w14:paraId="72B87339" w14:textId="77777777" w:rsidR="00DC14AC" w:rsidRPr="00DC14AC" w:rsidRDefault="00DC14AC" w:rsidP="00DC14AC">
            <w:pPr>
              <w:spacing w:after="160" w:line="259" w:lineRule="auto"/>
              <w:rPr>
                <w:rFonts w:eastAsia="Calibri"/>
                <w:szCs w:val="22"/>
                <w:lang w:val="en-US" w:eastAsia="en-US"/>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53FB73E4" w14:textId="77777777" w:rsidR="007F2605" w:rsidRPr="007F2605" w:rsidRDefault="007F2605" w:rsidP="007F2605">
            <w:pPr>
              <w:spacing w:after="160" w:line="259" w:lineRule="auto"/>
              <w:rPr>
                <w:rFonts w:eastAsia="Calibri"/>
                <w:szCs w:val="22"/>
                <w:lang w:val="en-US" w:eastAsia="en-US"/>
              </w:rPr>
            </w:pPr>
            <w:r w:rsidRPr="007F2605">
              <w:rPr>
                <w:rFonts w:eastAsia="Calibri"/>
                <w:szCs w:val="22"/>
                <w:lang w:val="en-US" w:eastAsia="en-US"/>
              </w:rPr>
              <w:t>References</w:t>
            </w:r>
          </w:p>
          <w:p w14:paraId="7099E298" w14:textId="77777777" w:rsidR="007F2605" w:rsidRPr="007F2605" w:rsidRDefault="007F2605" w:rsidP="007F2605">
            <w:pPr>
              <w:spacing w:after="160" w:line="259" w:lineRule="auto"/>
              <w:rPr>
                <w:rFonts w:eastAsia="Calibri"/>
                <w:szCs w:val="22"/>
                <w:lang w:val="en-US" w:eastAsia="en-US"/>
              </w:rPr>
            </w:pPr>
          </w:p>
          <w:p w14:paraId="5A96C938" w14:textId="77777777" w:rsidR="007F2605" w:rsidRPr="007F2605" w:rsidRDefault="007F2605" w:rsidP="007F2605">
            <w:pPr>
              <w:spacing w:after="160" w:line="259" w:lineRule="auto"/>
              <w:rPr>
                <w:rFonts w:eastAsia="Calibri"/>
                <w:szCs w:val="22"/>
                <w:lang w:val="en-US" w:eastAsia="en-US"/>
              </w:rPr>
            </w:pPr>
            <w:r w:rsidRPr="007F2605">
              <w:rPr>
                <w:rFonts w:eastAsia="Calibri"/>
                <w:szCs w:val="22"/>
                <w:lang w:val="en-US" w:eastAsia="en-US"/>
              </w:rPr>
              <w:t>Grief, S.N., 2016. Food allergies. Primary Care: Clinics in Office Practice, 43(3), pp.375-391.</w:t>
            </w:r>
          </w:p>
          <w:p w14:paraId="65B247AD" w14:textId="77777777" w:rsidR="007F2605" w:rsidRPr="007F2605" w:rsidRDefault="007F2605" w:rsidP="007F2605">
            <w:pPr>
              <w:spacing w:after="160" w:line="259" w:lineRule="auto"/>
              <w:rPr>
                <w:rFonts w:eastAsia="Calibri"/>
                <w:szCs w:val="22"/>
                <w:lang w:val="en-US" w:eastAsia="en-US"/>
              </w:rPr>
            </w:pPr>
            <w:hyperlink r:id="rId7" w:history="1">
              <w:r w:rsidRPr="007F2605">
                <w:rPr>
                  <w:rFonts w:eastAsia="Calibri"/>
                  <w:color w:val="0563C1"/>
                  <w:szCs w:val="22"/>
                  <w:u w:val="single"/>
                  <w:lang w:val="en-US" w:eastAsia="en-US"/>
                </w:rPr>
                <w:t>https://www.primarycare.theclinics.com/article/S0095-4543(16)30020-3/abstract</w:t>
              </w:r>
            </w:hyperlink>
          </w:p>
          <w:p w14:paraId="0374ABFE" w14:textId="77777777" w:rsidR="007F2605" w:rsidRPr="007F2605" w:rsidRDefault="007F2605" w:rsidP="007F2605">
            <w:pPr>
              <w:spacing w:after="160" w:line="259" w:lineRule="auto"/>
              <w:rPr>
                <w:rFonts w:eastAsia="Calibri"/>
                <w:szCs w:val="22"/>
                <w:lang w:val="en-US" w:eastAsia="en-US"/>
              </w:rPr>
            </w:pPr>
          </w:p>
          <w:p w14:paraId="2DF6D138" w14:textId="77777777" w:rsidR="007F2605" w:rsidRPr="007F2605" w:rsidRDefault="007F2605" w:rsidP="007F2605">
            <w:pPr>
              <w:spacing w:after="160" w:line="259" w:lineRule="auto"/>
              <w:rPr>
                <w:rFonts w:eastAsia="Calibri"/>
                <w:szCs w:val="22"/>
                <w:lang w:val="en-US" w:eastAsia="en-US"/>
              </w:rPr>
            </w:pPr>
            <w:r w:rsidRPr="007F2605">
              <w:rPr>
                <w:rFonts w:eastAsia="Calibri"/>
                <w:szCs w:val="22"/>
                <w:lang w:val="en-US" w:eastAsia="en-US"/>
              </w:rPr>
              <w:t xml:space="preserve">Dupuis, R., Meisel, Z., Grande, D., </w:t>
            </w:r>
            <w:proofErr w:type="spellStart"/>
            <w:r w:rsidRPr="007F2605">
              <w:rPr>
                <w:rFonts w:eastAsia="Calibri"/>
                <w:szCs w:val="22"/>
                <w:lang w:val="en-US" w:eastAsia="en-US"/>
              </w:rPr>
              <w:t>Strupp</w:t>
            </w:r>
            <w:proofErr w:type="spellEnd"/>
            <w:r w:rsidRPr="007F2605">
              <w:rPr>
                <w:rFonts w:eastAsia="Calibri"/>
                <w:szCs w:val="22"/>
                <w:lang w:val="en-US" w:eastAsia="en-US"/>
              </w:rPr>
              <w:t xml:space="preserve">, E., </w:t>
            </w:r>
            <w:proofErr w:type="spellStart"/>
            <w:r w:rsidRPr="007F2605">
              <w:rPr>
                <w:rFonts w:eastAsia="Calibri"/>
                <w:szCs w:val="22"/>
                <w:lang w:val="en-US" w:eastAsia="en-US"/>
              </w:rPr>
              <w:t>Kounaves</w:t>
            </w:r>
            <w:proofErr w:type="spellEnd"/>
            <w:r w:rsidRPr="007F2605">
              <w:rPr>
                <w:rFonts w:eastAsia="Calibri"/>
                <w:szCs w:val="22"/>
                <w:lang w:val="en-US" w:eastAsia="en-US"/>
              </w:rPr>
              <w:t xml:space="preserve">, S., Graves, A., </w:t>
            </w:r>
            <w:proofErr w:type="spellStart"/>
            <w:r w:rsidRPr="007F2605">
              <w:rPr>
                <w:rFonts w:eastAsia="Calibri"/>
                <w:szCs w:val="22"/>
                <w:lang w:val="en-US" w:eastAsia="en-US"/>
              </w:rPr>
              <w:t>Frasso</w:t>
            </w:r>
            <w:proofErr w:type="spellEnd"/>
            <w:r w:rsidRPr="007F2605">
              <w:rPr>
                <w:rFonts w:eastAsia="Calibri"/>
                <w:szCs w:val="22"/>
                <w:lang w:val="en-US" w:eastAsia="en-US"/>
              </w:rPr>
              <w:t xml:space="preserve">, R. and </w:t>
            </w:r>
            <w:proofErr w:type="spellStart"/>
            <w:r w:rsidRPr="007F2605">
              <w:rPr>
                <w:rFonts w:eastAsia="Calibri"/>
                <w:szCs w:val="22"/>
                <w:lang w:val="en-US" w:eastAsia="en-US"/>
              </w:rPr>
              <w:t>Cannuscio</w:t>
            </w:r>
            <w:proofErr w:type="spellEnd"/>
            <w:r w:rsidRPr="007F2605">
              <w:rPr>
                <w:rFonts w:eastAsia="Calibri"/>
                <w:szCs w:val="22"/>
                <w:lang w:val="en-US" w:eastAsia="en-US"/>
              </w:rPr>
              <w:t>, C.C., 2016. Food allergy management among restaurant workers in a large US city. Food Control, 63, pp.147-157.</w:t>
            </w:r>
          </w:p>
          <w:p w14:paraId="70C50FAE" w14:textId="77777777" w:rsidR="007F2605" w:rsidRPr="007F2605" w:rsidRDefault="007F2605" w:rsidP="007F2605">
            <w:pPr>
              <w:spacing w:after="160" w:line="259" w:lineRule="auto"/>
              <w:rPr>
                <w:rFonts w:eastAsia="Calibri"/>
                <w:szCs w:val="22"/>
                <w:lang w:val="en-US" w:eastAsia="en-US"/>
              </w:rPr>
            </w:pPr>
            <w:hyperlink r:id="rId8" w:history="1">
              <w:r w:rsidRPr="007F2605">
                <w:rPr>
                  <w:rFonts w:eastAsia="Calibri"/>
                  <w:color w:val="0563C1"/>
                  <w:szCs w:val="22"/>
                  <w:u w:val="single"/>
                  <w:lang w:val="en-US" w:eastAsia="en-US"/>
                </w:rPr>
                <w:t>https://www.sciencedirect.com/science/article/pii/S095671351530298X</w:t>
              </w:r>
            </w:hyperlink>
          </w:p>
          <w:p w14:paraId="52F78B35" w14:textId="77777777" w:rsidR="007F2605" w:rsidRPr="007F2605" w:rsidRDefault="007F2605" w:rsidP="007F2605">
            <w:pPr>
              <w:spacing w:after="160" w:line="259" w:lineRule="auto"/>
              <w:rPr>
                <w:rFonts w:eastAsia="Calibri"/>
                <w:szCs w:val="22"/>
                <w:lang w:val="en-US" w:eastAsia="en-US"/>
              </w:rPr>
            </w:pPr>
          </w:p>
          <w:p w14:paraId="7DA459F9" w14:textId="77777777" w:rsidR="007F2605" w:rsidRPr="007F2605" w:rsidRDefault="007F2605" w:rsidP="007F2605">
            <w:pPr>
              <w:spacing w:after="160" w:line="259" w:lineRule="auto"/>
              <w:rPr>
                <w:rFonts w:eastAsia="Calibri"/>
                <w:szCs w:val="22"/>
                <w:lang w:val="en-US" w:eastAsia="en-US"/>
              </w:rPr>
            </w:pPr>
            <w:r w:rsidRPr="007F2605">
              <w:rPr>
                <w:rFonts w:eastAsia="Calibri"/>
                <w:szCs w:val="22"/>
                <w:lang w:val="en-US" w:eastAsia="en-US"/>
              </w:rPr>
              <w:t>Popping, B. and Diaz-Amigo, C., 2018. European regulations for labeling requirements for food allergens and substances causing intolerances: history and future. Journal of AOAC International, 101(1), pp.2-7.</w:t>
            </w:r>
          </w:p>
          <w:p w14:paraId="251CB0FA" w14:textId="77777777" w:rsidR="007F2605" w:rsidRPr="007F2605" w:rsidRDefault="007F2605" w:rsidP="007F2605">
            <w:pPr>
              <w:spacing w:after="160" w:line="259" w:lineRule="auto"/>
              <w:rPr>
                <w:rFonts w:eastAsia="Calibri"/>
                <w:szCs w:val="22"/>
                <w:lang w:val="en-US" w:eastAsia="en-US"/>
              </w:rPr>
            </w:pPr>
            <w:hyperlink r:id="rId9" w:history="1">
              <w:r w:rsidRPr="007F2605">
                <w:rPr>
                  <w:rFonts w:eastAsia="Calibri"/>
                  <w:color w:val="0563C1"/>
                  <w:szCs w:val="22"/>
                  <w:u w:val="single"/>
                  <w:lang w:val="en-US" w:eastAsia="en-US"/>
                </w:rPr>
                <w:t>https://academic.oup.com/jaoac/article-abstract/101/1/2/5653905</w:t>
              </w:r>
            </w:hyperlink>
          </w:p>
          <w:p w14:paraId="58BE22B0" w14:textId="77777777" w:rsidR="007F2605" w:rsidRPr="007F2605" w:rsidRDefault="007F2605" w:rsidP="007F2605">
            <w:pPr>
              <w:spacing w:after="160" w:line="259" w:lineRule="auto"/>
              <w:rPr>
                <w:rFonts w:eastAsia="Calibri"/>
                <w:szCs w:val="22"/>
                <w:lang w:val="en-US" w:eastAsia="en-US"/>
              </w:rPr>
            </w:pPr>
          </w:p>
          <w:p w14:paraId="114598CD" w14:textId="77777777" w:rsidR="007F2605" w:rsidRPr="007F2605" w:rsidRDefault="007F2605" w:rsidP="007F2605">
            <w:pPr>
              <w:spacing w:after="160" w:line="259" w:lineRule="auto"/>
              <w:rPr>
                <w:rFonts w:eastAsia="Calibri"/>
                <w:szCs w:val="22"/>
                <w:lang w:val="en-US" w:eastAsia="en-US"/>
              </w:rPr>
            </w:pPr>
            <w:r w:rsidRPr="007F2605">
              <w:rPr>
                <w:rFonts w:eastAsia="Calibri"/>
                <w:szCs w:val="22"/>
                <w:lang w:val="en-US" w:eastAsia="en-US"/>
              </w:rPr>
              <w:t xml:space="preserve">Turnbull, J.L., Adams, H.N. and </w:t>
            </w:r>
            <w:proofErr w:type="spellStart"/>
            <w:r w:rsidRPr="007F2605">
              <w:rPr>
                <w:rFonts w:eastAsia="Calibri"/>
                <w:szCs w:val="22"/>
                <w:lang w:val="en-US" w:eastAsia="en-US"/>
              </w:rPr>
              <w:t>Gorard</w:t>
            </w:r>
            <w:proofErr w:type="spellEnd"/>
            <w:r w:rsidRPr="007F2605">
              <w:rPr>
                <w:rFonts w:eastAsia="Calibri"/>
                <w:szCs w:val="22"/>
                <w:lang w:val="en-US" w:eastAsia="en-US"/>
              </w:rPr>
              <w:t>, D.A., 2015. The diagnosis and management of food allergy and food intolerances. Alimentary pharmacology &amp; therapeutics, 41(1), pp.3-25.</w:t>
            </w:r>
          </w:p>
          <w:p w14:paraId="3603A24D" w14:textId="77777777" w:rsidR="007F2605" w:rsidRPr="007F2605" w:rsidRDefault="007F2605" w:rsidP="007F2605">
            <w:pPr>
              <w:spacing w:after="160" w:line="259" w:lineRule="auto"/>
              <w:rPr>
                <w:rFonts w:eastAsia="Calibri"/>
                <w:szCs w:val="22"/>
                <w:lang w:val="en-US" w:eastAsia="en-US"/>
              </w:rPr>
            </w:pPr>
            <w:hyperlink r:id="rId10" w:history="1">
              <w:r w:rsidRPr="007F2605">
                <w:rPr>
                  <w:rFonts w:eastAsia="Calibri"/>
                  <w:color w:val="0563C1"/>
                  <w:szCs w:val="22"/>
                  <w:u w:val="single"/>
                  <w:lang w:val="en-US" w:eastAsia="en-US"/>
                </w:rPr>
                <w:t>https://onlinelibrary.wiley.com/doi/abs/10.1111/apt.12984</w:t>
              </w:r>
            </w:hyperlink>
          </w:p>
          <w:p w14:paraId="447635CB" w14:textId="77777777" w:rsidR="007F2605" w:rsidRPr="007F2605" w:rsidRDefault="007F2605" w:rsidP="007F2605">
            <w:pPr>
              <w:spacing w:after="160" w:line="259" w:lineRule="auto"/>
              <w:rPr>
                <w:rFonts w:eastAsia="Calibri"/>
                <w:szCs w:val="22"/>
                <w:lang w:val="en-US" w:eastAsia="en-US"/>
              </w:rPr>
            </w:pPr>
            <w:r w:rsidRPr="007F2605">
              <w:rPr>
                <w:rFonts w:eastAsia="Calibri"/>
                <w:szCs w:val="22"/>
                <w:lang w:val="en-US" w:eastAsia="en-US"/>
              </w:rPr>
              <w:t xml:space="preserve">Gupta, R.S., Taylor, S.L., Baumert, J.L., Kao, L.M., Schuster, </w:t>
            </w:r>
            <w:proofErr w:type="gramStart"/>
            <w:r w:rsidRPr="007F2605">
              <w:rPr>
                <w:rFonts w:eastAsia="Calibri"/>
                <w:szCs w:val="22"/>
                <w:lang w:val="en-US" w:eastAsia="en-US"/>
              </w:rPr>
              <w:t>E.</w:t>
            </w:r>
            <w:proofErr w:type="gramEnd"/>
            <w:r w:rsidRPr="007F2605">
              <w:rPr>
                <w:rFonts w:eastAsia="Calibri"/>
                <w:szCs w:val="22"/>
                <w:lang w:val="en-US" w:eastAsia="en-US"/>
              </w:rPr>
              <w:t xml:space="preserve"> and Smith, B.M., 2017. Economic factors impacting food allergen management: Perspectives from the food industry. Journal of food protection, 80(10), pp.1719-1725.</w:t>
            </w:r>
          </w:p>
          <w:p w14:paraId="05FA9413" w14:textId="77777777" w:rsidR="007F2605" w:rsidRPr="007F2605" w:rsidRDefault="007F2605" w:rsidP="007F2605">
            <w:pPr>
              <w:spacing w:after="160" w:line="259" w:lineRule="auto"/>
              <w:rPr>
                <w:rFonts w:eastAsia="Calibri"/>
                <w:color w:val="0563C1"/>
                <w:szCs w:val="22"/>
                <w:u w:val="single"/>
                <w:lang w:val="en-US" w:eastAsia="en-US"/>
              </w:rPr>
            </w:pPr>
            <w:hyperlink r:id="rId11" w:history="1">
              <w:r w:rsidRPr="007F2605">
                <w:rPr>
                  <w:rFonts w:eastAsia="Calibri"/>
                  <w:color w:val="0563C1"/>
                  <w:szCs w:val="22"/>
                  <w:u w:val="single"/>
                  <w:lang w:val="en-US" w:eastAsia="en-US"/>
                </w:rPr>
                <w:t>https://meridian.allenpress.com/jfp/article-abstract/80/10/1719/199940</w:t>
              </w:r>
            </w:hyperlink>
          </w:p>
          <w:p w14:paraId="790F62E2" w14:textId="77777777" w:rsidR="007F2605" w:rsidRPr="007F2605" w:rsidRDefault="007F2605" w:rsidP="007F2605">
            <w:pPr>
              <w:spacing w:after="160" w:line="259" w:lineRule="auto"/>
              <w:rPr>
                <w:rFonts w:eastAsia="Calibri"/>
                <w:color w:val="0563C1"/>
                <w:szCs w:val="22"/>
                <w:u w:val="single"/>
                <w:lang w:val="en-US" w:eastAsia="en-US"/>
              </w:rPr>
            </w:pPr>
          </w:p>
          <w:p w14:paraId="5E516AF7" w14:textId="77777777" w:rsidR="007F2605" w:rsidRPr="007F2605" w:rsidRDefault="007F2605" w:rsidP="007F2605">
            <w:pPr>
              <w:spacing w:after="160" w:line="259" w:lineRule="auto"/>
              <w:rPr>
                <w:rFonts w:eastAsia="Calibri"/>
                <w:szCs w:val="22"/>
                <w:lang w:val="en-US" w:eastAsia="en-US"/>
              </w:rPr>
            </w:pPr>
            <w:proofErr w:type="spellStart"/>
            <w:r w:rsidRPr="007F2605">
              <w:rPr>
                <w:rFonts w:eastAsia="Calibri"/>
                <w:szCs w:val="22"/>
                <w:lang w:val="en-US" w:eastAsia="en-US"/>
              </w:rPr>
              <w:t>Facioni</w:t>
            </w:r>
            <w:proofErr w:type="spellEnd"/>
            <w:r w:rsidRPr="007F2605">
              <w:rPr>
                <w:rFonts w:eastAsia="Calibri"/>
                <w:szCs w:val="22"/>
                <w:lang w:val="en-US" w:eastAsia="en-US"/>
              </w:rPr>
              <w:t xml:space="preserve">, M.S., </w:t>
            </w:r>
            <w:proofErr w:type="spellStart"/>
            <w:r w:rsidRPr="007F2605">
              <w:rPr>
                <w:rFonts w:eastAsia="Calibri"/>
                <w:szCs w:val="22"/>
                <w:lang w:val="en-US" w:eastAsia="en-US"/>
              </w:rPr>
              <w:t>Raspini</w:t>
            </w:r>
            <w:proofErr w:type="spellEnd"/>
            <w:r w:rsidRPr="007F2605">
              <w:rPr>
                <w:rFonts w:eastAsia="Calibri"/>
                <w:szCs w:val="22"/>
                <w:lang w:val="en-US" w:eastAsia="en-US"/>
              </w:rPr>
              <w:t xml:space="preserve">, B., </w:t>
            </w:r>
            <w:proofErr w:type="spellStart"/>
            <w:r w:rsidRPr="007F2605">
              <w:rPr>
                <w:rFonts w:eastAsia="Calibri"/>
                <w:szCs w:val="22"/>
                <w:lang w:val="en-US" w:eastAsia="en-US"/>
              </w:rPr>
              <w:t>Pivari</w:t>
            </w:r>
            <w:proofErr w:type="spellEnd"/>
            <w:r w:rsidRPr="007F2605">
              <w:rPr>
                <w:rFonts w:eastAsia="Calibri"/>
                <w:szCs w:val="22"/>
                <w:lang w:val="en-US" w:eastAsia="en-US"/>
              </w:rPr>
              <w:t xml:space="preserve">, F., </w:t>
            </w:r>
            <w:proofErr w:type="spellStart"/>
            <w:r w:rsidRPr="007F2605">
              <w:rPr>
                <w:rFonts w:eastAsia="Calibri"/>
                <w:szCs w:val="22"/>
                <w:lang w:val="en-US" w:eastAsia="en-US"/>
              </w:rPr>
              <w:t>Dogliotti</w:t>
            </w:r>
            <w:proofErr w:type="spellEnd"/>
            <w:r w:rsidRPr="007F2605">
              <w:rPr>
                <w:rFonts w:eastAsia="Calibri"/>
                <w:szCs w:val="22"/>
                <w:lang w:val="en-US" w:eastAsia="en-US"/>
              </w:rPr>
              <w:t>, E. and Cena, H., 2020. Nutritional management of lactose intolerance: the importance of diet and food labeling. Journal of Translational Medicine, 18(1), pp.1-9.</w:t>
            </w:r>
          </w:p>
          <w:p w14:paraId="7481711A" w14:textId="77777777" w:rsidR="007F2605" w:rsidRPr="007F2605" w:rsidRDefault="007F2605" w:rsidP="007F2605">
            <w:pPr>
              <w:spacing w:after="160" w:line="259" w:lineRule="auto"/>
              <w:rPr>
                <w:rFonts w:eastAsia="Calibri"/>
                <w:szCs w:val="22"/>
                <w:lang w:val="en-US" w:eastAsia="en-US"/>
              </w:rPr>
            </w:pPr>
            <w:hyperlink r:id="rId12" w:history="1">
              <w:r w:rsidRPr="007F2605">
                <w:rPr>
                  <w:rFonts w:eastAsia="Calibri"/>
                  <w:color w:val="0563C1"/>
                  <w:szCs w:val="22"/>
                  <w:u w:val="single"/>
                  <w:lang w:val="en-US" w:eastAsia="en-US"/>
                </w:rPr>
                <w:t>https://link.springer.com/article/10.1186/s12967-020-02429-2</w:t>
              </w:r>
            </w:hyperlink>
          </w:p>
          <w:p w14:paraId="24DCD773" w14:textId="77777777" w:rsidR="007F2605" w:rsidRPr="007F2605" w:rsidRDefault="007F2605" w:rsidP="007F2605">
            <w:pPr>
              <w:spacing w:after="160" w:line="259" w:lineRule="auto"/>
              <w:rPr>
                <w:rFonts w:eastAsia="Calibri"/>
                <w:szCs w:val="22"/>
                <w:lang w:val="en-US" w:eastAsia="en-US"/>
              </w:rPr>
            </w:pPr>
          </w:p>
          <w:p w14:paraId="47422AEC" w14:textId="77777777" w:rsidR="007F2605" w:rsidRPr="007F2605" w:rsidRDefault="007F2605" w:rsidP="007F2605">
            <w:pPr>
              <w:spacing w:after="160" w:line="259" w:lineRule="auto"/>
              <w:rPr>
                <w:rFonts w:eastAsia="Calibri"/>
                <w:szCs w:val="22"/>
                <w:lang w:val="en-US" w:eastAsia="en-US"/>
              </w:rPr>
            </w:pPr>
            <w:proofErr w:type="spellStart"/>
            <w:r w:rsidRPr="007F2605">
              <w:rPr>
                <w:rFonts w:eastAsia="Calibri"/>
                <w:szCs w:val="22"/>
                <w:lang w:val="en-US" w:eastAsia="en-US"/>
              </w:rPr>
              <w:t>Gilissen</w:t>
            </w:r>
            <w:proofErr w:type="spellEnd"/>
            <w:r w:rsidRPr="007F2605">
              <w:rPr>
                <w:rFonts w:eastAsia="Calibri"/>
                <w:szCs w:val="22"/>
                <w:lang w:val="en-US" w:eastAsia="en-US"/>
              </w:rPr>
              <w:t>, L.J., van der Meer, I.M. and Smulders, M.J., 2014. Reducing the incidence of allergy and intolerance to cereals. Journal of Cereal Science, 59(3), pp.337-353.</w:t>
            </w:r>
          </w:p>
          <w:p w14:paraId="7BE2B521" w14:textId="507578E6" w:rsidR="00375882" w:rsidRDefault="007F2605" w:rsidP="007F2605">
            <w:pPr>
              <w:spacing w:line="360" w:lineRule="auto"/>
              <w:jc w:val="both"/>
              <w:rPr>
                <w:rFonts w:ascii="Arial" w:hAnsi="Arial" w:cs="Arial"/>
              </w:rPr>
            </w:pPr>
            <w:hyperlink r:id="rId13" w:history="1">
              <w:r w:rsidRPr="007F2605">
                <w:rPr>
                  <w:rFonts w:eastAsia="Calibri"/>
                  <w:color w:val="0563C1"/>
                  <w:szCs w:val="22"/>
                  <w:u w:val="single"/>
                  <w:lang w:val="en-US" w:eastAsia="en-US"/>
                </w:rPr>
                <w:t>https://www.sciencedirect.com/science/article/pii/S0733521014000174</w:t>
              </w:r>
            </w:hyperlink>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1089731">
    <w:abstractNumId w:val="12"/>
  </w:num>
  <w:num w:numId="2" w16cid:durableId="1648322425">
    <w:abstractNumId w:val="4"/>
  </w:num>
  <w:num w:numId="3" w16cid:durableId="1035933342">
    <w:abstractNumId w:val="27"/>
  </w:num>
  <w:num w:numId="4" w16cid:durableId="560823664">
    <w:abstractNumId w:val="5"/>
  </w:num>
  <w:num w:numId="5" w16cid:durableId="70811066">
    <w:abstractNumId w:val="23"/>
  </w:num>
  <w:num w:numId="6" w16cid:durableId="1515994617">
    <w:abstractNumId w:val="6"/>
  </w:num>
  <w:num w:numId="7" w16cid:durableId="490415537">
    <w:abstractNumId w:val="0"/>
  </w:num>
  <w:num w:numId="8" w16cid:durableId="877157137">
    <w:abstractNumId w:val="26"/>
  </w:num>
  <w:num w:numId="9" w16cid:durableId="1239175758">
    <w:abstractNumId w:val="15"/>
  </w:num>
  <w:num w:numId="10" w16cid:durableId="1699894477">
    <w:abstractNumId w:val="18"/>
  </w:num>
  <w:num w:numId="11" w16cid:durableId="2010210264">
    <w:abstractNumId w:val="3"/>
  </w:num>
  <w:num w:numId="12" w16cid:durableId="1824857929">
    <w:abstractNumId w:val="13"/>
  </w:num>
  <w:num w:numId="13" w16cid:durableId="650984969">
    <w:abstractNumId w:val="2"/>
  </w:num>
  <w:num w:numId="14" w16cid:durableId="286355232">
    <w:abstractNumId w:val="9"/>
  </w:num>
  <w:num w:numId="15" w16cid:durableId="766728994">
    <w:abstractNumId w:val="17"/>
  </w:num>
  <w:num w:numId="16" w16cid:durableId="82722282">
    <w:abstractNumId w:val="19"/>
  </w:num>
  <w:num w:numId="17" w16cid:durableId="1788965879">
    <w:abstractNumId w:val="1"/>
  </w:num>
  <w:num w:numId="18" w16cid:durableId="1671643574">
    <w:abstractNumId w:val="25"/>
  </w:num>
  <w:num w:numId="19" w16cid:durableId="2093039482">
    <w:abstractNumId w:val="8"/>
  </w:num>
  <w:num w:numId="20" w16cid:durableId="934091876">
    <w:abstractNumId w:val="20"/>
  </w:num>
  <w:num w:numId="21" w16cid:durableId="1494293819">
    <w:abstractNumId w:val="11"/>
  </w:num>
  <w:num w:numId="22" w16cid:durableId="2031105270">
    <w:abstractNumId w:val="16"/>
  </w:num>
  <w:num w:numId="23" w16cid:durableId="1421364777">
    <w:abstractNumId w:val="24"/>
  </w:num>
  <w:num w:numId="24" w16cid:durableId="963657595">
    <w:abstractNumId w:val="10"/>
  </w:num>
  <w:num w:numId="25" w16cid:durableId="1576430802">
    <w:abstractNumId w:val="22"/>
  </w:num>
  <w:num w:numId="26" w16cid:durableId="625814241">
    <w:abstractNumId w:val="7"/>
  </w:num>
  <w:num w:numId="27" w16cid:durableId="1712263420">
    <w:abstractNumId w:val="21"/>
  </w:num>
  <w:num w:numId="28" w16cid:durableId="2699687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04D33"/>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2605"/>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C14AC"/>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6505"/>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5671351530298X" TargetMode="External"/><Relationship Id="rId13" Type="http://schemas.openxmlformats.org/officeDocument/2006/relationships/hyperlink" Target="https://www.sciencedirect.com/science/article/pii/S0733521014000174" TargetMode="External"/><Relationship Id="rId3" Type="http://schemas.openxmlformats.org/officeDocument/2006/relationships/settings" Target="settings.xml"/><Relationship Id="rId7" Type="http://schemas.openxmlformats.org/officeDocument/2006/relationships/hyperlink" Target="https://www.primarycare.theclinics.com/article/S0095-4543(16)30020-3/abstract" TargetMode="External"/><Relationship Id="rId12" Type="http://schemas.openxmlformats.org/officeDocument/2006/relationships/hyperlink" Target="https://link.springer.com/article/10.1186/s12967-020-0242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ridian.allenpress.com/jfp/article-abstract/80/10/1719/19994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onlinelibrary.wiley.com/doi/abs/10.1111/apt.12984" TargetMode="External"/><Relationship Id="rId4" Type="http://schemas.openxmlformats.org/officeDocument/2006/relationships/webSettings" Target="webSettings.xml"/><Relationship Id="rId9" Type="http://schemas.openxmlformats.org/officeDocument/2006/relationships/hyperlink" Target="https://academic.oup.com/jaoac/article-abstract/101/1/2/5653905"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1132</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ferdous rahman</cp:lastModifiedBy>
  <cp:revision>2</cp:revision>
  <cp:lastPrinted>2020-09-28T20:53:00Z</cp:lastPrinted>
  <dcterms:created xsi:type="dcterms:W3CDTF">2022-05-28T22:21:00Z</dcterms:created>
  <dcterms:modified xsi:type="dcterms:W3CDTF">2022-05-28T22:21:00Z</dcterms:modified>
</cp:coreProperties>
</file>