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156231" w14:textId="3DE9D89F" w:rsidR="009257EB" w:rsidRDefault="00CF7C5F">
      <w:pPr>
        <w:rPr>
          <w:lang w:val="en-US"/>
        </w:rPr>
      </w:pPr>
      <w:r>
        <w:rPr>
          <w:lang w:val="en-US"/>
        </w:rPr>
        <w:t>Causation and Remoteness of Damage</w:t>
      </w:r>
    </w:p>
    <w:p w14:paraId="7A80E54E" w14:textId="02EA5AB9" w:rsidR="00CF7C5F" w:rsidRDefault="00CF7C5F" w:rsidP="00CF7C5F">
      <w:pPr>
        <w:pStyle w:val="ListParagraph"/>
        <w:numPr>
          <w:ilvl w:val="0"/>
          <w:numId w:val="1"/>
        </w:numPr>
        <w:rPr>
          <w:lang w:val="en-US"/>
        </w:rPr>
      </w:pPr>
      <w:r>
        <w:rPr>
          <w:lang w:val="en-US"/>
        </w:rPr>
        <w:t>In what broad ways can a break in the “chain of causation” occur?</w:t>
      </w:r>
    </w:p>
    <w:p w14:paraId="73A712EB" w14:textId="68BCC77B" w:rsidR="00A44021" w:rsidRDefault="00A44021" w:rsidP="00A44021">
      <w:pPr>
        <w:pStyle w:val="ListParagraph"/>
        <w:rPr>
          <w:i/>
          <w:iCs/>
          <w:lang w:val="en-US"/>
        </w:rPr>
      </w:pPr>
      <w:r>
        <w:rPr>
          <w:i/>
          <w:iCs/>
          <w:lang w:val="en-US"/>
        </w:rPr>
        <w:t xml:space="preserve">A break in the chain of causation is sometimes referred to by its Latin tag – </w:t>
      </w:r>
      <w:proofErr w:type="spellStart"/>
      <w:r>
        <w:rPr>
          <w:i/>
          <w:iCs/>
          <w:lang w:val="en-US"/>
        </w:rPr>
        <w:t>novus</w:t>
      </w:r>
      <w:proofErr w:type="spellEnd"/>
      <w:r>
        <w:rPr>
          <w:i/>
          <w:iCs/>
          <w:lang w:val="en-US"/>
        </w:rPr>
        <w:t xml:space="preserve"> actus interveniens.  It can occur in 3 broad ways:-</w:t>
      </w:r>
    </w:p>
    <w:p w14:paraId="2D3DB923" w14:textId="097E01BA" w:rsidR="00A44021" w:rsidRDefault="00A44021" w:rsidP="00A44021">
      <w:pPr>
        <w:pStyle w:val="ListParagraph"/>
        <w:numPr>
          <w:ilvl w:val="0"/>
          <w:numId w:val="2"/>
        </w:numPr>
        <w:rPr>
          <w:i/>
          <w:iCs/>
          <w:lang w:val="en-US"/>
        </w:rPr>
      </w:pPr>
      <w:r>
        <w:rPr>
          <w:i/>
          <w:iCs/>
          <w:lang w:val="en-US"/>
        </w:rPr>
        <w:t>It may be a natural event – something that happens in the course of nature;</w:t>
      </w:r>
    </w:p>
    <w:p w14:paraId="4214FD62" w14:textId="04729E98" w:rsidR="00A44021" w:rsidRDefault="00A44021" w:rsidP="00A44021">
      <w:pPr>
        <w:pStyle w:val="ListParagraph"/>
        <w:numPr>
          <w:ilvl w:val="0"/>
          <w:numId w:val="2"/>
        </w:numPr>
        <w:rPr>
          <w:i/>
          <w:iCs/>
          <w:lang w:val="en-US"/>
        </w:rPr>
      </w:pPr>
      <w:r>
        <w:rPr>
          <w:i/>
          <w:iCs/>
          <w:lang w:val="en-US"/>
        </w:rPr>
        <w:t>It may be the act of a third party, whether deliberate or not;</w:t>
      </w:r>
    </w:p>
    <w:p w14:paraId="3C3ADBC0" w14:textId="5A6A8C41" w:rsidR="00A44021" w:rsidRPr="00A44021" w:rsidRDefault="00A44021" w:rsidP="00A44021">
      <w:pPr>
        <w:pStyle w:val="ListParagraph"/>
        <w:numPr>
          <w:ilvl w:val="0"/>
          <w:numId w:val="2"/>
        </w:numPr>
        <w:rPr>
          <w:i/>
          <w:iCs/>
          <w:lang w:val="en-US"/>
        </w:rPr>
      </w:pPr>
      <w:r>
        <w:rPr>
          <w:i/>
          <w:iCs/>
          <w:lang w:val="en-US"/>
        </w:rPr>
        <w:t xml:space="preserve">It may be the act of the Claimant in person.  Sometimes such an act is not sufficient to break the chain of causation but may be sufficient to raise the </w:t>
      </w:r>
      <w:proofErr w:type="spellStart"/>
      <w:r>
        <w:rPr>
          <w:i/>
          <w:iCs/>
          <w:lang w:val="en-US"/>
        </w:rPr>
        <w:t>defence</w:t>
      </w:r>
      <w:proofErr w:type="spellEnd"/>
      <w:r>
        <w:rPr>
          <w:i/>
          <w:iCs/>
          <w:lang w:val="en-US"/>
        </w:rPr>
        <w:t xml:space="preserve"> of contributory negligence.  Sometimes the Claimant is merely coping with the difficult situation in which the defendant’s negligence has placed him.</w:t>
      </w:r>
    </w:p>
    <w:p w14:paraId="1591A2EA" w14:textId="44936FB5" w:rsidR="00CF7C5F" w:rsidRDefault="00CF7C5F" w:rsidP="00CF7C5F">
      <w:pPr>
        <w:pStyle w:val="ListParagraph"/>
        <w:numPr>
          <w:ilvl w:val="0"/>
          <w:numId w:val="1"/>
        </w:numPr>
        <w:rPr>
          <w:lang w:val="en-US"/>
        </w:rPr>
      </w:pPr>
      <w:r>
        <w:rPr>
          <w:lang w:val="en-US"/>
        </w:rPr>
        <w:t xml:space="preserve">What does </w:t>
      </w:r>
      <w:r>
        <w:rPr>
          <w:b/>
          <w:bCs/>
          <w:i/>
          <w:iCs/>
          <w:lang w:val="en-US"/>
        </w:rPr>
        <w:t xml:space="preserve">Smith v Leech Brain [1961] </w:t>
      </w:r>
      <w:r>
        <w:rPr>
          <w:lang w:val="en-US"/>
        </w:rPr>
        <w:t>tell us about the rule that the defendant must take his victim as he finds him?</w:t>
      </w:r>
    </w:p>
    <w:p w14:paraId="67314147" w14:textId="0CEA7F06" w:rsidR="00A44021" w:rsidRPr="00A44021" w:rsidRDefault="00A44021" w:rsidP="00A44021">
      <w:pPr>
        <w:pStyle w:val="ListParagraph"/>
        <w:rPr>
          <w:i/>
          <w:iCs/>
          <w:lang w:val="en-US"/>
        </w:rPr>
      </w:pPr>
      <w:r>
        <w:rPr>
          <w:i/>
          <w:iCs/>
          <w:lang w:val="en-US"/>
        </w:rPr>
        <w:t xml:space="preserve">The law does not permit the defendant to argue that the individual claimant has suffered to a greater extent than the person standing next to him would have done.  An extension of this general principle is shown by the unfortunate “egg-shell skull” type of claimant for whom the consequences of the defendant’s negligence are multiplied.  Smith was such a person and he had the misfortune to be in a pre-cancerous condition </w:t>
      </w:r>
      <w:r w:rsidR="00B415EF">
        <w:rPr>
          <w:i/>
          <w:iCs/>
          <w:lang w:val="en-US"/>
        </w:rPr>
        <w:t>when he suffered a minor burn to his lip in an accident at work.  The burn triggered the development of cancer, from which he died.  The defendant was held liable for his death from cancer.</w:t>
      </w:r>
    </w:p>
    <w:p w14:paraId="3D81D0CA" w14:textId="1B17AF3F" w:rsidR="00CF7C5F" w:rsidRDefault="00CF7C5F" w:rsidP="00CF7C5F">
      <w:pPr>
        <w:pStyle w:val="ListParagraph"/>
        <w:numPr>
          <w:ilvl w:val="0"/>
          <w:numId w:val="1"/>
        </w:numPr>
        <w:rPr>
          <w:lang w:val="en-US"/>
        </w:rPr>
      </w:pPr>
      <w:r>
        <w:rPr>
          <w:lang w:val="en-US"/>
        </w:rPr>
        <w:t xml:space="preserve">Why might this case seem to be contrary to </w:t>
      </w:r>
      <w:r>
        <w:rPr>
          <w:b/>
          <w:bCs/>
          <w:i/>
          <w:iCs/>
          <w:lang w:val="en-US"/>
        </w:rPr>
        <w:t xml:space="preserve">The “Wagon Mound” </w:t>
      </w:r>
      <w:r>
        <w:rPr>
          <w:lang w:val="en-US"/>
        </w:rPr>
        <w:t>principle?</w:t>
      </w:r>
    </w:p>
    <w:p w14:paraId="76AAC1D9" w14:textId="45D06E14" w:rsidR="00B415EF" w:rsidRPr="00B415EF" w:rsidRDefault="00B415EF" w:rsidP="00B415EF">
      <w:pPr>
        <w:pStyle w:val="ListParagraph"/>
        <w:rPr>
          <w:i/>
          <w:iCs/>
          <w:lang w:val="en-US"/>
        </w:rPr>
      </w:pPr>
      <w:r>
        <w:rPr>
          <w:i/>
          <w:iCs/>
          <w:lang w:val="en-US"/>
        </w:rPr>
        <w:t xml:space="preserve">It is hard to see how this outcome comes within the principle that the type or kind of harm must be reasonably foreseeable because the outcome for the claimant is so different from what could have been foreseen.  Even Smith himself did not </w:t>
      </w:r>
      <w:proofErr w:type="spellStart"/>
      <w:r>
        <w:rPr>
          <w:i/>
          <w:iCs/>
          <w:lang w:val="en-US"/>
        </w:rPr>
        <w:t>realise</w:t>
      </w:r>
      <w:proofErr w:type="spellEnd"/>
      <w:r>
        <w:rPr>
          <w:i/>
          <w:iCs/>
          <w:lang w:val="en-US"/>
        </w:rPr>
        <w:t xml:space="preserve"> that he was in the pre-cancerous condition.  However, greater injustice would be done if the law did not recognize the vulnerability of a think skull victim.</w:t>
      </w:r>
    </w:p>
    <w:sectPr w:rsidR="00B415EF" w:rsidRPr="00B415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6F0039"/>
    <w:multiLevelType w:val="hybridMultilevel"/>
    <w:tmpl w:val="A5C2B0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0A1E30"/>
    <w:multiLevelType w:val="hybridMultilevel"/>
    <w:tmpl w:val="64CAF9D6"/>
    <w:lvl w:ilvl="0" w:tplc="B50637F0">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C5F"/>
    <w:rsid w:val="009257EB"/>
    <w:rsid w:val="00A44021"/>
    <w:rsid w:val="00B415EF"/>
    <w:rsid w:val="00CF7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AEA25"/>
  <w15:chartTrackingRefBased/>
  <w15:docId w15:val="{7BED966B-A4BB-4B34-8B51-FD2D29E09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7C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282</Words>
  <Characters>1614</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2020-10-12T11:54:00Z</dcterms:created>
  <dcterms:modified xsi:type="dcterms:W3CDTF">2020-10-12T11:54:00Z</dcterms:modified>
</cp:coreProperties>
</file>