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ED459A" w14:textId="77777777" w:rsidR="00DF557B" w:rsidRDefault="00DF557B" w:rsidP="006A05DE">
      <w:pPr>
        <w:spacing w:line="360" w:lineRule="auto"/>
        <w:rPr>
          <w:rFonts w:ascii="Arial" w:hAnsi="Arial" w:cs="Arial"/>
          <w:b/>
          <w:bCs/>
          <w:sz w:val="22"/>
          <w:szCs w:val="22"/>
        </w:rPr>
      </w:pPr>
    </w:p>
    <w:p w14:paraId="6AEAE346" w14:textId="77777777" w:rsidR="00DF557B" w:rsidRDefault="00DF557B" w:rsidP="00DF557B">
      <w:pPr>
        <w:spacing w:line="360" w:lineRule="auto"/>
        <w:rPr>
          <w:rFonts w:ascii="Arial" w:hAnsi="Arial" w:cs="Arial"/>
          <w:b/>
          <w:bCs/>
          <w:sz w:val="22"/>
          <w:szCs w:val="22"/>
        </w:rPr>
      </w:pPr>
    </w:p>
    <w:p w14:paraId="67EDD0F4" w14:textId="0F1A58A0" w:rsidR="00744291" w:rsidRDefault="00744291" w:rsidP="00744291">
      <w:pPr>
        <w:tabs>
          <w:tab w:val="left" w:pos="968"/>
        </w:tabs>
        <w:spacing w:line="360" w:lineRule="auto"/>
        <w:jc w:val="center"/>
        <w:rPr>
          <w:rFonts w:ascii="Arial" w:hAnsi="Arial" w:cs="Arial"/>
          <w:b/>
          <w:bCs/>
          <w:sz w:val="22"/>
          <w:szCs w:val="22"/>
        </w:rPr>
      </w:pPr>
      <w:r w:rsidRPr="00744291">
        <w:rPr>
          <w:rFonts w:ascii="Arial" w:hAnsi="Arial" w:cs="Arial"/>
          <w:b/>
          <w:bCs/>
          <w:sz w:val="22"/>
          <w:szCs w:val="22"/>
          <w:u w:val="single"/>
        </w:rPr>
        <w:t>Student name:</w:t>
      </w:r>
      <w:r>
        <w:rPr>
          <w:rFonts w:ascii="Arial" w:hAnsi="Arial" w:cs="Arial"/>
          <w:b/>
          <w:bCs/>
          <w:sz w:val="22"/>
          <w:szCs w:val="22"/>
        </w:rPr>
        <w:t xml:space="preserve"> Zobia Riaz</w:t>
      </w:r>
    </w:p>
    <w:p w14:paraId="68855E54" w14:textId="77777777" w:rsidR="00744291" w:rsidRDefault="00744291" w:rsidP="00744291">
      <w:pPr>
        <w:tabs>
          <w:tab w:val="left" w:pos="968"/>
        </w:tabs>
        <w:spacing w:line="360" w:lineRule="auto"/>
        <w:jc w:val="center"/>
        <w:rPr>
          <w:rFonts w:ascii="Arial" w:hAnsi="Arial" w:cs="Arial"/>
          <w:b/>
          <w:bCs/>
          <w:sz w:val="22"/>
          <w:szCs w:val="22"/>
        </w:rPr>
      </w:pPr>
    </w:p>
    <w:p w14:paraId="6F5EE322" w14:textId="00C6B7BD" w:rsidR="00744291" w:rsidRPr="00744291" w:rsidRDefault="00744291" w:rsidP="00744291">
      <w:pPr>
        <w:tabs>
          <w:tab w:val="left" w:pos="968"/>
        </w:tabs>
        <w:spacing w:line="360" w:lineRule="auto"/>
        <w:jc w:val="center"/>
        <w:rPr>
          <w:rFonts w:ascii="Arial" w:hAnsi="Arial" w:cs="Arial"/>
          <w:b/>
          <w:bCs/>
          <w:sz w:val="22"/>
          <w:szCs w:val="22"/>
        </w:rPr>
      </w:pPr>
      <w:r w:rsidRPr="00744291">
        <w:rPr>
          <w:rFonts w:ascii="Arial" w:hAnsi="Arial" w:cs="Arial"/>
          <w:b/>
          <w:bCs/>
          <w:sz w:val="22"/>
          <w:szCs w:val="22"/>
          <w:u w:val="single"/>
        </w:rPr>
        <w:t>Student ID:</w:t>
      </w:r>
      <w:r>
        <w:rPr>
          <w:rFonts w:ascii="Arial" w:hAnsi="Arial" w:cs="Arial"/>
          <w:b/>
          <w:bCs/>
          <w:sz w:val="22"/>
          <w:szCs w:val="22"/>
        </w:rPr>
        <w:t xml:space="preserve"> 2226851</w:t>
      </w:r>
    </w:p>
    <w:p w14:paraId="559131B3" w14:textId="77777777" w:rsidR="00744291" w:rsidRPr="00744291" w:rsidRDefault="00744291" w:rsidP="00744291">
      <w:pPr>
        <w:tabs>
          <w:tab w:val="left" w:pos="968"/>
        </w:tabs>
        <w:spacing w:line="360" w:lineRule="auto"/>
        <w:jc w:val="center"/>
        <w:rPr>
          <w:rFonts w:ascii="Arial" w:hAnsi="Arial" w:cs="Arial"/>
          <w:b/>
          <w:bCs/>
          <w:sz w:val="22"/>
          <w:szCs w:val="22"/>
        </w:rPr>
      </w:pPr>
    </w:p>
    <w:p w14:paraId="263C7AE0" w14:textId="77777777" w:rsidR="00744291" w:rsidRDefault="00744291" w:rsidP="00744291">
      <w:pPr>
        <w:tabs>
          <w:tab w:val="left" w:pos="968"/>
        </w:tabs>
        <w:spacing w:line="360" w:lineRule="auto"/>
        <w:jc w:val="center"/>
        <w:rPr>
          <w:rFonts w:ascii="Arial" w:hAnsi="Arial" w:cs="Arial"/>
          <w:b/>
          <w:bCs/>
          <w:sz w:val="22"/>
          <w:szCs w:val="22"/>
        </w:rPr>
      </w:pPr>
      <w:r w:rsidRPr="00744291">
        <w:rPr>
          <w:rFonts w:ascii="Arial" w:hAnsi="Arial" w:cs="Arial"/>
          <w:b/>
          <w:bCs/>
          <w:sz w:val="22"/>
          <w:szCs w:val="22"/>
          <w:u w:val="single"/>
        </w:rPr>
        <w:t>Programme:</w:t>
      </w:r>
      <w:r w:rsidRPr="00744291">
        <w:rPr>
          <w:rFonts w:ascii="Arial" w:hAnsi="Arial" w:cs="Arial"/>
          <w:b/>
          <w:bCs/>
          <w:sz w:val="22"/>
          <w:szCs w:val="22"/>
        </w:rPr>
        <w:tab/>
        <w:t>MSc Public Health and Social Care in Practice</w:t>
      </w:r>
    </w:p>
    <w:p w14:paraId="29698578" w14:textId="77777777" w:rsidR="00744291" w:rsidRPr="00744291" w:rsidRDefault="00744291" w:rsidP="00744291">
      <w:pPr>
        <w:tabs>
          <w:tab w:val="left" w:pos="968"/>
        </w:tabs>
        <w:spacing w:line="360" w:lineRule="auto"/>
        <w:jc w:val="center"/>
        <w:rPr>
          <w:rFonts w:ascii="Arial" w:hAnsi="Arial" w:cs="Arial"/>
          <w:b/>
          <w:bCs/>
          <w:sz w:val="22"/>
          <w:szCs w:val="22"/>
        </w:rPr>
      </w:pPr>
    </w:p>
    <w:p w14:paraId="7942B006" w14:textId="77777777" w:rsidR="00744291" w:rsidRDefault="00744291" w:rsidP="00744291">
      <w:pPr>
        <w:tabs>
          <w:tab w:val="left" w:pos="968"/>
        </w:tabs>
        <w:spacing w:line="360" w:lineRule="auto"/>
        <w:jc w:val="center"/>
        <w:rPr>
          <w:rFonts w:ascii="Arial" w:hAnsi="Arial" w:cs="Arial"/>
          <w:b/>
          <w:bCs/>
          <w:sz w:val="22"/>
          <w:szCs w:val="22"/>
        </w:rPr>
      </w:pPr>
      <w:r w:rsidRPr="00744291">
        <w:rPr>
          <w:rFonts w:ascii="Arial" w:hAnsi="Arial" w:cs="Arial"/>
          <w:b/>
          <w:bCs/>
          <w:sz w:val="22"/>
          <w:szCs w:val="22"/>
          <w:u w:val="single"/>
        </w:rPr>
        <w:t>Module:</w:t>
      </w:r>
      <w:r w:rsidRPr="00744291">
        <w:rPr>
          <w:rFonts w:ascii="Arial" w:hAnsi="Arial" w:cs="Arial"/>
          <w:b/>
          <w:bCs/>
          <w:sz w:val="22"/>
          <w:szCs w:val="22"/>
        </w:rPr>
        <w:tab/>
        <w:t>Health Care System Organisation and Leadership</w:t>
      </w:r>
    </w:p>
    <w:p w14:paraId="33A65512" w14:textId="77777777" w:rsidR="00744291" w:rsidRDefault="00744291" w:rsidP="00744291">
      <w:pPr>
        <w:tabs>
          <w:tab w:val="left" w:pos="968"/>
        </w:tabs>
        <w:spacing w:line="360" w:lineRule="auto"/>
        <w:jc w:val="center"/>
        <w:rPr>
          <w:rFonts w:ascii="Arial" w:hAnsi="Arial" w:cs="Arial"/>
          <w:b/>
          <w:bCs/>
          <w:sz w:val="22"/>
          <w:szCs w:val="22"/>
        </w:rPr>
      </w:pPr>
    </w:p>
    <w:p w14:paraId="466A8247" w14:textId="11BCC38E" w:rsidR="00744291" w:rsidRDefault="00744291" w:rsidP="00744291">
      <w:pPr>
        <w:tabs>
          <w:tab w:val="left" w:pos="968"/>
        </w:tabs>
        <w:spacing w:line="360" w:lineRule="auto"/>
        <w:jc w:val="center"/>
        <w:rPr>
          <w:rFonts w:ascii="Arial" w:hAnsi="Arial" w:cs="Arial"/>
          <w:b/>
          <w:bCs/>
          <w:sz w:val="22"/>
          <w:szCs w:val="22"/>
        </w:rPr>
      </w:pPr>
      <w:r w:rsidRPr="00744291">
        <w:rPr>
          <w:rFonts w:ascii="Arial" w:hAnsi="Arial" w:cs="Arial"/>
          <w:b/>
          <w:bCs/>
          <w:sz w:val="22"/>
          <w:szCs w:val="22"/>
          <w:u w:val="single"/>
        </w:rPr>
        <w:t>Assignment Title:</w:t>
      </w:r>
      <w:r>
        <w:rPr>
          <w:rFonts w:ascii="Arial" w:hAnsi="Arial" w:cs="Arial"/>
          <w:b/>
          <w:bCs/>
          <w:sz w:val="22"/>
          <w:szCs w:val="22"/>
        </w:rPr>
        <w:t xml:space="preserve"> </w:t>
      </w:r>
      <w:r w:rsidRPr="00744291">
        <w:rPr>
          <w:rFonts w:ascii="Arial" w:hAnsi="Arial" w:cs="Arial"/>
          <w:b/>
          <w:bCs/>
          <w:sz w:val="22"/>
          <w:szCs w:val="22"/>
        </w:rPr>
        <w:t>Case Study Analysis Report</w:t>
      </w:r>
    </w:p>
    <w:p w14:paraId="2B8109F6" w14:textId="77777777" w:rsidR="00744291" w:rsidRPr="00744291" w:rsidRDefault="00744291" w:rsidP="00744291">
      <w:pPr>
        <w:tabs>
          <w:tab w:val="left" w:pos="968"/>
        </w:tabs>
        <w:spacing w:line="360" w:lineRule="auto"/>
        <w:jc w:val="center"/>
        <w:rPr>
          <w:rFonts w:ascii="Arial" w:hAnsi="Arial" w:cs="Arial"/>
          <w:b/>
          <w:bCs/>
          <w:sz w:val="22"/>
          <w:szCs w:val="22"/>
        </w:rPr>
      </w:pPr>
    </w:p>
    <w:p w14:paraId="7B8EE51C" w14:textId="11A6E1BA" w:rsidR="00744291" w:rsidRDefault="00744291" w:rsidP="00744291">
      <w:pPr>
        <w:tabs>
          <w:tab w:val="left" w:pos="968"/>
        </w:tabs>
        <w:spacing w:line="360" w:lineRule="auto"/>
        <w:jc w:val="center"/>
        <w:rPr>
          <w:rFonts w:ascii="Arial" w:hAnsi="Arial" w:cs="Arial"/>
          <w:b/>
          <w:bCs/>
          <w:sz w:val="22"/>
          <w:szCs w:val="22"/>
        </w:rPr>
      </w:pPr>
      <w:r w:rsidRPr="00744291">
        <w:rPr>
          <w:rFonts w:ascii="Arial" w:hAnsi="Arial" w:cs="Arial"/>
          <w:b/>
          <w:bCs/>
          <w:sz w:val="22"/>
          <w:szCs w:val="22"/>
          <w:u w:val="single"/>
        </w:rPr>
        <w:t>Module code:</w:t>
      </w:r>
      <w:r w:rsidRPr="00744291">
        <w:rPr>
          <w:rFonts w:ascii="Arial" w:hAnsi="Arial" w:cs="Arial"/>
          <w:b/>
          <w:bCs/>
          <w:sz w:val="22"/>
          <w:szCs w:val="22"/>
        </w:rPr>
        <w:tab/>
      </w:r>
      <w:r>
        <w:rPr>
          <w:rFonts w:ascii="Arial" w:hAnsi="Arial" w:cs="Arial"/>
          <w:b/>
          <w:bCs/>
          <w:sz w:val="22"/>
          <w:szCs w:val="22"/>
        </w:rPr>
        <w:t xml:space="preserve"> </w:t>
      </w:r>
      <w:r w:rsidRPr="00744291">
        <w:rPr>
          <w:rFonts w:ascii="Arial" w:hAnsi="Arial" w:cs="Arial"/>
          <w:b/>
          <w:bCs/>
          <w:sz w:val="22"/>
          <w:szCs w:val="22"/>
        </w:rPr>
        <w:t>LCHS7002</w:t>
      </w:r>
    </w:p>
    <w:p w14:paraId="194877E4" w14:textId="77777777" w:rsidR="00744291" w:rsidRPr="00744291" w:rsidRDefault="00744291" w:rsidP="00744291">
      <w:pPr>
        <w:tabs>
          <w:tab w:val="left" w:pos="968"/>
        </w:tabs>
        <w:spacing w:line="360" w:lineRule="auto"/>
        <w:jc w:val="center"/>
        <w:rPr>
          <w:rFonts w:ascii="Arial" w:hAnsi="Arial" w:cs="Arial"/>
          <w:b/>
          <w:bCs/>
          <w:sz w:val="22"/>
          <w:szCs w:val="22"/>
        </w:rPr>
      </w:pPr>
    </w:p>
    <w:p w14:paraId="3F8CEB73" w14:textId="2B3AD39B" w:rsidR="00744291" w:rsidRDefault="00744291" w:rsidP="00744291">
      <w:pPr>
        <w:tabs>
          <w:tab w:val="left" w:pos="968"/>
        </w:tabs>
        <w:spacing w:line="360" w:lineRule="auto"/>
        <w:jc w:val="center"/>
        <w:rPr>
          <w:rFonts w:ascii="Arial" w:hAnsi="Arial" w:cs="Arial"/>
          <w:b/>
          <w:bCs/>
          <w:sz w:val="22"/>
          <w:szCs w:val="22"/>
        </w:rPr>
      </w:pPr>
      <w:r w:rsidRPr="00744291">
        <w:rPr>
          <w:rFonts w:ascii="Arial" w:hAnsi="Arial" w:cs="Arial"/>
          <w:b/>
          <w:bCs/>
          <w:sz w:val="22"/>
          <w:szCs w:val="22"/>
          <w:u w:val="single"/>
        </w:rPr>
        <w:t>Lecturer:</w:t>
      </w:r>
      <w:r w:rsidRPr="00744291">
        <w:rPr>
          <w:rFonts w:ascii="Arial" w:hAnsi="Arial" w:cs="Arial"/>
          <w:b/>
          <w:bCs/>
          <w:sz w:val="22"/>
          <w:szCs w:val="22"/>
        </w:rPr>
        <w:tab/>
      </w:r>
      <w:r>
        <w:rPr>
          <w:rFonts w:ascii="Arial" w:hAnsi="Arial" w:cs="Arial"/>
          <w:b/>
          <w:bCs/>
          <w:sz w:val="22"/>
          <w:szCs w:val="22"/>
        </w:rPr>
        <w:t xml:space="preserve"> </w:t>
      </w:r>
      <w:r w:rsidRPr="00744291">
        <w:rPr>
          <w:rFonts w:ascii="Arial" w:hAnsi="Arial" w:cs="Arial"/>
          <w:b/>
          <w:bCs/>
          <w:sz w:val="22"/>
          <w:szCs w:val="22"/>
        </w:rPr>
        <w:t>Dr Fahad Khan</w:t>
      </w:r>
    </w:p>
    <w:p w14:paraId="5B064BD3" w14:textId="77777777" w:rsidR="00744291" w:rsidRPr="00744291" w:rsidRDefault="00744291" w:rsidP="00744291">
      <w:pPr>
        <w:tabs>
          <w:tab w:val="left" w:pos="968"/>
        </w:tabs>
        <w:spacing w:line="360" w:lineRule="auto"/>
        <w:rPr>
          <w:rFonts w:ascii="Arial" w:hAnsi="Arial" w:cs="Arial"/>
          <w:b/>
          <w:bCs/>
          <w:sz w:val="22"/>
          <w:szCs w:val="22"/>
        </w:rPr>
      </w:pPr>
    </w:p>
    <w:p w14:paraId="50F5F5E6" w14:textId="77777777" w:rsidR="00DF557B" w:rsidRDefault="00DF557B" w:rsidP="00DF557B">
      <w:pPr>
        <w:spacing w:line="360" w:lineRule="auto"/>
        <w:rPr>
          <w:rFonts w:ascii="Arial" w:hAnsi="Arial" w:cs="Arial"/>
          <w:b/>
          <w:bCs/>
          <w:sz w:val="22"/>
          <w:szCs w:val="22"/>
        </w:rPr>
      </w:pPr>
    </w:p>
    <w:p w14:paraId="75CC01C7" w14:textId="77777777" w:rsidR="00DF557B" w:rsidRDefault="00DF557B" w:rsidP="00DF557B">
      <w:pPr>
        <w:spacing w:line="360" w:lineRule="auto"/>
        <w:rPr>
          <w:rFonts w:ascii="Arial" w:hAnsi="Arial" w:cs="Arial"/>
          <w:b/>
          <w:bCs/>
          <w:sz w:val="22"/>
          <w:szCs w:val="22"/>
        </w:rPr>
      </w:pPr>
    </w:p>
    <w:p w14:paraId="2F30FC89" w14:textId="77777777" w:rsidR="00DF557B" w:rsidRDefault="00DF557B" w:rsidP="00DF557B">
      <w:pPr>
        <w:spacing w:line="360" w:lineRule="auto"/>
        <w:rPr>
          <w:rFonts w:ascii="Arial" w:hAnsi="Arial" w:cs="Arial"/>
          <w:b/>
          <w:bCs/>
          <w:sz w:val="22"/>
          <w:szCs w:val="22"/>
        </w:rPr>
      </w:pPr>
    </w:p>
    <w:p w14:paraId="247FFE9E" w14:textId="77777777" w:rsidR="00DF557B" w:rsidRDefault="00DF557B" w:rsidP="00DF557B">
      <w:pPr>
        <w:spacing w:line="360" w:lineRule="auto"/>
        <w:rPr>
          <w:rFonts w:ascii="Arial" w:hAnsi="Arial" w:cs="Arial"/>
          <w:b/>
          <w:bCs/>
          <w:sz w:val="22"/>
          <w:szCs w:val="22"/>
        </w:rPr>
      </w:pPr>
    </w:p>
    <w:p w14:paraId="06A11170" w14:textId="77777777" w:rsidR="00DF557B" w:rsidRDefault="00DF557B" w:rsidP="00DF557B">
      <w:pPr>
        <w:spacing w:line="360" w:lineRule="auto"/>
        <w:rPr>
          <w:rFonts w:ascii="Arial" w:hAnsi="Arial" w:cs="Arial"/>
          <w:b/>
          <w:bCs/>
          <w:sz w:val="22"/>
          <w:szCs w:val="22"/>
        </w:rPr>
      </w:pPr>
    </w:p>
    <w:p w14:paraId="23FD8D5E" w14:textId="77777777" w:rsidR="00DF557B" w:rsidRDefault="00DF557B" w:rsidP="00DF557B">
      <w:pPr>
        <w:spacing w:line="360" w:lineRule="auto"/>
        <w:rPr>
          <w:rFonts w:ascii="Arial" w:hAnsi="Arial" w:cs="Arial"/>
          <w:b/>
          <w:bCs/>
          <w:sz w:val="22"/>
          <w:szCs w:val="22"/>
        </w:rPr>
      </w:pPr>
    </w:p>
    <w:p w14:paraId="191E0989" w14:textId="77777777" w:rsidR="00DF557B" w:rsidRDefault="00DF557B" w:rsidP="00DF557B">
      <w:pPr>
        <w:spacing w:line="360" w:lineRule="auto"/>
        <w:rPr>
          <w:rFonts w:ascii="Arial" w:hAnsi="Arial" w:cs="Arial"/>
          <w:b/>
          <w:bCs/>
          <w:sz w:val="22"/>
          <w:szCs w:val="22"/>
        </w:rPr>
      </w:pPr>
    </w:p>
    <w:p w14:paraId="00BD4738" w14:textId="77777777" w:rsidR="00DF557B" w:rsidRDefault="00DF557B" w:rsidP="00DF557B">
      <w:pPr>
        <w:spacing w:line="360" w:lineRule="auto"/>
        <w:rPr>
          <w:rFonts w:ascii="Arial" w:hAnsi="Arial" w:cs="Arial"/>
          <w:b/>
          <w:bCs/>
          <w:sz w:val="22"/>
          <w:szCs w:val="22"/>
        </w:rPr>
      </w:pPr>
    </w:p>
    <w:p w14:paraId="5D72AD88" w14:textId="77777777" w:rsidR="00DF557B" w:rsidRDefault="00DF557B" w:rsidP="00DF557B">
      <w:pPr>
        <w:spacing w:line="360" w:lineRule="auto"/>
        <w:rPr>
          <w:rFonts w:ascii="Arial" w:hAnsi="Arial" w:cs="Arial"/>
          <w:b/>
          <w:bCs/>
          <w:sz w:val="22"/>
          <w:szCs w:val="22"/>
        </w:rPr>
      </w:pPr>
    </w:p>
    <w:p w14:paraId="020C36C9" w14:textId="77777777" w:rsidR="00DF557B" w:rsidRDefault="00DF557B" w:rsidP="00DF557B">
      <w:pPr>
        <w:spacing w:line="360" w:lineRule="auto"/>
        <w:rPr>
          <w:rFonts w:ascii="Arial" w:hAnsi="Arial" w:cs="Arial"/>
          <w:b/>
          <w:bCs/>
          <w:sz w:val="22"/>
          <w:szCs w:val="22"/>
        </w:rPr>
      </w:pPr>
    </w:p>
    <w:sdt>
      <w:sdtPr>
        <w:rPr>
          <w:rFonts w:asciiTheme="minorHAnsi" w:eastAsiaTheme="minorHAnsi" w:hAnsiTheme="minorHAnsi" w:cstheme="minorBidi"/>
          <w:color w:val="auto"/>
          <w:kern w:val="2"/>
          <w:sz w:val="24"/>
          <w:szCs w:val="24"/>
          <w:lang w:eastAsia="en-US"/>
          <w14:ligatures w14:val="standardContextual"/>
        </w:rPr>
        <w:id w:val="-579136605"/>
        <w:docPartObj>
          <w:docPartGallery w:val="Table of Contents"/>
          <w:docPartUnique/>
        </w:docPartObj>
      </w:sdtPr>
      <w:sdtEndPr>
        <w:rPr>
          <w:b/>
          <w:bCs/>
        </w:rPr>
      </w:sdtEndPr>
      <w:sdtContent>
        <w:p w14:paraId="0B318433" w14:textId="5E75F828" w:rsidR="00744291" w:rsidRDefault="00744291">
          <w:pPr>
            <w:pStyle w:val="TOCHeading"/>
          </w:pPr>
          <w:r>
            <w:t>Contents</w:t>
          </w:r>
        </w:p>
        <w:p w14:paraId="71C8CD01" w14:textId="13ADEEB5" w:rsidR="00744291" w:rsidRDefault="00744291">
          <w:pPr>
            <w:pStyle w:val="TOC1"/>
            <w:tabs>
              <w:tab w:val="right" w:leader="dot" w:pos="9016"/>
            </w:tabs>
            <w:rPr>
              <w:noProof/>
            </w:rPr>
          </w:pPr>
          <w:r>
            <w:fldChar w:fldCharType="begin"/>
          </w:r>
          <w:r>
            <w:instrText xml:space="preserve"> TOC \o "1-3" \h \z \u </w:instrText>
          </w:r>
          <w:r>
            <w:fldChar w:fldCharType="separate"/>
          </w:r>
          <w:hyperlink w:anchor="_Toc225334433" w:history="1">
            <w:r w:rsidRPr="00AE0935">
              <w:rPr>
                <w:rStyle w:val="Hyperlink"/>
                <w:b/>
                <w:bCs/>
                <w:noProof/>
              </w:rPr>
              <w:t>Executive Summary</w:t>
            </w:r>
            <w:r>
              <w:rPr>
                <w:noProof/>
                <w:webHidden/>
              </w:rPr>
              <w:tab/>
            </w:r>
            <w:r>
              <w:rPr>
                <w:noProof/>
                <w:webHidden/>
              </w:rPr>
              <w:fldChar w:fldCharType="begin"/>
            </w:r>
            <w:r>
              <w:rPr>
                <w:noProof/>
                <w:webHidden/>
              </w:rPr>
              <w:instrText xml:space="preserve"> PAGEREF _Toc225334433 \h </w:instrText>
            </w:r>
            <w:r>
              <w:rPr>
                <w:noProof/>
                <w:webHidden/>
              </w:rPr>
            </w:r>
            <w:r>
              <w:rPr>
                <w:noProof/>
                <w:webHidden/>
              </w:rPr>
              <w:fldChar w:fldCharType="separate"/>
            </w:r>
            <w:r>
              <w:rPr>
                <w:noProof/>
                <w:webHidden/>
              </w:rPr>
              <w:t>3</w:t>
            </w:r>
            <w:r>
              <w:rPr>
                <w:noProof/>
                <w:webHidden/>
              </w:rPr>
              <w:fldChar w:fldCharType="end"/>
            </w:r>
          </w:hyperlink>
        </w:p>
        <w:p w14:paraId="3F6D862A" w14:textId="5402019E" w:rsidR="00744291" w:rsidRDefault="00744291">
          <w:pPr>
            <w:pStyle w:val="TOC1"/>
            <w:tabs>
              <w:tab w:val="right" w:leader="dot" w:pos="9016"/>
            </w:tabs>
            <w:rPr>
              <w:noProof/>
            </w:rPr>
          </w:pPr>
          <w:hyperlink w:anchor="_Toc225334434" w:history="1">
            <w:r w:rsidRPr="00AE0935">
              <w:rPr>
                <w:rStyle w:val="Hyperlink"/>
                <w:b/>
                <w:bCs/>
                <w:noProof/>
              </w:rPr>
              <w:t>Introduction</w:t>
            </w:r>
            <w:r>
              <w:rPr>
                <w:noProof/>
                <w:webHidden/>
              </w:rPr>
              <w:tab/>
            </w:r>
            <w:r>
              <w:rPr>
                <w:noProof/>
                <w:webHidden/>
              </w:rPr>
              <w:fldChar w:fldCharType="begin"/>
            </w:r>
            <w:r>
              <w:rPr>
                <w:noProof/>
                <w:webHidden/>
              </w:rPr>
              <w:instrText xml:space="preserve"> PAGEREF _Toc225334434 \h </w:instrText>
            </w:r>
            <w:r>
              <w:rPr>
                <w:noProof/>
                <w:webHidden/>
              </w:rPr>
            </w:r>
            <w:r>
              <w:rPr>
                <w:noProof/>
                <w:webHidden/>
              </w:rPr>
              <w:fldChar w:fldCharType="separate"/>
            </w:r>
            <w:r>
              <w:rPr>
                <w:noProof/>
                <w:webHidden/>
              </w:rPr>
              <w:t>4</w:t>
            </w:r>
            <w:r>
              <w:rPr>
                <w:noProof/>
                <w:webHidden/>
              </w:rPr>
              <w:fldChar w:fldCharType="end"/>
            </w:r>
          </w:hyperlink>
        </w:p>
        <w:p w14:paraId="67C0DB30" w14:textId="12E88782" w:rsidR="00744291" w:rsidRDefault="00744291">
          <w:pPr>
            <w:pStyle w:val="TOC1"/>
            <w:tabs>
              <w:tab w:val="right" w:leader="dot" w:pos="9016"/>
            </w:tabs>
            <w:rPr>
              <w:noProof/>
            </w:rPr>
          </w:pPr>
          <w:hyperlink w:anchor="_Toc225334435" w:history="1">
            <w:r w:rsidRPr="00AE0935">
              <w:rPr>
                <w:rStyle w:val="Hyperlink"/>
                <w:b/>
                <w:bCs/>
                <w:noProof/>
              </w:rPr>
              <w:t>Analysis and Discussion</w:t>
            </w:r>
            <w:r>
              <w:rPr>
                <w:noProof/>
                <w:webHidden/>
              </w:rPr>
              <w:tab/>
            </w:r>
            <w:r>
              <w:rPr>
                <w:noProof/>
                <w:webHidden/>
              </w:rPr>
              <w:fldChar w:fldCharType="begin"/>
            </w:r>
            <w:r>
              <w:rPr>
                <w:noProof/>
                <w:webHidden/>
              </w:rPr>
              <w:instrText xml:space="preserve"> PAGEREF _Toc225334435 \h </w:instrText>
            </w:r>
            <w:r>
              <w:rPr>
                <w:noProof/>
                <w:webHidden/>
              </w:rPr>
            </w:r>
            <w:r>
              <w:rPr>
                <w:noProof/>
                <w:webHidden/>
              </w:rPr>
              <w:fldChar w:fldCharType="separate"/>
            </w:r>
            <w:r>
              <w:rPr>
                <w:noProof/>
                <w:webHidden/>
              </w:rPr>
              <w:t>5</w:t>
            </w:r>
            <w:r>
              <w:rPr>
                <w:noProof/>
                <w:webHidden/>
              </w:rPr>
              <w:fldChar w:fldCharType="end"/>
            </w:r>
          </w:hyperlink>
        </w:p>
        <w:p w14:paraId="6CA5A9C9" w14:textId="7A39FC70" w:rsidR="00744291" w:rsidRDefault="00744291">
          <w:pPr>
            <w:pStyle w:val="TOC1"/>
            <w:tabs>
              <w:tab w:val="right" w:leader="dot" w:pos="9016"/>
            </w:tabs>
            <w:rPr>
              <w:noProof/>
            </w:rPr>
          </w:pPr>
          <w:hyperlink w:anchor="_Toc225334436" w:history="1">
            <w:r w:rsidRPr="00AE0935">
              <w:rPr>
                <w:rStyle w:val="Hyperlink"/>
                <w:b/>
                <w:bCs/>
                <w:noProof/>
              </w:rPr>
              <w:t>Global and National Context</w:t>
            </w:r>
            <w:r>
              <w:rPr>
                <w:noProof/>
                <w:webHidden/>
              </w:rPr>
              <w:tab/>
            </w:r>
            <w:r>
              <w:rPr>
                <w:noProof/>
                <w:webHidden/>
              </w:rPr>
              <w:fldChar w:fldCharType="begin"/>
            </w:r>
            <w:r>
              <w:rPr>
                <w:noProof/>
                <w:webHidden/>
              </w:rPr>
              <w:instrText xml:space="preserve"> PAGEREF _Toc225334436 \h </w:instrText>
            </w:r>
            <w:r>
              <w:rPr>
                <w:noProof/>
                <w:webHidden/>
              </w:rPr>
            </w:r>
            <w:r>
              <w:rPr>
                <w:noProof/>
                <w:webHidden/>
              </w:rPr>
              <w:fldChar w:fldCharType="separate"/>
            </w:r>
            <w:r>
              <w:rPr>
                <w:noProof/>
                <w:webHidden/>
              </w:rPr>
              <w:t>6</w:t>
            </w:r>
            <w:r>
              <w:rPr>
                <w:noProof/>
                <w:webHidden/>
              </w:rPr>
              <w:fldChar w:fldCharType="end"/>
            </w:r>
          </w:hyperlink>
        </w:p>
        <w:p w14:paraId="2A6F6CB2" w14:textId="2B2C819C" w:rsidR="00744291" w:rsidRDefault="00744291">
          <w:pPr>
            <w:pStyle w:val="TOC1"/>
            <w:tabs>
              <w:tab w:val="right" w:leader="dot" w:pos="9016"/>
            </w:tabs>
            <w:rPr>
              <w:noProof/>
            </w:rPr>
          </w:pPr>
          <w:hyperlink w:anchor="_Toc225334437" w:history="1">
            <w:r w:rsidRPr="00AE0935">
              <w:rPr>
                <w:rStyle w:val="Hyperlink"/>
                <w:b/>
                <w:bCs/>
                <w:noProof/>
              </w:rPr>
              <w:t>System Weaknesses</w:t>
            </w:r>
            <w:r>
              <w:rPr>
                <w:noProof/>
                <w:webHidden/>
              </w:rPr>
              <w:tab/>
            </w:r>
            <w:r>
              <w:rPr>
                <w:noProof/>
                <w:webHidden/>
              </w:rPr>
              <w:fldChar w:fldCharType="begin"/>
            </w:r>
            <w:r>
              <w:rPr>
                <w:noProof/>
                <w:webHidden/>
              </w:rPr>
              <w:instrText xml:space="preserve"> PAGEREF _Toc225334437 \h </w:instrText>
            </w:r>
            <w:r>
              <w:rPr>
                <w:noProof/>
                <w:webHidden/>
              </w:rPr>
            </w:r>
            <w:r>
              <w:rPr>
                <w:noProof/>
                <w:webHidden/>
              </w:rPr>
              <w:fldChar w:fldCharType="separate"/>
            </w:r>
            <w:r>
              <w:rPr>
                <w:noProof/>
                <w:webHidden/>
              </w:rPr>
              <w:t>8</w:t>
            </w:r>
            <w:r>
              <w:rPr>
                <w:noProof/>
                <w:webHidden/>
              </w:rPr>
              <w:fldChar w:fldCharType="end"/>
            </w:r>
          </w:hyperlink>
        </w:p>
        <w:p w14:paraId="0FA9B911" w14:textId="583EEC52" w:rsidR="00744291" w:rsidRDefault="00744291">
          <w:pPr>
            <w:pStyle w:val="TOC1"/>
            <w:tabs>
              <w:tab w:val="right" w:leader="dot" w:pos="9016"/>
            </w:tabs>
            <w:rPr>
              <w:noProof/>
            </w:rPr>
          </w:pPr>
          <w:hyperlink w:anchor="_Toc225334438" w:history="1">
            <w:r w:rsidRPr="00AE0935">
              <w:rPr>
                <w:rStyle w:val="Hyperlink"/>
                <w:b/>
                <w:bCs/>
                <w:noProof/>
              </w:rPr>
              <w:t>Leadership and Systems Thinking</w:t>
            </w:r>
            <w:r>
              <w:rPr>
                <w:noProof/>
                <w:webHidden/>
              </w:rPr>
              <w:tab/>
            </w:r>
            <w:r>
              <w:rPr>
                <w:noProof/>
                <w:webHidden/>
              </w:rPr>
              <w:fldChar w:fldCharType="begin"/>
            </w:r>
            <w:r>
              <w:rPr>
                <w:noProof/>
                <w:webHidden/>
              </w:rPr>
              <w:instrText xml:space="preserve"> PAGEREF _Toc225334438 \h </w:instrText>
            </w:r>
            <w:r>
              <w:rPr>
                <w:noProof/>
                <w:webHidden/>
              </w:rPr>
            </w:r>
            <w:r>
              <w:rPr>
                <w:noProof/>
                <w:webHidden/>
              </w:rPr>
              <w:fldChar w:fldCharType="separate"/>
            </w:r>
            <w:r>
              <w:rPr>
                <w:noProof/>
                <w:webHidden/>
              </w:rPr>
              <w:t>9</w:t>
            </w:r>
            <w:r>
              <w:rPr>
                <w:noProof/>
                <w:webHidden/>
              </w:rPr>
              <w:fldChar w:fldCharType="end"/>
            </w:r>
          </w:hyperlink>
        </w:p>
        <w:p w14:paraId="7D2D70D4" w14:textId="0246BC34" w:rsidR="00744291" w:rsidRDefault="00744291">
          <w:pPr>
            <w:pStyle w:val="TOC1"/>
            <w:tabs>
              <w:tab w:val="right" w:leader="dot" w:pos="9016"/>
            </w:tabs>
            <w:rPr>
              <w:noProof/>
            </w:rPr>
          </w:pPr>
          <w:hyperlink w:anchor="_Toc225334439" w:history="1">
            <w:r w:rsidRPr="00AE0935">
              <w:rPr>
                <w:rStyle w:val="Hyperlink"/>
                <w:b/>
                <w:bCs/>
                <w:noProof/>
              </w:rPr>
              <w:t>Rich Picture Integration</w:t>
            </w:r>
            <w:r>
              <w:rPr>
                <w:noProof/>
                <w:webHidden/>
              </w:rPr>
              <w:tab/>
            </w:r>
            <w:r>
              <w:rPr>
                <w:noProof/>
                <w:webHidden/>
              </w:rPr>
              <w:fldChar w:fldCharType="begin"/>
            </w:r>
            <w:r>
              <w:rPr>
                <w:noProof/>
                <w:webHidden/>
              </w:rPr>
              <w:instrText xml:space="preserve"> PAGEREF _Toc225334439 \h </w:instrText>
            </w:r>
            <w:r>
              <w:rPr>
                <w:noProof/>
                <w:webHidden/>
              </w:rPr>
            </w:r>
            <w:r>
              <w:rPr>
                <w:noProof/>
                <w:webHidden/>
              </w:rPr>
              <w:fldChar w:fldCharType="separate"/>
            </w:r>
            <w:r>
              <w:rPr>
                <w:noProof/>
                <w:webHidden/>
              </w:rPr>
              <w:t>10</w:t>
            </w:r>
            <w:r>
              <w:rPr>
                <w:noProof/>
                <w:webHidden/>
              </w:rPr>
              <w:fldChar w:fldCharType="end"/>
            </w:r>
          </w:hyperlink>
        </w:p>
        <w:p w14:paraId="534E62EF" w14:textId="440EE461" w:rsidR="00744291" w:rsidRDefault="00744291">
          <w:pPr>
            <w:pStyle w:val="TOC1"/>
            <w:tabs>
              <w:tab w:val="right" w:leader="dot" w:pos="9016"/>
            </w:tabs>
            <w:rPr>
              <w:noProof/>
            </w:rPr>
          </w:pPr>
          <w:hyperlink w:anchor="_Toc225334440" w:history="1">
            <w:r w:rsidRPr="00AE0935">
              <w:rPr>
                <w:rStyle w:val="Hyperlink"/>
                <w:b/>
                <w:bCs/>
                <w:noProof/>
              </w:rPr>
              <w:t>Rich Picture Mind Map</w:t>
            </w:r>
            <w:r>
              <w:rPr>
                <w:noProof/>
                <w:webHidden/>
              </w:rPr>
              <w:tab/>
            </w:r>
            <w:r>
              <w:rPr>
                <w:noProof/>
                <w:webHidden/>
              </w:rPr>
              <w:fldChar w:fldCharType="begin"/>
            </w:r>
            <w:r>
              <w:rPr>
                <w:noProof/>
                <w:webHidden/>
              </w:rPr>
              <w:instrText xml:space="preserve"> PAGEREF _Toc225334440 \h </w:instrText>
            </w:r>
            <w:r>
              <w:rPr>
                <w:noProof/>
                <w:webHidden/>
              </w:rPr>
            </w:r>
            <w:r>
              <w:rPr>
                <w:noProof/>
                <w:webHidden/>
              </w:rPr>
              <w:fldChar w:fldCharType="separate"/>
            </w:r>
            <w:r>
              <w:rPr>
                <w:noProof/>
                <w:webHidden/>
              </w:rPr>
              <w:t>12</w:t>
            </w:r>
            <w:r>
              <w:rPr>
                <w:noProof/>
                <w:webHidden/>
              </w:rPr>
              <w:fldChar w:fldCharType="end"/>
            </w:r>
          </w:hyperlink>
        </w:p>
        <w:p w14:paraId="013656A6" w14:textId="0CFF1FDB" w:rsidR="00744291" w:rsidRDefault="00744291">
          <w:pPr>
            <w:pStyle w:val="TOC1"/>
            <w:tabs>
              <w:tab w:val="right" w:leader="dot" w:pos="9016"/>
            </w:tabs>
            <w:rPr>
              <w:noProof/>
            </w:rPr>
          </w:pPr>
          <w:hyperlink w:anchor="_Toc225334441" w:history="1">
            <w:r w:rsidRPr="00AE0935">
              <w:rPr>
                <w:rStyle w:val="Hyperlink"/>
                <w:b/>
                <w:bCs/>
                <w:noProof/>
              </w:rPr>
              <w:t>Centralisation vs Decentralisation</w:t>
            </w:r>
            <w:r>
              <w:rPr>
                <w:noProof/>
                <w:webHidden/>
              </w:rPr>
              <w:tab/>
            </w:r>
            <w:r>
              <w:rPr>
                <w:noProof/>
                <w:webHidden/>
              </w:rPr>
              <w:fldChar w:fldCharType="begin"/>
            </w:r>
            <w:r>
              <w:rPr>
                <w:noProof/>
                <w:webHidden/>
              </w:rPr>
              <w:instrText xml:space="preserve"> PAGEREF _Toc225334441 \h </w:instrText>
            </w:r>
            <w:r>
              <w:rPr>
                <w:noProof/>
                <w:webHidden/>
              </w:rPr>
            </w:r>
            <w:r>
              <w:rPr>
                <w:noProof/>
                <w:webHidden/>
              </w:rPr>
              <w:fldChar w:fldCharType="separate"/>
            </w:r>
            <w:r>
              <w:rPr>
                <w:noProof/>
                <w:webHidden/>
              </w:rPr>
              <w:t>13</w:t>
            </w:r>
            <w:r>
              <w:rPr>
                <w:noProof/>
                <w:webHidden/>
              </w:rPr>
              <w:fldChar w:fldCharType="end"/>
            </w:r>
          </w:hyperlink>
        </w:p>
        <w:p w14:paraId="1CA6E065" w14:textId="6E95AFC3" w:rsidR="00744291" w:rsidRDefault="00744291">
          <w:pPr>
            <w:pStyle w:val="TOC1"/>
            <w:tabs>
              <w:tab w:val="right" w:leader="dot" w:pos="9016"/>
            </w:tabs>
            <w:rPr>
              <w:noProof/>
            </w:rPr>
          </w:pPr>
          <w:hyperlink w:anchor="_Toc225334442" w:history="1">
            <w:r w:rsidRPr="00AE0935">
              <w:rPr>
                <w:rStyle w:val="Hyperlink"/>
                <w:b/>
                <w:bCs/>
                <w:noProof/>
              </w:rPr>
              <w:t>Leadership Theory Application</w:t>
            </w:r>
            <w:r>
              <w:rPr>
                <w:noProof/>
                <w:webHidden/>
              </w:rPr>
              <w:tab/>
            </w:r>
            <w:r>
              <w:rPr>
                <w:noProof/>
                <w:webHidden/>
              </w:rPr>
              <w:fldChar w:fldCharType="begin"/>
            </w:r>
            <w:r>
              <w:rPr>
                <w:noProof/>
                <w:webHidden/>
              </w:rPr>
              <w:instrText xml:space="preserve"> PAGEREF _Toc225334442 \h </w:instrText>
            </w:r>
            <w:r>
              <w:rPr>
                <w:noProof/>
                <w:webHidden/>
              </w:rPr>
            </w:r>
            <w:r>
              <w:rPr>
                <w:noProof/>
                <w:webHidden/>
              </w:rPr>
              <w:fldChar w:fldCharType="separate"/>
            </w:r>
            <w:r>
              <w:rPr>
                <w:noProof/>
                <w:webHidden/>
              </w:rPr>
              <w:t>16</w:t>
            </w:r>
            <w:r>
              <w:rPr>
                <w:noProof/>
                <w:webHidden/>
              </w:rPr>
              <w:fldChar w:fldCharType="end"/>
            </w:r>
          </w:hyperlink>
        </w:p>
        <w:p w14:paraId="48FB3E1C" w14:textId="23416301" w:rsidR="00744291" w:rsidRDefault="00744291">
          <w:pPr>
            <w:pStyle w:val="TOC1"/>
            <w:tabs>
              <w:tab w:val="right" w:leader="dot" w:pos="9016"/>
            </w:tabs>
            <w:rPr>
              <w:noProof/>
            </w:rPr>
          </w:pPr>
          <w:hyperlink w:anchor="_Toc225334443" w:history="1">
            <w:r w:rsidRPr="00AE0935">
              <w:rPr>
                <w:rStyle w:val="Hyperlink"/>
                <w:b/>
                <w:bCs/>
                <w:noProof/>
              </w:rPr>
              <w:t>Critical Evaluation</w:t>
            </w:r>
            <w:r>
              <w:rPr>
                <w:noProof/>
                <w:webHidden/>
              </w:rPr>
              <w:tab/>
            </w:r>
            <w:r>
              <w:rPr>
                <w:noProof/>
                <w:webHidden/>
              </w:rPr>
              <w:fldChar w:fldCharType="begin"/>
            </w:r>
            <w:r>
              <w:rPr>
                <w:noProof/>
                <w:webHidden/>
              </w:rPr>
              <w:instrText xml:space="preserve"> PAGEREF _Toc225334443 \h </w:instrText>
            </w:r>
            <w:r>
              <w:rPr>
                <w:noProof/>
                <w:webHidden/>
              </w:rPr>
            </w:r>
            <w:r>
              <w:rPr>
                <w:noProof/>
                <w:webHidden/>
              </w:rPr>
              <w:fldChar w:fldCharType="separate"/>
            </w:r>
            <w:r>
              <w:rPr>
                <w:noProof/>
                <w:webHidden/>
              </w:rPr>
              <w:t>17</w:t>
            </w:r>
            <w:r>
              <w:rPr>
                <w:noProof/>
                <w:webHidden/>
              </w:rPr>
              <w:fldChar w:fldCharType="end"/>
            </w:r>
          </w:hyperlink>
        </w:p>
        <w:p w14:paraId="698A9F15" w14:textId="2D5B21A7" w:rsidR="00744291" w:rsidRDefault="00744291">
          <w:pPr>
            <w:pStyle w:val="TOC1"/>
            <w:tabs>
              <w:tab w:val="right" w:leader="dot" w:pos="9016"/>
            </w:tabs>
            <w:rPr>
              <w:noProof/>
            </w:rPr>
          </w:pPr>
          <w:hyperlink w:anchor="_Toc225334444" w:history="1">
            <w:r w:rsidRPr="00AE0935">
              <w:rPr>
                <w:rStyle w:val="Hyperlink"/>
                <w:b/>
                <w:bCs/>
                <w:noProof/>
              </w:rPr>
              <w:t>Critique, Improvements and Lessons Learned</w:t>
            </w:r>
            <w:r>
              <w:rPr>
                <w:noProof/>
                <w:webHidden/>
              </w:rPr>
              <w:tab/>
            </w:r>
            <w:r>
              <w:rPr>
                <w:noProof/>
                <w:webHidden/>
              </w:rPr>
              <w:fldChar w:fldCharType="begin"/>
            </w:r>
            <w:r>
              <w:rPr>
                <w:noProof/>
                <w:webHidden/>
              </w:rPr>
              <w:instrText xml:space="preserve"> PAGEREF _Toc225334444 \h </w:instrText>
            </w:r>
            <w:r>
              <w:rPr>
                <w:noProof/>
                <w:webHidden/>
              </w:rPr>
            </w:r>
            <w:r>
              <w:rPr>
                <w:noProof/>
                <w:webHidden/>
              </w:rPr>
              <w:fldChar w:fldCharType="separate"/>
            </w:r>
            <w:r>
              <w:rPr>
                <w:noProof/>
                <w:webHidden/>
              </w:rPr>
              <w:t>18</w:t>
            </w:r>
            <w:r>
              <w:rPr>
                <w:noProof/>
                <w:webHidden/>
              </w:rPr>
              <w:fldChar w:fldCharType="end"/>
            </w:r>
          </w:hyperlink>
        </w:p>
        <w:p w14:paraId="0605E829" w14:textId="16693FCE" w:rsidR="00744291" w:rsidRDefault="00744291">
          <w:pPr>
            <w:pStyle w:val="TOC1"/>
            <w:tabs>
              <w:tab w:val="right" w:leader="dot" w:pos="9016"/>
            </w:tabs>
            <w:rPr>
              <w:noProof/>
            </w:rPr>
          </w:pPr>
          <w:hyperlink w:anchor="_Toc225334445" w:history="1">
            <w:r w:rsidRPr="00AE0935">
              <w:rPr>
                <w:rStyle w:val="Hyperlink"/>
                <w:b/>
                <w:bCs/>
                <w:noProof/>
              </w:rPr>
              <w:t>Key Problems and Evidence-Based Improvements</w:t>
            </w:r>
            <w:r>
              <w:rPr>
                <w:noProof/>
                <w:webHidden/>
              </w:rPr>
              <w:tab/>
            </w:r>
            <w:r>
              <w:rPr>
                <w:noProof/>
                <w:webHidden/>
              </w:rPr>
              <w:fldChar w:fldCharType="begin"/>
            </w:r>
            <w:r>
              <w:rPr>
                <w:noProof/>
                <w:webHidden/>
              </w:rPr>
              <w:instrText xml:space="preserve"> PAGEREF _Toc225334445 \h </w:instrText>
            </w:r>
            <w:r>
              <w:rPr>
                <w:noProof/>
                <w:webHidden/>
              </w:rPr>
            </w:r>
            <w:r>
              <w:rPr>
                <w:noProof/>
                <w:webHidden/>
              </w:rPr>
              <w:fldChar w:fldCharType="separate"/>
            </w:r>
            <w:r>
              <w:rPr>
                <w:noProof/>
                <w:webHidden/>
              </w:rPr>
              <w:t>19</w:t>
            </w:r>
            <w:r>
              <w:rPr>
                <w:noProof/>
                <w:webHidden/>
              </w:rPr>
              <w:fldChar w:fldCharType="end"/>
            </w:r>
          </w:hyperlink>
        </w:p>
        <w:p w14:paraId="2BA82637" w14:textId="3D8D9D71" w:rsidR="00744291" w:rsidRDefault="00744291">
          <w:pPr>
            <w:pStyle w:val="TOC1"/>
            <w:tabs>
              <w:tab w:val="right" w:leader="dot" w:pos="9016"/>
            </w:tabs>
            <w:rPr>
              <w:noProof/>
            </w:rPr>
          </w:pPr>
          <w:hyperlink w:anchor="_Toc225334446" w:history="1">
            <w:r w:rsidRPr="00AE0935">
              <w:rPr>
                <w:rStyle w:val="Hyperlink"/>
                <w:b/>
                <w:bCs/>
                <w:noProof/>
              </w:rPr>
              <w:t>Key Lessons for Health Organisations</w:t>
            </w:r>
            <w:r>
              <w:rPr>
                <w:noProof/>
                <w:webHidden/>
              </w:rPr>
              <w:tab/>
            </w:r>
            <w:r>
              <w:rPr>
                <w:noProof/>
                <w:webHidden/>
              </w:rPr>
              <w:fldChar w:fldCharType="begin"/>
            </w:r>
            <w:r>
              <w:rPr>
                <w:noProof/>
                <w:webHidden/>
              </w:rPr>
              <w:instrText xml:space="preserve"> PAGEREF _Toc225334446 \h </w:instrText>
            </w:r>
            <w:r>
              <w:rPr>
                <w:noProof/>
                <w:webHidden/>
              </w:rPr>
            </w:r>
            <w:r>
              <w:rPr>
                <w:noProof/>
                <w:webHidden/>
              </w:rPr>
              <w:fldChar w:fldCharType="separate"/>
            </w:r>
            <w:r>
              <w:rPr>
                <w:noProof/>
                <w:webHidden/>
              </w:rPr>
              <w:t>20</w:t>
            </w:r>
            <w:r>
              <w:rPr>
                <w:noProof/>
                <w:webHidden/>
              </w:rPr>
              <w:fldChar w:fldCharType="end"/>
            </w:r>
          </w:hyperlink>
        </w:p>
        <w:p w14:paraId="6CCEE418" w14:textId="66F1D0AB" w:rsidR="00744291" w:rsidRDefault="00744291">
          <w:pPr>
            <w:pStyle w:val="TOC1"/>
            <w:tabs>
              <w:tab w:val="right" w:leader="dot" w:pos="9016"/>
            </w:tabs>
            <w:rPr>
              <w:noProof/>
            </w:rPr>
          </w:pPr>
          <w:hyperlink w:anchor="_Toc225334447" w:history="1">
            <w:r w:rsidRPr="00AE0935">
              <w:rPr>
                <w:rStyle w:val="Hyperlink"/>
                <w:b/>
                <w:bCs/>
                <w:noProof/>
              </w:rPr>
              <w:t>Recommendations</w:t>
            </w:r>
            <w:r>
              <w:rPr>
                <w:noProof/>
                <w:webHidden/>
              </w:rPr>
              <w:tab/>
            </w:r>
            <w:r>
              <w:rPr>
                <w:noProof/>
                <w:webHidden/>
              </w:rPr>
              <w:fldChar w:fldCharType="begin"/>
            </w:r>
            <w:r>
              <w:rPr>
                <w:noProof/>
                <w:webHidden/>
              </w:rPr>
              <w:instrText xml:space="preserve"> PAGEREF _Toc225334447 \h </w:instrText>
            </w:r>
            <w:r>
              <w:rPr>
                <w:noProof/>
                <w:webHidden/>
              </w:rPr>
            </w:r>
            <w:r>
              <w:rPr>
                <w:noProof/>
                <w:webHidden/>
              </w:rPr>
              <w:fldChar w:fldCharType="separate"/>
            </w:r>
            <w:r>
              <w:rPr>
                <w:noProof/>
                <w:webHidden/>
              </w:rPr>
              <w:t>21</w:t>
            </w:r>
            <w:r>
              <w:rPr>
                <w:noProof/>
                <w:webHidden/>
              </w:rPr>
              <w:fldChar w:fldCharType="end"/>
            </w:r>
          </w:hyperlink>
        </w:p>
        <w:p w14:paraId="58115DEF" w14:textId="3AAA5BBA" w:rsidR="00744291" w:rsidRDefault="00744291">
          <w:pPr>
            <w:pStyle w:val="TOC1"/>
            <w:tabs>
              <w:tab w:val="right" w:leader="dot" w:pos="9016"/>
            </w:tabs>
            <w:rPr>
              <w:noProof/>
            </w:rPr>
          </w:pPr>
          <w:hyperlink w:anchor="_Toc225334448" w:history="1">
            <w:r w:rsidRPr="00AE0935">
              <w:rPr>
                <w:rStyle w:val="Hyperlink"/>
                <w:b/>
                <w:bCs/>
                <w:noProof/>
              </w:rPr>
              <w:t>Conclusion</w:t>
            </w:r>
            <w:r>
              <w:rPr>
                <w:noProof/>
                <w:webHidden/>
              </w:rPr>
              <w:tab/>
            </w:r>
            <w:r>
              <w:rPr>
                <w:noProof/>
                <w:webHidden/>
              </w:rPr>
              <w:fldChar w:fldCharType="begin"/>
            </w:r>
            <w:r>
              <w:rPr>
                <w:noProof/>
                <w:webHidden/>
              </w:rPr>
              <w:instrText xml:space="preserve"> PAGEREF _Toc225334448 \h </w:instrText>
            </w:r>
            <w:r>
              <w:rPr>
                <w:noProof/>
                <w:webHidden/>
              </w:rPr>
            </w:r>
            <w:r>
              <w:rPr>
                <w:noProof/>
                <w:webHidden/>
              </w:rPr>
              <w:fldChar w:fldCharType="separate"/>
            </w:r>
            <w:r>
              <w:rPr>
                <w:noProof/>
                <w:webHidden/>
              </w:rPr>
              <w:t>23</w:t>
            </w:r>
            <w:r>
              <w:rPr>
                <w:noProof/>
                <w:webHidden/>
              </w:rPr>
              <w:fldChar w:fldCharType="end"/>
            </w:r>
          </w:hyperlink>
        </w:p>
        <w:p w14:paraId="2D4D8559" w14:textId="3D1D8387" w:rsidR="00744291" w:rsidRDefault="00744291">
          <w:pPr>
            <w:pStyle w:val="TOC1"/>
            <w:tabs>
              <w:tab w:val="right" w:leader="dot" w:pos="9016"/>
            </w:tabs>
            <w:rPr>
              <w:noProof/>
            </w:rPr>
          </w:pPr>
          <w:hyperlink w:anchor="_Toc225334449" w:history="1">
            <w:r w:rsidRPr="00AE0935">
              <w:rPr>
                <w:rStyle w:val="Hyperlink"/>
                <w:b/>
                <w:bCs/>
                <w:noProof/>
              </w:rPr>
              <w:t>Reference List</w:t>
            </w:r>
            <w:r>
              <w:rPr>
                <w:noProof/>
                <w:webHidden/>
              </w:rPr>
              <w:tab/>
            </w:r>
            <w:r>
              <w:rPr>
                <w:noProof/>
                <w:webHidden/>
              </w:rPr>
              <w:fldChar w:fldCharType="begin"/>
            </w:r>
            <w:r>
              <w:rPr>
                <w:noProof/>
                <w:webHidden/>
              </w:rPr>
              <w:instrText xml:space="preserve"> PAGEREF _Toc225334449 \h </w:instrText>
            </w:r>
            <w:r>
              <w:rPr>
                <w:noProof/>
                <w:webHidden/>
              </w:rPr>
            </w:r>
            <w:r>
              <w:rPr>
                <w:noProof/>
                <w:webHidden/>
              </w:rPr>
              <w:fldChar w:fldCharType="separate"/>
            </w:r>
            <w:r>
              <w:rPr>
                <w:noProof/>
                <w:webHidden/>
              </w:rPr>
              <w:t>24</w:t>
            </w:r>
            <w:r>
              <w:rPr>
                <w:noProof/>
                <w:webHidden/>
              </w:rPr>
              <w:fldChar w:fldCharType="end"/>
            </w:r>
          </w:hyperlink>
        </w:p>
        <w:p w14:paraId="3DA21192" w14:textId="3DFCCFE3" w:rsidR="00DF557B" w:rsidRPr="00744291" w:rsidRDefault="00744291" w:rsidP="00744291">
          <w:r>
            <w:rPr>
              <w:b/>
              <w:bCs/>
            </w:rPr>
            <w:fldChar w:fldCharType="end"/>
          </w:r>
        </w:p>
      </w:sdtContent>
    </w:sdt>
    <w:p w14:paraId="58655236" w14:textId="77777777" w:rsidR="00DF557B" w:rsidRDefault="00DF557B" w:rsidP="00DF557B">
      <w:pPr>
        <w:spacing w:line="360" w:lineRule="auto"/>
        <w:rPr>
          <w:rFonts w:ascii="Arial" w:hAnsi="Arial" w:cs="Arial"/>
          <w:b/>
          <w:bCs/>
          <w:sz w:val="22"/>
          <w:szCs w:val="22"/>
        </w:rPr>
      </w:pPr>
    </w:p>
    <w:p w14:paraId="7185DE70" w14:textId="77777777" w:rsidR="00DF557B" w:rsidRDefault="00DF557B" w:rsidP="00DF557B">
      <w:pPr>
        <w:spacing w:line="360" w:lineRule="auto"/>
        <w:rPr>
          <w:rFonts w:ascii="Arial" w:hAnsi="Arial" w:cs="Arial"/>
          <w:b/>
          <w:bCs/>
          <w:sz w:val="22"/>
          <w:szCs w:val="22"/>
        </w:rPr>
      </w:pPr>
    </w:p>
    <w:p w14:paraId="7A1C4DB6" w14:textId="77777777" w:rsidR="00DF557B" w:rsidRDefault="00DF557B" w:rsidP="00DF557B">
      <w:pPr>
        <w:spacing w:line="360" w:lineRule="auto"/>
        <w:rPr>
          <w:rFonts w:ascii="Arial" w:hAnsi="Arial" w:cs="Arial"/>
          <w:b/>
          <w:bCs/>
          <w:sz w:val="22"/>
          <w:szCs w:val="22"/>
        </w:rPr>
      </w:pPr>
    </w:p>
    <w:p w14:paraId="2B441DB5" w14:textId="77777777" w:rsidR="00DF557B" w:rsidRDefault="00DF557B" w:rsidP="00DF557B">
      <w:pPr>
        <w:spacing w:line="360" w:lineRule="auto"/>
        <w:rPr>
          <w:rFonts w:ascii="Arial" w:hAnsi="Arial" w:cs="Arial"/>
          <w:b/>
          <w:bCs/>
          <w:sz w:val="22"/>
          <w:szCs w:val="22"/>
        </w:rPr>
      </w:pPr>
    </w:p>
    <w:p w14:paraId="4A358D67" w14:textId="77777777" w:rsidR="00DF557B" w:rsidRDefault="00DF557B" w:rsidP="00DF557B">
      <w:pPr>
        <w:spacing w:line="360" w:lineRule="auto"/>
        <w:rPr>
          <w:rFonts w:ascii="Arial" w:hAnsi="Arial" w:cs="Arial"/>
          <w:b/>
          <w:bCs/>
          <w:sz w:val="22"/>
          <w:szCs w:val="22"/>
        </w:rPr>
      </w:pPr>
    </w:p>
    <w:p w14:paraId="27692EE0" w14:textId="77777777" w:rsidR="00DF557B" w:rsidRDefault="00DF557B" w:rsidP="00DF557B">
      <w:pPr>
        <w:spacing w:line="360" w:lineRule="auto"/>
        <w:rPr>
          <w:rFonts w:ascii="Arial" w:hAnsi="Arial" w:cs="Arial"/>
          <w:b/>
          <w:bCs/>
          <w:sz w:val="22"/>
          <w:szCs w:val="22"/>
        </w:rPr>
      </w:pPr>
    </w:p>
    <w:p w14:paraId="4599381B" w14:textId="77777777" w:rsidR="00DF557B" w:rsidRDefault="00DF557B" w:rsidP="00DF557B">
      <w:pPr>
        <w:spacing w:line="360" w:lineRule="auto"/>
        <w:rPr>
          <w:rFonts w:ascii="Arial" w:hAnsi="Arial" w:cs="Arial"/>
          <w:b/>
          <w:bCs/>
          <w:sz w:val="22"/>
          <w:szCs w:val="22"/>
        </w:rPr>
      </w:pPr>
    </w:p>
    <w:p w14:paraId="7E64958B" w14:textId="77777777" w:rsidR="00DF557B" w:rsidRDefault="00DF557B" w:rsidP="00DF557B">
      <w:pPr>
        <w:spacing w:line="360" w:lineRule="auto"/>
        <w:rPr>
          <w:rFonts w:ascii="Arial" w:hAnsi="Arial" w:cs="Arial"/>
          <w:b/>
          <w:bCs/>
          <w:sz w:val="22"/>
          <w:szCs w:val="22"/>
        </w:rPr>
      </w:pPr>
    </w:p>
    <w:p w14:paraId="22E14870" w14:textId="77777777" w:rsidR="00DF557B" w:rsidRDefault="00DF557B" w:rsidP="00DF557B">
      <w:pPr>
        <w:spacing w:line="360" w:lineRule="auto"/>
        <w:rPr>
          <w:rFonts w:ascii="Arial" w:hAnsi="Arial" w:cs="Arial"/>
          <w:b/>
          <w:bCs/>
          <w:sz w:val="22"/>
          <w:szCs w:val="22"/>
        </w:rPr>
      </w:pPr>
    </w:p>
    <w:p w14:paraId="097A6B21" w14:textId="77777777" w:rsidR="00DF557B" w:rsidRDefault="00DF557B" w:rsidP="00DF557B">
      <w:pPr>
        <w:spacing w:line="360" w:lineRule="auto"/>
        <w:rPr>
          <w:rFonts w:ascii="Arial" w:hAnsi="Arial" w:cs="Arial"/>
          <w:b/>
          <w:bCs/>
          <w:sz w:val="22"/>
          <w:szCs w:val="22"/>
        </w:rPr>
      </w:pPr>
    </w:p>
    <w:p w14:paraId="3FD7D19C" w14:textId="36043F42" w:rsidR="00744291" w:rsidRDefault="00B7236A" w:rsidP="00DF557B">
      <w:pPr>
        <w:spacing w:line="360" w:lineRule="auto"/>
        <w:rPr>
          <w:rFonts w:ascii="Arial" w:hAnsi="Arial" w:cs="Arial"/>
          <w:b/>
          <w:bCs/>
          <w:sz w:val="22"/>
          <w:szCs w:val="22"/>
        </w:rPr>
      </w:pPr>
      <w:r w:rsidRPr="00B7236A">
        <w:rPr>
          <w:rFonts w:ascii="Arial" w:hAnsi="Arial" w:cs="Arial"/>
          <w:b/>
          <w:bCs/>
          <w:sz w:val="22"/>
          <w:szCs w:val="22"/>
        </w:rPr>
        <w:lastRenderedPageBreak/>
        <w:t>Case Study: Lewis Blackman</w:t>
      </w:r>
    </w:p>
    <w:p w14:paraId="2837EBEC" w14:textId="377DAFE0" w:rsidR="00DF557B" w:rsidRPr="00744291" w:rsidRDefault="00DF557B" w:rsidP="00744291">
      <w:pPr>
        <w:pStyle w:val="Heading1"/>
        <w:rPr>
          <w:b/>
          <w:bCs/>
          <w:color w:val="auto"/>
          <w:sz w:val="24"/>
          <w:szCs w:val="24"/>
        </w:rPr>
      </w:pPr>
      <w:bookmarkStart w:id="0" w:name="_Toc225334433"/>
      <w:r w:rsidRPr="00744291">
        <w:rPr>
          <w:b/>
          <w:bCs/>
          <w:color w:val="auto"/>
          <w:sz w:val="24"/>
          <w:szCs w:val="24"/>
        </w:rPr>
        <w:t>Executive Summary</w:t>
      </w:r>
      <w:bookmarkEnd w:id="0"/>
    </w:p>
    <w:p w14:paraId="53665A59" w14:textId="3160564D" w:rsidR="00092D78" w:rsidRPr="00092D78" w:rsidRDefault="00092D78" w:rsidP="00092D78">
      <w:pPr>
        <w:spacing w:line="360" w:lineRule="auto"/>
        <w:rPr>
          <w:rFonts w:ascii="Arial" w:hAnsi="Arial" w:cs="Arial"/>
          <w:sz w:val="22"/>
          <w:szCs w:val="22"/>
        </w:rPr>
      </w:pPr>
      <w:r w:rsidRPr="00092D78">
        <w:rPr>
          <w:rFonts w:ascii="Arial" w:hAnsi="Arial" w:cs="Arial"/>
          <w:sz w:val="22"/>
          <w:szCs w:val="22"/>
        </w:rPr>
        <w:t>The Lewis Blackman case highlights a critical patient safety failure caused by weaknesses in leadership, communication, and organisational governance. A systems thinking approach shows that the outcome resulted from multiple interacting failures, rather than a single clinical error (Senge, 2006; Reason, 2000). Key issues included poor supervision of junior staff, ineffective escalation processes, and hierarchical communication barriers that delayed intervention (Institute of Medicine, 2000).</w:t>
      </w:r>
    </w:p>
    <w:p w14:paraId="18A4DBE1" w14:textId="77777777" w:rsidR="00092D78" w:rsidRPr="00092D78" w:rsidRDefault="00092D78" w:rsidP="00092D78">
      <w:pPr>
        <w:spacing w:line="360" w:lineRule="auto"/>
        <w:rPr>
          <w:rFonts w:ascii="Arial" w:hAnsi="Arial" w:cs="Arial"/>
          <w:sz w:val="22"/>
          <w:szCs w:val="22"/>
        </w:rPr>
      </w:pPr>
      <w:r w:rsidRPr="00092D78">
        <w:rPr>
          <w:rFonts w:ascii="Arial" w:hAnsi="Arial" w:cs="Arial"/>
          <w:sz w:val="22"/>
          <w:szCs w:val="22"/>
        </w:rPr>
        <w:t>Leadership theories help explain these failures. The Tannenbaum and Schmidt continuum illustrates how autocratic leadership limited staff participation, while McGregor’s Theory X reflects low staff empowerment (Tannenbaum and Schmidt, 1973; McGregor, 1960). Behavioural leadership theory highlights the importance of communication and support (Yukl, 2013).</w:t>
      </w:r>
    </w:p>
    <w:p w14:paraId="0C3F7D4A" w14:textId="77777777" w:rsidR="00092D78" w:rsidRDefault="00DF557B" w:rsidP="00DF557B">
      <w:pPr>
        <w:spacing w:line="360" w:lineRule="auto"/>
        <w:rPr>
          <w:rFonts w:ascii="Arial" w:hAnsi="Arial" w:cs="Arial"/>
          <w:sz w:val="22"/>
          <w:szCs w:val="22"/>
        </w:rPr>
      </w:pPr>
      <w:r w:rsidRPr="00DF557B">
        <w:rPr>
          <w:rFonts w:ascii="Arial" w:hAnsi="Arial" w:cs="Arial"/>
          <w:sz w:val="22"/>
          <w:szCs w:val="22"/>
        </w:rPr>
        <w:t xml:space="preserve">The report concludes that effective leadership and governance are critical to improving patient safety. Evidence-based recommendations include adopting transformational leadership approaches, strengthening escalation systems, improving staff training, implementing digital monitoring tools, and enhancing clinical governance frameworks (WHO, 2019; Cummings et al., 2018). </w:t>
      </w:r>
    </w:p>
    <w:p w14:paraId="48A08764" w14:textId="3D3097E2" w:rsidR="00DF557B" w:rsidRPr="00DF557B" w:rsidRDefault="00DF557B" w:rsidP="00DF557B">
      <w:pPr>
        <w:spacing w:line="360" w:lineRule="auto"/>
        <w:rPr>
          <w:rFonts w:ascii="Arial" w:hAnsi="Arial" w:cs="Arial"/>
          <w:sz w:val="22"/>
          <w:szCs w:val="22"/>
        </w:rPr>
      </w:pPr>
      <w:r w:rsidRPr="00DF557B">
        <w:rPr>
          <w:rFonts w:ascii="Arial" w:hAnsi="Arial" w:cs="Arial"/>
          <w:sz w:val="22"/>
          <w:szCs w:val="22"/>
        </w:rPr>
        <w:t>Overall, sustainable improvement requires a shift from individual blame to systems-based approaches that prioritise communication, collaboration, and continuous organisational learning.</w:t>
      </w:r>
    </w:p>
    <w:p w14:paraId="58C5BF00" w14:textId="77777777" w:rsidR="00DF557B" w:rsidRDefault="00DF557B" w:rsidP="006A05DE">
      <w:pPr>
        <w:spacing w:line="360" w:lineRule="auto"/>
        <w:rPr>
          <w:rFonts w:ascii="Arial" w:hAnsi="Arial" w:cs="Arial"/>
          <w:b/>
          <w:bCs/>
          <w:sz w:val="22"/>
          <w:szCs w:val="22"/>
        </w:rPr>
      </w:pPr>
    </w:p>
    <w:p w14:paraId="08D55B79" w14:textId="77777777" w:rsidR="00DF557B" w:rsidRDefault="00DF557B" w:rsidP="006A05DE">
      <w:pPr>
        <w:spacing w:line="360" w:lineRule="auto"/>
        <w:rPr>
          <w:rFonts w:ascii="Arial" w:hAnsi="Arial" w:cs="Arial"/>
          <w:b/>
          <w:bCs/>
          <w:sz w:val="22"/>
          <w:szCs w:val="22"/>
        </w:rPr>
      </w:pPr>
    </w:p>
    <w:p w14:paraId="5FFE9AE0" w14:textId="77777777" w:rsidR="00DF557B" w:rsidRDefault="00DF557B" w:rsidP="006A05DE">
      <w:pPr>
        <w:spacing w:line="360" w:lineRule="auto"/>
        <w:rPr>
          <w:rFonts w:ascii="Arial" w:hAnsi="Arial" w:cs="Arial"/>
          <w:b/>
          <w:bCs/>
          <w:sz w:val="22"/>
          <w:szCs w:val="22"/>
        </w:rPr>
      </w:pPr>
    </w:p>
    <w:p w14:paraId="586C2E53" w14:textId="77777777" w:rsidR="003863BD" w:rsidRDefault="003863BD" w:rsidP="006A05DE">
      <w:pPr>
        <w:spacing w:line="360" w:lineRule="auto"/>
        <w:rPr>
          <w:rFonts w:ascii="Arial" w:hAnsi="Arial" w:cs="Arial"/>
          <w:b/>
          <w:bCs/>
          <w:sz w:val="22"/>
          <w:szCs w:val="22"/>
        </w:rPr>
      </w:pPr>
    </w:p>
    <w:p w14:paraId="1B74ACEF" w14:textId="77777777" w:rsidR="00092D78" w:rsidRDefault="00092D78" w:rsidP="006A05DE">
      <w:pPr>
        <w:spacing w:line="360" w:lineRule="auto"/>
        <w:rPr>
          <w:rFonts w:ascii="Arial" w:hAnsi="Arial" w:cs="Arial"/>
          <w:b/>
          <w:bCs/>
          <w:sz w:val="22"/>
          <w:szCs w:val="22"/>
        </w:rPr>
      </w:pPr>
    </w:p>
    <w:p w14:paraId="3577152E" w14:textId="77777777" w:rsidR="00092D78" w:rsidRDefault="00092D78" w:rsidP="006A05DE">
      <w:pPr>
        <w:spacing w:line="360" w:lineRule="auto"/>
        <w:rPr>
          <w:rFonts w:ascii="Arial" w:hAnsi="Arial" w:cs="Arial"/>
          <w:b/>
          <w:bCs/>
          <w:sz w:val="22"/>
          <w:szCs w:val="22"/>
        </w:rPr>
      </w:pPr>
    </w:p>
    <w:p w14:paraId="7B18F969" w14:textId="77777777" w:rsidR="00092D78" w:rsidRDefault="00092D78" w:rsidP="006A05DE">
      <w:pPr>
        <w:spacing w:line="360" w:lineRule="auto"/>
        <w:rPr>
          <w:rFonts w:ascii="Arial" w:hAnsi="Arial" w:cs="Arial"/>
          <w:b/>
          <w:bCs/>
          <w:sz w:val="22"/>
          <w:szCs w:val="22"/>
        </w:rPr>
      </w:pPr>
    </w:p>
    <w:p w14:paraId="7EF618B3" w14:textId="77777777" w:rsidR="00092D78" w:rsidRPr="006A05DE" w:rsidRDefault="00092D78" w:rsidP="006A05DE">
      <w:pPr>
        <w:spacing w:line="360" w:lineRule="auto"/>
        <w:rPr>
          <w:rFonts w:ascii="Arial" w:hAnsi="Arial" w:cs="Arial"/>
          <w:b/>
          <w:bCs/>
          <w:sz w:val="22"/>
          <w:szCs w:val="22"/>
        </w:rPr>
      </w:pPr>
    </w:p>
    <w:p w14:paraId="493A0204" w14:textId="77777777" w:rsidR="003863BD" w:rsidRPr="00744291" w:rsidRDefault="003863BD" w:rsidP="00744291">
      <w:pPr>
        <w:pStyle w:val="Heading1"/>
        <w:rPr>
          <w:b/>
          <w:bCs/>
          <w:color w:val="auto"/>
          <w:sz w:val="24"/>
          <w:szCs w:val="24"/>
        </w:rPr>
      </w:pPr>
      <w:bookmarkStart w:id="1" w:name="_Toc225334434"/>
      <w:r w:rsidRPr="00744291">
        <w:rPr>
          <w:b/>
          <w:bCs/>
          <w:color w:val="auto"/>
          <w:sz w:val="24"/>
          <w:szCs w:val="24"/>
        </w:rPr>
        <w:lastRenderedPageBreak/>
        <w:t>Introduction</w:t>
      </w:r>
      <w:bookmarkEnd w:id="1"/>
      <w:r w:rsidRPr="00744291">
        <w:rPr>
          <w:b/>
          <w:bCs/>
          <w:color w:val="auto"/>
          <w:sz w:val="24"/>
          <w:szCs w:val="24"/>
        </w:rPr>
        <w:t xml:space="preserve"> </w:t>
      </w:r>
    </w:p>
    <w:p w14:paraId="516C2174" w14:textId="77777777" w:rsidR="003863BD" w:rsidRDefault="003863BD" w:rsidP="006A05DE">
      <w:pPr>
        <w:spacing w:line="360" w:lineRule="auto"/>
        <w:rPr>
          <w:rFonts w:ascii="Arial" w:hAnsi="Arial" w:cs="Arial"/>
          <w:sz w:val="22"/>
          <w:szCs w:val="22"/>
        </w:rPr>
      </w:pPr>
      <w:r w:rsidRPr="006A05DE">
        <w:rPr>
          <w:rFonts w:ascii="Arial" w:hAnsi="Arial" w:cs="Arial"/>
          <w:sz w:val="22"/>
          <w:szCs w:val="22"/>
        </w:rPr>
        <w:t>Modern health and social care systems place strong emphasis on patient safety and quality improvement. Healthcare organisations operate in complex environments where effective leadership, communication, and teamwork are essential to ensure safe patient care (West et al., 2015). A well-known case that highlights the consequences of leadership failure in healthcare is the death of Lewis Blackman at the Medical University of South Carolina in 2000. Lewis, a 15-year-old patient who underwent surgery for pectus excavatum, died due to severe postoperative complications that were not recognised or treated promptly (Haskell, 2014).</w:t>
      </w:r>
    </w:p>
    <w:p w14:paraId="1AFC3F64" w14:textId="77777777" w:rsidR="00821B4C" w:rsidRPr="006A05DE" w:rsidRDefault="00821B4C" w:rsidP="006A05DE">
      <w:pPr>
        <w:spacing w:line="360" w:lineRule="auto"/>
        <w:rPr>
          <w:rFonts w:ascii="Arial" w:hAnsi="Arial" w:cs="Arial"/>
          <w:sz w:val="22"/>
          <w:szCs w:val="22"/>
        </w:rPr>
      </w:pPr>
    </w:p>
    <w:p w14:paraId="3C4C3C5A" w14:textId="77777777" w:rsidR="003863BD" w:rsidRPr="006A05DE" w:rsidRDefault="003863BD" w:rsidP="006A05DE">
      <w:pPr>
        <w:spacing w:line="360" w:lineRule="auto"/>
        <w:rPr>
          <w:rFonts w:ascii="Arial" w:hAnsi="Arial" w:cs="Arial"/>
          <w:sz w:val="22"/>
          <w:szCs w:val="22"/>
        </w:rPr>
      </w:pPr>
      <w:r w:rsidRPr="006A05DE">
        <w:rPr>
          <w:rFonts w:ascii="Arial" w:hAnsi="Arial" w:cs="Arial"/>
          <w:sz w:val="22"/>
          <w:szCs w:val="22"/>
        </w:rPr>
        <w:t>Subsequent investigations identified major failures in communication, clinical supervision, and decision-making within the hospital system. The case gained national attention largely due to the advocacy of Lewis’s mother, Helen Haskell, who later became a prominent patient-safety advocate and contributed to improvements in hospital transparency and patient-safety policies (Haskell, 2014). As a result, the case provides an important example of how leadership failures can negatively affect patient outcomes and why organisational change is necessary to improve healthcare performance.</w:t>
      </w:r>
    </w:p>
    <w:p w14:paraId="53B42109" w14:textId="77777777" w:rsidR="003863BD" w:rsidRPr="006A05DE" w:rsidRDefault="003863BD" w:rsidP="006A05DE">
      <w:pPr>
        <w:spacing w:line="360" w:lineRule="auto"/>
        <w:rPr>
          <w:rFonts w:ascii="Arial" w:hAnsi="Arial" w:cs="Arial"/>
          <w:sz w:val="22"/>
          <w:szCs w:val="22"/>
        </w:rPr>
      </w:pPr>
    </w:p>
    <w:p w14:paraId="40643607" w14:textId="77777777" w:rsidR="003863BD" w:rsidRDefault="003863BD" w:rsidP="006A05DE">
      <w:pPr>
        <w:spacing w:line="360" w:lineRule="auto"/>
        <w:rPr>
          <w:rFonts w:ascii="Arial" w:hAnsi="Arial" w:cs="Arial"/>
          <w:sz w:val="22"/>
          <w:szCs w:val="22"/>
        </w:rPr>
      </w:pPr>
      <w:r w:rsidRPr="006A05DE">
        <w:rPr>
          <w:rFonts w:ascii="Arial" w:hAnsi="Arial" w:cs="Arial"/>
          <w:sz w:val="22"/>
          <w:szCs w:val="22"/>
        </w:rPr>
        <w:t>Leadership in health and social care involves influencing and guiding individuals or teams to work collaboratively toward shared goals that enhance patient outcomes and organisational effectiveness (Northouse, 2022). Effective healthcare leaders promote clear communication, shared responsibility, and a culture where staff feel safe to raise concerns about patient safety (NHS Leadership Academy, 2013). In contrast to management, which focuses on planning and controlling processes, leadership also involves motivating staff, building trust, and encouraging innovation within healthcare organisations (Yukl, 2013; Goleman, 2000).</w:t>
      </w:r>
    </w:p>
    <w:p w14:paraId="7BC79A60" w14:textId="77777777" w:rsidR="00821B4C" w:rsidRPr="006A05DE" w:rsidRDefault="00821B4C" w:rsidP="006A05DE">
      <w:pPr>
        <w:spacing w:line="360" w:lineRule="auto"/>
        <w:rPr>
          <w:rFonts w:ascii="Arial" w:hAnsi="Arial" w:cs="Arial"/>
          <w:sz w:val="22"/>
          <w:szCs w:val="22"/>
        </w:rPr>
      </w:pPr>
    </w:p>
    <w:p w14:paraId="5F7989A0" w14:textId="77777777" w:rsidR="003863BD" w:rsidRDefault="003863BD" w:rsidP="006A05DE">
      <w:pPr>
        <w:spacing w:line="360" w:lineRule="auto"/>
        <w:rPr>
          <w:rFonts w:ascii="Arial" w:hAnsi="Arial" w:cs="Arial"/>
          <w:sz w:val="22"/>
          <w:szCs w:val="22"/>
        </w:rPr>
      </w:pPr>
      <w:r w:rsidRPr="006A05DE">
        <w:rPr>
          <w:rFonts w:ascii="Arial" w:hAnsi="Arial" w:cs="Arial"/>
          <w:sz w:val="22"/>
          <w:szCs w:val="22"/>
        </w:rPr>
        <w:t>Healthcare organisations often operate within either centralised or decentralised decision-making structures. Centralisation concentrates authority at senior management levels, ensuring consistency and accountability, whereas decentralisation distributes decision-making authority among frontline healthcare professionals, enabling quicker responses to patient needs (Burns and Stalker, 1961; Mintzberg, 1983). Achieving a balance between these approaches is important for improving patient safety and organisational efficiency (Marquis and Huston, 2021).</w:t>
      </w:r>
    </w:p>
    <w:p w14:paraId="587C5F34" w14:textId="77777777" w:rsidR="00E2265F" w:rsidRPr="006A05DE" w:rsidRDefault="00E2265F" w:rsidP="006A05DE">
      <w:pPr>
        <w:spacing w:line="360" w:lineRule="auto"/>
        <w:rPr>
          <w:rFonts w:ascii="Arial" w:hAnsi="Arial" w:cs="Arial"/>
          <w:sz w:val="22"/>
          <w:szCs w:val="22"/>
        </w:rPr>
      </w:pPr>
    </w:p>
    <w:p w14:paraId="54A1AC38" w14:textId="77777777" w:rsidR="003863BD" w:rsidRPr="006A05DE" w:rsidRDefault="003863BD" w:rsidP="006A05DE">
      <w:pPr>
        <w:spacing w:line="360" w:lineRule="auto"/>
        <w:rPr>
          <w:rFonts w:ascii="Arial" w:hAnsi="Arial" w:cs="Arial"/>
          <w:sz w:val="22"/>
          <w:szCs w:val="22"/>
        </w:rPr>
      </w:pPr>
      <w:r w:rsidRPr="006A05DE">
        <w:rPr>
          <w:rFonts w:ascii="Arial" w:hAnsi="Arial" w:cs="Arial"/>
          <w:sz w:val="22"/>
          <w:szCs w:val="22"/>
        </w:rPr>
        <w:lastRenderedPageBreak/>
        <w:t>Several leadership theories help explain leadership effectiveness in healthcare settings. Transformational leadership focuses on inspiring and motivating staff to achieve organisational change and improve performance, while transactional leadership emphasises structured systems, clear expectations, and performance monitoring (Burns, 1978; Bass and Riggio, 2006; Cummings et al., 2018). Situational leadership suggests that leaders should adapt their style depending on staff experience and organisational needs (Hersey, Blanchard and Johnson, 2013).</w:t>
      </w:r>
    </w:p>
    <w:p w14:paraId="5958CC2A" w14:textId="77777777" w:rsidR="003863BD" w:rsidRPr="006A05DE" w:rsidRDefault="003863BD" w:rsidP="006A05DE">
      <w:pPr>
        <w:spacing w:line="360" w:lineRule="auto"/>
        <w:rPr>
          <w:rFonts w:ascii="Arial" w:hAnsi="Arial" w:cs="Arial"/>
          <w:sz w:val="22"/>
          <w:szCs w:val="22"/>
        </w:rPr>
      </w:pPr>
    </w:p>
    <w:p w14:paraId="3E9D4FB5" w14:textId="77777777" w:rsidR="003863BD" w:rsidRPr="006A05DE" w:rsidRDefault="003863BD" w:rsidP="006A05DE">
      <w:pPr>
        <w:spacing w:line="360" w:lineRule="auto"/>
        <w:rPr>
          <w:rFonts w:ascii="Arial" w:hAnsi="Arial" w:cs="Arial"/>
          <w:sz w:val="22"/>
          <w:szCs w:val="22"/>
        </w:rPr>
      </w:pPr>
      <w:r w:rsidRPr="006A05DE">
        <w:rPr>
          <w:rFonts w:ascii="Arial" w:hAnsi="Arial" w:cs="Arial"/>
          <w:sz w:val="22"/>
          <w:szCs w:val="22"/>
        </w:rPr>
        <w:t>The leadership continuum developed by Robert Tannenbaum and Warren Schmidt also highlights that leadership styles range from authoritarian to democratic depending on the situation (Tannenbaum and Schmidt, 1973). Similarly, Theory X and Theory Y explains how leaders’ assumptions about employees influence management approaches (McGregor, 1960). In nursing environments, adopting a Theory Y approach can empower nurses, encourage responsibility, and promote open communication regarding patient safety. Additionally, Behavioural Leadership Theory emphasises that effective leadership depends on supportive behaviours, communication, and teamwork (Northouse, 2022).</w:t>
      </w:r>
    </w:p>
    <w:p w14:paraId="180B9011" w14:textId="77777777" w:rsidR="003863BD" w:rsidRPr="006A05DE" w:rsidRDefault="003863BD" w:rsidP="006A05DE">
      <w:pPr>
        <w:spacing w:line="360" w:lineRule="auto"/>
        <w:rPr>
          <w:rFonts w:ascii="Arial" w:hAnsi="Arial" w:cs="Arial"/>
          <w:sz w:val="22"/>
          <w:szCs w:val="22"/>
        </w:rPr>
      </w:pPr>
      <w:r w:rsidRPr="006A05DE">
        <w:rPr>
          <w:rFonts w:ascii="Arial" w:hAnsi="Arial" w:cs="Arial"/>
          <w:sz w:val="22"/>
          <w:szCs w:val="22"/>
        </w:rPr>
        <w:t>This report will analyse the Lewis Blackman case to examine how leadership failures can impact patient safety and healthcare performance. It will explore the organisational challenges highlighted in the case, evaluate relevant leadership theories, and discuss how improved leadership practices can support organisational change and safer healthcare delivery.</w:t>
      </w:r>
    </w:p>
    <w:p w14:paraId="0CDE11CF" w14:textId="77777777" w:rsidR="003863BD" w:rsidRPr="006A05DE" w:rsidRDefault="003863BD" w:rsidP="006A05DE">
      <w:pPr>
        <w:spacing w:line="360" w:lineRule="auto"/>
        <w:rPr>
          <w:rFonts w:ascii="Arial" w:hAnsi="Arial" w:cs="Arial"/>
          <w:b/>
          <w:bCs/>
          <w:sz w:val="22"/>
          <w:szCs w:val="22"/>
        </w:rPr>
      </w:pPr>
    </w:p>
    <w:p w14:paraId="5D69802C" w14:textId="40D720A1" w:rsidR="000A5373" w:rsidRPr="00E14D04" w:rsidRDefault="000A5373" w:rsidP="00744291">
      <w:pPr>
        <w:pStyle w:val="Heading1"/>
        <w:rPr>
          <w:b/>
          <w:bCs/>
          <w:color w:val="auto"/>
          <w:sz w:val="22"/>
          <w:szCs w:val="22"/>
        </w:rPr>
      </w:pPr>
      <w:bookmarkStart w:id="2" w:name="_Toc225334435"/>
      <w:r w:rsidRPr="00E14D04">
        <w:rPr>
          <w:b/>
          <w:bCs/>
          <w:color w:val="auto"/>
          <w:sz w:val="22"/>
          <w:szCs w:val="22"/>
        </w:rPr>
        <w:t>Analysis and Discussion</w:t>
      </w:r>
      <w:bookmarkEnd w:id="2"/>
    </w:p>
    <w:p w14:paraId="10EE485C" w14:textId="77777777" w:rsidR="001F5C16" w:rsidRPr="00E14D04" w:rsidRDefault="001F5C16" w:rsidP="006A05DE">
      <w:pPr>
        <w:spacing w:line="360" w:lineRule="auto"/>
        <w:rPr>
          <w:rFonts w:ascii="Arial" w:hAnsi="Arial" w:cs="Arial"/>
          <w:b/>
          <w:bCs/>
          <w:sz w:val="22"/>
          <w:szCs w:val="22"/>
        </w:rPr>
      </w:pPr>
      <w:r w:rsidRPr="00E14D04">
        <w:rPr>
          <w:rFonts w:ascii="Arial" w:hAnsi="Arial" w:cs="Arial"/>
          <w:b/>
          <w:bCs/>
          <w:sz w:val="22"/>
          <w:szCs w:val="22"/>
        </w:rPr>
        <w:t>Systems Thinking / Problem Identification</w:t>
      </w:r>
    </w:p>
    <w:p w14:paraId="71D18339" w14:textId="19168B64" w:rsidR="003863BD" w:rsidRPr="00E2265F" w:rsidRDefault="000A5373" w:rsidP="006A05DE">
      <w:pPr>
        <w:spacing w:line="360" w:lineRule="auto"/>
        <w:rPr>
          <w:rFonts w:ascii="Arial" w:hAnsi="Arial" w:cs="Arial"/>
          <w:sz w:val="22"/>
          <w:szCs w:val="22"/>
        </w:rPr>
      </w:pPr>
      <w:r w:rsidRPr="006A05DE">
        <w:rPr>
          <w:rFonts w:ascii="Arial" w:hAnsi="Arial" w:cs="Arial"/>
          <w:sz w:val="22"/>
          <w:szCs w:val="22"/>
        </w:rPr>
        <w:t>The death of Lewis Blackman represents a significant and widely cited failure in patient safety, highlighting deep-rooted systemic weaknesses within healthcare leadership, communication, and governance structures. Lewis, a 15-year-old patient, died following complications from routine surgery at the Medical University of South Carolina in 2000. Although the surgical procedure itself was initially considered successful, post-operative complications particularly internal bleeding were not recognised or treated in a timely manner. This delay was primarily caused by communication breakdowns, inadequate supervision of junior doctors, and a failure to escalate care appropriately (Haskell, 2012; Reason, 2000).</w:t>
      </w:r>
      <w:r w:rsidR="00E2265F">
        <w:rPr>
          <w:rFonts w:ascii="Arial" w:hAnsi="Arial" w:cs="Arial"/>
          <w:sz w:val="22"/>
          <w:szCs w:val="22"/>
        </w:rPr>
        <w:t xml:space="preserve"> </w:t>
      </w:r>
    </w:p>
    <w:p w14:paraId="576FF695" w14:textId="73AA92E0" w:rsidR="000A5373" w:rsidRPr="006A05DE" w:rsidRDefault="000A5373" w:rsidP="006A05DE">
      <w:pPr>
        <w:spacing w:line="360" w:lineRule="auto"/>
        <w:rPr>
          <w:rFonts w:ascii="Arial" w:hAnsi="Arial" w:cs="Arial"/>
          <w:sz w:val="22"/>
          <w:szCs w:val="22"/>
        </w:rPr>
      </w:pPr>
      <w:r w:rsidRPr="006A05DE">
        <w:rPr>
          <w:rFonts w:ascii="Arial" w:hAnsi="Arial" w:cs="Arial"/>
          <w:sz w:val="22"/>
          <w:szCs w:val="22"/>
        </w:rPr>
        <w:lastRenderedPageBreak/>
        <w:t>The central problem in this case can therefore be defined as:</w:t>
      </w:r>
    </w:p>
    <w:p w14:paraId="7D538479" w14:textId="77777777" w:rsidR="000A5373" w:rsidRPr="006A05DE" w:rsidRDefault="000A5373" w:rsidP="006A05DE">
      <w:pPr>
        <w:spacing w:line="360" w:lineRule="auto"/>
        <w:rPr>
          <w:rFonts w:ascii="Arial" w:hAnsi="Arial" w:cs="Arial"/>
          <w:b/>
          <w:bCs/>
          <w:sz w:val="22"/>
          <w:szCs w:val="22"/>
        </w:rPr>
      </w:pPr>
      <w:r w:rsidRPr="006A05DE">
        <w:rPr>
          <w:rFonts w:ascii="Arial" w:hAnsi="Arial" w:cs="Arial"/>
          <w:b/>
          <w:bCs/>
          <w:sz w:val="22"/>
          <w:szCs w:val="22"/>
        </w:rPr>
        <w:t>“Failure to recognise and escalate clinical deterioration due to communication breakdowns, inadequate supervision, and hierarchical organisational barriers.”</w:t>
      </w:r>
    </w:p>
    <w:p w14:paraId="459211FD" w14:textId="02FF0CDF" w:rsidR="00C1362C" w:rsidRPr="00C1362C" w:rsidRDefault="00C1362C" w:rsidP="00C1362C">
      <w:pPr>
        <w:spacing w:line="360" w:lineRule="auto"/>
        <w:rPr>
          <w:rFonts w:ascii="Arial" w:hAnsi="Arial" w:cs="Arial"/>
          <w:sz w:val="22"/>
          <w:szCs w:val="22"/>
        </w:rPr>
      </w:pPr>
      <w:r w:rsidRPr="00C1362C">
        <w:rPr>
          <w:rFonts w:ascii="Arial" w:hAnsi="Arial" w:cs="Arial"/>
          <w:sz w:val="22"/>
          <w:szCs w:val="22"/>
        </w:rPr>
        <w:t xml:space="preserve">This problem definition aligns closely with systems thinking theory, which emphasises that adverse events in healthcare rarely occur due to a single error or individual negligence. Instead, they are the result of multiple interacting failures within complex organisational systems (Senge, 2006; </w:t>
      </w:r>
      <w:proofErr w:type="spellStart"/>
      <w:r w:rsidRPr="00C1362C">
        <w:rPr>
          <w:rFonts w:ascii="Arial" w:hAnsi="Arial" w:cs="Arial"/>
          <w:sz w:val="22"/>
          <w:szCs w:val="22"/>
        </w:rPr>
        <w:t>Checkland</w:t>
      </w:r>
      <w:proofErr w:type="spellEnd"/>
      <w:r w:rsidRPr="00C1362C">
        <w:rPr>
          <w:rFonts w:ascii="Arial" w:hAnsi="Arial" w:cs="Arial"/>
          <w:sz w:val="22"/>
          <w:szCs w:val="22"/>
        </w:rPr>
        <w:t>, 1999). In this case, while individual clinical errors occurred, they were enabled and reinforced by wider systemic weaknesses (Reason, 2000; Senge, 2006).</w:t>
      </w:r>
      <w:r w:rsidR="00144B6F">
        <w:rPr>
          <w:rFonts w:ascii="Arial" w:hAnsi="Arial" w:cs="Arial"/>
          <w:sz w:val="22"/>
          <w:szCs w:val="22"/>
        </w:rPr>
        <w:t xml:space="preserve"> </w:t>
      </w:r>
      <w:r w:rsidR="00144B6F" w:rsidRPr="00144B6F">
        <w:rPr>
          <w:rFonts w:ascii="Arial" w:hAnsi="Arial" w:cs="Arial"/>
          <w:sz w:val="22"/>
          <w:szCs w:val="22"/>
        </w:rPr>
        <w:t xml:space="preserve">This perspective is supported by </w:t>
      </w:r>
      <w:proofErr w:type="spellStart"/>
      <w:r w:rsidR="00144B6F" w:rsidRPr="00144B6F">
        <w:rPr>
          <w:rFonts w:ascii="Arial" w:hAnsi="Arial" w:cs="Arial"/>
          <w:sz w:val="22"/>
          <w:szCs w:val="22"/>
        </w:rPr>
        <w:t>Leape</w:t>
      </w:r>
      <w:proofErr w:type="spellEnd"/>
      <w:r w:rsidR="00144B6F" w:rsidRPr="00144B6F">
        <w:rPr>
          <w:rFonts w:ascii="Arial" w:hAnsi="Arial" w:cs="Arial"/>
          <w:sz w:val="22"/>
          <w:szCs w:val="22"/>
        </w:rPr>
        <w:t xml:space="preserve"> (1994), who argues that most medical errors arise from system failures rather than individual negligence, highlighting the importance of designing safer healthcare systems.</w:t>
      </w:r>
    </w:p>
    <w:p w14:paraId="0FC8E97C" w14:textId="77777777" w:rsidR="00C1362C" w:rsidRPr="00C1362C" w:rsidRDefault="00C1362C" w:rsidP="00C1362C">
      <w:pPr>
        <w:spacing w:line="360" w:lineRule="auto"/>
        <w:rPr>
          <w:rFonts w:ascii="Arial" w:hAnsi="Arial" w:cs="Arial"/>
          <w:sz w:val="22"/>
          <w:szCs w:val="22"/>
        </w:rPr>
      </w:pPr>
    </w:p>
    <w:p w14:paraId="29B1F3F8" w14:textId="77777777" w:rsidR="00C1362C" w:rsidRPr="00C1362C" w:rsidRDefault="00C1362C" w:rsidP="00C1362C">
      <w:pPr>
        <w:spacing w:line="360" w:lineRule="auto"/>
        <w:rPr>
          <w:rFonts w:ascii="Arial" w:hAnsi="Arial" w:cs="Arial"/>
          <w:sz w:val="22"/>
          <w:szCs w:val="22"/>
        </w:rPr>
      </w:pPr>
      <w:r w:rsidRPr="00C1362C">
        <w:rPr>
          <w:rFonts w:ascii="Arial" w:hAnsi="Arial" w:cs="Arial"/>
          <w:sz w:val="22"/>
          <w:szCs w:val="22"/>
        </w:rPr>
        <w:t xml:space="preserve">Lewis exhibited clear signs of clinical deterioration over a prolonged period of more than 30 hours. These included severe abdominal pain, low blood pressure, reduced oxygen saturation, and a general decline in physical condition (Institute of Medicine, 2000). Despite these warning signs, healthcare professionals repeatedly misinterpreted his symptoms as minor post-operative discomfort. This reflects cognitive biases such as diagnostic anchoring, where clinicians become fixated on an initial diagnosis and fail to adjust their assessment in response to new information (Reason, 2000; </w:t>
      </w:r>
      <w:proofErr w:type="spellStart"/>
      <w:r w:rsidRPr="00C1362C">
        <w:rPr>
          <w:rFonts w:ascii="Arial" w:hAnsi="Arial" w:cs="Arial"/>
          <w:sz w:val="22"/>
          <w:szCs w:val="22"/>
        </w:rPr>
        <w:t>Croskerry</w:t>
      </w:r>
      <w:proofErr w:type="spellEnd"/>
      <w:r w:rsidRPr="00C1362C">
        <w:rPr>
          <w:rFonts w:ascii="Arial" w:hAnsi="Arial" w:cs="Arial"/>
          <w:sz w:val="22"/>
          <w:szCs w:val="22"/>
        </w:rPr>
        <w:t>, 2003).</w:t>
      </w:r>
    </w:p>
    <w:p w14:paraId="2AE9343B" w14:textId="77777777" w:rsidR="00C1362C" w:rsidRPr="00C1362C" w:rsidRDefault="00C1362C" w:rsidP="00C1362C">
      <w:pPr>
        <w:spacing w:line="360" w:lineRule="auto"/>
        <w:rPr>
          <w:rFonts w:ascii="Arial" w:hAnsi="Arial" w:cs="Arial"/>
          <w:sz w:val="22"/>
          <w:szCs w:val="22"/>
        </w:rPr>
      </w:pPr>
    </w:p>
    <w:p w14:paraId="0B30E465" w14:textId="501EFD2E" w:rsidR="0013715B" w:rsidRDefault="00C1362C" w:rsidP="00C1362C">
      <w:pPr>
        <w:spacing w:line="360" w:lineRule="auto"/>
        <w:rPr>
          <w:rFonts w:ascii="Arial" w:hAnsi="Arial" w:cs="Arial"/>
          <w:sz w:val="22"/>
          <w:szCs w:val="22"/>
        </w:rPr>
      </w:pPr>
      <w:r w:rsidRPr="00C1362C">
        <w:rPr>
          <w:rFonts w:ascii="Arial" w:hAnsi="Arial" w:cs="Arial"/>
          <w:sz w:val="22"/>
          <w:szCs w:val="22"/>
        </w:rPr>
        <w:t>However, a purely clinical explanation is insufficient. Systems thinking encourages a broader perspective,</w:t>
      </w:r>
      <w:r w:rsidR="009C522C">
        <w:rPr>
          <w:rFonts w:ascii="Arial" w:hAnsi="Arial" w:cs="Arial"/>
          <w:sz w:val="22"/>
          <w:szCs w:val="22"/>
        </w:rPr>
        <w:t xml:space="preserve"> </w:t>
      </w:r>
      <w:r w:rsidR="00DF4F56" w:rsidRPr="00DF4F56">
        <w:rPr>
          <w:rFonts w:ascii="Arial" w:hAnsi="Arial" w:cs="Arial"/>
          <w:sz w:val="22"/>
          <w:szCs w:val="22"/>
        </w:rPr>
        <w:t>Vincent (2010) further emphasises that patient safety incidents should be analysed using structured frameworks that consider organisational, environmental, and human factors, rather than focusing solely on individual actions.</w:t>
      </w:r>
      <w:r w:rsidR="00DF4F56">
        <w:rPr>
          <w:rFonts w:ascii="Arial" w:hAnsi="Arial" w:cs="Arial"/>
          <w:sz w:val="22"/>
          <w:szCs w:val="22"/>
        </w:rPr>
        <w:t xml:space="preserve"> </w:t>
      </w:r>
      <w:r w:rsidR="0013715B" w:rsidRPr="0013715B">
        <w:rPr>
          <w:rFonts w:ascii="Arial" w:hAnsi="Arial" w:cs="Arial"/>
          <w:sz w:val="22"/>
          <w:szCs w:val="22"/>
        </w:rPr>
        <w:t>Healthcare systems are inherently complex and operate under conditions of uncertainty and risk. High-reliability organisation theory suggests that organisations must be designed to anticipate and respond to unexpected events in order to maintain safety (Weick and Sutcliffe, 2007). In this case, the failure to detect and respond to early warning signs reflects a lack of system resilience and adaptive capacity.</w:t>
      </w:r>
    </w:p>
    <w:p w14:paraId="455581F9" w14:textId="6DB6B8DA" w:rsidR="00D01CB6" w:rsidRDefault="00C1362C" w:rsidP="00C1362C">
      <w:pPr>
        <w:spacing w:line="360" w:lineRule="auto"/>
        <w:rPr>
          <w:rFonts w:ascii="Arial" w:hAnsi="Arial" w:cs="Arial"/>
          <w:sz w:val="22"/>
          <w:szCs w:val="22"/>
        </w:rPr>
      </w:pPr>
      <w:r w:rsidRPr="00C1362C">
        <w:rPr>
          <w:rFonts w:ascii="Arial" w:hAnsi="Arial" w:cs="Arial"/>
          <w:sz w:val="22"/>
          <w:szCs w:val="22"/>
        </w:rPr>
        <w:t>focusing on how organisational structures, leadership behaviours, and communication systems interact to influence outcomes (</w:t>
      </w:r>
      <w:proofErr w:type="spellStart"/>
      <w:r w:rsidRPr="00C1362C">
        <w:rPr>
          <w:rFonts w:ascii="Arial" w:hAnsi="Arial" w:cs="Arial"/>
          <w:sz w:val="22"/>
          <w:szCs w:val="22"/>
        </w:rPr>
        <w:t>Checkland</w:t>
      </w:r>
      <w:proofErr w:type="spellEnd"/>
      <w:r w:rsidRPr="00C1362C">
        <w:rPr>
          <w:rFonts w:ascii="Arial" w:hAnsi="Arial" w:cs="Arial"/>
          <w:sz w:val="22"/>
          <w:szCs w:val="22"/>
        </w:rPr>
        <w:t>, 1999; Senge, 2006). In the Lewis Blackman case, these interactions created an environment where warning signs were overlooked, concerns were not escalated, and critical decisions were delayed (WHO, 2019; IHI, 2020)</w:t>
      </w:r>
    </w:p>
    <w:p w14:paraId="3FBE6B55" w14:textId="377B6B6F" w:rsidR="00D01CB6" w:rsidRPr="00744291" w:rsidRDefault="0049084E" w:rsidP="00744291">
      <w:pPr>
        <w:pStyle w:val="Heading1"/>
        <w:rPr>
          <w:b/>
          <w:bCs/>
          <w:color w:val="auto"/>
          <w:sz w:val="24"/>
          <w:szCs w:val="24"/>
        </w:rPr>
      </w:pPr>
      <w:bookmarkStart w:id="3" w:name="_Toc225334436"/>
      <w:r w:rsidRPr="00744291">
        <w:rPr>
          <w:b/>
          <w:bCs/>
          <w:color w:val="auto"/>
          <w:sz w:val="24"/>
          <w:szCs w:val="24"/>
        </w:rPr>
        <w:lastRenderedPageBreak/>
        <w:t>Global and National Context</w:t>
      </w:r>
      <w:bookmarkEnd w:id="3"/>
    </w:p>
    <w:p w14:paraId="0CE23C8E" w14:textId="77777777" w:rsidR="00821B4C" w:rsidRDefault="00F00723" w:rsidP="00F00723">
      <w:pPr>
        <w:spacing w:line="360" w:lineRule="auto"/>
        <w:rPr>
          <w:rFonts w:ascii="Arial" w:hAnsi="Arial" w:cs="Arial"/>
          <w:sz w:val="22"/>
          <w:szCs w:val="22"/>
        </w:rPr>
      </w:pPr>
      <w:r w:rsidRPr="00F00723">
        <w:rPr>
          <w:rFonts w:ascii="Arial" w:hAnsi="Arial" w:cs="Arial"/>
          <w:sz w:val="22"/>
          <w:szCs w:val="22"/>
        </w:rPr>
        <w:t>The issues highlighted in this case are not isolated but reflect a widespread and persistent global challenge within healthcare systems. Patient safety failures continue to represent a major public health concern, despite advances in medical knowledge and technology (WHO, 2019; OECD, 2017). According to the World Health Organization (WHO, 2019), unsafe medical care results in approximately 134 million adverse events each year, leading to around 2.6 million deaths in low- and middle-income countries alone.</w:t>
      </w:r>
    </w:p>
    <w:p w14:paraId="05AFE58B" w14:textId="28DBA1FD" w:rsidR="00F00723" w:rsidRPr="00F00723" w:rsidRDefault="00F00723" w:rsidP="00F00723">
      <w:pPr>
        <w:spacing w:line="360" w:lineRule="auto"/>
        <w:rPr>
          <w:rFonts w:ascii="Arial" w:hAnsi="Arial" w:cs="Arial"/>
          <w:sz w:val="22"/>
          <w:szCs w:val="22"/>
        </w:rPr>
      </w:pPr>
      <w:r w:rsidRPr="00F00723">
        <w:rPr>
          <w:rFonts w:ascii="Arial" w:hAnsi="Arial" w:cs="Arial"/>
          <w:sz w:val="22"/>
          <w:szCs w:val="22"/>
        </w:rPr>
        <w:t xml:space="preserve"> These figures demonstrate the scale of the problem and highlight the urgent need for systemic improvements in healthcare delivery (WHO, 2019; IHI, 2020). Even in high-income countries, where healthcare systems are more developed, patient safety remains a significant concern. The Organisation for Economic Co-operation and Development (OECD, 2017) reports that approximately one in ten patients experiences a preventable adverse event during hospital care, indicating that risks to patient safety are embedded across different healthcare contexts (OECD, 2017; Braithwaite et al., 2017).</w:t>
      </w:r>
    </w:p>
    <w:p w14:paraId="4805B6E0" w14:textId="77777777" w:rsidR="00F00723" w:rsidRPr="00F00723" w:rsidRDefault="00F00723" w:rsidP="00F00723">
      <w:pPr>
        <w:spacing w:line="360" w:lineRule="auto"/>
        <w:rPr>
          <w:rFonts w:ascii="Arial" w:hAnsi="Arial" w:cs="Arial"/>
          <w:sz w:val="22"/>
          <w:szCs w:val="22"/>
        </w:rPr>
      </w:pPr>
    </w:p>
    <w:p w14:paraId="6AF60870" w14:textId="4A25B1EA" w:rsidR="00F00723" w:rsidRDefault="00F00723" w:rsidP="00F00723">
      <w:pPr>
        <w:spacing w:line="360" w:lineRule="auto"/>
        <w:rPr>
          <w:rFonts w:ascii="Arial" w:hAnsi="Arial" w:cs="Arial"/>
          <w:sz w:val="22"/>
          <w:szCs w:val="22"/>
        </w:rPr>
      </w:pPr>
      <w:r w:rsidRPr="00F00723">
        <w:rPr>
          <w:rFonts w:ascii="Arial" w:hAnsi="Arial" w:cs="Arial"/>
          <w:sz w:val="22"/>
          <w:szCs w:val="22"/>
        </w:rPr>
        <w:t>In the United States, where the Lewis Blackman case occurred, medical errors have long been recognised as a leading cause of death. The Institute of Medicine (2000) estimated that up to 98,000 deaths occur annually due to preventable medical errors (Institute of Medicine, 2000; Reason, 2000). However, more recent research suggests that this figure may be significantly higher. Makary and Daniel (2016) estimate that medical errors may account for approximately 250,000 deaths per year, making it the third leading cause of death in the country (Makary and Daniel, 2016; WHO, 2019). This highlights the ongoing and systemic nature of patient safety challenges, as well as the limitations of existing safety measures.</w:t>
      </w:r>
    </w:p>
    <w:p w14:paraId="302F2D2E" w14:textId="77777777" w:rsidR="00D67581" w:rsidRPr="00F00723" w:rsidRDefault="00D67581" w:rsidP="00F00723">
      <w:pPr>
        <w:spacing w:line="360" w:lineRule="auto"/>
        <w:rPr>
          <w:rFonts w:ascii="Arial" w:hAnsi="Arial" w:cs="Arial"/>
          <w:sz w:val="22"/>
          <w:szCs w:val="22"/>
        </w:rPr>
      </w:pPr>
    </w:p>
    <w:p w14:paraId="5906BFEA" w14:textId="7BAE9AC8" w:rsidR="000A5373" w:rsidRPr="006A05DE" w:rsidRDefault="00F00723" w:rsidP="00F00723">
      <w:pPr>
        <w:spacing w:line="360" w:lineRule="auto"/>
        <w:rPr>
          <w:rFonts w:ascii="Arial" w:hAnsi="Arial" w:cs="Arial"/>
          <w:sz w:val="22"/>
          <w:szCs w:val="22"/>
        </w:rPr>
      </w:pPr>
      <w:r w:rsidRPr="00F00723">
        <w:rPr>
          <w:rFonts w:ascii="Arial" w:hAnsi="Arial" w:cs="Arial"/>
          <w:sz w:val="22"/>
          <w:szCs w:val="22"/>
        </w:rPr>
        <w:t>Similarly, in the United Kingdom, patient safety incidents remain a major concern. NHS England (2022) reports over 2 million patient safety incidents annually, many of which are associated with communication failures, inadequate monitoring, and delayed escalation of care (NHS England, 2022; IHI, 2020). These recurring issues demonstrate that healthcare systems globally face similar challenges related to leadership, communication, and organisational culture. Collectively, these statistics reinforce the argument that improving leadership practices, strengthening governance frameworks, and fostering effective communication are essential for enhancing patient safety and reducing preventable harm across healthcare systems (Braithwaite et al., 2017; WHO, 2019).</w:t>
      </w:r>
    </w:p>
    <w:p w14:paraId="7C667B11" w14:textId="234E504D" w:rsidR="000A5373" w:rsidRPr="00744291" w:rsidRDefault="000A5373" w:rsidP="00744291">
      <w:pPr>
        <w:pStyle w:val="Heading1"/>
        <w:rPr>
          <w:b/>
          <w:bCs/>
          <w:color w:val="auto"/>
          <w:sz w:val="24"/>
          <w:szCs w:val="24"/>
        </w:rPr>
      </w:pPr>
      <w:bookmarkStart w:id="4" w:name="_Toc225334437"/>
      <w:r w:rsidRPr="00744291">
        <w:rPr>
          <w:b/>
          <w:bCs/>
          <w:color w:val="auto"/>
          <w:sz w:val="24"/>
          <w:szCs w:val="24"/>
        </w:rPr>
        <w:lastRenderedPageBreak/>
        <w:t>System Weaknesses</w:t>
      </w:r>
      <w:bookmarkEnd w:id="4"/>
    </w:p>
    <w:p w14:paraId="58E5C8F3" w14:textId="6B82A479" w:rsidR="000A5373" w:rsidRPr="006A05DE" w:rsidRDefault="000A5373" w:rsidP="006A05DE">
      <w:pPr>
        <w:spacing w:line="360" w:lineRule="auto"/>
        <w:rPr>
          <w:rFonts w:ascii="Arial" w:hAnsi="Arial" w:cs="Arial"/>
          <w:sz w:val="22"/>
          <w:szCs w:val="22"/>
        </w:rPr>
      </w:pPr>
      <w:r w:rsidRPr="006A05DE">
        <w:rPr>
          <w:rFonts w:ascii="Arial" w:hAnsi="Arial" w:cs="Arial"/>
          <w:sz w:val="22"/>
          <w:szCs w:val="22"/>
        </w:rPr>
        <w:t>The Lewis Blackman case reveals multiple interconnected system weaknesses:</w:t>
      </w:r>
    </w:p>
    <w:p w14:paraId="76EA2F02" w14:textId="0DEC9F16" w:rsidR="000A5373" w:rsidRPr="006A05DE" w:rsidRDefault="000A5373" w:rsidP="006A05DE">
      <w:pPr>
        <w:pStyle w:val="ListParagraph"/>
        <w:numPr>
          <w:ilvl w:val="0"/>
          <w:numId w:val="2"/>
        </w:numPr>
        <w:spacing w:line="360" w:lineRule="auto"/>
        <w:rPr>
          <w:rFonts w:ascii="Arial" w:hAnsi="Arial" w:cs="Arial"/>
          <w:sz w:val="22"/>
          <w:szCs w:val="22"/>
        </w:rPr>
      </w:pPr>
      <w:r w:rsidRPr="006A05DE">
        <w:rPr>
          <w:rFonts w:ascii="Arial" w:hAnsi="Arial" w:cs="Arial"/>
          <w:sz w:val="22"/>
          <w:szCs w:val="22"/>
        </w:rPr>
        <w:t>Poor communication between nurses and physicians</w:t>
      </w:r>
    </w:p>
    <w:p w14:paraId="39FC2BDD" w14:textId="499FBC79" w:rsidR="000A5373" w:rsidRPr="006A05DE" w:rsidRDefault="000A5373" w:rsidP="006A05DE">
      <w:pPr>
        <w:pStyle w:val="ListParagraph"/>
        <w:numPr>
          <w:ilvl w:val="0"/>
          <w:numId w:val="2"/>
        </w:numPr>
        <w:spacing w:line="360" w:lineRule="auto"/>
        <w:rPr>
          <w:rFonts w:ascii="Arial" w:hAnsi="Arial" w:cs="Arial"/>
          <w:sz w:val="22"/>
          <w:szCs w:val="22"/>
        </w:rPr>
      </w:pPr>
      <w:r w:rsidRPr="006A05DE">
        <w:rPr>
          <w:rFonts w:ascii="Arial" w:hAnsi="Arial" w:cs="Arial"/>
          <w:sz w:val="22"/>
          <w:szCs w:val="22"/>
        </w:rPr>
        <w:t>Lack of accountability in clinical decision-making</w:t>
      </w:r>
    </w:p>
    <w:p w14:paraId="1429659F" w14:textId="100E519D" w:rsidR="000A5373" w:rsidRPr="006A05DE" w:rsidRDefault="000A5373" w:rsidP="006A05DE">
      <w:pPr>
        <w:pStyle w:val="ListParagraph"/>
        <w:numPr>
          <w:ilvl w:val="0"/>
          <w:numId w:val="2"/>
        </w:numPr>
        <w:spacing w:line="360" w:lineRule="auto"/>
        <w:rPr>
          <w:rFonts w:ascii="Arial" w:hAnsi="Arial" w:cs="Arial"/>
          <w:sz w:val="22"/>
          <w:szCs w:val="22"/>
        </w:rPr>
      </w:pPr>
      <w:r w:rsidRPr="006A05DE">
        <w:rPr>
          <w:rFonts w:ascii="Arial" w:hAnsi="Arial" w:cs="Arial"/>
          <w:sz w:val="22"/>
          <w:szCs w:val="22"/>
        </w:rPr>
        <w:t>Inadequate supervision of junior doctors</w:t>
      </w:r>
    </w:p>
    <w:p w14:paraId="22C3EA58" w14:textId="105DBDD8" w:rsidR="000A5373" w:rsidRPr="006A05DE" w:rsidRDefault="000A5373" w:rsidP="006A05DE">
      <w:pPr>
        <w:pStyle w:val="ListParagraph"/>
        <w:numPr>
          <w:ilvl w:val="0"/>
          <w:numId w:val="2"/>
        </w:numPr>
        <w:spacing w:line="360" w:lineRule="auto"/>
        <w:rPr>
          <w:rFonts w:ascii="Arial" w:hAnsi="Arial" w:cs="Arial"/>
          <w:sz w:val="22"/>
          <w:szCs w:val="22"/>
        </w:rPr>
      </w:pPr>
      <w:r w:rsidRPr="006A05DE">
        <w:rPr>
          <w:rFonts w:ascii="Arial" w:hAnsi="Arial" w:cs="Arial"/>
          <w:sz w:val="22"/>
          <w:szCs w:val="22"/>
        </w:rPr>
        <w:t>Weak or unclear escalation protocols</w:t>
      </w:r>
    </w:p>
    <w:p w14:paraId="5101E8D1" w14:textId="77777777" w:rsidR="000A5373" w:rsidRDefault="000A5373" w:rsidP="006A05DE">
      <w:pPr>
        <w:pStyle w:val="ListParagraph"/>
        <w:numPr>
          <w:ilvl w:val="0"/>
          <w:numId w:val="2"/>
        </w:numPr>
        <w:spacing w:line="360" w:lineRule="auto"/>
        <w:rPr>
          <w:rFonts w:ascii="Arial" w:hAnsi="Arial" w:cs="Arial"/>
          <w:sz w:val="22"/>
          <w:szCs w:val="22"/>
        </w:rPr>
      </w:pPr>
      <w:r w:rsidRPr="006A05DE">
        <w:rPr>
          <w:rFonts w:ascii="Arial" w:hAnsi="Arial" w:cs="Arial"/>
          <w:sz w:val="22"/>
          <w:szCs w:val="22"/>
        </w:rPr>
        <w:t>Fragmented clinical responsibility across teams</w:t>
      </w:r>
    </w:p>
    <w:p w14:paraId="36D3D456" w14:textId="77777777" w:rsidR="00A3184E" w:rsidRDefault="00A3184E" w:rsidP="00A3184E">
      <w:pPr>
        <w:pStyle w:val="ListParagraph"/>
        <w:spacing w:line="360" w:lineRule="auto"/>
        <w:rPr>
          <w:rFonts w:ascii="Arial" w:hAnsi="Arial" w:cs="Arial"/>
          <w:sz w:val="22"/>
          <w:szCs w:val="22"/>
        </w:rPr>
      </w:pPr>
    </w:p>
    <w:p w14:paraId="080E4494" w14:textId="77777777" w:rsidR="00AD1FFF" w:rsidRPr="00AD1FFF" w:rsidRDefault="00AD1FFF" w:rsidP="00AD1FFF">
      <w:pPr>
        <w:spacing w:line="360" w:lineRule="auto"/>
        <w:rPr>
          <w:rFonts w:ascii="Arial" w:hAnsi="Arial" w:cs="Arial"/>
          <w:sz w:val="22"/>
          <w:szCs w:val="22"/>
        </w:rPr>
      </w:pPr>
      <w:r w:rsidRPr="00AD1FFF">
        <w:rPr>
          <w:rFonts w:ascii="Arial" w:hAnsi="Arial" w:cs="Arial"/>
          <w:sz w:val="22"/>
          <w:szCs w:val="22"/>
        </w:rPr>
        <w:t xml:space="preserve">The Lewis Blackman case reveals multiple interconnected system weaknesses that collectively contributed to the failure to recognise and respond to clinical deterioration. These include poor communication between nurses and physicians, a lack of accountability in clinical decision-making, inadequate supervision of junior doctors, weak or unclear escalation protocols, and fragmented clinical responsibility across teams (Reason, 2000; WHO, 2019). Each of these weaknesses did not operate in isolation; rather, they interacted within a complex system to create conditions in which patient safety was compromised. Systems thinking highlights how such interdependencies can amplify risk and lead to adverse outcomes when multiple failures occur simultaneously (Senge, 2006; </w:t>
      </w:r>
      <w:proofErr w:type="spellStart"/>
      <w:r w:rsidRPr="00AD1FFF">
        <w:rPr>
          <w:rFonts w:ascii="Arial" w:hAnsi="Arial" w:cs="Arial"/>
          <w:sz w:val="22"/>
          <w:szCs w:val="22"/>
        </w:rPr>
        <w:t>Checkland</w:t>
      </w:r>
      <w:proofErr w:type="spellEnd"/>
      <w:r w:rsidRPr="00AD1FFF">
        <w:rPr>
          <w:rFonts w:ascii="Arial" w:hAnsi="Arial" w:cs="Arial"/>
          <w:sz w:val="22"/>
          <w:szCs w:val="22"/>
        </w:rPr>
        <w:t>, 1999).</w:t>
      </w:r>
    </w:p>
    <w:p w14:paraId="26699684" w14:textId="77777777" w:rsidR="00AD1FFF" w:rsidRPr="00AD1FFF" w:rsidRDefault="00AD1FFF" w:rsidP="00AD1FFF">
      <w:pPr>
        <w:spacing w:line="360" w:lineRule="auto"/>
        <w:rPr>
          <w:rFonts w:ascii="Arial" w:hAnsi="Arial" w:cs="Arial"/>
          <w:sz w:val="22"/>
          <w:szCs w:val="22"/>
        </w:rPr>
      </w:pPr>
    </w:p>
    <w:p w14:paraId="53D888B2" w14:textId="460CBBB9" w:rsidR="00AD1FFF" w:rsidRDefault="00AD1FFF" w:rsidP="00AD1FFF">
      <w:pPr>
        <w:spacing w:line="360" w:lineRule="auto"/>
        <w:rPr>
          <w:rFonts w:ascii="Arial" w:hAnsi="Arial" w:cs="Arial"/>
          <w:sz w:val="22"/>
          <w:szCs w:val="22"/>
        </w:rPr>
      </w:pPr>
      <w:r w:rsidRPr="00AD1FFF">
        <w:rPr>
          <w:rFonts w:ascii="Arial" w:hAnsi="Arial" w:cs="Arial"/>
          <w:sz w:val="22"/>
          <w:szCs w:val="22"/>
        </w:rPr>
        <w:t>Communication failures were particularly significant. Nurses identified concerning changes in the patient’s condition but were unable to effectively communicate these concerns to physicians, or their concerns were not taken seriously (WHO, 2019; IHI, 2020). This breakdown highlights the absence of structured communication processes and a lack of psychological safety, where staff may feel reluctant to speak up. In addition, inadequate supervision of junior doctors meant that less experienced clinicians were left to make critical decisions without sufficient guidance or support, increasing the risk of misjudgement (West et al., 2015; Cummings et al., 2018).</w:t>
      </w:r>
    </w:p>
    <w:p w14:paraId="5114CA98" w14:textId="77777777" w:rsidR="000A7DC3" w:rsidRPr="00AD1FFF" w:rsidRDefault="000A7DC3" w:rsidP="00AD1FFF">
      <w:pPr>
        <w:spacing w:line="360" w:lineRule="auto"/>
        <w:rPr>
          <w:rFonts w:ascii="Arial" w:hAnsi="Arial" w:cs="Arial"/>
          <w:sz w:val="22"/>
          <w:szCs w:val="22"/>
        </w:rPr>
      </w:pPr>
    </w:p>
    <w:p w14:paraId="5E327EE0" w14:textId="46BD27A4" w:rsidR="00AD1FFF" w:rsidRPr="006A05DE" w:rsidRDefault="00AD1FFF" w:rsidP="00AD1FFF">
      <w:pPr>
        <w:spacing w:line="360" w:lineRule="auto"/>
        <w:rPr>
          <w:rFonts w:ascii="Arial" w:hAnsi="Arial" w:cs="Arial"/>
          <w:sz w:val="22"/>
          <w:szCs w:val="22"/>
        </w:rPr>
      </w:pPr>
      <w:r w:rsidRPr="00AD1FFF">
        <w:rPr>
          <w:rFonts w:ascii="Arial" w:hAnsi="Arial" w:cs="Arial"/>
          <w:sz w:val="22"/>
          <w:szCs w:val="22"/>
        </w:rPr>
        <w:t xml:space="preserve">The lack of clear escalation protocols further compounded the problem. Without well-defined procedures, staff were uncertain about when and how to escalate concerns, resulting in delays in intervention (NHS England, 2022; Institute of Medicine, 2000). Fragmented clinical responsibility also meant that no single individual maintained overall accountability for the patient’s care, leading to gaps in monitoring and decision-making. Such governance failures </w:t>
      </w:r>
      <w:r w:rsidRPr="00AD1FFF">
        <w:rPr>
          <w:rFonts w:ascii="Arial" w:hAnsi="Arial" w:cs="Arial"/>
          <w:sz w:val="22"/>
          <w:szCs w:val="22"/>
        </w:rPr>
        <w:lastRenderedPageBreak/>
        <w:t>have been widely linked to increased patient safety risks in healthcare systems (Braithwaite et al., 2017; Reason, 2000).</w:t>
      </w:r>
    </w:p>
    <w:p w14:paraId="745695B3" w14:textId="4F9CC546" w:rsidR="000A7DC3" w:rsidRPr="00483704" w:rsidRDefault="00CB18D0" w:rsidP="00483704">
      <w:pPr>
        <w:spacing w:line="360" w:lineRule="auto"/>
        <w:rPr>
          <w:rFonts w:ascii="Arial" w:hAnsi="Arial" w:cs="Arial"/>
          <w:sz w:val="22"/>
          <w:szCs w:val="22"/>
        </w:rPr>
      </w:pPr>
      <w:bookmarkStart w:id="5" w:name="_Toc225334438"/>
      <w:r w:rsidRPr="00CB18D0">
        <w:rPr>
          <w:rFonts w:ascii="Arial" w:hAnsi="Arial" w:cs="Arial"/>
          <w:sz w:val="22"/>
          <w:szCs w:val="22"/>
        </w:rPr>
        <w:t>This aligns with broader patient safety literature, which emphasises that errors in healthcare are often systemic rather than individual failures (</w:t>
      </w:r>
      <w:proofErr w:type="spellStart"/>
      <w:r w:rsidRPr="00CB18D0">
        <w:rPr>
          <w:rFonts w:ascii="Arial" w:hAnsi="Arial" w:cs="Arial"/>
          <w:sz w:val="22"/>
          <w:szCs w:val="22"/>
        </w:rPr>
        <w:t>Leape</w:t>
      </w:r>
      <w:proofErr w:type="spellEnd"/>
      <w:r w:rsidRPr="00CB18D0">
        <w:rPr>
          <w:rFonts w:ascii="Arial" w:hAnsi="Arial" w:cs="Arial"/>
          <w:sz w:val="22"/>
          <w:szCs w:val="22"/>
        </w:rPr>
        <w:t>, 1994). Furthermore, patient safety research highlights the importance of understanding how organisational systems, processes, and environments interact to influence outcomes (Vincent, 2010). These perspectives reinforce the need to move beyond individual blame and instead adopt system-wide approaches to improving safety and quality of care.</w:t>
      </w:r>
    </w:p>
    <w:p w14:paraId="3869B432" w14:textId="4CC98910" w:rsidR="006410DE" w:rsidRDefault="006410DE" w:rsidP="00744291">
      <w:pPr>
        <w:pStyle w:val="Heading1"/>
        <w:rPr>
          <w:b/>
          <w:bCs/>
          <w:color w:val="auto"/>
          <w:sz w:val="24"/>
          <w:szCs w:val="24"/>
        </w:rPr>
      </w:pPr>
      <w:r w:rsidRPr="00744291">
        <w:rPr>
          <w:b/>
          <w:bCs/>
          <w:color w:val="auto"/>
          <w:sz w:val="24"/>
          <w:szCs w:val="24"/>
        </w:rPr>
        <w:t>Leadership and Systems Thinking</w:t>
      </w:r>
      <w:bookmarkEnd w:id="5"/>
    </w:p>
    <w:p w14:paraId="4972841A" w14:textId="77777777" w:rsidR="00483704" w:rsidRPr="00483704" w:rsidRDefault="00483704" w:rsidP="00483704"/>
    <w:p w14:paraId="72DEF763" w14:textId="77777777" w:rsidR="00D86725" w:rsidRPr="00D86725" w:rsidRDefault="00D86725" w:rsidP="00D86725">
      <w:pPr>
        <w:spacing w:line="360" w:lineRule="auto"/>
        <w:rPr>
          <w:rFonts w:ascii="Arial" w:hAnsi="Arial" w:cs="Arial"/>
          <w:sz w:val="22"/>
          <w:szCs w:val="22"/>
        </w:rPr>
      </w:pPr>
      <w:r w:rsidRPr="00D86725">
        <w:rPr>
          <w:rFonts w:ascii="Arial" w:hAnsi="Arial" w:cs="Arial"/>
          <w:sz w:val="22"/>
          <w:szCs w:val="22"/>
        </w:rPr>
        <w:t>Leadership played a central role in shaping the failures observed in the Lewis Blackman case, particularly in influencing organisational culture, communication patterns, and decision-making processes. According to the leadership continuum developed by Tannenbaum and Schmidt (1973), leadership styles range from highly autocratic to fully democratic, depending on how much authority is retained by the leader versus shared with the team (Tannenbaum and Schmidt, 1973; Yukl, 2013).</w:t>
      </w:r>
    </w:p>
    <w:p w14:paraId="6EC588FF" w14:textId="77777777" w:rsidR="00D86725" w:rsidRPr="00D86725" w:rsidRDefault="00D86725" w:rsidP="00D86725">
      <w:pPr>
        <w:spacing w:line="360" w:lineRule="auto"/>
        <w:rPr>
          <w:rFonts w:ascii="Arial" w:hAnsi="Arial" w:cs="Arial"/>
          <w:sz w:val="22"/>
          <w:szCs w:val="22"/>
        </w:rPr>
      </w:pPr>
    </w:p>
    <w:p w14:paraId="2B259E8A" w14:textId="77777777" w:rsidR="00D86725" w:rsidRPr="00D86725" w:rsidRDefault="00D86725" w:rsidP="00D86725">
      <w:pPr>
        <w:spacing w:line="360" w:lineRule="auto"/>
        <w:rPr>
          <w:rFonts w:ascii="Arial" w:hAnsi="Arial" w:cs="Arial"/>
          <w:sz w:val="22"/>
          <w:szCs w:val="22"/>
        </w:rPr>
      </w:pPr>
      <w:r w:rsidRPr="00D86725">
        <w:rPr>
          <w:rFonts w:ascii="Arial" w:hAnsi="Arial" w:cs="Arial"/>
          <w:sz w:val="22"/>
          <w:szCs w:val="22"/>
        </w:rPr>
        <w:t>In this case, leadership appears to have been positioned towards the autocratic end of the continuum, where decision-making authority was concentrated among senior clinicians and frontline staff had limited influence. While this approach may provide clarity and control, it can also restrict communication and reduce the likelihood that critical concerns are raised, especially in complex and dynamic healthcare environments (Goleman, 2000; West et al., 2015).</w:t>
      </w:r>
    </w:p>
    <w:p w14:paraId="5D3FF05E" w14:textId="77777777" w:rsidR="00D86725" w:rsidRPr="00D86725" w:rsidRDefault="00D86725" w:rsidP="00D86725">
      <w:pPr>
        <w:spacing w:line="360" w:lineRule="auto"/>
        <w:rPr>
          <w:rFonts w:ascii="Arial" w:hAnsi="Arial" w:cs="Arial"/>
          <w:sz w:val="22"/>
          <w:szCs w:val="22"/>
        </w:rPr>
      </w:pPr>
    </w:p>
    <w:p w14:paraId="0466B4B7" w14:textId="017553D5" w:rsidR="006D7E7A" w:rsidRPr="00D86725" w:rsidRDefault="00D86725" w:rsidP="00D86725">
      <w:pPr>
        <w:spacing w:line="360" w:lineRule="auto"/>
        <w:rPr>
          <w:rFonts w:ascii="Arial" w:hAnsi="Arial" w:cs="Arial"/>
          <w:sz w:val="22"/>
          <w:szCs w:val="22"/>
        </w:rPr>
      </w:pPr>
      <w:r w:rsidRPr="00D86725">
        <w:rPr>
          <w:rFonts w:ascii="Arial" w:hAnsi="Arial" w:cs="Arial"/>
          <w:sz w:val="22"/>
          <w:szCs w:val="22"/>
        </w:rPr>
        <w:t>McGregor’s (1960) Theory X further helps explain this organisational context. Theory X assumes that employees require close supervision, direction, and control, often leading to rigid hierarchies and limited staff autonomy (McGregor, 1960; Cummings et al., 2018).</w:t>
      </w:r>
    </w:p>
    <w:p w14:paraId="620291BC" w14:textId="206ADE53" w:rsidR="00D86725" w:rsidRDefault="00D86725" w:rsidP="00D86725">
      <w:pPr>
        <w:spacing w:line="360" w:lineRule="auto"/>
        <w:rPr>
          <w:rFonts w:ascii="Arial" w:hAnsi="Arial" w:cs="Arial"/>
          <w:sz w:val="22"/>
          <w:szCs w:val="22"/>
        </w:rPr>
      </w:pPr>
      <w:r w:rsidRPr="00D86725">
        <w:rPr>
          <w:rFonts w:ascii="Arial" w:hAnsi="Arial" w:cs="Arial"/>
          <w:sz w:val="22"/>
          <w:szCs w:val="22"/>
        </w:rPr>
        <w:t>In such environments, staff may feel discouraged from questioning authority or taking initiative. This was evident in the Lewis Blackman case, where nurses and junior doctors were hesitant to challenge decisions made by senior clinicians, even when the patient’s condition was clearly deteriorating (Edmondson, 2018; West et al., 2018).</w:t>
      </w:r>
    </w:p>
    <w:p w14:paraId="75367389" w14:textId="45764991" w:rsidR="0017543C" w:rsidRPr="00D86725" w:rsidRDefault="0017543C" w:rsidP="00D86725">
      <w:pPr>
        <w:spacing w:line="360" w:lineRule="auto"/>
        <w:rPr>
          <w:rFonts w:ascii="Arial" w:hAnsi="Arial" w:cs="Arial"/>
          <w:sz w:val="22"/>
          <w:szCs w:val="22"/>
        </w:rPr>
      </w:pPr>
      <w:r w:rsidRPr="0017543C">
        <w:rPr>
          <w:rFonts w:ascii="Arial" w:hAnsi="Arial" w:cs="Arial"/>
          <w:sz w:val="22"/>
          <w:szCs w:val="22"/>
        </w:rPr>
        <w:lastRenderedPageBreak/>
        <w:t>Schein (2010) highlights that organisational culture shapes behaviour by influencing what staff perceive as acceptable or expected, and in hierarchical healthcare environments this can discourage open communication and limit speaking up.</w:t>
      </w:r>
    </w:p>
    <w:p w14:paraId="1AF3549A" w14:textId="46214B13" w:rsidR="00D86725" w:rsidRPr="00D86725" w:rsidRDefault="00D86725" w:rsidP="00D86725">
      <w:pPr>
        <w:spacing w:line="360" w:lineRule="auto"/>
        <w:rPr>
          <w:rFonts w:ascii="Arial" w:hAnsi="Arial" w:cs="Arial"/>
          <w:sz w:val="22"/>
          <w:szCs w:val="22"/>
        </w:rPr>
      </w:pPr>
      <w:r w:rsidRPr="00D86725">
        <w:rPr>
          <w:rFonts w:ascii="Arial" w:hAnsi="Arial" w:cs="Arial"/>
          <w:sz w:val="22"/>
          <w:szCs w:val="22"/>
        </w:rPr>
        <w:t>The dominance of Theory X assumptions can therefore suppress critical thinking and delay escalation of care, ultimately increasing patient safety risks. Behavioural leadership theory</w:t>
      </w:r>
      <w:r>
        <w:rPr>
          <w:rFonts w:ascii="Arial" w:hAnsi="Arial" w:cs="Arial"/>
          <w:sz w:val="22"/>
          <w:szCs w:val="22"/>
        </w:rPr>
        <w:t xml:space="preserve"> </w:t>
      </w:r>
      <w:r w:rsidRPr="00D86725">
        <w:rPr>
          <w:rFonts w:ascii="Arial" w:hAnsi="Arial" w:cs="Arial"/>
          <w:sz w:val="22"/>
          <w:szCs w:val="22"/>
        </w:rPr>
        <w:t>provides additional insight by focusing on the actions and behaviours demonstrated by leaders, rather than their position or authority (Yukl, 2013; Senge, 2006).</w:t>
      </w:r>
    </w:p>
    <w:p w14:paraId="413E59D4" w14:textId="33DB152E" w:rsidR="00D86725" w:rsidRPr="00D86725" w:rsidRDefault="00D86725" w:rsidP="00D86725">
      <w:pPr>
        <w:spacing w:line="360" w:lineRule="auto"/>
        <w:rPr>
          <w:rFonts w:ascii="Arial" w:hAnsi="Arial" w:cs="Arial"/>
          <w:sz w:val="22"/>
          <w:szCs w:val="22"/>
        </w:rPr>
      </w:pPr>
      <w:r w:rsidRPr="00D86725">
        <w:rPr>
          <w:rFonts w:ascii="Arial" w:hAnsi="Arial" w:cs="Arial"/>
          <w:sz w:val="22"/>
          <w:szCs w:val="22"/>
        </w:rPr>
        <w:t>Effective leadership in healthcare requires behaviours such as open communication, active listening, support, and responsiveness to staff concerns. In this case, leadership behaviours did not promote psychological safety or proactive supervision (Yukl, 2013; Edmondson, 2018).</w:t>
      </w:r>
    </w:p>
    <w:p w14:paraId="26DAF0B7" w14:textId="1008F189" w:rsidR="006410DE" w:rsidRDefault="00D86725" w:rsidP="00D86725">
      <w:pPr>
        <w:spacing w:line="360" w:lineRule="auto"/>
        <w:rPr>
          <w:rFonts w:ascii="Arial" w:hAnsi="Arial" w:cs="Arial"/>
          <w:sz w:val="22"/>
          <w:szCs w:val="22"/>
        </w:rPr>
      </w:pPr>
      <w:r w:rsidRPr="00D86725">
        <w:rPr>
          <w:rFonts w:ascii="Arial" w:hAnsi="Arial" w:cs="Arial"/>
          <w:sz w:val="22"/>
          <w:szCs w:val="22"/>
        </w:rPr>
        <w:t>As a result, communication remained limited, collaboration was weakened, and early warning signs of deterioration were not acted upon. This demonstrates how leadership behaviours, when misaligned with the needs of the system, can significantly contribute to adverse outcomes (WHO, 2019; Reason, 2000).</w:t>
      </w:r>
    </w:p>
    <w:p w14:paraId="76E953F5" w14:textId="276EA6FD" w:rsidR="00F91DA1" w:rsidRPr="00777B29" w:rsidRDefault="00777B29" w:rsidP="00D31A58">
      <w:pPr>
        <w:spacing w:line="360" w:lineRule="auto"/>
        <w:rPr>
          <w:rFonts w:ascii="Arial" w:hAnsi="Arial" w:cs="Arial"/>
          <w:sz w:val="22"/>
          <w:szCs w:val="22"/>
        </w:rPr>
      </w:pPr>
      <w:bookmarkStart w:id="6" w:name="_Toc225334439"/>
      <w:r w:rsidRPr="00777B29">
        <w:rPr>
          <w:rFonts w:ascii="Arial" w:hAnsi="Arial" w:cs="Arial"/>
          <w:sz w:val="22"/>
          <w:szCs w:val="22"/>
        </w:rPr>
        <w:t>Organisational culture also plays a critical role in shaping behaviour and decision-making within healthcare systems. According to Schein (2010), culture influences how staff perceive authority, communication, and responsibility. In highly hierarchical cultures, such as that observed in this case, staff may feel discouraged from speaking up, which can negatively impact patient safety. Research by Dixon-Woods et al. (2014) further demonstrates that organisational culture is a key determinant of quality and safety outcomes in healthcare settings.</w:t>
      </w:r>
    </w:p>
    <w:p w14:paraId="41C37EE9" w14:textId="77777777" w:rsidR="00F91DA1" w:rsidRPr="00F91DA1" w:rsidRDefault="00F91DA1" w:rsidP="00F91DA1"/>
    <w:p w14:paraId="73D503C8" w14:textId="124EDFB8" w:rsidR="000A5373" w:rsidRPr="00744291" w:rsidRDefault="000A5373" w:rsidP="00744291">
      <w:pPr>
        <w:pStyle w:val="Heading1"/>
        <w:rPr>
          <w:b/>
          <w:bCs/>
          <w:color w:val="auto"/>
          <w:sz w:val="24"/>
          <w:szCs w:val="24"/>
        </w:rPr>
      </w:pPr>
      <w:r w:rsidRPr="00744291">
        <w:rPr>
          <w:b/>
          <w:bCs/>
          <w:color w:val="auto"/>
          <w:sz w:val="24"/>
          <w:szCs w:val="24"/>
        </w:rPr>
        <w:t>Rich Picture Integration</w:t>
      </w:r>
      <w:bookmarkEnd w:id="6"/>
    </w:p>
    <w:p w14:paraId="4D217BE4" w14:textId="4D8029B3" w:rsidR="000A5373" w:rsidRPr="006A05DE" w:rsidRDefault="000A5373" w:rsidP="006A05DE">
      <w:pPr>
        <w:spacing w:line="360" w:lineRule="auto"/>
        <w:rPr>
          <w:rFonts w:ascii="Arial" w:hAnsi="Arial" w:cs="Arial"/>
          <w:sz w:val="22"/>
          <w:szCs w:val="22"/>
        </w:rPr>
      </w:pPr>
      <w:r w:rsidRPr="006A05DE">
        <w:rPr>
          <w:rFonts w:ascii="Arial" w:hAnsi="Arial" w:cs="Arial"/>
          <w:sz w:val="22"/>
          <w:szCs w:val="22"/>
        </w:rPr>
        <w:t>The complexity of the system can be visualised through a Rich Picture framework:</w:t>
      </w:r>
    </w:p>
    <w:p w14:paraId="04F0B602" w14:textId="61979735" w:rsidR="000A5373" w:rsidRPr="006A05DE" w:rsidRDefault="000A5373" w:rsidP="006A05DE">
      <w:pPr>
        <w:spacing w:line="360" w:lineRule="auto"/>
        <w:rPr>
          <w:rFonts w:ascii="Arial" w:hAnsi="Arial" w:cs="Arial"/>
          <w:sz w:val="22"/>
          <w:szCs w:val="22"/>
        </w:rPr>
      </w:pPr>
      <w:r w:rsidRPr="006A05DE">
        <w:rPr>
          <w:rFonts w:ascii="Arial" w:hAnsi="Arial" w:cs="Arial"/>
          <w:b/>
          <w:bCs/>
          <w:sz w:val="22"/>
          <w:szCs w:val="22"/>
        </w:rPr>
        <w:t>Actors:</w:t>
      </w:r>
      <w:r w:rsidRPr="006A05DE">
        <w:rPr>
          <w:rFonts w:ascii="Arial" w:hAnsi="Arial" w:cs="Arial"/>
          <w:sz w:val="22"/>
          <w:szCs w:val="22"/>
        </w:rPr>
        <w:t xml:space="preserve"> nurses, junior doctors, consultants, administrators, patient, and family</w:t>
      </w:r>
    </w:p>
    <w:p w14:paraId="3EB19C7C" w14:textId="70E0227A" w:rsidR="000A5373" w:rsidRPr="006A05DE" w:rsidRDefault="000A5373" w:rsidP="006A05DE">
      <w:pPr>
        <w:spacing w:line="360" w:lineRule="auto"/>
        <w:rPr>
          <w:rFonts w:ascii="Arial" w:hAnsi="Arial" w:cs="Arial"/>
          <w:sz w:val="22"/>
          <w:szCs w:val="22"/>
        </w:rPr>
      </w:pPr>
      <w:r w:rsidRPr="006A05DE">
        <w:rPr>
          <w:rFonts w:ascii="Arial" w:hAnsi="Arial" w:cs="Arial"/>
          <w:b/>
          <w:bCs/>
          <w:sz w:val="22"/>
          <w:szCs w:val="22"/>
        </w:rPr>
        <w:t>Processes:</w:t>
      </w:r>
      <w:r w:rsidRPr="006A05DE">
        <w:rPr>
          <w:rFonts w:ascii="Arial" w:hAnsi="Arial" w:cs="Arial"/>
          <w:sz w:val="22"/>
          <w:szCs w:val="22"/>
        </w:rPr>
        <w:t xml:space="preserve"> monitoring vital signs, medication administration, escalation procedures, documentation</w:t>
      </w:r>
    </w:p>
    <w:p w14:paraId="5D342C25" w14:textId="0F90B3E2" w:rsidR="000A5373" w:rsidRPr="006A05DE" w:rsidRDefault="000A5373" w:rsidP="006A05DE">
      <w:pPr>
        <w:spacing w:line="360" w:lineRule="auto"/>
        <w:rPr>
          <w:rFonts w:ascii="Arial" w:hAnsi="Arial" w:cs="Arial"/>
          <w:sz w:val="22"/>
          <w:szCs w:val="22"/>
        </w:rPr>
      </w:pPr>
      <w:r w:rsidRPr="006A05DE">
        <w:rPr>
          <w:rFonts w:ascii="Arial" w:hAnsi="Arial" w:cs="Arial"/>
          <w:b/>
          <w:bCs/>
          <w:sz w:val="22"/>
          <w:szCs w:val="22"/>
        </w:rPr>
        <w:t>Structures:</w:t>
      </w:r>
      <w:r w:rsidRPr="006A05DE">
        <w:rPr>
          <w:rFonts w:ascii="Arial" w:hAnsi="Arial" w:cs="Arial"/>
          <w:sz w:val="22"/>
          <w:szCs w:val="22"/>
        </w:rPr>
        <w:t xml:space="preserve"> hierarchical leadership, hospital policies, reporting systems</w:t>
      </w:r>
    </w:p>
    <w:p w14:paraId="340B63C0" w14:textId="3D51A098" w:rsidR="000A5373" w:rsidRPr="006A05DE" w:rsidRDefault="000A5373" w:rsidP="006A05DE">
      <w:pPr>
        <w:spacing w:line="360" w:lineRule="auto"/>
        <w:rPr>
          <w:rFonts w:ascii="Arial" w:hAnsi="Arial" w:cs="Arial"/>
          <w:sz w:val="22"/>
          <w:szCs w:val="22"/>
        </w:rPr>
      </w:pPr>
      <w:r w:rsidRPr="006A05DE">
        <w:rPr>
          <w:rFonts w:ascii="Arial" w:hAnsi="Arial" w:cs="Arial"/>
          <w:b/>
          <w:bCs/>
          <w:sz w:val="22"/>
          <w:szCs w:val="22"/>
        </w:rPr>
        <w:t>Emotions:</w:t>
      </w:r>
      <w:r w:rsidRPr="006A05DE">
        <w:rPr>
          <w:rFonts w:ascii="Arial" w:hAnsi="Arial" w:cs="Arial"/>
          <w:sz w:val="22"/>
          <w:szCs w:val="22"/>
        </w:rPr>
        <w:t xml:space="preserve"> nurse anxiety, parental frustration, patient distress</w:t>
      </w:r>
    </w:p>
    <w:p w14:paraId="33FE8296" w14:textId="77777777" w:rsidR="000A5373" w:rsidRDefault="000A5373" w:rsidP="006A05DE">
      <w:pPr>
        <w:spacing w:line="360" w:lineRule="auto"/>
        <w:rPr>
          <w:rFonts w:ascii="Arial" w:hAnsi="Arial" w:cs="Arial"/>
          <w:sz w:val="22"/>
          <w:szCs w:val="22"/>
        </w:rPr>
      </w:pPr>
      <w:r w:rsidRPr="006A05DE">
        <w:rPr>
          <w:rFonts w:ascii="Arial" w:hAnsi="Arial" w:cs="Arial"/>
          <w:b/>
          <w:bCs/>
          <w:sz w:val="22"/>
          <w:szCs w:val="22"/>
        </w:rPr>
        <w:t>Feedback loops</w:t>
      </w:r>
      <w:r w:rsidRPr="006A05DE">
        <w:rPr>
          <w:rFonts w:ascii="Arial" w:hAnsi="Arial" w:cs="Arial"/>
          <w:sz w:val="22"/>
          <w:szCs w:val="22"/>
        </w:rPr>
        <w:t>: incident reporting systems, clinical supervision</w:t>
      </w:r>
    </w:p>
    <w:p w14:paraId="5663D689" w14:textId="77777777" w:rsidR="002F1545" w:rsidRPr="002F1545" w:rsidRDefault="002F1545" w:rsidP="002F1545">
      <w:pPr>
        <w:spacing w:line="360" w:lineRule="auto"/>
        <w:rPr>
          <w:rFonts w:ascii="Arial" w:hAnsi="Arial" w:cs="Arial"/>
          <w:sz w:val="22"/>
          <w:szCs w:val="22"/>
        </w:rPr>
      </w:pPr>
      <w:r w:rsidRPr="002F1545">
        <w:rPr>
          <w:rFonts w:ascii="Arial" w:hAnsi="Arial" w:cs="Arial"/>
          <w:sz w:val="22"/>
          <w:szCs w:val="22"/>
        </w:rPr>
        <w:lastRenderedPageBreak/>
        <w:t>The failure of feedback loops in the Lewis Blackman case is particularly significant, as it highlights how breakdowns in communication and escalation processes can directly contribute to adverse patient outcomes. Nurses, who were closely monitoring the patient, identified concerning changes in his condition but were unable to escalate these concerns effectively (WHO, 2019; NHS England, 2022).</w:t>
      </w:r>
    </w:p>
    <w:p w14:paraId="4F2A3650" w14:textId="77777777" w:rsidR="002F1545" w:rsidRPr="002F1545" w:rsidRDefault="002F1545" w:rsidP="002F1545">
      <w:pPr>
        <w:spacing w:line="360" w:lineRule="auto"/>
        <w:rPr>
          <w:rFonts w:ascii="Arial" w:hAnsi="Arial" w:cs="Arial"/>
          <w:sz w:val="22"/>
          <w:szCs w:val="22"/>
        </w:rPr>
      </w:pPr>
    </w:p>
    <w:p w14:paraId="21726E29" w14:textId="77777777" w:rsidR="002F1545" w:rsidRPr="002F1545" w:rsidRDefault="002F1545" w:rsidP="002F1545">
      <w:pPr>
        <w:spacing w:line="360" w:lineRule="auto"/>
        <w:rPr>
          <w:rFonts w:ascii="Arial" w:hAnsi="Arial" w:cs="Arial"/>
          <w:sz w:val="22"/>
          <w:szCs w:val="22"/>
        </w:rPr>
      </w:pPr>
      <w:r w:rsidRPr="002F1545">
        <w:rPr>
          <w:rFonts w:ascii="Arial" w:hAnsi="Arial" w:cs="Arial"/>
          <w:sz w:val="22"/>
          <w:szCs w:val="22"/>
        </w:rPr>
        <w:t>At the same time, junior doctors lacked the authority and confidence to act independently or seek timely input from senior clinicians. This situation reflects a leadership approach positioned towards the autocratic end of the continuum proposed by Tannenbaum and Schmidt (1973), where decision-making authority is concentrated at higher levels (Tannenbaum and Schmidt, 1973; Goleman, 2000).</w:t>
      </w:r>
    </w:p>
    <w:p w14:paraId="0F98A717" w14:textId="665A526E" w:rsidR="002F1545" w:rsidRPr="002F1545" w:rsidRDefault="002F1545" w:rsidP="002F1545">
      <w:pPr>
        <w:spacing w:line="360" w:lineRule="auto"/>
        <w:rPr>
          <w:rFonts w:ascii="Arial" w:hAnsi="Arial" w:cs="Arial"/>
          <w:sz w:val="22"/>
          <w:szCs w:val="22"/>
        </w:rPr>
      </w:pPr>
      <w:r w:rsidRPr="002F1545">
        <w:rPr>
          <w:rFonts w:ascii="Arial" w:hAnsi="Arial" w:cs="Arial"/>
          <w:sz w:val="22"/>
          <w:szCs w:val="22"/>
        </w:rPr>
        <w:t>Such a leadership structure can create barriers to effective communication, as staff may feel discouraged from speaking up or challenging decisions made by those in positions of authority. This dynamic is further reinforced by the organisational culture, which appears to align with McGregor’s (1960) Theory X assumptions (McGregor, 1960; Edmondson, 2018).</w:t>
      </w:r>
    </w:p>
    <w:p w14:paraId="6E4EC9DC" w14:textId="77777777" w:rsidR="002F1545" w:rsidRPr="002F1545" w:rsidRDefault="002F1545" w:rsidP="002F1545">
      <w:pPr>
        <w:spacing w:line="360" w:lineRule="auto"/>
        <w:rPr>
          <w:rFonts w:ascii="Arial" w:hAnsi="Arial" w:cs="Arial"/>
          <w:sz w:val="22"/>
          <w:szCs w:val="22"/>
        </w:rPr>
      </w:pPr>
    </w:p>
    <w:p w14:paraId="5FA2F914" w14:textId="77777777" w:rsidR="002F1545" w:rsidRPr="002F1545" w:rsidRDefault="002F1545" w:rsidP="002F1545">
      <w:pPr>
        <w:spacing w:line="360" w:lineRule="auto"/>
        <w:rPr>
          <w:rFonts w:ascii="Arial" w:hAnsi="Arial" w:cs="Arial"/>
          <w:sz w:val="22"/>
          <w:szCs w:val="22"/>
        </w:rPr>
      </w:pPr>
      <w:r w:rsidRPr="002F1545">
        <w:rPr>
          <w:rFonts w:ascii="Arial" w:hAnsi="Arial" w:cs="Arial"/>
          <w:sz w:val="22"/>
          <w:szCs w:val="22"/>
        </w:rPr>
        <w:t>In this context, staff are expected to follow instructions rather than question them, which can suppress initiative, critical thinking, and professional judgement. As a result, nurses may hesitate to raise concerns, even when they recognise signs of patient deterioration, leading to delays in escalation and intervention (Cummings et al., 2018; West et al., 2015).</w:t>
      </w:r>
    </w:p>
    <w:p w14:paraId="79B674C5" w14:textId="77777777" w:rsidR="002F1545" w:rsidRPr="002F1545" w:rsidRDefault="002F1545" w:rsidP="002F1545">
      <w:pPr>
        <w:spacing w:line="360" w:lineRule="auto"/>
        <w:rPr>
          <w:rFonts w:ascii="Arial" w:hAnsi="Arial" w:cs="Arial"/>
          <w:sz w:val="22"/>
          <w:szCs w:val="22"/>
        </w:rPr>
      </w:pPr>
      <w:r w:rsidRPr="002F1545">
        <w:rPr>
          <w:rFonts w:ascii="Arial" w:hAnsi="Arial" w:cs="Arial"/>
          <w:sz w:val="22"/>
          <w:szCs w:val="22"/>
        </w:rPr>
        <w:t>Behavioural leadership theory provides additional insight into how leadership actions influenced these outcomes. According to Yukl (2013), effective leadership is characterised by behaviours such as clear communication, active support, and responsive supervision (Yukl, 2013; West et al., 2018).</w:t>
      </w:r>
    </w:p>
    <w:p w14:paraId="67AAAC2A" w14:textId="77777777" w:rsidR="002F1545" w:rsidRPr="002F1545" w:rsidRDefault="002F1545" w:rsidP="002F1545">
      <w:pPr>
        <w:spacing w:line="360" w:lineRule="auto"/>
        <w:rPr>
          <w:rFonts w:ascii="Arial" w:hAnsi="Arial" w:cs="Arial"/>
          <w:sz w:val="22"/>
          <w:szCs w:val="22"/>
        </w:rPr>
      </w:pPr>
    </w:p>
    <w:p w14:paraId="05F565ED" w14:textId="0F90EEB9" w:rsidR="002F1545" w:rsidRPr="002F1545" w:rsidRDefault="002F1545" w:rsidP="002F1545">
      <w:pPr>
        <w:spacing w:line="360" w:lineRule="auto"/>
        <w:rPr>
          <w:rFonts w:ascii="Arial" w:hAnsi="Arial" w:cs="Arial"/>
          <w:sz w:val="22"/>
          <w:szCs w:val="22"/>
        </w:rPr>
      </w:pPr>
      <w:r w:rsidRPr="002F1545">
        <w:rPr>
          <w:rFonts w:ascii="Arial" w:hAnsi="Arial" w:cs="Arial"/>
          <w:sz w:val="22"/>
          <w:szCs w:val="22"/>
        </w:rPr>
        <w:t>In the Lewis Blackman case, these behaviours were largely absent. Leaders did not foster an environment of psychological safety, nor did they provide adequate supervision or guidance to junior staff (Edmondson, 2018; WHO, 2019).</w:t>
      </w:r>
    </w:p>
    <w:p w14:paraId="522E938A" w14:textId="18A86140" w:rsidR="006D7E7A" w:rsidRPr="005D2F93" w:rsidRDefault="002F1545" w:rsidP="005D2F93">
      <w:pPr>
        <w:spacing w:line="360" w:lineRule="auto"/>
        <w:rPr>
          <w:rFonts w:ascii="Arial" w:hAnsi="Arial" w:cs="Arial"/>
          <w:sz w:val="22"/>
          <w:szCs w:val="22"/>
        </w:rPr>
      </w:pPr>
      <w:r w:rsidRPr="002F1545">
        <w:rPr>
          <w:rFonts w:ascii="Arial" w:hAnsi="Arial" w:cs="Arial"/>
          <w:sz w:val="22"/>
          <w:szCs w:val="22"/>
        </w:rPr>
        <w:t>The breakdown of feedback loops is therefore critical, as escalation pathways were unclear and communication processes were ineffective. These failures demonstrate how leadership style, organisational culture, and structural factors interact to produce unsafe outcomes within complex healthcare systems (Reason, 2000; Senge, 2006).</w:t>
      </w:r>
      <w:bookmarkStart w:id="7" w:name="_Toc225334440"/>
      <w:r w:rsidR="005D2F93">
        <w:rPr>
          <w:rFonts w:ascii="Arial" w:hAnsi="Arial" w:cs="Arial"/>
          <w:sz w:val="22"/>
          <w:szCs w:val="22"/>
        </w:rPr>
        <w:t xml:space="preserve"> </w:t>
      </w:r>
    </w:p>
    <w:p w14:paraId="6A8EE89F" w14:textId="09E3AECE" w:rsidR="003863BD" w:rsidRPr="00744291" w:rsidRDefault="003863BD" w:rsidP="00744291">
      <w:pPr>
        <w:pStyle w:val="Heading1"/>
        <w:rPr>
          <w:b/>
          <w:bCs/>
          <w:color w:val="auto"/>
          <w:sz w:val="24"/>
          <w:szCs w:val="24"/>
        </w:rPr>
      </w:pPr>
      <w:r w:rsidRPr="00744291">
        <w:rPr>
          <w:b/>
          <w:bCs/>
          <w:color w:val="auto"/>
          <w:sz w:val="24"/>
          <w:szCs w:val="24"/>
        </w:rPr>
        <w:lastRenderedPageBreak/>
        <w:t>Rich Picture Mind Map</w:t>
      </w:r>
      <w:bookmarkEnd w:id="7"/>
    </w:p>
    <w:p w14:paraId="58BBEA04" w14:textId="77777777" w:rsidR="003863BD" w:rsidRPr="006A05DE" w:rsidRDefault="003863BD" w:rsidP="006A05DE">
      <w:pPr>
        <w:spacing w:line="360" w:lineRule="auto"/>
        <w:rPr>
          <w:rFonts w:ascii="Arial" w:hAnsi="Arial" w:cs="Arial"/>
          <w:b/>
          <w:bCs/>
          <w:sz w:val="22"/>
          <w:szCs w:val="22"/>
        </w:rPr>
      </w:pPr>
    </w:p>
    <w:p w14:paraId="2EE2ACA0" w14:textId="7F14DCDA" w:rsidR="003863BD" w:rsidRPr="006A05DE" w:rsidRDefault="003863BD" w:rsidP="006A05DE">
      <w:pPr>
        <w:spacing w:line="360" w:lineRule="auto"/>
        <w:rPr>
          <w:rFonts w:ascii="Arial" w:hAnsi="Arial" w:cs="Arial"/>
          <w:b/>
          <w:bCs/>
          <w:sz w:val="22"/>
          <w:szCs w:val="22"/>
        </w:rPr>
      </w:pPr>
      <w:r w:rsidRPr="006A05DE">
        <w:rPr>
          <w:rFonts w:ascii="Arial" w:hAnsi="Arial" w:cs="Arial"/>
          <w:b/>
          <w:bCs/>
          <w:noProof/>
          <w:sz w:val="22"/>
          <w:szCs w:val="22"/>
        </w:rPr>
        <w:drawing>
          <wp:inline distT="0" distB="0" distL="0" distR="0" wp14:anchorId="46CB06BF" wp14:editId="138BB779">
            <wp:extent cx="4996282" cy="2560912"/>
            <wp:effectExtent l="0" t="0" r="0" b="0"/>
            <wp:docPr id="626339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29076" cy="2577721"/>
                    </a:xfrm>
                    <a:prstGeom prst="rect">
                      <a:avLst/>
                    </a:prstGeom>
                    <a:noFill/>
                  </pic:spPr>
                </pic:pic>
              </a:graphicData>
            </a:graphic>
          </wp:inline>
        </w:drawing>
      </w:r>
    </w:p>
    <w:p w14:paraId="6861505D" w14:textId="2F93CD86" w:rsidR="003863BD" w:rsidRPr="006A05DE" w:rsidRDefault="003863BD" w:rsidP="006A05DE">
      <w:pPr>
        <w:spacing w:line="360" w:lineRule="auto"/>
        <w:rPr>
          <w:rFonts w:ascii="Arial" w:hAnsi="Arial" w:cs="Arial"/>
          <w:b/>
          <w:bCs/>
          <w:sz w:val="22"/>
          <w:szCs w:val="22"/>
        </w:rPr>
      </w:pPr>
      <w:r w:rsidRPr="006A05DE">
        <w:rPr>
          <w:rFonts w:ascii="Arial" w:hAnsi="Arial" w:cs="Arial"/>
          <w:b/>
          <w:bCs/>
          <w:noProof/>
          <w:sz w:val="22"/>
          <w:szCs w:val="22"/>
        </w:rPr>
        <w:drawing>
          <wp:inline distT="0" distB="0" distL="0" distR="0" wp14:anchorId="4A938E02" wp14:editId="4D6FAFB7">
            <wp:extent cx="4964759" cy="2704491"/>
            <wp:effectExtent l="0" t="0" r="7620" b="635"/>
            <wp:docPr id="13962735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07017" cy="2727510"/>
                    </a:xfrm>
                    <a:prstGeom prst="rect">
                      <a:avLst/>
                    </a:prstGeom>
                    <a:noFill/>
                  </pic:spPr>
                </pic:pic>
              </a:graphicData>
            </a:graphic>
          </wp:inline>
        </w:drawing>
      </w:r>
    </w:p>
    <w:p w14:paraId="3FD799D4" w14:textId="77777777" w:rsidR="00AF0CFF" w:rsidRDefault="00AF0CFF" w:rsidP="00DF580F">
      <w:pPr>
        <w:spacing w:line="360" w:lineRule="auto"/>
        <w:rPr>
          <w:rFonts w:ascii="Arial" w:hAnsi="Arial" w:cs="Arial"/>
          <w:sz w:val="22"/>
          <w:szCs w:val="22"/>
        </w:rPr>
      </w:pPr>
    </w:p>
    <w:p w14:paraId="6B38F4C4" w14:textId="3902E9FE" w:rsidR="003863BD" w:rsidRPr="00DF580F" w:rsidRDefault="00DF580F" w:rsidP="00DF580F">
      <w:pPr>
        <w:spacing w:line="360" w:lineRule="auto"/>
        <w:rPr>
          <w:rFonts w:ascii="Arial" w:hAnsi="Arial" w:cs="Arial"/>
          <w:sz w:val="22"/>
          <w:szCs w:val="22"/>
        </w:rPr>
      </w:pPr>
      <w:r w:rsidRPr="00DF580F">
        <w:rPr>
          <w:rFonts w:ascii="Arial" w:hAnsi="Arial" w:cs="Arial"/>
          <w:sz w:val="22"/>
          <w:szCs w:val="22"/>
        </w:rPr>
        <w:t>The rich picture diagram illustrates the complex interactions that contributed to the Lewis Blackman case. It highlights the key actors involved, including nurses, junior doctors, consultants, hospital administrators, and the patient’s family. The diagram also shows the organisational structures, clinical processes, emotional pressures, and feedback loops that influenced communication and decision-making, ultimately contributing to delays in escalation and patient deterioration.</w:t>
      </w:r>
    </w:p>
    <w:p w14:paraId="0B767E88" w14:textId="77777777" w:rsidR="003863BD" w:rsidRPr="006A05DE" w:rsidRDefault="003863BD" w:rsidP="006A05DE">
      <w:pPr>
        <w:spacing w:line="360" w:lineRule="auto"/>
        <w:rPr>
          <w:rFonts w:ascii="Arial" w:hAnsi="Arial" w:cs="Arial"/>
          <w:b/>
          <w:bCs/>
          <w:sz w:val="22"/>
          <w:szCs w:val="22"/>
        </w:rPr>
      </w:pPr>
    </w:p>
    <w:p w14:paraId="45DE1DE3" w14:textId="77777777" w:rsidR="003559CC" w:rsidRPr="006A05DE" w:rsidRDefault="003559CC" w:rsidP="006A05DE">
      <w:pPr>
        <w:spacing w:line="360" w:lineRule="auto"/>
        <w:rPr>
          <w:rFonts w:ascii="Arial" w:hAnsi="Arial" w:cs="Arial"/>
          <w:b/>
          <w:bCs/>
          <w:sz w:val="22"/>
          <w:szCs w:val="22"/>
        </w:rPr>
      </w:pPr>
    </w:p>
    <w:p w14:paraId="52738C3D" w14:textId="14749082" w:rsidR="003F47C9" w:rsidRDefault="003F47C9" w:rsidP="00744291">
      <w:pPr>
        <w:pStyle w:val="Heading1"/>
        <w:rPr>
          <w:b/>
          <w:bCs/>
          <w:color w:val="auto"/>
          <w:sz w:val="24"/>
          <w:szCs w:val="24"/>
        </w:rPr>
      </w:pPr>
      <w:bookmarkStart w:id="8" w:name="_Toc225334441"/>
      <w:r w:rsidRPr="00744291">
        <w:rPr>
          <w:b/>
          <w:bCs/>
          <w:color w:val="auto"/>
          <w:sz w:val="24"/>
          <w:szCs w:val="24"/>
        </w:rPr>
        <w:lastRenderedPageBreak/>
        <w:t>Centralisation vs Decentralisation</w:t>
      </w:r>
      <w:bookmarkEnd w:id="8"/>
    </w:p>
    <w:p w14:paraId="7D351D99" w14:textId="77777777" w:rsidR="00944CBF" w:rsidRPr="00944CBF" w:rsidRDefault="00944CBF" w:rsidP="00944CBF"/>
    <w:p w14:paraId="4286B858" w14:textId="7B4BD237" w:rsidR="00944CBF" w:rsidRPr="00944CBF" w:rsidRDefault="00944CBF" w:rsidP="00944CBF">
      <w:pPr>
        <w:spacing w:line="360" w:lineRule="auto"/>
        <w:rPr>
          <w:rFonts w:ascii="Arial" w:hAnsi="Arial" w:cs="Arial"/>
          <w:sz w:val="22"/>
          <w:szCs w:val="22"/>
        </w:rPr>
      </w:pPr>
      <w:r w:rsidRPr="00944CBF">
        <w:rPr>
          <w:rFonts w:ascii="Arial" w:hAnsi="Arial" w:cs="Arial"/>
          <w:sz w:val="22"/>
          <w:szCs w:val="22"/>
        </w:rPr>
        <w:t>Healthcare organisations operate along a continuum between centralised and decentralised decision-making structures, influencing how decisions are made and implemented (Mintzberg, 1983). In centralised systems, authority is concentrated among senior leaders who control clinical and organisational decisions (Burns and Stalker, 1961; Mintzberg, 1983).</w:t>
      </w:r>
    </w:p>
    <w:p w14:paraId="455AD9A4" w14:textId="77777777" w:rsidR="00944CBF" w:rsidRPr="00944CBF" w:rsidRDefault="00944CBF" w:rsidP="00944CBF">
      <w:pPr>
        <w:spacing w:line="360" w:lineRule="auto"/>
        <w:rPr>
          <w:rFonts w:ascii="Arial" w:hAnsi="Arial" w:cs="Arial"/>
          <w:sz w:val="22"/>
          <w:szCs w:val="22"/>
        </w:rPr>
      </w:pPr>
      <w:r w:rsidRPr="00944CBF">
        <w:rPr>
          <w:rFonts w:ascii="Arial" w:hAnsi="Arial" w:cs="Arial"/>
          <w:sz w:val="22"/>
          <w:szCs w:val="22"/>
        </w:rPr>
        <w:t>In contrast, decentralised systems distribute decision-making across organisational levels, enabling frontline staff to respond more effectively to emerging situations. These approaches are associated with greater staff engagement and improved responsiveness in complex healthcare environments (Marquis and Huston, 2021; West et al., 2015).</w:t>
      </w:r>
    </w:p>
    <w:p w14:paraId="495C41F8" w14:textId="77777777" w:rsidR="00944CBF" w:rsidRPr="00944CBF" w:rsidRDefault="00944CBF" w:rsidP="00944CBF">
      <w:pPr>
        <w:spacing w:line="360" w:lineRule="auto"/>
        <w:rPr>
          <w:rFonts w:ascii="Arial" w:hAnsi="Arial" w:cs="Arial"/>
          <w:sz w:val="22"/>
          <w:szCs w:val="22"/>
        </w:rPr>
      </w:pPr>
    </w:p>
    <w:p w14:paraId="735B9551" w14:textId="77777777" w:rsidR="00944CBF" w:rsidRPr="00944CBF" w:rsidRDefault="00944CBF" w:rsidP="00944CBF">
      <w:pPr>
        <w:spacing w:line="360" w:lineRule="auto"/>
        <w:rPr>
          <w:rFonts w:ascii="Arial" w:hAnsi="Arial" w:cs="Arial"/>
          <w:sz w:val="22"/>
          <w:szCs w:val="22"/>
        </w:rPr>
      </w:pPr>
      <w:r w:rsidRPr="00944CBF">
        <w:rPr>
          <w:rFonts w:ascii="Arial" w:hAnsi="Arial" w:cs="Arial"/>
          <w:sz w:val="22"/>
          <w:szCs w:val="22"/>
        </w:rPr>
        <w:t>In the Lewis Blackman case, both centralisation and decentralisation failures contributed to the outcome. Decision-making authority was highly centralised among senior physicians, limiting the ability of junior doctors to escalate concerns or act independently (Tannenbaum and Schmidt, 1973; McGregor, 1960). This led to delays in diagnosis and treatment as the patient’s condition deteriorated, reflecting an autocratic leadership style that restricted participation (Tannenbaum and Schmidt, 1973; Goleman, 2000).</w:t>
      </w:r>
    </w:p>
    <w:p w14:paraId="1B7C368B" w14:textId="77777777" w:rsidR="00944CBF" w:rsidRPr="00944CBF" w:rsidRDefault="00944CBF" w:rsidP="00944CBF">
      <w:pPr>
        <w:spacing w:line="360" w:lineRule="auto"/>
        <w:rPr>
          <w:rFonts w:ascii="Arial" w:hAnsi="Arial" w:cs="Arial"/>
          <w:sz w:val="22"/>
          <w:szCs w:val="22"/>
        </w:rPr>
      </w:pPr>
    </w:p>
    <w:p w14:paraId="07453E8D" w14:textId="77777777" w:rsidR="00944CBF" w:rsidRDefault="00944CBF" w:rsidP="00944CBF">
      <w:pPr>
        <w:spacing w:line="360" w:lineRule="auto"/>
        <w:rPr>
          <w:rFonts w:ascii="Arial" w:hAnsi="Arial" w:cs="Arial"/>
          <w:sz w:val="22"/>
          <w:szCs w:val="22"/>
        </w:rPr>
      </w:pPr>
      <w:r w:rsidRPr="00944CBF">
        <w:rPr>
          <w:rFonts w:ascii="Arial" w:hAnsi="Arial" w:cs="Arial"/>
          <w:sz w:val="22"/>
          <w:szCs w:val="22"/>
        </w:rPr>
        <w:t>While centralised systems can promote consistency and clear accountability (Burns and Stalker, 1961), excessive centralisation in acute settings can delay critical interventions. Evidence shows that delayed escalation is a major contributor to preventable harm (NHS England, 2022; Institute of Medicine, 2000). In this case, hierarchical barriers limited staff autonomy and communication (West et al., 2018; Edmondson, 2018).</w:t>
      </w:r>
    </w:p>
    <w:p w14:paraId="6D1FF9BF" w14:textId="77777777" w:rsidR="00821B4C" w:rsidRPr="00944CBF" w:rsidRDefault="00821B4C" w:rsidP="00944CBF">
      <w:pPr>
        <w:spacing w:line="360" w:lineRule="auto"/>
        <w:rPr>
          <w:rFonts w:ascii="Arial" w:hAnsi="Arial" w:cs="Arial"/>
          <w:sz w:val="22"/>
          <w:szCs w:val="22"/>
        </w:rPr>
      </w:pPr>
    </w:p>
    <w:p w14:paraId="7B31EABB" w14:textId="1426DE85" w:rsidR="006856C5" w:rsidRPr="00944CBF" w:rsidRDefault="00944CBF" w:rsidP="00944CBF">
      <w:pPr>
        <w:spacing w:line="360" w:lineRule="auto"/>
        <w:rPr>
          <w:rFonts w:ascii="Arial" w:hAnsi="Arial" w:cs="Arial"/>
          <w:sz w:val="22"/>
          <w:szCs w:val="22"/>
        </w:rPr>
      </w:pPr>
      <w:r w:rsidRPr="00944CBF">
        <w:rPr>
          <w:rFonts w:ascii="Arial" w:hAnsi="Arial" w:cs="Arial"/>
          <w:sz w:val="22"/>
          <w:szCs w:val="22"/>
        </w:rPr>
        <w:t>Overall, the case demonstrates the need to balance centralised governance with decentralised decision-making to ensure both accountability and timely clinical response (Braithwaite et al., 2017; WHO, 2019).</w:t>
      </w:r>
    </w:p>
    <w:p w14:paraId="34BCC5B5" w14:textId="77777777" w:rsidR="00CB5F1A" w:rsidRDefault="00CB5F1A" w:rsidP="003F47C9">
      <w:pPr>
        <w:spacing w:line="360" w:lineRule="auto"/>
        <w:rPr>
          <w:rFonts w:ascii="Arial" w:hAnsi="Arial" w:cs="Arial"/>
          <w:sz w:val="22"/>
          <w:szCs w:val="22"/>
        </w:rPr>
      </w:pPr>
    </w:p>
    <w:p w14:paraId="7E1DB109" w14:textId="77777777" w:rsidR="00401812" w:rsidRPr="00401812" w:rsidRDefault="00401812" w:rsidP="00401812">
      <w:pPr>
        <w:spacing w:line="360" w:lineRule="auto"/>
        <w:rPr>
          <w:rFonts w:ascii="Arial" w:hAnsi="Arial" w:cs="Arial"/>
          <w:b/>
          <w:bCs/>
          <w:sz w:val="22"/>
          <w:szCs w:val="22"/>
        </w:rPr>
      </w:pPr>
      <w:r w:rsidRPr="00401812">
        <w:rPr>
          <w:rFonts w:ascii="Arial" w:hAnsi="Arial" w:cs="Arial"/>
          <w:b/>
          <w:bCs/>
          <w:sz w:val="22"/>
          <w:szCs w:val="22"/>
        </w:rPr>
        <w:t>Centralisation failure:</w:t>
      </w:r>
    </w:p>
    <w:p w14:paraId="0519F2F3" w14:textId="77777777" w:rsidR="00401812" w:rsidRDefault="00401812" w:rsidP="00401812">
      <w:pPr>
        <w:spacing w:line="360" w:lineRule="auto"/>
        <w:rPr>
          <w:rFonts w:ascii="Arial" w:hAnsi="Arial" w:cs="Arial"/>
          <w:sz w:val="22"/>
          <w:szCs w:val="22"/>
        </w:rPr>
      </w:pPr>
      <w:r w:rsidRPr="00401812">
        <w:rPr>
          <w:rFonts w:ascii="Arial" w:hAnsi="Arial" w:cs="Arial"/>
          <w:sz w:val="22"/>
          <w:szCs w:val="22"/>
        </w:rPr>
        <w:t>Hospital leadership failed to enforce strong escalation protocols or ensure adequate supervision of junior doctors.</w:t>
      </w:r>
      <w:r w:rsidRPr="006A05DE">
        <w:rPr>
          <w:rFonts w:ascii="Arial" w:hAnsi="Arial" w:cs="Arial"/>
          <w:sz w:val="22"/>
          <w:szCs w:val="22"/>
        </w:rPr>
        <w:t xml:space="preserve"> </w:t>
      </w:r>
    </w:p>
    <w:p w14:paraId="573BFB2B" w14:textId="77777777" w:rsidR="0013264E" w:rsidRDefault="0013264E" w:rsidP="00401812">
      <w:pPr>
        <w:spacing w:line="360" w:lineRule="auto"/>
        <w:rPr>
          <w:rFonts w:ascii="Arial" w:hAnsi="Arial" w:cs="Arial"/>
          <w:sz w:val="22"/>
          <w:szCs w:val="22"/>
        </w:rPr>
      </w:pPr>
    </w:p>
    <w:p w14:paraId="6A5FEDD7" w14:textId="4E420EBB" w:rsidR="000A5373" w:rsidRPr="006A05DE" w:rsidRDefault="00401812" w:rsidP="00401812">
      <w:pPr>
        <w:spacing w:line="360" w:lineRule="auto"/>
        <w:rPr>
          <w:rFonts w:ascii="Arial" w:hAnsi="Arial" w:cs="Arial"/>
          <w:sz w:val="22"/>
          <w:szCs w:val="22"/>
        </w:rPr>
      </w:pPr>
      <w:r w:rsidRPr="006A05DE">
        <w:rPr>
          <w:rFonts w:ascii="Arial" w:hAnsi="Arial" w:cs="Arial"/>
          <w:sz w:val="22"/>
          <w:szCs w:val="22"/>
        </w:rPr>
        <w:lastRenderedPageBreak/>
        <w:t>Advantages</w:t>
      </w:r>
      <w:r w:rsidR="000A5373" w:rsidRPr="006A05DE">
        <w:rPr>
          <w:rFonts w:ascii="Arial" w:hAnsi="Arial" w:cs="Arial"/>
          <w:sz w:val="22"/>
          <w:szCs w:val="22"/>
        </w:rPr>
        <w:t>:</w:t>
      </w:r>
    </w:p>
    <w:p w14:paraId="7D344192" w14:textId="77777777" w:rsidR="000A5373" w:rsidRPr="006A05DE" w:rsidRDefault="000A5373" w:rsidP="006A05DE">
      <w:pPr>
        <w:spacing w:line="360" w:lineRule="auto"/>
        <w:rPr>
          <w:rFonts w:ascii="Arial" w:hAnsi="Arial" w:cs="Arial"/>
          <w:sz w:val="22"/>
          <w:szCs w:val="22"/>
        </w:rPr>
      </w:pPr>
      <w:r w:rsidRPr="006A05DE">
        <w:rPr>
          <w:rFonts w:ascii="Arial" w:hAnsi="Arial" w:cs="Arial"/>
          <w:sz w:val="22"/>
          <w:szCs w:val="22"/>
        </w:rPr>
        <w:t>•</w:t>
      </w:r>
      <w:r w:rsidRPr="006A05DE">
        <w:rPr>
          <w:rFonts w:ascii="Arial" w:hAnsi="Arial" w:cs="Arial"/>
          <w:sz w:val="22"/>
          <w:szCs w:val="22"/>
        </w:rPr>
        <w:tab/>
        <w:t>Consistency in decision-making</w:t>
      </w:r>
    </w:p>
    <w:p w14:paraId="58C47087" w14:textId="77777777" w:rsidR="000A5373" w:rsidRPr="006A05DE" w:rsidRDefault="000A5373" w:rsidP="006A05DE">
      <w:pPr>
        <w:spacing w:line="360" w:lineRule="auto"/>
        <w:rPr>
          <w:rFonts w:ascii="Arial" w:hAnsi="Arial" w:cs="Arial"/>
          <w:sz w:val="22"/>
          <w:szCs w:val="22"/>
        </w:rPr>
      </w:pPr>
      <w:r w:rsidRPr="006A05DE">
        <w:rPr>
          <w:rFonts w:ascii="Arial" w:hAnsi="Arial" w:cs="Arial"/>
          <w:sz w:val="22"/>
          <w:szCs w:val="22"/>
        </w:rPr>
        <w:t>•</w:t>
      </w:r>
      <w:r w:rsidRPr="006A05DE">
        <w:rPr>
          <w:rFonts w:ascii="Arial" w:hAnsi="Arial" w:cs="Arial"/>
          <w:sz w:val="22"/>
          <w:szCs w:val="22"/>
        </w:rPr>
        <w:tab/>
        <w:t>Clear accountability</w:t>
      </w:r>
    </w:p>
    <w:p w14:paraId="031DD9DE" w14:textId="77777777" w:rsidR="000A5373" w:rsidRPr="006A05DE" w:rsidRDefault="000A5373" w:rsidP="006A05DE">
      <w:pPr>
        <w:spacing w:line="360" w:lineRule="auto"/>
        <w:rPr>
          <w:rFonts w:ascii="Arial" w:hAnsi="Arial" w:cs="Arial"/>
          <w:sz w:val="22"/>
          <w:szCs w:val="22"/>
        </w:rPr>
      </w:pPr>
      <w:r w:rsidRPr="006A05DE">
        <w:rPr>
          <w:rFonts w:ascii="Arial" w:hAnsi="Arial" w:cs="Arial"/>
          <w:sz w:val="22"/>
          <w:szCs w:val="22"/>
        </w:rPr>
        <w:t>Disadvantages:</w:t>
      </w:r>
    </w:p>
    <w:p w14:paraId="2B3BBF90" w14:textId="77777777" w:rsidR="000A5373" w:rsidRPr="006A05DE" w:rsidRDefault="000A5373" w:rsidP="006A05DE">
      <w:pPr>
        <w:spacing w:line="360" w:lineRule="auto"/>
        <w:rPr>
          <w:rFonts w:ascii="Arial" w:hAnsi="Arial" w:cs="Arial"/>
          <w:sz w:val="22"/>
          <w:szCs w:val="22"/>
        </w:rPr>
      </w:pPr>
      <w:r w:rsidRPr="006A05DE">
        <w:rPr>
          <w:rFonts w:ascii="Arial" w:hAnsi="Arial" w:cs="Arial"/>
          <w:sz w:val="22"/>
          <w:szCs w:val="22"/>
        </w:rPr>
        <w:t>•</w:t>
      </w:r>
      <w:r w:rsidRPr="006A05DE">
        <w:rPr>
          <w:rFonts w:ascii="Arial" w:hAnsi="Arial" w:cs="Arial"/>
          <w:sz w:val="22"/>
          <w:szCs w:val="22"/>
        </w:rPr>
        <w:tab/>
        <w:t>Delays in urgent situations</w:t>
      </w:r>
    </w:p>
    <w:p w14:paraId="2E30CDB5" w14:textId="77777777" w:rsidR="000A5373" w:rsidRPr="006A05DE" w:rsidRDefault="000A5373" w:rsidP="006A05DE">
      <w:pPr>
        <w:spacing w:line="360" w:lineRule="auto"/>
        <w:rPr>
          <w:rFonts w:ascii="Arial" w:hAnsi="Arial" w:cs="Arial"/>
          <w:sz w:val="22"/>
          <w:szCs w:val="22"/>
        </w:rPr>
      </w:pPr>
      <w:r w:rsidRPr="006A05DE">
        <w:rPr>
          <w:rFonts w:ascii="Arial" w:hAnsi="Arial" w:cs="Arial"/>
          <w:sz w:val="22"/>
          <w:szCs w:val="22"/>
        </w:rPr>
        <w:t>•</w:t>
      </w:r>
      <w:r w:rsidRPr="006A05DE">
        <w:rPr>
          <w:rFonts w:ascii="Arial" w:hAnsi="Arial" w:cs="Arial"/>
          <w:sz w:val="22"/>
          <w:szCs w:val="22"/>
        </w:rPr>
        <w:tab/>
        <w:t>Reduced staff autonomy</w:t>
      </w:r>
    </w:p>
    <w:p w14:paraId="08B3EB54" w14:textId="77777777" w:rsidR="00CB5F1A" w:rsidRDefault="00CB5F1A" w:rsidP="006A05DE">
      <w:pPr>
        <w:spacing w:line="360" w:lineRule="auto"/>
        <w:rPr>
          <w:rFonts w:ascii="Arial" w:hAnsi="Arial" w:cs="Arial"/>
          <w:b/>
          <w:bCs/>
          <w:sz w:val="22"/>
          <w:szCs w:val="22"/>
        </w:rPr>
      </w:pPr>
    </w:p>
    <w:p w14:paraId="3E675C78" w14:textId="1F51303A" w:rsidR="000A5373" w:rsidRPr="006A05DE" w:rsidRDefault="000A5373" w:rsidP="006A05DE">
      <w:pPr>
        <w:spacing w:line="360" w:lineRule="auto"/>
        <w:rPr>
          <w:rFonts w:ascii="Arial" w:hAnsi="Arial" w:cs="Arial"/>
          <w:b/>
          <w:bCs/>
          <w:sz w:val="22"/>
          <w:szCs w:val="22"/>
        </w:rPr>
      </w:pPr>
      <w:r w:rsidRPr="006A05DE">
        <w:rPr>
          <w:rFonts w:ascii="Arial" w:hAnsi="Arial" w:cs="Arial"/>
          <w:b/>
          <w:bCs/>
          <w:sz w:val="22"/>
          <w:szCs w:val="22"/>
        </w:rPr>
        <w:t>Decentralisation Failure</w:t>
      </w:r>
      <w:r w:rsidR="003863BD" w:rsidRPr="006A05DE">
        <w:rPr>
          <w:rFonts w:ascii="Arial" w:hAnsi="Arial" w:cs="Arial"/>
          <w:b/>
          <w:bCs/>
          <w:sz w:val="22"/>
          <w:szCs w:val="22"/>
        </w:rPr>
        <w:t xml:space="preserve"> - </w:t>
      </w:r>
      <w:r w:rsidRPr="006A05DE">
        <w:rPr>
          <w:rFonts w:ascii="Arial" w:hAnsi="Arial" w:cs="Arial"/>
          <w:sz w:val="22"/>
          <w:szCs w:val="22"/>
        </w:rPr>
        <w:t>At the same time, decentralised processes were weak or unclear. Frontline staff lacked defined authority and clear escalation protocols. This resulted in uncertainty about responsibilities and delayed decision-making.</w:t>
      </w:r>
    </w:p>
    <w:p w14:paraId="75B84F50" w14:textId="79791F85" w:rsidR="00CB5F1A" w:rsidRPr="006A05DE" w:rsidRDefault="000A5373" w:rsidP="006A05DE">
      <w:pPr>
        <w:spacing w:line="360" w:lineRule="auto"/>
        <w:rPr>
          <w:rFonts w:ascii="Arial" w:hAnsi="Arial" w:cs="Arial"/>
          <w:sz w:val="22"/>
          <w:szCs w:val="22"/>
        </w:rPr>
      </w:pPr>
      <w:r w:rsidRPr="006A05DE">
        <w:rPr>
          <w:rFonts w:ascii="Arial" w:hAnsi="Arial" w:cs="Arial"/>
          <w:sz w:val="22"/>
          <w:szCs w:val="22"/>
        </w:rPr>
        <w:t>Decentralised systems distribute authority to frontline staff (Marquis and Huston, 2021).</w:t>
      </w:r>
      <w:r w:rsidR="006A05DE">
        <w:rPr>
          <w:rFonts w:ascii="Arial" w:hAnsi="Arial" w:cs="Arial"/>
          <w:sz w:val="22"/>
          <w:szCs w:val="22"/>
        </w:rPr>
        <w:t xml:space="preserve"> </w:t>
      </w:r>
    </w:p>
    <w:p w14:paraId="4AB1DA3A" w14:textId="77777777" w:rsidR="000A5373" w:rsidRPr="006A05DE" w:rsidRDefault="000A5373" w:rsidP="006A05DE">
      <w:pPr>
        <w:spacing w:line="360" w:lineRule="auto"/>
        <w:rPr>
          <w:rFonts w:ascii="Arial" w:hAnsi="Arial" w:cs="Arial"/>
          <w:b/>
          <w:bCs/>
          <w:sz w:val="22"/>
          <w:szCs w:val="22"/>
        </w:rPr>
      </w:pPr>
      <w:r w:rsidRPr="006A05DE">
        <w:rPr>
          <w:rFonts w:ascii="Arial" w:hAnsi="Arial" w:cs="Arial"/>
          <w:b/>
          <w:bCs/>
          <w:sz w:val="22"/>
          <w:szCs w:val="22"/>
        </w:rPr>
        <w:t>Advantages:</w:t>
      </w:r>
    </w:p>
    <w:p w14:paraId="240DBBB6" w14:textId="77777777" w:rsidR="000A5373" w:rsidRPr="006A05DE" w:rsidRDefault="000A5373" w:rsidP="006A05DE">
      <w:pPr>
        <w:spacing w:line="360" w:lineRule="auto"/>
        <w:rPr>
          <w:rFonts w:ascii="Arial" w:hAnsi="Arial" w:cs="Arial"/>
          <w:sz w:val="22"/>
          <w:szCs w:val="22"/>
        </w:rPr>
      </w:pPr>
      <w:r w:rsidRPr="006A05DE">
        <w:rPr>
          <w:rFonts w:ascii="Arial" w:hAnsi="Arial" w:cs="Arial"/>
          <w:sz w:val="22"/>
          <w:szCs w:val="22"/>
        </w:rPr>
        <w:t>•</w:t>
      </w:r>
      <w:r w:rsidRPr="006A05DE">
        <w:rPr>
          <w:rFonts w:ascii="Arial" w:hAnsi="Arial" w:cs="Arial"/>
          <w:sz w:val="22"/>
          <w:szCs w:val="22"/>
        </w:rPr>
        <w:tab/>
        <w:t>Faster decision-making</w:t>
      </w:r>
    </w:p>
    <w:p w14:paraId="3DE70A63" w14:textId="77777777" w:rsidR="000A5373" w:rsidRPr="006A05DE" w:rsidRDefault="000A5373" w:rsidP="006A05DE">
      <w:pPr>
        <w:spacing w:line="360" w:lineRule="auto"/>
        <w:rPr>
          <w:rFonts w:ascii="Arial" w:hAnsi="Arial" w:cs="Arial"/>
          <w:sz w:val="22"/>
          <w:szCs w:val="22"/>
        </w:rPr>
      </w:pPr>
      <w:r w:rsidRPr="006A05DE">
        <w:rPr>
          <w:rFonts w:ascii="Arial" w:hAnsi="Arial" w:cs="Arial"/>
          <w:sz w:val="22"/>
          <w:szCs w:val="22"/>
        </w:rPr>
        <w:t>•</w:t>
      </w:r>
      <w:r w:rsidRPr="006A05DE">
        <w:rPr>
          <w:rFonts w:ascii="Arial" w:hAnsi="Arial" w:cs="Arial"/>
          <w:sz w:val="22"/>
          <w:szCs w:val="22"/>
        </w:rPr>
        <w:tab/>
        <w:t>Increased staff engagement</w:t>
      </w:r>
    </w:p>
    <w:p w14:paraId="63864690" w14:textId="77777777" w:rsidR="000A5373" w:rsidRPr="006A05DE" w:rsidRDefault="000A5373" w:rsidP="006A05DE">
      <w:pPr>
        <w:spacing w:line="360" w:lineRule="auto"/>
        <w:rPr>
          <w:rFonts w:ascii="Arial" w:hAnsi="Arial" w:cs="Arial"/>
          <w:b/>
          <w:bCs/>
          <w:sz w:val="22"/>
          <w:szCs w:val="22"/>
        </w:rPr>
      </w:pPr>
      <w:r w:rsidRPr="006A05DE">
        <w:rPr>
          <w:rFonts w:ascii="Arial" w:hAnsi="Arial" w:cs="Arial"/>
          <w:b/>
          <w:bCs/>
          <w:sz w:val="22"/>
          <w:szCs w:val="22"/>
        </w:rPr>
        <w:t>Disadvantages:</w:t>
      </w:r>
    </w:p>
    <w:p w14:paraId="314DF0E8" w14:textId="77777777" w:rsidR="000A5373" w:rsidRPr="006A05DE" w:rsidRDefault="000A5373" w:rsidP="006A05DE">
      <w:pPr>
        <w:spacing w:line="360" w:lineRule="auto"/>
        <w:rPr>
          <w:rFonts w:ascii="Arial" w:hAnsi="Arial" w:cs="Arial"/>
          <w:sz w:val="22"/>
          <w:szCs w:val="22"/>
        </w:rPr>
      </w:pPr>
      <w:r w:rsidRPr="006A05DE">
        <w:rPr>
          <w:rFonts w:ascii="Arial" w:hAnsi="Arial" w:cs="Arial"/>
          <w:sz w:val="22"/>
          <w:szCs w:val="22"/>
        </w:rPr>
        <w:t>•</w:t>
      </w:r>
      <w:r w:rsidRPr="006A05DE">
        <w:rPr>
          <w:rFonts w:ascii="Arial" w:hAnsi="Arial" w:cs="Arial"/>
          <w:sz w:val="22"/>
          <w:szCs w:val="22"/>
        </w:rPr>
        <w:tab/>
        <w:t>Risk of inconsistency</w:t>
      </w:r>
    </w:p>
    <w:p w14:paraId="161FD205" w14:textId="77777777" w:rsidR="000A5373" w:rsidRPr="006A05DE" w:rsidRDefault="000A5373" w:rsidP="006A05DE">
      <w:pPr>
        <w:spacing w:line="360" w:lineRule="auto"/>
        <w:rPr>
          <w:rFonts w:ascii="Arial" w:hAnsi="Arial" w:cs="Arial"/>
          <w:sz w:val="22"/>
          <w:szCs w:val="22"/>
        </w:rPr>
      </w:pPr>
      <w:r w:rsidRPr="006A05DE">
        <w:rPr>
          <w:rFonts w:ascii="Arial" w:hAnsi="Arial" w:cs="Arial"/>
          <w:sz w:val="22"/>
          <w:szCs w:val="22"/>
        </w:rPr>
        <w:t>•</w:t>
      </w:r>
      <w:r w:rsidRPr="006A05DE">
        <w:rPr>
          <w:rFonts w:ascii="Arial" w:hAnsi="Arial" w:cs="Arial"/>
          <w:sz w:val="22"/>
          <w:szCs w:val="22"/>
        </w:rPr>
        <w:tab/>
        <w:t>Requires strong governance</w:t>
      </w:r>
    </w:p>
    <w:p w14:paraId="222C56DF" w14:textId="77777777" w:rsidR="000A5373" w:rsidRPr="006A05DE" w:rsidRDefault="000A5373" w:rsidP="006A05DE">
      <w:pPr>
        <w:spacing w:line="360" w:lineRule="auto"/>
        <w:rPr>
          <w:rFonts w:ascii="Arial" w:hAnsi="Arial" w:cs="Arial"/>
          <w:sz w:val="22"/>
          <w:szCs w:val="22"/>
        </w:rPr>
      </w:pPr>
    </w:p>
    <w:p w14:paraId="5DC8C635" w14:textId="77777777" w:rsidR="000A5373" w:rsidRPr="006A05DE" w:rsidRDefault="000A5373" w:rsidP="006A05DE">
      <w:pPr>
        <w:spacing w:line="360" w:lineRule="auto"/>
        <w:rPr>
          <w:rFonts w:ascii="Arial" w:hAnsi="Arial" w:cs="Arial"/>
          <w:b/>
          <w:bCs/>
          <w:sz w:val="22"/>
          <w:szCs w:val="22"/>
        </w:rPr>
      </w:pPr>
      <w:r w:rsidRPr="006A05DE">
        <w:rPr>
          <w:rFonts w:ascii="Arial" w:hAnsi="Arial" w:cs="Arial"/>
          <w:b/>
          <w:bCs/>
          <w:sz w:val="22"/>
          <w:szCs w:val="22"/>
        </w:rPr>
        <w:t>Critical Analysis</w:t>
      </w:r>
    </w:p>
    <w:p w14:paraId="7A68C886" w14:textId="77777777" w:rsidR="000A5373" w:rsidRPr="006A05DE" w:rsidRDefault="000A5373" w:rsidP="006A05DE">
      <w:pPr>
        <w:spacing w:line="360" w:lineRule="auto"/>
        <w:rPr>
          <w:rFonts w:ascii="Arial" w:hAnsi="Arial" w:cs="Arial"/>
          <w:sz w:val="22"/>
          <w:szCs w:val="22"/>
        </w:rPr>
      </w:pPr>
      <w:r w:rsidRPr="006A05DE">
        <w:rPr>
          <w:rFonts w:ascii="Arial" w:hAnsi="Arial" w:cs="Arial"/>
          <w:sz w:val="22"/>
          <w:szCs w:val="22"/>
        </w:rPr>
        <w:t>The Lewis Blackman case demonstrates failure in both systems:</w:t>
      </w:r>
    </w:p>
    <w:p w14:paraId="20E1C4C0" w14:textId="77777777" w:rsidR="000A5373" w:rsidRPr="006A05DE" w:rsidRDefault="000A5373" w:rsidP="006A05DE">
      <w:pPr>
        <w:spacing w:line="360" w:lineRule="auto"/>
        <w:rPr>
          <w:rFonts w:ascii="Arial" w:hAnsi="Arial" w:cs="Arial"/>
          <w:sz w:val="22"/>
          <w:szCs w:val="22"/>
        </w:rPr>
      </w:pPr>
      <w:r w:rsidRPr="006A05DE">
        <w:rPr>
          <w:rFonts w:ascii="Arial" w:hAnsi="Arial" w:cs="Arial"/>
          <w:sz w:val="22"/>
          <w:szCs w:val="22"/>
        </w:rPr>
        <w:t>•</w:t>
      </w:r>
      <w:r w:rsidRPr="006A05DE">
        <w:rPr>
          <w:rFonts w:ascii="Arial" w:hAnsi="Arial" w:cs="Arial"/>
          <w:sz w:val="22"/>
          <w:szCs w:val="22"/>
        </w:rPr>
        <w:tab/>
        <w:t>Centralisation limited escalation</w:t>
      </w:r>
    </w:p>
    <w:p w14:paraId="1045CE33" w14:textId="77777777" w:rsidR="000A5373" w:rsidRDefault="000A5373" w:rsidP="006A05DE">
      <w:pPr>
        <w:spacing w:line="360" w:lineRule="auto"/>
        <w:rPr>
          <w:rFonts w:ascii="Arial" w:hAnsi="Arial" w:cs="Arial"/>
          <w:sz w:val="22"/>
          <w:szCs w:val="22"/>
        </w:rPr>
      </w:pPr>
      <w:r w:rsidRPr="006A05DE">
        <w:rPr>
          <w:rFonts w:ascii="Arial" w:hAnsi="Arial" w:cs="Arial"/>
          <w:sz w:val="22"/>
          <w:szCs w:val="22"/>
        </w:rPr>
        <w:t>•</w:t>
      </w:r>
      <w:r w:rsidRPr="006A05DE">
        <w:rPr>
          <w:rFonts w:ascii="Arial" w:hAnsi="Arial" w:cs="Arial"/>
          <w:sz w:val="22"/>
          <w:szCs w:val="22"/>
        </w:rPr>
        <w:tab/>
        <w:t>Decentralisation lacked clarity and accountability</w:t>
      </w:r>
    </w:p>
    <w:p w14:paraId="4F87BFC9" w14:textId="77777777" w:rsidR="00612E7F" w:rsidRPr="006A05DE" w:rsidRDefault="00612E7F" w:rsidP="006A05DE">
      <w:pPr>
        <w:spacing w:line="360" w:lineRule="auto"/>
        <w:rPr>
          <w:rFonts w:ascii="Arial" w:hAnsi="Arial" w:cs="Arial"/>
          <w:sz w:val="22"/>
          <w:szCs w:val="22"/>
        </w:rPr>
      </w:pPr>
    </w:p>
    <w:p w14:paraId="75D9D12E" w14:textId="12CCBC97" w:rsidR="00BB69F8" w:rsidRPr="00BB69F8" w:rsidRDefault="00BB69F8" w:rsidP="00BB69F8">
      <w:pPr>
        <w:spacing w:line="360" w:lineRule="auto"/>
        <w:rPr>
          <w:rFonts w:ascii="Arial" w:hAnsi="Arial" w:cs="Arial"/>
          <w:sz w:val="22"/>
          <w:szCs w:val="22"/>
        </w:rPr>
      </w:pPr>
      <w:r w:rsidRPr="00BB69F8">
        <w:rPr>
          <w:rFonts w:ascii="Arial" w:hAnsi="Arial" w:cs="Arial"/>
          <w:sz w:val="22"/>
          <w:szCs w:val="22"/>
        </w:rPr>
        <w:t>The combination of centralised authority and weak decentralised processes created a significant governance gap within the organisation. Leadership failed to achieve an effective balance between maintaining control and empowering frontline staff, which is essential in complex healthcare environments (Mintzberg, 1983; Braithwaite et al., 2017).</w:t>
      </w:r>
    </w:p>
    <w:p w14:paraId="403AD49C" w14:textId="77777777" w:rsidR="00BB69F8" w:rsidRPr="00BB69F8" w:rsidRDefault="00BB69F8" w:rsidP="00BB69F8">
      <w:pPr>
        <w:spacing w:line="360" w:lineRule="auto"/>
        <w:rPr>
          <w:rFonts w:ascii="Arial" w:hAnsi="Arial" w:cs="Arial"/>
          <w:sz w:val="22"/>
          <w:szCs w:val="22"/>
        </w:rPr>
      </w:pPr>
      <w:r w:rsidRPr="00BB69F8">
        <w:rPr>
          <w:rFonts w:ascii="Arial" w:hAnsi="Arial" w:cs="Arial"/>
          <w:sz w:val="22"/>
          <w:szCs w:val="22"/>
        </w:rPr>
        <w:lastRenderedPageBreak/>
        <w:t>While centralisation ensured that authority remained with senior clinicians, the absence of strong decentralised mechanisms meant that junior staff lacked the clarity, confidence, and authority needed to act promptly. According to McGregor’s Theory Y, effective organisations operate on the assumption that employees are capable, responsible, and willing to contribute to decision-making when appropriately supported (McGregor, 1960; Yukl, 2013).</w:t>
      </w:r>
    </w:p>
    <w:p w14:paraId="2BFB4B1A" w14:textId="77777777" w:rsidR="00BB69F8" w:rsidRPr="00BB69F8" w:rsidRDefault="00BB69F8" w:rsidP="00BB69F8">
      <w:pPr>
        <w:spacing w:line="360" w:lineRule="auto"/>
        <w:rPr>
          <w:rFonts w:ascii="Arial" w:hAnsi="Arial" w:cs="Arial"/>
          <w:sz w:val="22"/>
          <w:szCs w:val="22"/>
        </w:rPr>
      </w:pPr>
    </w:p>
    <w:p w14:paraId="6C31D65C" w14:textId="32A57799" w:rsidR="00BB69F8" w:rsidRDefault="00BB69F8" w:rsidP="00BB69F8">
      <w:pPr>
        <w:spacing w:line="360" w:lineRule="auto"/>
        <w:rPr>
          <w:rFonts w:ascii="Arial" w:hAnsi="Arial" w:cs="Arial"/>
          <w:sz w:val="22"/>
          <w:szCs w:val="22"/>
        </w:rPr>
      </w:pPr>
      <w:r w:rsidRPr="00BB69F8">
        <w:rPr>
          <w:rFonts w:ascii="Arial" w:hAnsi="Arial" w:cs="Arial"/>
          <w:sz w:val="22"/>
          <w:szCs w:val="22"/>
        </w:rPr>
        <w:t>However, in this case, Theory X assumptions appeared to dominate, resulting in a culture where staff were expected to follow instructions rather than exercise professional judgement. This significantly limited staff autonomy and reduced the likelihood of timely escalation (McGregor, 1960; Edmondson, 2018).</w:t>
      </w:r>
    </w:p>
    <w:p w14:paraId="313AFC25" w14:textId="77777777" w:rsidR="00944CBF" w:rsidRPr="00BB69F8" w:rsidRDefault="00944CBF" w:rsidP="00BB69F8">
      <w:pPr>
        <w:spacing w:line="360" w:lineRule="auto"/>
        <w:rPr>
          <w:rFonts w:ascii="Arial" w:hAnsi="Arial" w:cs="Arial"/>
          <w:sz w:val="22"/>
          <w:szCs w:val="22"/>
        </w:rPr>
      </w:pPr>
    </w:p>
    <w:p w14:paraId="7A2CD4C5" w14:textId="6E47A55C" w:rsidR="00BB69F8" w:rsidRPr="00DC1CC0" w:rsidRDefault="00BB69F8" w:rsidP="00BB69F8">
      <w:pPr>
        <w:spacing w:line="360" w:lineRule="auto"/>
        <w:rPr>
          <w:rFonts w:ascii="Arial" w:hAnsi="Arial" w:cs="Arial"/>
          <w:sz w:val="22"/>
          <w:szCs w:val="22"/>
        </w:rPr>
      </w:pPr>
      <w:r w:rsidRPr="00BB69F8">
        <w:rPr>
          <w:rFonts w:ascii="Arial" w:hAnsi="Arial" w:cs="Arial"/>
          <w:sz w:val="22"/>
          <w:szCs w:val="22"/>
        </w:rPr>
        <w:t>Evidence suggests that organisations with well-balanced governance structures achieve better patient safety outcomes. For example, hospitals with strong clinical governance frameworks, clear accountability, and effective communication systems can reduce adverse events by up to 50% (Braithwaite et al., 2017; WHO, 2019).</w:t>
      </w:r>
      <w:r w:rsidR="00E2265F">
        <w:rPr>
          <w:rFonts w:ascii="Arial" w:hAnsi="Arial" w:cs="Arial"/>
          <w:sz w:val="22"/>
          <w:szCs w:val="22"/>
        </w:rPr>
        <w:t xml:space="preserve"> </w:t>
      </w:r>
      <w:r w:rsidRPr="00BB69F8">
        <w:rPr>
          <w:rFonts w:ascii="Arial" w:hAnsi="Arial" w:cs="Arial"/>
          <w:sz w:val="22"/>
          <w:szCs w:val="22"/>
        </w:rPr>
        <w:t xml:space="preserve">Behavioural leadership theory further reinforces this by emphasising that effective leadership requires a balance between structure and flexibility. Leaders must provide clear guidance and oversight while also encouraging open communication, staff participation, and initiative to ensure safe and </w:t>
      </w:r>
      <w:r w:rsidRPr="00DC1CC0">
        <w:rPr>
          <w:rFonts w:ascii="Arial" w:hAnsi="Arial" w:cs="Arial"/>
          <w:sz w:val="22"/>
          <w:szCs w:val="22"/>
        </w:rPr>
        <w:t>responsive care delivery (Yukl, 2013; West et al., 2018).</w:t>
      </w:r>
      <w:r w:rsidR="00E2265F" w:rsidRPr="00DC1CC0">
        <w:rPr>
          <w:rFonts w:ascii="Arial" w:hAnsi="Arial" w:cs="Arial"/>
          <w:sz w:val="22"/>
          <w:szCs w:val="22"/>
        </w:rPr>
        <w:t xml:space="preserve"> </w:t>
      </w:r>
    </w:p>
    <w:p w14:paraId="385F3655" w14:textId="237196CE" w:rsidR="00DC1CC0" w:rsidRDefault="00DC1CC0" w:rsidP="00744291">
      <w:pPr>
        <w:pStyle w:val="Heading1"/>
        <w:rPr>
          <w:b/>
          <w:bCs/>
          <w:color w:val="auto"/>
          <w:sz w:val="24"/>
          <w:szCs w:val="24"/>
        </w:rPr>
      </w:pPr>
      <w:bookmarkStart w:id="9" w:name="_Toc225334442"/>
      <w:r w:rsidRPr="00DC1CC0">
        <w:rPr>
          <w:color w:val="auto"/>
          <w:sz w:val="24"/>
          <w:szCs w:val="24"/>
        </w:rPr>
        <w:t>Patient safety frameworks emphasise the importance of structured governance systems and accountability mechanisms. Wachter (2012) argues that improving patient safety requires both technological solutions and cultural change within organisations. Strong governance ensures that risks are identified, monitored, and addressed systematically</w:t>
      </w:r>
      <w:r w:rsidRPr="00DC1CC0">
        <w:rPr>
          <w:b/>
          <w:bCs/>
          <w:color w:val="auto"/>
          <w:sz w:val="24"/>
          <w:szCs w:val="24"/>
        </w:rPr>
        <w:t>.</w:t>
      </w:r>
    </w:p>
    <w:p w14:paraId="5F23B6E6" w14:textId="1D3C9650" w:rsidR="00650860" w:rsidRPr="00744291" w:rsidRDefault="00650860" w:rsidP="00744291">
      <w:pPr>
        <w:pStyle w:val="Heading1"/>
        <w:rPr>
          <w:b/>
          <w:bCs/>
          <w:color w:val="auto"/>
          <w:sz w:val="24"/>
          <w:szCs w:val="24"/>
        </w:rPr>
      </w:pPr>
      <w:r w:rsidRPr="00744291">
        <w:rPr>
          <w:b/>
          <w:bCs/>
          <w:color w:val="auto"/>
          <w:sz w:val="24"/>
          <w:szCs w:val="24"/>
        </w:rPr>
        <w:t>Leadership Theory Application</w:t>
      </w:r>
      <w:bookmarkEnd w:id="9"/>
    </w:p>
    <w:p w14:paraId="01775023" w14:textId="1DC5A63D" w:rsidR="00571461" w:rsidRPr="00571461" w:rsidRDefault="00571461" w:rsidP="00571461">
      <w:pPr>
        <w:spacing w:line="360" w:lineRule="auto"/>
        <w:rPr>
          <w:rFonts w:ascii="Arial" w:hAnsi="Arial" w:cs="Arial"/>
          <w:sz w:val="22"/>
          <w:szCs w:val="22"/>
        </w:rPr>
      </w:pPr>
      <w:r w:rsidRPr="00571461">
        <w:rPr>
          <w:rFonts w:ascii="Arial" w:hAnsi="Arial" w:cs="Arial"/>
          <w:sz w:val="22"/>
          <w:szCs w:val="22"/>
        </w:rPr>
        <w:t>Leadership played a central role in shaping organisational culture and influencing decision-making in the Lewis Blackman case. The behaviours, assumptions, and structures established by leadership significantly affected communication patterns, staff confidence, and the ability to escalate concerns (Yukl, 2013; Senge, 2006).</w:t>
      </w:r>
    </w:p>
    <w:p w14:paraId="094E547B" w14:textId="77777777" w:rsidR="00571461" w:rsidRPr="00571461" w:rsidRDefault="00571461" w:rsidP="00571461">
      <w:pPr>
        <w:spacing w:line="360" w:lineRule="auto"/>
        <w:rPr>
          <w:rFonts w:ascii="Arial" w:hAnsi="Arial" w:cs="Arial"/>
          <w:sz w:val="22"/>
          <w:szCs w:val="22"/>
        </w:rPr>
      </w:pPr>
      <w:r w:rsidRPr="00571461">
        <w:rPr>
          <w:rFonts w:ascii="Arial" w:hAnsi="Arial" w:cs="Arial"/>
          <w:sz w:val="22"/>
          <w:szCs w:val="22"/>
        </w:rPr>
        <w:t>The leadership continuum developed by Robert Tannenbaum and Warren H. Schmidt (1973) describes leadership styles ranging from autocratic to democratic. In this case, leadership was predominantly positioned towards the autocratic end of the continuum (Tannenbaum and Schmidt, 1973; Goleman, 2000).</w:t>
      </w:r>
    </w:p>
    <w:p w14:paraId="72BE3A53" w14:textId="09472475" w:rsidR="00571461" w:rsidRPr="00571461" w:rsidRDefault="00571461" w:rsidP="00571461">
      <w:pPr>
        <w:spacing w:line="360" w:lineRule="auto"/>
        <w:rPr>
          <w:rFonts w:ascii="Arial" w:hAnsi="Arial" w:cs="Arial"/>
          <w:sz w:val="22"/>
          <w:szCs w:val="22"/>
        </w:rPr>
      </w:pPr>
      <w:r w:rsidRPr="00571461">
        <w:rPr>
          <w:rFonts w:ascii="Arial" w:hAnsi="Arial" w:cs="Arial"/>
          <w:sz w:val="22"/>
          <w:szCs w:val="22"/>
        </w:rPr>
        <w:lastRenderedPageBreak/>
        <w:t>Decision-making authority was concentrated among senior physicians, and junior staff had limited opportunity to contribute to clinical decisions. While autocratic leadership may be effective in time-critical emergency situations where rapid decisions are required, it can be detrimental in complex healthcare environments that depend on teamwork and communication (Goleman, 2000; West et al., 2015).</w:t>
      </w:r>
    </w:p>
    <w:p w14:paraId="06D07DF0" w14:textId="77777777" w:rsidR="00571461" w:rsidRPr="00571461" w:rsidRDefault="00571461" w:rsidP="00571461">
      <w:pPr>
        <w:spacing w:line="360" w:lineRule="auto"/>
        <w:rPr>
          <w:rFonts w:ascii="Arial" w:hAnsi="Arial" w:cs="Arial"/>
          <w:sz w:val="22"/>
          <w:szCs w:val="22"/>
        </w:rPr>
      </w:pPr>
      <w:r w:rsidRPr="00571461">
        <w:rPr>
          <w:rFonts w:ascii="Arial" w:hAnsi="Arial" w:cs="Arial"/>
          <w:sz w:val="22"/>
          <w:szCs w:val="22"/>
        </w:rPr>
        <w:t>The lack of participation limited information sharing and reduced the likelihood that concerns about the patient’s deteriorating condition would be raised and acted upon. A more democratic leadership approach could have encouraged open dialogue, enabling staff to contribute insights and escalate concerns more effectively (Edmondson, 2018; Cummings et al., 2018).</w:t>
      </w:r>
    </w:p>
    <w:p w14:paraId="077C165D" w14:textId="77777777" w:rsidR="00571461" w:rsidRPr="00571461" w:rsidRDefault="00571461" w:rsidP="00571461">
      <w:pPr>
        <w:spacing w:line="360" w:lineRule="auto"/>
        <w:rPr>
          <w:rFonts w:ascii="Arial" w:hAnsi="Arial" w:cs="Arial"/>
          <w:sz w:val="22"/>
          <w:szCs w:val="22"/>
        </w:rPr>
      </w:pPr>
    </w:p>
    <w:p w14:paraId="5081636A" w14:textId="4BDC696C" w:rsidR="00571461" w:rsidRDefault="00571461" w:rsidP="00571461">
      <w:pPr>
        <w:spacing w:line="360" w:lineRule="auto"/>
        <w:rPr>
          <w:rFonts w:ascii="Arial" w:hAnsi="Arial" w:cs="Arial"/>
          <w:sz w:val="22"/>
          <w:szCs w:val="22"/>
        </w:rPr>
      </w:pPr>
      <w:r w:rsidRPr="00571461">
        <w:rPr>
          <w:rFonts w:ascii="Arial" w:hAnsi="Arial" w:cs="Arial"/>
          <w:sz w:val="22"/>
          <w:szCs w:val="22"/>
        </w:rPr>
        <w:t>Douglas McGregor’s Theory X and Theory Y further explains how leadership assumptions influenced behaviour in this case. The organisational culture reflected Theory X assumptions, where staff were expected to follow instructions without questioning authority (McGregor, 1960; Yukl, 2013).</w:t>
      </w:r>
    </w:p>
    <w:p w14:paraId="0ECFB539" w14:textId="77777777" w:rsidR="00571461" w:rsidRPr="00571461" w:rsidRDefault="00571461" w:rsidP="00571461">
      <w:pPr>
        <w:spacing w:line="360" w:lineRule="auto"/>
        <w:rPr>
          <w:rFonts w:ascii="Arial" w:hAnsi="Arial" w:cs="Arial"/>
          <w:sz w:val="22"/>
          <w:szCs w:val="22"/>
        </w:rPr>
      </w:pPr>
      <w:r w:rsidRPr="00571461">
        <w:rPr>
          <w:rFonts w:ascii="Arial" w:hAnsi="Arial" w:cs="Arial"/>
          <w:sz w:val="22"/>
          <w:szCs w:val="22"/>
        </w:rPr>
        <w:t>This discouraged initiative and limited critical thinking among nurses and junior doctors. In contrast, Theory Y leadership promotes trust, autonomy, and shared responsibility (McGregor, 1960; Cummings et al., 2018).</w:t>
      </w:r>
    </w:p>
    <w:p w14:paraId="51680BC5" w14:textId="77777777" w:rsidR="00571461" w:rsidRPr="00571461" w:rsidRDefault="00571461" w:rsidP="00571461">
      <w:pPr>
        <w:spacing w:line="360" w:lineRule="auto"/>
        <w:rPr>
          <w:rFonts w:ascii="Arial" w:hAnsi="Arial" w:cs="Arial"/>
          <w:sz w:val="22"/>
          <w:szCs w:val="22"/>
        </w:rPr>
      </w:pPr>
    </w:p>
    <w:p w14:paraId="35281969" w14:textId="3C7DC7C3" w:rsidR="00571461" w:rsidRPr="00571461" w:rsidRDefault="00571461" w:rsidP="00571461">
      <w:pPr>
        <w:spacing w:line="360" w:lineRule="auto"/>
        <w:rPr>
          <w:rFonts w:ascii="Arial" w:hAnsi="Arial" w:cs="Arial"/>
          <w:sz w:val="22"/>
          <w:szCs w:val="22"/>
        </w:rPr>
      </w:pPr>
      <w:r w:rsidRPr="00571461">
        <w:rPr>
          <w:rFonts w:ascii="Arial" w:hAnsi="Arial" w:cs="Arial"/>
          <w:sz w:val="22"/>
          <w:szCs w:val="22"/>
        </w:rPr>
        <w:t>Evidence suggests that empowering healthcare professionals improves both patient safety outcomes and staff engagement. Behavioural leadership theory emphasises that leadership effectiveness is determined by observable actions, such as communication, supervision, and support (Cummings et al., 2018; Yukl, 2013).</w:t>
      </w:r>
    </w:p>
    <w:p w14:paraId="5E639195" w14:textId="77777777" w:rsidR="00571461" w:rsidRPr="00571461" w:rsidRDefault="00571461" w:rsidP="00571461">
      <w:pPr>
        <w:spacing w:line="360" w:lineRule="auto"/>
        <w:rPr>
          <w:rFonts w:ascii="Arial" w:hAnsi="Arial" w:cs="Arial"/>
          <w:sz w:val="22"/>
          <w:szCs w:val="22"/>
        </w:rPr>
      </w:pPr>
      <w:r w:rsidRPr="00571461">
        <w:rPr>
          <w:rFonts w:ascii="Arial" w:hAnsi="Arial" w:cs="Arial"/>
          <w:sz w:val="22"/>
          <w:szCs w:val="22"/>
        </w:rPr>
        <w:t>In this case, leadership behaviours were ineffective, characterised by limited supervision of junior doctors, poor interprofessional communication, and a lack of psychological safety. Research indicates that supportive leadership behaviours can reduce burnout, improve teamwork, and enhance patient outcomes (West et al., 2018; Edmondson, 2018).</w:t>
      </w:r>
    </w:p>
    <w:p w14:paraId="2CD4E310" w14:textId="77777777" w:rsidR="00571461" w:rsidRPr="00571461" w:rsidRDefault="00571461" w:rsidP="00571461">
      <w:pPr>
        <w:spacing w:line="360" w:lineRule="auto"/>
        <w:rPr>
          <w:rFonts w:ascii="Arial" w:hAnsi="Arial" w:cs="Arial"/>
          <w:sz w:val="22"/>
          <w:szCs w:val="22"/>
        </w:rPr>
      </w:pPr>
    </w:p>
    <w:p w14:paraId="402F66DD" w14:textId="473F5EDE" w:rsidR="005D2F93" w:rsidRPr="00944CBF" w:rsidRDefault="00571461" w:rsidP="00944CBF">
      <w:pPr>
        <w:spacing w:line="360" w:lineRule="auto"/>
        <w:rPr>
          <w:rFonts w:ascii="Arial" w:hAnsi="Arial" w:cs="Arial"/>
          <w:sz w:val="22"/>
          <w:szCs w:val="22"/>
        </w:rPr>
      </w:pPr>
      <w:r w:rsidRPr="00571461">
        <w:rPr>
          <w:rFonts w:ascii="Arial" w:hAnsi="Arial" w:cs="Arial"/>
          <w:sz w:val="22"/>
          <w:szCs w:val="22"/>
        </w:rPr>
        <w:t>Therefore, stronger leadership behaviours could have significantly improved communication and prevented delays in care. Effective leadership aligned with collaborative and supportive practices is essential for improving patient safety outcomes (WHO, 2019; Braithwaite et al., 2017).</w:t>
      </w:r>
      <w:bookmarkStart w:id="10" w:name="_Toc225334443"/>
    </w:p>
    <w:p w14:paraId="6B56ED7D" w14:textId="786DD8CE" w:rsidR="00650860" w:rsidRDefault="00650860" w:rsidP="00744291">
      <w:pPr>
        <w:pStyle w:val="Heading1"/>
        <w:rPr>
          <w:b/>
          <w:bCs/>
          <w:color w:val="auto"/>
          <w:sz w:val="24"/>
          <w:szCs w:val="24"/>
        </w:rPr>
      </w:pPr>
      <w:r w:rsidRPr="00744291">
        <w:rPr>
          <w:b/>
          <w:bCs/>
          <w:color w:val="auto"/>
          <w:sz w:val="24"/>
          <w:szCs w:val="24"/>
        </w:rPr>
        <w:lastRenderedPageBreak/>
        <w:t>Critical Evaluation</w:t>
      </w:r>
      <w:bookmarkEnd w:id="10"/>
    </w:p>
    <w:p w14:paraId="411E2DD2" w14:textId="77777777" w:rsidR="007A537A" w:rsidRPr="007A537A" w:rsidRDefault="007A537A" w:rsidP="007A537A"/>
    <w:p w14:paraId="6643E626" w14:textId="77777777" w:rsidR="00117FF0" w:rsidRDefault="00117FF0" w:rsidP="00117FF0">
      <w:pPr>
        <w:spacing w:line="360" w:lineRule="auto"/>
        <w:rPr>
          <w:rFonts w:ascii="Arial" w:hAnsi="Arial" w:cs="Arial"/>
          <w:sz w:val="22"/>
          <w:szCs w:val="22"/>
        </w:rPr>
      </w:pPr>
      <w:r w:rsidRPr="00117FF0">
        <w:rPr>
          <w:rFonts w:ascii="Arial" w:hAnsi="Arial" w:cs="Arial"/>
          <w:sz w:val="22"/>
          <w:szCs w:val="22"/>
        </w:rPr>
        <w:t>The leadership approach demonstrated in this case was not appropriate for the complexity and urgency of the clinical situation. Leadership behaviours were largely reactive rather than proactive, with intervention occurring only after the patient’s condition had significantly deteriorated (WHO, 2019; Yukl, 2013).</w:t>
      </w:r>
    </w:p>
    <w:p w14:paraId="30136EB8" w14:textId="77777777" w:rsidR="00944CBF" w:rsidRDefault="00944CBF" w:rsidP="00117FF0">
      <w:pPr>
        <w:spacing w:line="360" w:lineRule="auto"/>
        <w:rPr>
          <w:rFonts w:ascii="Arial" w:hAnsi="Arial" w:cs="Arial"/>
          <w:sz w:val="22"/>
          <w:szCs w:val="22"/>
        </w:rPr>
      </w:pPr>
    </w:p>
    <w:p w14:paraId="794CE593" w14:textId="5E51FE90" w:rsidR="00117FF0" w:rsidRDefault="00117FF0" w:rsidP="00117FF0">
      <w:pPr>
        <w:spacing w:line="360" w:lineRule="auto"/>
        <w:rPr>
          <w:rFonts w:ascii="Arial" w:hAnsi="Arial" w:cs="Arial"/>
          <w:sz w:val="22"/>
          <w:szCs w:val="22"/>
        </w:rPr>
      </w:pPr>
      <w:r w:rsidRPr="00117FF0">
        <w:rPr>
          <w:rFonts w:ascii="Arial" w:hAnsi="Arial" w:cs="Arial"/>
          <w:sz w:val="22"/>
          <w:szCs w:val="22"/>
        </w:rPr>
        <w:t>This delayed response reflects a lack of anticipatory decision-making, limited situational awareness, and an absence of forward planning. In high-risk healthcare environments, leaders are expected to identify potential risks early, monitor patient conditions continuously, and intervene before complications escalate (Senge, 2006; West et al., 2018).</w:t>
      </w:r>
      <w:r w:rsidR="00A1420F">
        <w:rPr>
          <w:rFonts w:ascii="Arial" w:hAnsi="Arial" w:cs="Arial"/>
          <w:sz w:val="22"/>
          <w:szCs w:val="22"/>
        </w:rPr>
        <w:t xml:space="preserve"> </w:t>
      </w:r>
    </w:p>
    <w:p w14:paraId="20CEB6D6" w14:textId="77777777" w:rsidR="00944CBF" w:rsidRPr="00117FF0" w:rsidRDefault="00944CBF" w:rsidP="00117FF0">
      <w:pPr>
        <w:spacing w:line="360" w:lineRule="auto"/>
        <w:rPr>
          <w:rFonts w:ascii="Arial" w:hAnsi="Arial" w:cs="Arial"/>
          <w:sz w:val="22"/>
          <w:szCs w:val="22"/>
        </w:rPr>
      </w:pPr>
    </w:p>
    <w:p w14:paraId="16103828" w14:textId="77777777" w:rsidR="00117FF0" w:rsidRPr="00117FF0" w:rsidRDefault="00117FF0" w:rsidP="00117FF0">
      <w:pPr>
        <w:spacing w:line="360" w:lineRule="auto"/>
        <w:rPr>
          <w:rFonts w:ascii="Arial" w:hAnsi="Arial" w:cs="Arial"/>
          <w:sz w:val="22"/>
          <w:szCs w:val="22"/>
        </w:rPr>
      </w:pPr>
      <w:r w:rsidRPr="00117FF0">
        <w:rPr>
          <w:rFonts w:ascii="Arial" w:hAnsi="Arial" w:cs="Arial"/>
          <w:sz w:val="22"/>
          <w:szCs w:val="22"/>
        </w:rPr>
        <w:t>However, in this case, leadership failed to recognise early warning signs and did not facilitate timely clinical responses. Evidence from patient safety research indicates that proactive leadership, which emphasises early risk identification, continuous monitoring, and timely intervention, is strongly associated with reduced adverse events and improved patient outcomes (WHO, 2019; Braithwaite et al., 2017).</w:t>
      </w:r>
    </w:p>
    <w:p w14:paraId="074724D6" w14:textId="77777777" w:rsidR="00117FF0" w:rsidRPr="00117FF0" w:rsidRDefault="00117FF0" w:rsidP="00117FF0">
      <w:pPr>
        <w:spacing w:line="360" w:lineRule="auto"/>
        <w:rPr>
          <w:rFonts w:ascii="Arial" w:hAnsi="Arial" w:cs="Arial"/>
          <w:sz w:val="22"/>
          <w:szCs w:val="22"/>
        </w:rPr>
      </w:pPr>
    </w:p>
    <w:p w14:paraId="4F5CD219" w14:textId="77777777" w:rsidR="00117FF0" w:rsidRPr="00117FF0" w:rsidRDefault="00117FF0" w:rsidP="00117FF0">
      <w:pPr>
        <w:spacing w:line="360" w:lineRule="auto"/>
        <w:rPr>
          <w:rFonts w:ascii="Arial" w:hAnsi="Arial" w:cs="Arial"/>
          <w:sz w:val="22"/>
          <w:szCs w:val="22"/>
        </w:rPr>
      </w:pPr>
      <w:r w:rsidRPr="00117FF0">
        <w:rPr>
          <w:rFonts w:ascii="Arial" w:hAnsi="Arial" w:cs="Arial"/>
          <w:sz w:val="22"/>
          <w:szCs w:val="22"/>
        </w:rPr>
        <w:t>Furthermore, the leadership style limited communication and discouraged collaboration among healthcare professionals. The hierarchical and autocratic nature of decision-making created barriers that prevented nurses and junior doctors from expressing concerns or challenging decisions (Tannenbaum and Schmidt, 1973; Edmondson, 2018).</w:t>
      </w:r>
    </w:p>
    <w:p w14:paraId="6EC0263A" w14:textId="77777777" w:rsidR="00117FF0" w:rsidRPr="00117FF0" w:rsidRDefault="00117FF0" w:rsidP="00117FF0">
      <w:pPr>
        <w:spacing w:line="360" w:lineRule="auto"/>
        <w:rPr>
          <w:rFonts w:ascii="Arial" w:hAnsi="Arial" w:cs="Arial"/>
          <w:sz w:val="22"/>
          <w:szCs w:val="22"/>
        </w:rPr>
      </w:pPr>
      <w:r w:rsidRPr="00117FF0">
        <w:rPr>
          <w:rFonts w:ascii="Arial" w:hAnsi="Arial" w:cs="Arial"/>
          <w:sz w:val="22"/>
          <w:szCs w:val="22"/>
        </w:rPr>
        <w:t>A more distributed leadership model, supported by emotional intelligence, could have fostered a culture of psychological safety in which staff felt confident to speak up without fear of criticism or reprisal. Emotional intelligence in leadership also promotes empathy, active listening, and responsiveness, which are essential for effective teamwork (Goleman, 2000; Edmondson, 2018).</w:t>
      </w:r>
    </w:p>
    <w:p w14:paraId="5C87766E" w14:textId="77777777" w:rsidR="00117FF0" w:rsidRPr="00117FF0" w:rsidRDefault="00117FF0" w:rsidP="00117FF0">
      <w:pPr>
        <w:spacing w:line="360" w:lineRule="auto"/>
        <w:rPr>
          <w:rFonts w:ascii="Arial" w:hAnsi="Arial" w:cs="Arial"/>
          <w:sz w:val="22"/>
          <w:szCs w:val="22"/>
        </w:rPr>
      </w:pPr>
    </w:p>
    <w:p w14:paraId="4AF89448" w14:textId="30C47512" w:rsidR="007A537A" w:rsidRDefault="00117FF0" w:rsidP="00944CBF">
      <w:pPr>
        <w:spacing w:line="360" w:lineRule="auto"/>
        <w:rPr>
          <w:rFonts w:ascii="Arial" w:hAnsi="Arial" w:cs="Arial"/>
          <w:sz w:val="22"/>
          <w:szCs w:val="22"/>
        </w:rPr>
      </w:pPr>
      <w:r w:rsidRPr="00117FF0">
        <w:rPr>
          <w:rFonts w:ascii="Arial" w:hAnsi="Arial" w:cs="Arial"/>
          <w:sz w:val="22"/>
          <w:szCs w:val="22"/>
        </w:rPr>
        <w:t>Such an approach would likely have strengthened interprofessional collaboration, improved the quality of clinical decision-making, and enabled earlier escalation of care, ultimately enhancing patient safety outcomes and organisational performance (West et al., 2015; WHO, 2019).</w:t>
      </w:r>
      <w:bookmarkStart w:id="11" w:name="_Toc225334444"/>
    </w:p>
    <w:p w14:paraId="31E94EC9" w14:textId="77777777" w:rsidR="00821B4C" w:rsidRDefault="000A5373" w:rsidP="00744291">
      <w:pPr>
        <w:pStyle w:val="Heading1"/>
        <w:rPr>
          <w:b/>
          <w:bCs/>
          <w:color w:val="auto"/>
          <w:sz w:val="24"/>
          <w:szCs w:val="24"/>
        </w:rPr>
      </w:pPr>
      <w:r w:rsidRPr="00744291">
        <w:rPr>
          <w:b/>
          <w:bCs/>
          <w:color w:val="auto"/>
          <w:sz w:val="24"/>
          <w:szCs w:val="24"/>
        </w:rPr>
        <w:lastRenderedPageBreak/>
        <w:t>Critique,</w:t>
      </w:r>
    </w:p>
    <w:p w14:paraId="6EE1900D" w14:textId="74B5BF4F" w:rsidR="000A5373" w:rsidRPr="00744291" w:rsidRDefault="000A5373" w:rsidP="00744291">
      <w:pPr>
        <w:pStyle w:val="Heading1"/>
        <w:rPr>
          <w:b/>
          <w:bCs/>
          <w:color w:val="auto"/>
          <w:sz w:val="24"/>
          <w:szCs w:val="24"/>
        </w:rPr>
      </w:pPr>
      <w:r w:rsidRPr="00744291">
        <w:rPr>
          <w:b/>
          <w:bCs/>
          <w:color w:val="auto"/>
          <w:sz w:val="24"/>
          <w:szCs w:val="24"/>
        </w:rPr>
        <w:t>Improvements and Lessons Learned</w:t>
      </w:r>
      <w:bookmarkEnd w:id="11"/>
    </w:p>
    <w:p w14:paraId="0628FD6F" w14:textId="01405F49" w:rsidR="009C77F3" w:rsidRDefault="000A5373" w:rsidP="006A05DE">
      <w:pPr>
        <w:spacing w:line="360" w:lineRule="auto"/>
        <w:rPr>
          <w:rFonts w:ascii="Arial" w:hAnsi="Arial" w:cs="Arial"/>
          <w:sz w:val="22"/>
          <w:szCs w:val="22"/>
        </w:rPr>
      </w:pPr>
      <w:r w:rsidRPr="006A05DE">
        <w:rPr>
          <w:rFonts w:ascii="Arial" w:hAnsi="Arial" w:cs="Arial"/>
          <w:sz w:val="22"/>
          <w:szCs w:val="22"/>
        </w:rPr>
        <w:t>The Lewis Blackman case provides important lessons for healthcare organisations.</w:t>
      </w:r>
    </w:p>
    <w:p w14:paraId="11BD1BC6" w14:textId="77777777" w:rsidR="006318BD" w:rsidRPr="006A05DE" w:rsidRDefault="006318BD" w:rsidP="006A05DE">
      <w:pPr>
        <w:spacing w:line="360" w:lineRule="auto"/>
        <w:rPr>
          <w:rFonts w:ascii="Arial" w:hAnsi="Arial" w:cs="Arial"/>
          <w:sz w:val="22"/>
          <w:szCs w:val="22"/>
        </w:rPr>
      </w:pPr>
    </w:p>
    <w:p w14:paraId="31954106" w14:textId="77777777" w:rsidR="003016A8" w:rsidRPr="003016A8" w:rsidRDefault="003016A8" w:rsidP="003016A8">
      <w:pPr>
        <w:spacing w:line="360" w:lineRule="auto"/>
        <w:rPr>
          <w:rFonts w:ascii="Arial" w:hAnsi="Arial" w:cs="Arial"/>
          <w:sz w:val="22"/>
          <w:szCs w:val="22"/>
        </w:rPr>
      </w:pPr>
      <w:r w:rsidRPr="00015926">
        <w:rPr>
          <w:rFonts w:ascii="Arial" w:hAnsi="Arial" w:cs="Arial"/>
          <w:b/>
          <w:bCs/>
          <w:sz w:val="22"/>
          <w:szCs w:val="22"/>
        </w:rPr>
        <w:t>First</w:t>
      </w:r>
      <w:r w:rsidRPr="003016A8">
        <w:rPr>
          <w:rFonts w:ascii="Arial" w:hAnsi="Arial" w:cs="Arial"/>
          <w:sz w:val="22"/>
          <w:szCs w:val="22"/>
        </w:rPr>
        <w:t>, communication failures were a major contributing factor to the outcome. Ineffective communication between nurses and physicians resulted in critical information not being shared or acted upon in a timely manner (WHO, 2019; IHI, 2020).</w:t>
      </w:r>
    </w:p>
    <w:p w14:paraId="1815565A" w14:textId="77777777" w:rsidR="003016A8" w:rsidRPr="003016A8" w:rsidRDefault="003016A8" w:rsidP="003016A8">
      <w:pPr>
        <w:spacing w:line="360" w:lineRule="auto"/>
        <w:rPr>
          <w:rFonts w:ascii="Arial" w:hAnsi="Arial" w:cs="Arial"/>
          <w:sz w:val="22"/>
          <w:szCs w:val="22"/>
        </w:rPr>
      </w:pPr>
      <w:r w:rsidRPr="003016A8">
        <w:rPr>
          <w:rFonts w:ascii="Arial" w:hAnsi="Arial" w:cs="Arial"/>
          <w:sz w:val="22"/>
          <w:szCs w:val="22"/>
        </w:rPr>
        <w:t>The use of structured communication tools, such as SBAR (Situation, Background, Assessment, Recommendation), can significantly improve clarity, consistency, and accuracy in information exchange. The World Health Organization identifies communication breakdowns as one of the leading causes of patient harm, reinforcing the importance of implementing standardised communication practices (WHO, 2019; NHS England, 2022).</w:t>
      </w:r>
    </w:p>
    <w:p w14:paraId="059E834E" w14:textId="77777777" w:rsidR="003016A8" w:rsidRPr="003016A8" w:rsidRDefault="003016A8" w:rsidP="003016A8">
      <w:pPr>
        <w:spacing w:line="360" w:lineRule="auto"/>
        <w:rPr>
          <w:rFonts w:ascii="Arial" w:hAnsi="Arial" w:cs="Arial"/>
          <w:sz w:val="22"/>
          <w:szCs w:val="22"/>
        </w:rPr>
      </w:pPr>
    </w:p>
    <w:p w14:paraId="516A7BBC" w14:textId="272197F7" w:rsidR="00793CD3" w:rsidRDefault="003016A8" w:rsidP="003016A8">
      <w:pPr>
        <w:spacing w:line="360" w:lineRule="auto"/>
        <w:rPr>
          <w:rFonts w:ascii="Arial" w:hAnsi="Arial" w:cs="Arial"/>
          <w:sz w:val="22"/>
          <w:szCs w:val="22"/>
        </w:rPr>
      </w:pPr>
      <w:r w:rsidRPr="003016A8">
        <w:rPr>
          <w:rFonts w:ascii="Arial" w:hAnsi="Arial" w:cs="Arial"/>
          <w:sz w:val="22"/>
          <w:szCs w:val="22"/>
        </w:rPr>
        <w:t xml:space="preserve">• </w:t>
      </w:r>
      <w:r w:rsidRPr="00015926">
        <w:rPr>
          <w:rFonts w:ascii="Arial" w:hAnsi="Arial" w:cs="Arial"/>
          <w:b/>
          <w:bCs/>
          <w:sz w:val="22"/>
          <w:szCs w:val="22"/>
        </w:rPr>
        <w:t>Second</w:t>
      </w:r>
      <w:r w:rsidRPr="003016A8">
        <w:rPr>
          <w:rFonts w:ascii="Arial" w:hAnsi="Arial" w:cs="Arial"/>
          <w:sz w:val="22"/>
          <w:szCs w:val="22"/>
        </w:rPr>
        <w:t>, escalation processes were inadequate and unclear. Staff were uncertain about when and how to escalate concerns, which contributed to delays in intervention (Institute of Medicine, 2000; NHS England, 2022).</w:t>
      </w:r>
      <w:r>
        <w:rPr>
          <w:rFonts w:ascii="Arial" w:hAnsi="Arial" w:cs="Arial"/>
          <w:sz w:val="22"/>
          <w:szCs w:val="22"/>
        </w:rPr>
        <w:t xml:space="preserve"> </w:t>
      </w:r>
      <w:r w:rsidRPr="003016A8">
        <w:rPr>
          <w:rFonts w:ascii="Arial" w:hAnsi="Arial" w:cs="Arial"/>
          <w:sz w:val="22"/>
          <w:szCs w:val="22"/>
        </w:rPr>
        <w:t>The implementation of structured escalation systems, such as rapid response teams, has been shown to significantly reduce hospital mortality rates and improve patient outcomes by ensuring timely clinical intervention (NHS England, 2022; WHO, 2019).</w:t>
      </w:r>
      <w:r>
        <w:rPr>
          <w:rFonts w:ascii="Arial" w:hAnsi="Arial" w:cs="Arial"/>
          <w:sz w:val="22"/>
          <w:szCs w:val="22"/>
        </w:rPr>
        <w:t xml:space="preserve"> </w:t>
      </w:r>
    </w:p>
    <w:p w14:paraId="5DCE16D1" w14:textId="77777777" w:rsidR="00793CD3" w:rsidRPr="003016A8" w:rsidRDefault="00793CD3" w:rsidP="003016A8">
      <w:pPr>
        <w:spacing w:line="360" w:lineRule="auto"/>
        <w:rPr>
          <w:rFonts w:ascii="Arial" w:hAnsi="Arial" w:cs="Arial"/>
          <w:sz w:val="22"/>
          <w:szCs w:val="22"/>
        </w:rPr>
      </w:pPr>
    </w:p>
    <w:p w14:paraId="53873619" w14:textId="0A127FC0" w:rsidR="003016A8" w:rsidRPr="003016A8" w:rsidRDefault="003016A8" w:rsidP="003016A8">
      <w:pPr>
        <w:spacing w:line="360" w:lineRule="auto"/>
        <w:rPr>
          <w:rFonts w:ascii="Arial" w:hAnsi="Arial" w:cs="Arial"/>
          <w:sz w:val="22"/>
          <w:szCs w:val="22"/>
        </w:rPr>
      </w:pPr>
      <w:r w:rsidRPr="003016A8">
        <w:rPr>
          <w:rFonts w:ascii="Arial" w:hAnsi="Arial" w:cs="Arial"/>
          <w:sz w:val="22"/>
          <w:szCs w:val="22"/>
        </w:rPr>
        <w:t xml:space="preserve">• </w:t>
      </w:r>
      <w:r w:rsidRPr="00015926">
        <w:rPr>
          <w:rFonts w:ascii="Arial" w:hAnsi="Arial" w:cs="Arial"/>
          <w:b/>
          <w:bCs/>
          <w:sz w:val="22"/>
          <w:szCs w:val="22"/>
        </w:rPr>
        <w:t>Third</w:t>
      </w:r>
      <w:r w:rsidRPr="003016A8">
        <w:rPr>
          <w:rFonts w:ascii="Arial" w:hAnsi="Arial" w:cs="Arial"/>
          <w:sz w:val="22"/>
          <w:szCs w:val="22"/>
        </w:rPr>
        <w:t>, training and supervision were insufficient. Junior doctors lacked the experience and support required to make critical decisions (West et al., 2015; Cummings et al., 2018).</w:t>
      </w:r>
    </w:p>
    <w:p w14:paraId="70A94C49" w14:textId="6946FFAC" w:rsidR="009C77F3" w:rsidRDefault="003016A8" w:rsidP="00744291">
      <w:pPr>
        <w:spacing w:line="360" w:lineRule="auto"/>
        <w:rPr>
          <w:rFonts w:ascii="Arial" w:hAnsi="Arial" w:cs="Arial"/>
          <w:sz w:val="22"/>
          <w:szCs w:val="22"/>
        </w:rPr>
      </w:pPr>
      <w:r w:rsidRPr="003016A8">
        <w:rPr>
          <w:rFonts w:ascii="Arial" w:hAnsi="Arial" w:cs="Arial"/>
          <w:sz w:val="22"/>
          <w:szCs w:val="22"/>
        </w:rPr>
        <w:t>Providing structured education, ongoing training, and mentorship can enhance clinical competence, improve decision-making, and strengthen patient monitoring practices (West et al., 2015; Yukl, 2013).</w:t>
      </w:r>
    </w:p>
    <w:p w14:paraId="4284F4C5" w14:textId="3104E7CC" w:rsidR="00793CD3" w:rsidRDefault="006E0C52" w:rsidP="00744291">
      <w:pPr>
        <w:spacing w:line="360" w:lineRule="auto"/>
        <w:rPr>
          <w:rFonts w:ascii="Arial" w:hAnsi="Arial" w:cs="Arial"/>
          <w:sz w:val="22"/>
          <w:szCs w:val="22"/>
        </w:rPr>
      </w:pPr>
      <w:r w:rsidRPr="006E0C52">
        <w:rPr>
          <w:rFonts w:ascii="Arial" w:hAnsi="Arial" w:cs="Arial"/>
          <w:sz w:val="22"/>
          <w:szCs w:val="22"/>
        </w:rPr>
        <w:t>Evidence-based interventions have been shown to significantly improve patient safety outcomes. Pronovost et al. (2006) demonstrated that structured safety interventions, including checklists and standardised protocols, can dramatically reduce clinical errors and improve patient outcomes. Similarly, Kaplan et al. (2010) emphasise that the success of quality improvement initiatives depends on organisational context, leadership, and staff engagement.</w:t>
      </w:r>
      <w:r w:rsidR="001638CD">
        <w:rPr>
          <w:rFonts w:ascii="Arial" w:hAnsi="Arial" w:cs="Arial"/>
          <w:sz w:val="22"/>
          <w:szCs w:val="22"/>
        </w:rPr>
        <w:t xml:space="preserve"> </w:t>
      </w:r>
      <w:r w:rsidR="001638CD" w:rsidRPr="001638CD">
        <w:rPr>
          <w:rFonts w:ascii="Arial" w:hAnsi="Arial" w:cs="Arial"/>
          <w:sz w:val="22"/>
          <w:szCs w:val="22"/>
        </w:rPr>
        <w:t xml:space="preserve">Dixon-Woods et al. (2014) found that successful patient safety improvements </w:t>
      </w:r>
      <w:r w:rsidR="001638CD" w:rsidRPr="001638CD">
        <w:rPr>
          <w:rFonts w:ascii="Arial" w:hAnsi="Arial" w:cs="Arial"/>
          <w:sz w:val="22"/>
          <w:szCs w:val="22"/>
        </w:rPr>
        <w:lastRenderedPageBreak/>
        <w:t>in healthcare organisations depend on strong leadership, staff engagement, and a culture that prioritises learning rather than blame.</w:t>
      </w:r>
    </w:p>
    <w:p w14:paraId="17D77828" w14:textId="77777777" w:rsidR="006E0C52" w:rsidRPr="00744291" w:rsidRDefault="006E0C52" w:rsidP="00744291">
      <w:pPr>
        <w:spacing w:line="360" w:lineRule="auto"/>
        <w:rPr>
          <w:rFonts w:ascii="Arial" w:hAnsi="Arial" w:cs="Arial"/>
          <w:sz w:val="22"/>
          <w:szCs w:val="22"/>
        </w:rPr>
      </w:pPr>
    </w:p>
    <w:p w14:paraId="6ED463E4" w14:textId="782CFB15" w:rsidR="000C6613" w:rsidRDefault="000C6613" w:rsidP="00744291">
      <w:pPr>
        <w:pStyle w:val="Heading1"/>
        <w:rPr>
          <w:b/>
          <w:bCs/>
          <w:color w:val="auto"/>
          <w:sz w:val="24"/>
          <w:szCs w:val="24"/>
        </w:rPr>
      </w:pPr>
      <w:bookmarkStart w:id="12" w:name="_Toc225334445"/>
      <w:r w:rsidRPr="00744291">
        <w:rPr>
          <w:b/>
          <w:bCs/>
          <w:color w:val="auto"/>
          <w:sz w:val="24"/>
          <w:szCs w:val="24"/>
        </w:rPr>
        <w:t>Key Problems and Evidence-Based Improvements</w:t>
      </w:r>
      <w:bookmarkEnd w:id="12"/>
    </w:p>
    <w:p w14:paraId="5ACA2081" w14:textId="77777777" w:rsidR="00744291" w:rsidRPr="00744291" w:rsidRDefault="00744291" w:rsidP="00744291"/>
    <w:p w14:paraId="65090867" w14:textId="77777777" w:rsidR="000C6613" w:rsidRPr="006A05DE" w:rsidRDefault="000C6613" w:rsidP="006A05DE">
      <w:pPr>
        <w:spacing w:line="360" w:lineRule="auto"/>
        <w:rPr>
          <w:rFonts w:ascii="Arial" w:hAnsi="Arial" w:cs="Arial"/>
          <w:sz w:val="22"/>
          <w:szCs w:val="22"/>
        </w:rPr>
      </w:pPr>
      <w:r w:rsidRPr="006A05DE">
        <w:rPr>
          <w:rFonts w:ascii="Arial" w:hAnsi="Arial" w:cs="Arial"/>
          <w:b/>
          <w:bCs/>
          <w:sz w:val="22"/>
          <w:szCs w:val="22"/>
        </w:rPr>
        <w:t xml:space="preserve">Problem 1: </w:t>
      </w:r>
      <w:r w:rsidRPr="006A05DE">
        <w:rPr>
          <w:rFonts w:ascii="Arial" w:hAnsi="Arial" w:cs="Arial"/>
          <w:sz w:val="22"/>
          <w:szCs w:val="22"/>
        </w:rPr>
        <w:t>Communication breakdown</w:t>
      </w:r>
    </w:p>
    <w:p w14:paraId="26944AE2" w14:textId="77777777" w:rsidR="000C6613" w:rsidRPr="006A05DE" w:rsidRDefault="000C6613" w:rsidP="006A05DE">
      <w:pPr>
        <w:spacing w:line="360" w:lineRule="auto"/>
        <w:rPr>
          <w:rFonts w:ascii="Arial" w:hAnsi="Arial" w:cs="Arial"/>
          <w:b/>
          <w:bCs/>
          <w:sz w:val="22"/>
          <w:szCs w:val="22"/>
        </w:rPr>
      </w:pPr>
      <w:r w:rsidRPr="006A05DE">
        <w:rPr>
          <w:rFonts w:ascii="Arial" w:hAnsi="Arial" w:cs="Arial"/>
          <w:b/>
          <w:bCs/>
          <w:sz w:val="22"/>
          <w:szCs w:val="22"/>
        </w:rPr>
        <w:t xml:space="preserve">Data: </w:t>
      </w:r>
      <w:r w:rsidRPr="006A05DE">
        <w:rPr>
          <w:rFonts w:ascii="Arial" w:hAnsi="Arial" w:cs="Arial"/>
          <w:sz w:val="22"/>
          <w:szCs w:val="22"/>
        </w:rPr>
        <w:t>WHO (2019) identifies communication failures as a major cause of harm</w:t>
      </w:r>
    </w:p>
    <w:p w14:paraId="2209966C" w14:textId="77777777" w:rsidR="000C6613" w:rsidRDefault="000C6613" w:rsidP="006A05DE">
      <w:pPr>
        <w:spacing w:line="360" w:lineRule="auto"/>
        <w:rPr>
          <w:rFonts w:ascii="Arial" w:hAnsi="Arial" w:cs="Arial"/>
          <w:sz w:val="22"/>
          <w:szCs w:val="22"/>
        </w:rPr>
      </w:pPr>
      <w:r w:rsidRPr="006A05DE">
        <w:rPr>
          <w:rFonts w:ascii="Arial" w:hAnsi="Arial" w:cs="Arial"/>
          <w:b/>
          <w:bCs/>
          <w:sz w:val="22"/>
          <w:szCs w:val="22"/>
        </w:rPr>
        <w:t xml:space="preserve">Solution: </w:t>
      </w:r>
      <w:r w:rsidRPr="006A05DE">
        <w:rPr>
          <w:rFonts w:ascii="Arial" w:hAnsi="Arial" w:cs="Arial"/>
          <w:sz w:val="22"/>
          <w:szCs w:val="22"/>
        </w:rPr>
        <w:t>Structured communication tools (SBAR, handovers)</w:t>
      </w:r>
    </w:p>
    <w:p w14:paraId="2D03AD04" w14:textId="77777777" w:rsidR="00015926" w:rsidRPr="006A05DE" w:rsidRDefault="00015926" w:rsidP="006A05DE">
      <w:pPr>
        <w:spacing w:line="360" w:lineRule="auto"/>
        <w:rPr>
          <w:rFonts w:ascii="Arial" w:hAnsi="Arial" w:cs="Arial"/>
          <w:sz w:val="22"/>
          <w:szCs w:val="22"/>
        </w:rPr>
      </w:pPr>
    </w:p>
    <w:p w14:paraId="76E6E73B" w14:textId="77777777" w:rsidR="000C6613" w:rsidRPr="006A05DE" w:rsidRDefault="000C6613" w:rsidP="006A05DE">
      <w:pPr>
        <w:spacing w:line="360" w:lineRule="auto"/>
        <w:rPr>
          <w:rFonts w:ascii="Arial" w:hAnsi="Arial" w:cs="Arial"/>
          <w:b/>
          <w:bCs/>
          <w:sz w:val="22"/>
          <w:szCs w:val="22"/>
        </w:rPr>
      </w:pPr>
      <w:r w:rsidRPr="006A05DE">
        <w:rPr>
          <w:rFonts w:ascii="Arial" w:hAnsi="Arial" w:cs="Arial"/>
          <w:b/>
          <w:bCs/>
          <w:sz w:val="22"/>
          <w:szCs w:val="22"/>
        </w:rPr>
        <w:t>Problem 2:</w:t>
      </w:r>
      <w:r w:rsidRPr="006A05DE">
        <w:rPr>
          <w:rFonts w:ascii="Arial" w:hAnsi="Arial" w:cs="Arial"/>
          <w:sz w:val="22"/>
          <w:szCs w:val="22"/>
        </w:rPr>
        <w:t xml:space="preserve"> Weak escalation</w:t>
      </w:r>
    </w:p>
    <w:p w14:paraId="1341CBC8" w14:textId="77777777" w:rsidR="000C6613" w:rsidRPr="006A05DE" w:rsidRDefault="000C6613" w:rsidP="006A05DE">
      <w:pPr>
        <w:spacing w:line="360" w:lineRule="auto"/>
        <w:rPr>
          <w:rFonts w:ascii="Arial" w:hAnsi="Arial" w:cs="Arial"/>
          <w:sz w:val="22"/>
          <w:szCs w:val="22"/>
        </w:rPr>
      </w:pPr>
      <w:r w:rsidRPr="006A05DE">
        <w:rPr>
          <w:rFonts w:ascii="Arial" w:hAnsi="Arial" w:cs="Arial"/>
          <w:b/>
          <w:bCs/>
          <w:sz w:val="22"/>
          <w:szCs w:val="22"/>
        </w:rPr>
        <w:t xml:space="preserve">Data: </w:t>
      </w:r>
      <w:r w:rsidRPr="006A05DE">
        <w:rPr>
          <w:rFonts w:ascii="Arial" w:hAnsi="Arial" w:cs="Arial"/>
          <w:sz w:val="22"/>
          <w:szCs w:val="22"/>
        </w:rPr>
        <w:t>NHS England (2022) highlights delayed escalation as a key issue</w:t>
      </w:r>
    </w:p>
    <w:p w14:paraId="5E33692F" w14:textId="77777777" w:rsidR="000C6613" w:rsidRPr="006A05DE" w:rsidRDefault="000C6613" w:rsidP="006A05DE">
      <w:pPr>
        <w:spacing w:line="360" w:lineRule="auto"/>
        <w:rPr>
          <w:rFonts w:ascii="Arial" w:hAnsi="Arial" w:cs="Arial"/>
          <w:b/>
          <w:bCs/>
          <w:sz w:val="22"/>
          <w:szCs w:val="22"/>
        </w:rPr>
      </w:pPr>
      <w:r w:rsidRPr="006A05DE">
        <w:rPr>
          <w:rFonts w:ascii="Arial" w:hAnsi="Arial" w:cs="Arial"/>
          <w:b/>
          <w:bCs/>
          <w:sz w:val="22"/>
          <w:szCs w:val="22"/>
        </w:rPr>
        <w:t xml:space="preserve">Solution: </w:t>
      </w:r>
      <w:r w:rsidRPr="006A05DE">
        <w:rPr>
          <w:rFonts w:ascii="Arial" w:hAnsi="Arial" w:cs="Arial"/>
          <w:sz w:val="22"/>
          <w:szCs w:val="22"/>
        </w:rPr>
        <w:t>Rapid response teams</w:t>
      </w:r>
    </w:p>
    <w:p w14:paraId="75570C62" w14:textId="77777777" w:rsidR="000C6613" w:rsidRPr="006A05DE" w:rsidRDefault="000C6613" w:rsidP="006A05DE">
      <w:pPr>
        <w:spacing w:line="360" w:lineRule="auto"/>
        <w:rPr>
          <w:rFonts w:ascii="Arial" w:hAnsi="Arial" w:cs="Arial"/>
          <w:b/>
          <w:bCs/>
          <w:sz w:val="22"/>
          <w:szCs w:val="22"/>
        </w:rPr>
      </w:pPr>
    </w:p>
    <w:p w14:paraId="2783036A" w14:textId="77777777" w:rsidR="000C6613" w:rsidRPr="006A05DE" w:rsidRDefault="000C6613" w:rsidP="006A05DE">
      <w:pPr>
        <w:spacing w:line="360" w:lineRule="auto"/>
        <w:rPr>
          <w:rFonts w:ascii="Arial" w:hAnsi="Arial" w:cs="Arial"/>
          <w:b/>
          <w:bCs/>
          <w:sz w:val="22"/>
          <w:szCs w:val="22"/>
        </w:rPr>
      </w:pPr>
      <w:r w:rsidRPr="006A05DE">
        <w:rPr>
          <w:rFonts w:ascii="Arial" w:hAnsi="Arial" w:cs="Arial"/>
          <w:b/>
          <w:bCs/>
          <w:sz w:val="22"/>
          <w:szCs w:val="22"/>
        </w:rPr>
        <w:t xml:space="preserve">Problem 3: </w:t>
      </w:r>
      <w:r w:rsidRPr="006A05DE">
        <w:rPr>
          <w:rFonts w:ascii="Arial" w:hAnsi="Arial" w:cs="Arial"/>
          <w:sz w:val="22"/>
          <w:szCs w:val="22"/>
        </w:rPr>
        <w:t>Lack of training</w:t>
      </w:r>
    </w:p>
    <w:p w14:paraId="6826BE11" w14:textId="77777777" w:rsidR="000C6613" w:rsidRPr="006A05DE" w:rsidRDefault="000C6613" w:rsidP="006A05DE">
      <w:pPr>
        <w:spacing w:line="360" w:lineRule="auto"/>
        <w:rPr>
          <w:rFonts w:ascii="Arial" w:hAnsi="Arial" w:cs="Arial"/>
          <w:sz w:val="22"/>
          <w:szCs w:val="22"/>
        </w:rPr>
      </w:pPr>
      <w:r w:rsidRPr="006A05DE">
        <w:rPr>
          <w:rFonts w:ascii="Arial" w:hAnsi="Arial" w:cs="Arial"/>
          <w:b/>
          <w:bCs/>
          <w:sz w:val="22"/>
          <w:szCs w:val="22"/>
        </w:rPr>
        <w:t xml:space="preserve">Data: </w:t>
      </w:r>
      <w:r w:rsidRPr="006A05DE">
        <w:rPr>
          <w:rFonts w:ascii="Arial" w:hAnsi="Arial" w:cs="Arial"/>
          <w:sz w:val="22"/>
          <w:szCs w:val="22"/>
        </w:rPr>
        <w:t>Training improves safety compliance (West et al., 2015)</w:t>
      </w:r>
    </w:p>
    <w:p w14:paraId="60DD6F3C" w14:textId="315673BC" w:rsidR="000A5373" w:rsidRPr="006A05DE" w:rsidRDefault="000C6613" w:rsidP="006A05DE">
      <w:pPr>
        <w:spacing w:line="360" w:lineRule="auto"/>
        <w:rPr>
          <w:rFonts w:ascii="Arial" w:hAnsi="Arial" w:cs="Arial"/>
          <w:b/>
          <w:bCs/>
          <w:sz w:val="22"/>
          <w:szCs w:val="22"/>
        </w:rPr>
      </w:pPr>
      <w:r w:rsidRPr="006A05DE">
        <w:rPr>
          <w:rFonts w:ascii="Arial" w:hAnsi="Arial" w:cs="Arial"/>
          <w:b/>
          <w:bCs/>
          <w:sz w:val="22"/>
          <w:szCs w:val="22"/>
        </w:rPr>
        <w:t xml:space="preserve">Solution: </w:t>
      </w:r>
      <w:r w:rsidRPr="006A05DE">
        <w:rPr>
          <w:rFonts w:ascii="Arial" w:hAnsi="Arial" w:cs="Arial"/>
          <w:sz w:val="22"/>
          <w:szCs w:val="22"/>
        </w:rPr>
        <w:t>Enhanced education and simulation training</w:t>
      </w:r>
    </w:p>
    <w:p w14:paraId="04ABF5C6" w14:textId="77777777" w:rsidR="00015926" w:rsidRDefault="00015926" w:rsidP="006A05DE">
      <w:pPr>
        <w:spacing w:line="360" w:lineRule="auto"/>
        <w:rPr>
          <w:rFonts w:ascii="Arial" w:hAnsi="Arial" w:cs="Arial"/>
          <w:b/>
          <w:bCs/>
          <w:sz w:val="22"/>
          <w:szCs w:val="22"/>
        </w:rPr>
      </w:pPr>
    </w:p>
    <w:p w14:paraId="50EFD8F9" w14:textId="37604E63" w:rsidR="000A5373" w:rsidRPr="00B1416F" w:rsidRDefault="000A5373" w:rsidP="006A05DE">
      <w:pPr>
        <w:spacing w:line="360" w:lineRule="auto"/>
        <w:rPr>
          <w:rFonts w:ascii="Arial" w:hAnsi="Arial" w:cs="Arial"/>
          <w:b/>
          <w:bCs/>
          <w:sz w:val="22"/>
          <w:szCs w:val="22"/>
        </w:rPr>
      </w:pPr>
      <w:r w:rsidRPr="00B1416F">
        <w:rPr>
          <w:rFonts w:ascii="Arial" w:hAnsi="Arial" w:cs="Arial"/>
          <w:b/>
          <w:bCs/>
          <w:sz w:val="22"/>
          <w:szCs w:val="22"/>
        </w:rPr>
        <w:t>Leadership theories highlight the need for:</w:t>
      </w:r>
    </w:p>
    <w:p w14:paraId="34FA136C" w14:textId="1B4D7211" w:rsidR="000A5373" w:rsidRPr="001576E8" w:rsidRDefault="000A5373" w:rsidP="001576E8">
      <w:pPr>
        <w:pStyle w:val="ListParagraph"/>
        <w:numPr>
          <w:ilvl w:val="0"/>
          <w:numId w:val="6"/>
        </w:numPr>
        <w:spacing w:line="360" w:lineRule="auto"/>
        <w:rPr>
          <w:rFonts w:ascii="Arial" w:hAnsi="Arial" w:cs="Arial"/>
          <w:sz w:val="22"/>
          <w:szCs w:val="22"/>
        </w:rPr>
      </w:pPr>
      <w:r w:rsidRPr="001576E8">
        <w:rPr>
          <w:rFonts w:ascii="Arial" w:hAnsi="Arial" w:cs="Arial"/>
          <w:sz w:val="22"/>
          <w:szCs w:val="22"/>
        </w:rPr>
        <w:t>Participative leadership (Tannenbaum &amp; Schmidt)</w:t>
      </w:r>
    </w:p>
    <w:p w14:paraId="2604C099" w14:textId="051DA6E2" w:rsidR="000A5373" w:rsidRPr="001576E8" w:rsidRDefault="000A5373" w:rsidP="001576E8">
      <w:pPr>
        <w:pStyle w:val="ListParagraph"/>
        <w:numPr>
          <w:ilvl w:val="0"/>
          <w:numId w:val="6"/>
        </w:numPr>
        <w:spacing w:line="360" w:lineRule="auto"/>
        <w:rPr>
          <w:rFonts w:ascii="Arial" w:hAnsi="Arial" w:cs="Arial"/>
          <w:sz w:val="22"/>
          <w:szCs w:val="22"/>
        </w:rPr>
      </w:pPr>
      <w:r w:rsidRPr="001576E8">
        <w:rPr>
          <w:rFonts w:ascii="Arial" w:hAnsi="Arial" w:cs="Arial"/>
          <w:sz w:val="22"/>
          <w:szCs w:val="22"/>
        </w:rPr>
        <w:t>Staff empowerment (McGregor Theory Y)</w:t>
      </w:r>
    </w:p>
    <w:p w14:paraId="5FA8A85B" w14:textId="5D97E220" w:rsidR="000A5373" w:rsidRDefault="000A5373" w:rsidP="001576E8">
      <w:pPr>
        <w:pStyle w:val="ListParagraph"/>
        <w:numPr>
          <w:ilvl w:val="0"/>
          <w:numId w:val="6"/>
        </w:numPr>
        <w:spacing w:line="360" w:lineRule="auto"/>
        <w:rPr>
          <w:rFonts w:ascii="Arial" w:hAnsi="Arial" w:cs="Arial"/>
          <w:sz w:val="22"/>
          <w:szCs w:val="22"/>
        </w:rPr>
      </w:pPr>
      <w:r w:rsidRPr="001576E8">
        <w:rPr>
          <w:rFonts w:ascii="Arial" w:hAnsi="Arial" w:cs="Arial"/>
          <w:sz w:val="22"/>
          <w:szCs w:val="22"/>
        </w:rPr>
        <w:t>Supportive behaviours (Behavioural leadership theory)</w:t>
      </w:r>
    </w:p>
    <w:p w14:paraId="71576809" w14:textId="77777777" w:rsidR="001576E8" w:rsidRPr="001576E8" w:rsidRDefault="001576E8" w:rsidP="001576E8">
      <w:pPr>
        <w:pStyle w:val="ListParagraph"/>
        <w:spacing w:line="360" w:lineRule="auto"/>
        <w:rPr>
          <w:rFonts w:ascii="Arial" w:hAnsi="Arial" w:cs="Arial"/>
          <w:sz w:val="22"/>
          <w:szCs w:val="22"/>
        </w:rPr>
      </w:pPr>
    </w:p>
    <w:p w14:paraId="480830CD" w14:textId="77777777" w:rsidR="00FD37CE" w:rsidRPr="00FD37CE" w:rsidRDefault="00FD37CE" w:rsidP="00FD37CE">
      <w:pPr>
        <w:spacing w:line="360" w:lineRule="auto"/>
        <w:rPr>
          <w:rFonts w:ascii="Arial" w:hAnsi="Arial" w:cs="Arial"/>
          <w:sz w:val="22"/>
          <w:szCs w:val="22"/>
        </w:rPr>
      </w:pPr>
      <w:r w:rsidRPr="00FD37CE">
        <w:rPr>
          <w:rFonts w:ascii="Arial" w:hAnsi="Arial" w:cs="Arial"/>
          <w:sz w:val="22"/>
          <w:szCs w:val="22"/>
        </w:rPr>
        <w:t>Leadership theories highlight the importance of adopting approaches that support communication, collaboration, and staff engagement within healthcare settings. Participative leadership, as described by Tannenbaum and Schmidt, emphasises involving team members in decision-making processes, which can improve information sharing and reduce the risk of errors (Tannenbaum and Schmidt, 1973).</w:t>
      </w:r>
    </w:p>
    <w:p w14:paraId="7D4511D2" w14:textId="77777777" w:rsidR="00FD37CE" w:rsidRPr="00FD37CE" w:rsidRDefault="00FD37CE" w:rsidP="00FD37CE">
      <w:pPr>
        <w:spacing w:line="360" w:lineRule="auto"/>
        <w:rPr>
          <w:rFonts w:ascii="Arial" w:hAnsi="Arial" w:cs="Arial"/>
          <w:sz w:val="22"/>
          <w:szCs w:val="22"/>
        </w:rPr>
      </w:pPr>
    </w:p>
    <w:p w14:paraId="5DC98DF6" w14:textId="77777777" w:rsidR="00FD37CE" w:rsidRPr="00FD37CE" w:rsidRDefault="00FD37CE" w:rsidP="00FD37CE">
      <w:pPr>
        <w:spacing w:line="360" w:lineRule="auto"/>
        <w:rPr>
          <w:rFonts w:ascii="Arial" w:hAnsi="Arial" w:cs="Arial"/>
          <w:sz w:val="22"/>
          <w:szCs w:val="22"/>
        </w:rPr>
      </w:pPr>
      <w:r w:rsidRPr="00FD37CE">
        <w:rPr>
          <w:rFonts w:ascii="Arial" w:hAnsi="Arial" w:cs="Arial"/>
          <w:sz w:val="22"/>
          <w:szCs w:val="22"/>
        </w:rPr>
        <w:lastRenderedPageBreak/>
        <w:t>This approach is particularly valuable in complex clinical environments where multiple perspectives can enhance patient care. Such environments require open communication and shared responsibility to ensure that critical information is not overlooked (Goleman, 2000).</w:t>
      </w:r>
    </w:p>
    <w:p w14:paraId="18580D22" w14:textId="77777777" w:rsidR="00FD37CE" w:rsidRPr="00FD37CE" w:rsidRDefault="00FD37CE" w:rsidP="00FD37CE">
      <w:pPr>
        <w:spacing w:line="360" w:lineRule="auto"/>
        <w:rPr>
          <w:rFonts w:ascii="Arial" w:hAnsi="Arial" w:cs="Arial"/>
          <w:sz w:val="22"/>
          <w:szCs w:val="22"/>
        </w:rPr>
      </w:pPr>
    </w:p>
    <w:p w14:paraId="04FC8103" w14:textId="77777777" w:rsidR="00FD37CE" w:rsidRPr="00FD37CE" w:rsidRDefault="00FD37CE" w:rsidP="00FD37CE">
      <w:pPr>
        <w:spacing w:line="360" w:lineRule="auto"/>
        <w:rPr>
          <w:rFonts w:ascii="Arial" w:hAnsi="Arial" w:cs="Arial"/>
          <w:sz w:val="22"/>
          <w:szCs w:val="22"/>
        </w:rPr>
      </w:pPr>
      <w:r w:rsidRPr="00FD37CE">
        <w:rPr>
          <w:rFonts w:ascii="Arial" w:hAnsi="Arial" w:cs="Arial"/>
          <w:sz w:val="22"/>
          <w:szCs w:val="22"/>
        </w:rPr>
        <w:t>McGregor’s Theory Y further reinforces the need for staff empowerment by recognising that healthcare professionals are capable, motivated, and able to take responsibility when supported appropriately. Encouraging autonomy and trust can improve confidence and decision-making among nurses and junior doctors (McGregor, 1960).</w:t>
      </w:r>
    </w:p>
    <w:p w14:paraId="65EDF148" w14:textId="77777777" w:rsidR="00FD37CE" w:rsidRPr="00FD37CE" w:rsidRDefault="00FD37CE" w:rsidP="00FD37CE">
      <w:pPr>
        <w:spacing w:line="360" w:lineRule="auto"/>
        <w:rPr>
          <w:rFonts w:ascii="Arial" w:hAnsi="Arial" w:cs="Arial"/>
          <w:sz w:val="22"/>
          <w:szCs w:val="22"/>
        </w:rPr>
      </w:pPr>
    </w:p>
    <w:p w14:paraId="1704950F" w14:textId="3C047606" w:rsidR="00FD37CE" w:rsidRPr="00FD37CE" w:rsidRDefault="00FD37CE" w:rsidP="00FD37CE">
      <w:pPr>
        <w:spacing w:line="360" w:lineRule="auto"/>
        <w:rPr>
          <w:rFonts w:ascii="Arial" w:hAnsi="Arial" w:cs="Arial"/>
          <w:sz w:val="22"/>
          <w:szCs w:val="22"/>
        </w:rPr>
      </w:pPr>
      <w:r w:rsidRPr="00FD37CE">
        <w:rPr>
          <w:rFonts w:ascii="Arial" w:hAnsi="Arial" w:cs="Arial"/>
          <w:sz w:val="22"/>
          <w:szCs w:val="22"/>
        </w:rPr>
        <w:t>Additionally, behavioural leadership theory stresses the importance of supportive leadership behaviours, such as effective communication, supervision, and emotional support, which contribute to improved teamwork, reduced stress, and better patient safety outcomes. These behaviours are essential in creating psychologically safe environments where staff feel comfortable raising concerns and contributing to patient care decisions (Yukl, 2013; West et al., 2018).</w:t>
      </w:r>
    </w:p>
    <w:p w14:paraId="3CEDBDED" w14:textId="6AAAD8D0" w:rsidR="000C6613" w:rsidRPr="00744291" w:rsidRDefault="000C6613" w:rsidP="00744291">
      <w:pPr>
        <w:pStyle w:val="Heading1"/>
        <w:rPr>
          <w:b/>
          <w:bCs/>
          <w:color w:val="auto"/>
          <w:sz w:val="24"/>
          <w:szCs w:val="24"/>
        </w:rPr>
      </w:pPr>
      <w:bookmarkStart w:id="13" w:name="_Toc225334446"/>
      <w:r w:rsidRPr="00744291">
        <w:rPr>
          <w:b/>
          <w:bCs/>
          <w:color w:val="auto"/>
          <w:sz w:val="24"/>
          <w:szCs w:val="24"/>
        </w:rPr>
        <w:t>Key Lessons for Health Organisations</w:t>
      </w:r>
      <w:bookmarkEnd w:id="13"/>
    </w:p>
    <w:p w14:paraId="079BFC4D" w14:textId="77777777" w:rsidR="000C6613" w:rsidRPr="006A05DE" w:rsidRDefault="000C6613" w:rsidP="006A05DE">
      <w:pPr>
        <w:spacing w:line="360" w:lineRule="auto"/>
        <w:rPr>
          <w:rFonts w:ascii="Arial" w:hAnsi="Arial" w:cs="Arial"/>
          <w:sz w:val="22"/>
          <w:szCs w:val="22"/>
        </w:rPr>
      </w:pPr>
      <w:r w:rsidRPr="006A05DE">
        <w:rPr>
          <w:rFonts w:ascii="Arial" w:hAnsi="Arial" w:cs="Arial"/>
          <w:sz w:val="22"/>
          <w:szCs w:val="22"/>
        </w:rPr>
        <w:t>• Systems must not rely on individual heroism; robust processes are essential</w:t>
      </w:r>
    </w:p>
    <w:p w14:paraId="062AC93A" w14:textId="77777777" w:rsidR="000C6613" w:rsidRPr="006A05DE" w:rsidRDefault="000C6613" w:rsidP="006A05DE">
      <w:pPr>
        <w:spacing w:line="360" w:lineRule="auto"/>
        <w:rPr>
          <w:rFonts w:ascii="Arial" w:hAnsi="Arial" w:cs="Arial"/>
          <w:sz w:val="22"/>
          <w:szCs w:val="22"/>
        </w:rPr>
      </w:pPr>
      <w:r w:rsidRPr="006A05DE">
        <w:rPr>
          <w:rFonts w:ascii="Arial" w:hAnsi="Arial" w:cs="Arial"/>
          <w:sz w:val="22"/>
          <w:szCs w:val="22"/>
        </w:rPr>
        <w:t>• Clear governance structures improve accountability and safety</w:t>
      </w:r>
    </w:p>
    <w:p w14:paraId="3701DFB5" w14:textId="77777777" w:rsidR="009C77F3" w:rsidRDefault="000C6613" w:rsidP="006A05DE">
      <w:pPr>
        <w:spacing w:line="360" w:lineRule="auto"/>
        <w:rPr>
          <w:rFonts w:ascii="Arial" w:hAnsi="Arial" w:cs="Arial"/>
          <w:sz w:val="22"/>
          <w:szCs w:val="22"/>
        </w:rPr>
      </w:pPr>
      <w:r w:rsidRPr="006A05DE">
        <w:rPr>
          <w:rFonts w:ascii="Arial" w:hAnsi="Arial" w:cs="Arial"/>
          <w:sz w:val="22"/>
          <w:szCs w:val="22"/>
        </w:rPr>
        <w:t>• Psychological safety encourages incident reporting and improves outcomes</w:t>
      </w:r>
    </w:p>
    <w:p w14:paraId="42AD992A" w14:textId="77777777" w:rsidR="0009240B" w:rsidRDefault="0009240B" w:rsidP="006A05DE">
      <w:pPr>
        <w:spacing w:line="360" w:lineRule="auto"/>
        <w:rPr>
          <w:rFonts w:ascii="Arial" w:hAnsi="Arial" w:cs="Arial"/>
          <w:sz w:val="22"/>
          <w:szCs w:val="22"/>
        </w:rPr>
      </w:pPr>
    </w:p>
    <w:p w14:paraId="7187AB58" w14:textId="270827D2" w:rsidR="00D202D4" w:rsidRPr="00D202D4" w:rsidRDefault="00D202D4" w:rsidP="00D202D4">
      <w:pPr>
        <w:spacing w:line="360" w:lineRule="auto"/>
        <w:rPr>
          <w:rFonts w:ascii="Arial" w:hAnsi="Arial" w:cs="Arial"/>
          <w:sz w:val="22"/>
          <w:szCs w:val="22"/>
        </w:rPr>
      </w:pPr>
      <w:r w:rsidRPr="00D202D4">
        <w:rPr>
          <w:rFonts w:ascii="Arial" w:hAnsi="Arial" w:cs="Arial"/>
          <w:sz w:val="22"/>
          <w:szCs w:val="22"/>
        </w:rPr>
        <w:t>Leadership theories provide valuable insight into the lessons drawn from this case. The Tannenbaum and Schmidt continuum highlights the importance of balancing authority with staff participation, ensuring that decision-making is not overly concentrated at senior levels (Tannenbaum and Schmidt, 1973).</w:t>
      </w:r>
      <w:r>
        <w:rPr>
          <w:rFonts w:ascii="Arial" w:hAnsi="Arial" w:cs="Arial"/>
          <w:sz w:val="22"/>
          <w:szCs w:val="22"/>
        </w:rPr>
        <w:t xml:space="preserve"> </w:t>
      </w:r>
      <w:r w:rsidRPr="00D202D4">
        <w:rPr>
          <w:rFonts w:ascii="Arial" w:hAnsi="Arial" w:cs="Arial"/>
          <w:sz w:val="22"/>
          <w:szCs w:val="22"/>
        </w:rPr>
        <w:t>McGregor’s Theory Y further emphasises the need for staff empowerment, recognising that healthcare professionals are capable of contributing meaningfully when trusted and supported. In addition, behavioural leadership theory underlines the importance of leaders demonstrating supportive behaviours, such as effective communication, supervision, and responsiveness (McGregor, 1960; Yukl, 2013).</w:t>
      </w:r>
    </w:p>
    <w:p w14:paraId="7CC53910" w14:textId="77777777" w:rsidR="00D202D4" w:rsidRPr="00D202D4" w:rsidRDefault="00D202D4" w:rsidP="00D202D4">
      <w:pPr>
        <w:spacing w:line="360" w:lineRule="auto"/>
        <w:rPr>
          <w:rFonts w:ascii="Arial" w:hAnsi="Arial" w:cs="Arial"/>
          <w:sz w:val="22"/>
          <w:szCs w:val="22"/>
        </w:rPr>
      </w:pPr>
    </w:p>
    <w:p w14:paraId="1253D740" w14:textId="1449A22F" w:rsidR="001829D1" w:rsidRDefault="00D202D4" w:rsidP="00793CD3">
      <w:pPr>
        <w:spacing w:line="360" w:lineRule="auto"/>
        <w:rPr>
          <w:rFonts w:ascii="Arial" w:hAnsi="Arial" w:cs="Arial"/>
          <w:sz w:val="22"/>
          <w:szCs w:val="22"/>
        </w:rPr>
      </w:pPr>
      <w:r w:rsidRPr="00D202D4">
        <w:rPr>
          <w:rFonts w:ascii="Arial" w:hAnsi="Arial" w:cs="Arial"/>
          <w:sz w:val="22"/>
          <w:szCs w:val="22"/>
        </w:rPr>
        <w:lastRenderedPageBreak/>
        <w:t>Together, these theories reinforce the need for leadership approaches that promote collaboration, psychological safety, and proactive engagement in healthcare settings. Such approaches are strongly associated with improved teamwork, enhanced communication, and better patient safety outcomes (West et al., 2018).</w:t>
      </w:r>
    </w:p>
    <w:p w14:paraId="066AFC3A" w14:textId="77777777" w:rsidR="00793CD3" w:rsidRPr="00793CD3" w:rsidRDefault="00793CD3" w:rsidP="00793CD3">
      <w:pPr>
        <w:spacing w:line="360" w:lineRule="auto"/>
        <w:rPr>
          <w:rFonts w:ascii="Arial" w:hAnsi="Arial" w:cs="Arial"/>
          <w:sz w:val="22"/>
          <w:szCs w:val="22"/>
        </w:rPr>
      </w:pPr>
    </w:p>
    <w:p w14:paraId="09CCC897" w14:textId="032DE5FC" w:rsidR="0068690B" w:rsidRPr="0008652E" w:rsidRDefault="000A5373" w:rsidP="0008652E">
      <w:pPr>
        <w:pStyle w:val="Heading1"/>
        <w:rPr>
          <w:b/>
          <w:bCs/>
          <w:color w:val="auto"/>
          <w:sz w:val="24"/>
          <w:szCs w:val="24"/>
        </w:rPr>
      </w:pPr>
      <w:bookmarkStart w:id="14" w:name="_Toc225334447"/>
      <w:r w:rsidRPr="00744291">
        <w:rPr>
          <w:b/>
          <w:bCs/>
          <w:color w:val="auto"/>
          <w:sz w:val="24"/>
          <w:szCs w:val="24"/>
        </w:rPr>
        <w:t>Recommendations</w:t>
      </w:r>
      <w:bookmarkEnd w:id="14"/>
      <w:r w:rsidRPr="00744291">
        <w:rPr>
          <w:b/>
          <w:bCs/>
          <w:color w:val="auto"/>
          <w:sz w:val="24"/>
          <w:szCs w:val="24"/>
        </w:rPr>
        <w:t xml:space="preserve"> </w:t>
      </w:r>
    </w:p>
    <w:p w14:paraId="6AF7F49C" w14:textId="54A99D2E" w:rsidR="0068690B" w:rsidRPr="0068690B" w:rsidRDefault="0068690B" w:rsidP="0068690B">
      <w:pPr>
        <w:spacing w:line="360" w:lineRule="auto"/>
        <w:rPr>
          <w:rFonts w:ascii="Arial" w:hAnsi="Arial" w:cs="Arial"/>
          <w:sz w:val="22"/>
          <w:szCs w:val="22"/>
        </w:rPr>
      </w:pPr>
      <w:r w:rsidRPr="0068690B">
        <w:rPr>
          <w:rFonts w:ascii="Arial" w:hAnsi="Arial" w:cs="Arial"/>
          <w:sz w:val="22"/>
          <w:szCs w:val="22"/>
        </w:rPr>
        <w:t>Healthcare organisations should adopt transformational and democratic leadership approaches to promote staff participation, collaboration, and open communication. Transformational leadership inspires and motivates staff towards shared goals, while democratic leadership supports inclusivity and shared decision-making (Bass and Riggio, 2006). Evidence shows these approaches improve staff engagement, reduce burnout, and enhance patient outcomes (Bass and Riggio, 2006; Cummings et al., 2018). Leaders should operate towards the participative end of the Tannenbaum and Schmidt continuum, enabling frontline staff to contribute to decisions and raise concerns without fear (Tannenbaum and Schmidt, 1973). This is particularly important in complex healthcare environments where effective communication and teamwork are essential for patient safety (Edmondson, 2018).</w:t>
      </w:r>
      <w:r w:rsidR="00735CC8">
        <w:rPr>
          <w:rFonts w:ascii="Arial" w:hAnsi="Arial" w:cs="Arial"/>
          <w:sz w:val="22"/>
          <w:szCs w:val="22"/>
        </w:rPr>
        <w:t xml:space="preserve"> </w:t>
      </w:r>
      <w:r w:rsidRPr="0068690B">
        <w:rPr>
          <w:rFonts w:ascii="Arial" w:hAnsi="Arial" w:cs="Arial"/>
          <w:sz w:val="22"/>
          <w:szCs w:val="22"/>
        </w:rPr>
        <w:t>Effective organisational change is also critical. Kotter (1996) emphasises that successful change requires clear vision, leadership commitment, and staff engagement. Without these, safety improvements are unlikely to be sustained.</w:t>
      </w:r>
    </w:p>
    <w:p w14:paraId="457003AD" w14:textId="77777777" w:rsidR="0068690B" w:rsidRPr="0068690B" w:rsidRDefault="0068690B" w:rsidP="0068690B">
      <w:pPr>
        <w:spacing w:line="360" w:lineRule="auto"/>
        <w:rPr>
          <w:rFonts w:ascii="Arial" w:hAnsi="Arial" w:cs="Arial"/>
          <w:sz w:val="22"/>
          <w:szCs w:val="22"/>
        </w:rPr>
      </w:pPr>
    </w:p>
    <w:p w14:paraId="7549D930" w14:textId="77777777" w:rsidR="0068690B" w:rsidRPr="0068690B" w:rsidRDefault="0068690B" w:rsidP="0068690B">
      <w:pPr>
        <w:spacing w:line="360" w:lineRule="auto"/>
        <w:rPr>
          <w:rFonts w:ascii="Arial" w:hAnsi="Arial" w:cs="Arial"/>
          <w:sz w:val="22"/>
          <w:szCs w:val="22"/>
        </w:rPr>
      </w:pPr>
      <w:r w:rsidRPr="0068690B">
        <w:rPr>
          <w:rFonts w:ascii="Arial" w:hAnsi="Arial" w:cs="Arial"/>
          <w:sz w:val="22"/>
          <w:szCs w:val="22"/>
        </w:rPr>
        <w:t>Structured escalation systems, such as rapid response teams, should be implemented to ensure timely intervention when patient deterioration occurs (NHS England, 2022). These systems enable frontline staff to access senior clinical support quickly. Evidence shows they significantly reduce mortality and prevent adverse events (NHS England, 2022; Institute of Medicine, 2000). Clear escalation protocols and staff training are essential to reduce delays and ambiguity (Institute of Medicine, 2000).</w:t>
      </w:r>
    </w:p>
    <w:p w14:paraId="2D1E025F" w14:textId="77777777" w:rsidR="0068690B" w:rsidRPr="0068690B" w:rsidRDefault="0068690B" w:rsidP="0068690B">
      <w:pPr>
        <w:spacing w:line="360" w:lineRule="auto"/>
        <w:rPr>
          <w:rFonts w:ascii="Arial" w:hAnsi="Arial" w:cs="Arial"/>
          <w:sz w:val="22"/>
          <w:szCs w:val="22"/>
        </w:rPr>
      </w:pPr>
    </w:p>
    <w:p w14:paraId="734DBAC5" w14:textId="77777777" w:rsidR="0068690B" w:rsidRPr="0068690B" w:rsidRDefault="0068690B" w:rsidP="0068690B">
      <w:pPr>
        <w:spacing w:line="360" w:lineRule="auto"/>
        <w:rPr>
          <w:rFonts w:ascii="Arial" w:hAnsi="Arial" w:cs="Arial"/>
          <w:sz w:val="22"/>
          <w:szCs w:val="22"/>
        </w:rPr>
      </w:pPr>
      <w:r w:rsidRPr="0068690B">
        <w:rPr>
          <w:rFonts w:ascii="Arial" w:hAnsi="Arial" w:cs="Arial"/>
          <w:sz w:val="22"/>
          <w:szCs w:val="22"/>
        </w:rPr>
        <w:t>Training programmes should be strengthened to improve clinical competence, communication, and patient safety awareness. Continuous professional development and mentoring enhance staff confidence and decision-making (West et al., 2015). Behavioural leadership theory highlights the importance of coaching and support in developing staff capabilities (Yukl, 2013).</w:t>
      </w:r>
    </w:p>
    <w:p w14:paraId="0803039E" w14:textId="77777777" w:rsidR="0068690B" w:rsidRPr="0068690B" w:rsidRDefault="0068690B" w:rsidP="0068690B">
      <w:pPr>
        <w:spacing w:line="360" w:lineRule="auto"/>
        <w:rPr>
          <w:rFonts w:ascii="Arial" w:hAnsi="Arial" w:cs="Arial"/>
          <w:sz w:val="22"/>
          <w:szCs w:val="22"/>
        </w:rPr>
      </w:pPr>
    </w:p>
    <w:p w14:paraId="76AE752C" w14:textId="77777777" w:rsidR="0068690B" w:rsidRPr="0068690B" w:rsidRDefault="0068690B" w:rsidP="0068690B">
      <w:pPr>
        <w:spacing w:line="360" w:lineRule="auto"/>
        <w:rPr>
          <w:rFonts w:ascii="Arial" w:hAnsi="Arial" w:cs="Arial"/>
          <w:sz w:val="22"/>
          <w:szCs w:val="22"/>
        </w:rPr>
      </w:pPr>
      <w:r w:rsidRPr="0068690B">
        <w:rPr>
          <w:rFonts w:ascii="Arial" w:hAnsi="Arial" w:cs="Arial"/>
          <w:sz w:val="22"/>
          <w:szCs w:val="22"/>
        </w:rPr>
        <w:lastRenderedPageBreak/>
        <w:t>Healthcare organisations should also adopt digital monitoring systems to detect early signs of deterioration. Technologies such as early warning scores support real-time decision-making and reduce reliance on individual judgement (WHO, 2019). These systems improve consistency and patient safety (WHO, 2019).</w:t>
      </w:r>
    </w:p>
    <w:p w14:paraId="1DD222B4" w14:textId="77777777" w:rsidR="0068690B" w:rsidRPr="0068690B" w:rsidRDefault="0068690B" w:rsidP="0068690B">
      <w:pPr>
        <w:spacing w:line="360" w:lineRule="auto"/>
        <w:rPr>
          <w:rFonts w:ascii="Arial" w:hAnsi="Arial" w:cs="Arial"/>
          <w:sz w:val="22"/>
          <w:szCs w:val="22"/>
        </w:rPr>
      </w:pPr>
    </w:p>
    <w:p w14:paraId="218A27D6" w14:textId="77777777" w:rsidR="0068690B" w:rsidRPr="0068690B" w:rsidRDefault="0068690B" w:rsidP="0068690B">
      <w:pPr>
        <w:spacing w:line="360" w:lineRule="auto"/>
        <w:rPr>
          <w:rFonts w:ascii="Arial" w:hAnsi="Arial" w:cs="Arial"/>
          <w:sz w:val="22"/>
          <w:szCs w:val="22"/>
        </w:rPr>
      </w:pPr>
      <w:r w:rsidRPr="0068690B">
        <w:rPr>
          <w:rFonts w:ascii="Arial" w:hAnsi="Arial" w:cs="Arial"/>
          <w:sz w:val="22"/>
          <w:szCs w:val="22"/>
        </w:rPr>
        <w:t>Strengthening governance frameworks is essential to ensure accountability and transparency (Braithwaite et al., 2017). Leadership based on Theory Y promotes trust, collaboration, and shared responsibility (McGregor, 1960; Cummings et al., 2018).</w:t>
      </w:r>
    </w:p>
    <w:p w14:paraId="4C270B6B" w14:textId="77777777" w:rsidR="0068690B" w:rsidRPr="0068690B" w:rsidRDefault="0068690B" w:rsidP="0068690B">
      <w:pPr>
        <w:spacing w:line="360" w:lineRule="auto"/>
        <w:rPr>
          <w:rFonts w:ascii="Arial" w:hAnsi="Arial" w:cs="Arial"/>
          <w:sz w:val="22"/>
          <w:szCs w:val="22"/>
        </w:rPr>
      </w:pPr>
    </w:p>
    <w:p w14:paraId="68758BFE" w14:textId="10EDD713" w:rsidR="0068690B" w:rsidRPr="0068690B" w:rsidRDefault="0068690B" w:rsidP="0068690B">
      <w:pPr>
        <w:spacing w:line="360" w:lineRule="auto"/>
        <w:rPr>
          <w:rFonts w:ascii="Arial" w:hAnsi="Arial" w:cs="Arial"/>
          <w:sz w:val="22"/>
          <w:szCs w:val="22"/>
        </w:rPr>
      </w:pPr>
      <w:r w:rsidRPr="0068690B">
        <w:rPr>
          <w:rFonts w:ascii="Arial" w:hAnsi="Arial" w:cs="Arial"/>
          <w:sz w:val="22"/>
          <w:szCs w:val="22"/>
        </w:rPr>
        <w:t>Finally, patient and family involvement should be encouraged, as it improves communication and reduces adverse events (Braithwaite et al., 2017; WHO, 2019). Overall, adopting a systems-based approach can significantly reduce preventable harm and improve patient outcomes (Senge, 2006).</w:t>
      </w:r>
    </w:p>
    <w:p w14:paraId="0C6CAB37" w14:textId="31075C80" w:rsidR="000A5373" w:rsidRDefault="000A5373" w:rsidP="00744291">
      <w:pPr>
        <w:pStyle w:val="Heading1"/>
        <w:rPr>
          <w:b/>
          <w:bCs/>
          <w:color w:val="auto"/>
          <w:sz w:val="24"/>
          <w:szCs w:val="24"/>
        </w:rPr>
      </w:pPr>
      <w:bookmarkStart w:id="15" w:name="_Toc225334448"/>
      <w:r w:rsidRPr="00744291">
        <w:rPr>
          <w:b/>
          <w:bCs/>
          <w:color w:val="auto"/>
          <w:sz w:val="24"/>
          <w:szCs w:val="24"/>
        </w:rPr>
        <w:t>Conclusion</w:t>
      </w:r>
      <w:bookmarkEnd w:id="15"/>
    </w:p>
    <w:p w14:paraId="430262E2" w14:textId="77777777" w:rsidR="00382862" w:rsidRPr="00382862" w:rsidRDefault="00382862" w:rsidP="00382862"/>
    <w:p w14:paraId="24EE3A32" w14:textId="77777777" w:rsidR="0060709A" w:rsidRPr="0060709A" w:rsidRDefault="0060709A" w:rsidP="0060709A">
      <w:pPr>
        <w:spacing w:line="360" w:lineRule="auto"/>
        <w:rPr>
          <w:rFonts w:ascii="Arial" w:hAnsi="Arial" w:cs="Arial"/>
          <w:sz w:val="22"/>
          <w:szCs w:val="22"/>
        </w:rPr>
      </w:pPr>
      <w:r w:rsidRPr="0060709A">
        <w:rPr>
          <w:rFonts w:ascii="Arial" w:hAnsi="Arial" w:cs="Arial"/>
          <w:sz w:val="22"/>
          <w:szCs w:val="22"/>
        </w:rPr>
        <w:t>The Lewis Blackman case highlights how failures in leadership, communication, and organisational governance can lead to serious and preventable patient safety incidents within healthcare systems. A systems thinking perspective demonstrates that the outcome was not the result of a single clinical error, but rather a combination of interacting weaknesses embedded within the wider organisational structure (Senge, 2006).</w:t>
      </w:r>
    </w:p>
    <w:p w14:paraId="623B576B" w14:textId="77777777" w:rsidR="0060709A" w:rsidRPr="0060709A" w:rsidRDefault="0060709A" w:rsidP="0060709A">
      <w:pPr>
        <w:spacing w:line="360" w:lineRule="auto"/>
        <w:rPr>
          <w:rFonts w:ascii="Arial" w:hAnsi="Arial" w:cs="Arial"/>
          <w:sz w:val="22"/>
          <w:szCs w:val="22"/>
        </w:rPr>
      </w:pPr>
    </w:p>
    <w:p w14:paraId="19959A1C" w14:textId="77777777" w:rsidR="0060709A" w:rsidRDefault="0060709A" w:rsidP="0060709A">
      <w:pPr>
        <w:spacing w:line="360" w:lineRule="auto"/>
        <w:rPr>
          <w:rFonts w:ascii="Arial" w:hAnsi="Arial" w:cs="Arial"/>
          <w:sz w:val="22"/>
          <w:szCs w:val="22"/>
        </w:rPr>
      </w:pPr>
      <w:r w:rsidRPr="0060709A">
        <w:rPr>
          <w:rFonts w:ascii="Arial" w:hAnsi="Arial" w:cs="Arial"/>
          <w:sz w:val="22"/>
          <w:szCs w:val="22"/>
        </w:rPr>
        <w:t>These included poor supervision of junior staff, ineffective escalation processes, fragmented accountability, and hierarchical communication barriers that prevented timely intervention (Reason, 2000; Senge, 2006). Such interrelated failures illustrate how complex healthcare systems can produce harmful outcomes when safeguards are weak or poorly coordinated (</w:t>
      </w:r>
      <w:proofErr w:type="spellStart"/>
      <w:r w:rsidRPr="0060709A">
        <w:rPr>
          <w:rFonts w:ascii="Arial" w:hAnsi="Arial" w:cs="Arial"/>
          <w:sz w:val="22"/>
          <w:szCs w:val="22"/>
        </w:rPr>
        <w:t>Checkland</w:t>
      </w:r>
      <w:proofErr w:type="spellEnd"/>
      <w:r w:rsidRPr="0060709A">
        <w:rPr>
          <w:rFonts w:ascii="Arial" w:hAnsi="Arial" w:cs="Arial"/>
          <w:sz w:val="22"/>
          <w:szCs w:val="22"/>
        </w:rPr>
        <w:t>, 1999).</w:t>
      </w:r>
    </w:p>
    <w:p w14:paraId="0FEE4C93" w14:textId="77777777" w:rsidR="00382862" w:rsidRPr="0060709A" w:rsidRDefault="00382862" w:rsidP="0060709A">
      <w:pPr>
        <w:spacing w:line="360" w:lineRule="auto"/>
        <w:rPr>
          <w:rFonts w:ascii="Arial" w:hAnsi="Arial" w:cs="Arial"/>
          <w:sz w:val="22"/>
          <w:szCs w:val="22"/>
        </w:rPr>
      </w:pPr>
    </w:p>
    <w:p w14:paraId="7FB0BFF3" w14:textId="18C999B4" w:rsidR="00382862" w:rsidRDefault="0060709A" w:rsidP="0060709A">
      <w:pPr>
        <w:spacing w:line="360" w:lineRule="auto"/>
        <w:rPr>
          <w:rFonts w:ascii="Arial" w:hAnsi="Arial" w:cs="Arial"/>
          <w:sz w:val="22"/>
          <w:szCs w:val="22"/>
        </w:rPr>
      </w:pPr>
      <w:r w:rsidRPr="0060709A">
        <w:rPr>
          <w:rFonts w:ascii="Arial" w:hAnsi="Arial" w:cs="Arial"/>
          <w:sz w:val="22"/>
          <w:szCs w:val="22"/>
        </w:rPr>
        <w:t>Centralised leadership structures within the organisation limited the ability of frontline staff to make timely and autonomous decisions, particularly in situations requiring urgent clinical judgement. At the same time, decentralised elements of the system lacked clarity and accountability, creating uncertainty around roles and responsibilities (Mintzberg, 1983).</w:t>
      </w:r>
    </w:p>
    <w:p w14:paraId="1AD30323" w14:textId="77777777" w:rsidR="0060709A" w:rsidRPr="0060709A" w:rsidRDefault="0060709A" w:rsidP="0060709A">
      <w:pPr>
        <w:spacing w:line="360" w:lineRule="auto"/>
        <w:rPr>
          <w:rFonts w:ascii="Arial" w:hAnsi="Arial" w:cs="Arial"/>
          <w:sz w:val="22"/>
          <w:szCs w:val="22"/>
        </w:rPr>
      </w:pPr>
      <w:r w:rsidRPr="0060709A">
        <w:rPr>
          <w:rFonts w:ascii="Arial" w:hAnsi="Arial" w:cs="Arial"/>
          <w:sz w:val="22"/>
          <w:szCs w:val="22"/>
        </w:rPr>
        <w:lastRenderedPageBreak/>
        <w:t>Leadership theories provide valuable insights into these failures. The continuum proposed by Tannenbaum and Schmidt illustrates how an overly autocratic leadership approach restricted staff participation and discouraged open communication (Tannenbaum and Schmidt, 1973).</w:t>
      </w:r>
    </w:p>
    <w:p w14:paraId="2C2C0C0A" w14:textId="77777777" w:rsidR="0060709A" w:rsidRPr="0060709A" w:rsidRDefault="0060709A" w:rsidP="0060709A">
      <w:pPr>
        <w:spacing w:line="360" w:lineRule="auto"/>
        <w:rPr>
          <w:rFonts w:ascii="Arial" w:hAnsi="Arial" w:cs="Arial"/>
          <w:sz w:val="22"/>
          <w:szCs w:val="22"/>
        </w:rPr>
      </w:pPr>
    </w:p>
    <w:p w14:paraId="3633A931" w14:textId="35809380" w:rsidR="0060709A" w:rsidRDefault="0060709A" w:rsidP="0060709A">
      <w:pPr>
        <w:spacing w:line="360" w:lineRule="auto"/>
        <w:rPr>
          <w:rFonts w:ascii="Arial" w:hAnsi="Arial" w:cs="Arial"/>
          <w:sz w:val="22"/>
          <w:szCs w:val="22"/>
        </w:rPr>
      </w:pPr>
      <w:r w:rsidRPr="0060709A">
        <w:rPr>
          <w:rFonts w:ascii="Arial" w:hAnsi="Arial" w:cs="Arial"/>
          <w:sz w:val="22"/>
          <w:szCs w:val="22"/>
        </w:rPr>
        <w:t>Similarly, McGregor’s Theory X explains how assumptions about staff needing control reduced empowerment and initiative. In contrast, behavioural leadership theory emphasises that effective leadership depends on supportive behaviours, clear communication, and the ability to foster teamwork and psychological safety (McGregor, 1960; Yukl, 2013).</w:t>
      </w:r>
    </w:p>
    <w:p w14:paraId="596E5944" w14:textId="77777777" w:rsidR="00382862" w:rsidRPr="0060709A" w:rsidRDefault="00382862" w:rsidP="0060709A">
      <w:pPr>
        <w:spacing w:line="360" w:lineRule="auto"/>
        <w:rPr>
          <w:rFonts w:ascii="Arial" w:hAnsi="Arial" w:cs="Arial"/>
          <w:sz w:val="22"/>
          <w:szCs w:val="22"/>
        </w:rPr>
      </w:pPr>
    </w:p>
    <w:p w14:paraId="76EE9942" w14:textId="77777777" w:rsidR="0060709A" w:rsidRPr="0060709A" w:rsidRDefault="0060709A" w:rsidP="0060709A">
      <w:pPr>
        <w:spacing w:line="360" w:lineRule="auto"/>
        <w:rPr>
          <w:rFonts w:ascii="Arial" w:hAnsi="Arial" w:cs="Arial"/>
          <w:sz w:val="22"/>
          <w:szCs w:val="22"/>
        </w:rPr>
      </w:pPr>
      <w:r w:rsidRPr="0060709A">
        <w:rPr>
          <w:rFonts w:ascii="Arial" w:hAnsi="Arial" w:cs="Arial"/>
          <w:sz w:val="22"/>
          <w:szCs w:val="22"/>
        </w:rPr>
        <w:t>Evidence from global healthcare systems demonstrates that similar systemic issues continue to affect patient safety outcomes. Unsafe care remains a major international concern, highlighting the need for strong leadership and governance frameworks that prioritise patient safety and organisational learning (WHO, 2019).</w:t>
      </w:r>
    </w:p>
    <w:p w14:paraId="3A7A7EB9" w14:textId="77777777" w:rsidR="0060709A" w:rsidRPr="0060709A" w:rsidRDefault="0060709A" w:rsidP="0060709A">
      <w:pPr>
        <w:spacing w:line="360" w:lineRule="auto"/>
        <w:rPr>
          <w:rFonts w:ascii="Arial" w:hAnsi="Arial" w:cs="Arial"/>
          <w:sz w:val="22"/>
          <w:szCs w:val="22"/>
        </w:rPr>
      </w:pPr>
    </w:p>
    <w:p w14:paraId="085C61E4" w14:textId="77777777" w:rsidR="0060709A" w:rsidRPr="0060709A" w:rsidRDefault="0060709A" w:rsidP="0060709A">
      <w:pPr>
        <w:spacing w:line="360" w:lineRule="auto"/>
        <w:rPr>
          <w:rFonts w:ascii="Arial" w:hAnsi="Arial" w:cs="Arial"/>
          <w:sz w:val="22"/>
          <w:szCs w:val="22"/>
        </w:rPr>
      </w:pPr>
      <w:r w:rsidRPr="0060709A">
        <w:rPr>
          <w:rFonts w:ascii="Arial" w:hAnsi="Arial" w:cs="Arial"/>
          <w:sz w:val="22"/>
          <w:szCs w:val="22"/>
        </w:rPr>
        <w:t>Healthcare organisations must therefore move beyond a culture of individual blame and instead focus on strengthening systems and processes. By adopting collaborative and adaptive leadership approaches, improving governance structures, and empowering frontline staff to raise concerns and make decisions, organisations can significantly reduce preventable harm (Edmondson, 2018).</w:t>
      </w:r>
    </w:p>
    <w:p w14:paraId="5B2423C5" w14:textId="77777777" w:rsidR="0060709A" w:rsidRPr="0060709A" w:rsidRDefault="0060709A" w:rsidP="0060709A">
      <w:pPr>
        <w:spacing w:line="360" w:lineRule="auto"/>
        <w:rPr>
          <w:rFonts w:ascii="Arial" w:hAnsi="Arial" w:cs="Arial"/>
          <w:sz w:val="22"/>
          <w:szCs w:val="22"/>
        </w:rPr>
      </w:pPr>
    </w:p>
    <w:p w14:paraId="5F2BE89B" w14:textId="0A3D8AB7" w:rsidR="0013264E" w:rsidRDefault="0060709A" w:rsidP="0013264E">
      <w:pPr>
        <w:spacing w:line="360" w:lineRule="auto"/>
        <w:rPr>
          <w:rFonts w:ascii="Arial" w:hAnsi="Arial" w:cs="Arial"/>
          <w:sz w:val="22"/>
          <w:szCs w:val="22"/>
        </w:rPr>
      </w:pPr>
      <w:r w:rsidRPr="0060709A">
        <w:rPr>
          <w:rFonts w:ascii="Arial" w:hAnsi="Arial" w:cs="Arial"/>
          <w:sz w:val="22"/>
          <w:szCs w:val="22"/>
        </w:rPr>
        <w:t>Ultimately, sustainable improvement depends on creating healthcare environments that support communication, accountability, and continuous learning, ensuring safer and more effective care for patients. This aligns with systems thinking principles that emphasise learning, adaptation, and continuous organisational improvement (Senge, 2006).</w:t>
      </w:r>
      <w:r w:rsidR="0008652E">
        <w:rPr>
          <w:rFonts w:ascii="Arial" w:hAnsi="Arial" w:cs="Arial"/>
          <w:sz w:val="22"/>
          <w:szCs w:val="22"/>
        </w:rPr>
        <w:t xml:space="preserve"> </w:t>
      </w:r>
      <w:bookmarkStart w:id="16" w:name="_Toc225334449"/>
    </w:p>
    <w:p w14:paraId="5C7B26B5" w14:textId="77777777" w:rsidR="0013264E" w:rsidRPr="0013264E" w:rsidRDefault="0013264E" w:rsidP="0013264E">
      <w:pPr>
        <w:spacing w:line="360" w:lineRule="auto"/>
        <w:rPr>
          <w:rFonts w:ascii="Arial" w:hAnsi="Arial" w:cs="Arial"/>
          <w:sz w:val="22"/>
          <w:szCs w:val="22"/>
        </w:rPr>
      </w:pPr>
    </w:p>
    <w:p w14:paraId="5FE341BF" w14:textId="77777777" w:rsidR="00015823" w:rsidRDefault="00015823" w:rsidP="00744291">
      <w:pPr>
        <w:pStyle w:val="Heading1"/>
        <w:rPr>
          <w:b/>
          <w:bCs/>
          <w:color w:val="auto"/>
          <w:sz w:val="24"/>
          <w:szCs w:val="24"/>
        </w:rPr>
      </w:pPr>
    </w:p>
    <w:p w14:paraId="32D1FD5D" w14:textId="77777777" w:rsidR="00015823" w:rsidRDefault="00015823" w:rsidP="00744291">
      <w:pPr>
        <w:pStyle w:val="Heading1"/>
        <w:rPr>
          <w:b/>
          <w:bCs/>
          <w:color w:val="auto"/>
          <w:sz w:val="24"/>
          <w:szCs w:val="24"/>
        </w:rPr>
      </w:pPr>
    </w:p>
    <w:p w14:paraId="1E6FE089" w14:textId="77777777" w:rsidR="00015823" w:rsidRDefault="00015823" w:rsidP="00744291">
      <w:pPr>
        <w:pStyle w:val="Heading1"/>
        <w:rPr>
          <w:b/>
          <w:bCs/>
          <w:color w:val="auto"/>
          <w:sz w:val="24"/>
          <w:szCs w:val="24"/>
        </w:rPr>
      </w:pPr>
    </w:p>
    <w:p w14:paraId="20F1F008" w14:textId="77777777" w:rsidR="00382862" w:rsidRPr="00382862" w:rsidRDefault="00382862" w:rsidP="00382862"/>
    <w:p w14:paraId="1CE295B2" w14:textId="465BECB0" w:rsidR="00744291" w:rsidRDefault="00744291" w:rsidP="00744291">
      <w:pPr>
        <w:pStyle w:val="Heading1"/>
        <w:rPr>
          <w:b/>
          <w:bCs/>
          <w:color w:val="auto"/>
          <w:sz w:val="24"/>
          <w:szCs w:val="24"/>
        </w:rPr>
      </w:pPr>
      <w:r w:rsidRPr="00744291">
        <w:rPr>
          <w:b/>
          <w:bCs/>
          <w:color w:val="auto"/>
          <w:sz w:val="24"/>
          <w:szCs w:val="24"/>
        </w:rPr>
        <w:lastRenderedPageBreak/>
        <w:t>Reference List</w:t>
      </w:r>
      <w:bookmarkEnd w:id="16"/>
    </w:p>
    <w:p w14:paraId="78C685FE" w14:textId="77777777" w:rsidR="00481D49" w:rsidRDefault="00481D49" w:rsidP="00481D49"/>
    <w:p w14:paraId="499EF49C" w14:textId="7D3BC376" w:rsidR="00481D49" w:rsidRDefault="00481D49" w:rsidP="00481D49">
      <w:r>
        <w:t xml:space="preserve">Bass, B.M. and Riggio, R.E. (2006) </w:t>
      </w:r>
      <w:r w:rsidRPr="00481D49">
        <w:rPr>
          <w:i/>
          <w:iCs/>
        </w:rPr>
        <w:t>Transformational leadership</w:t>
      </w:r>
      <w:r>
        <w:t xml:space="preserve">. 2nd </w:t>
      </w:r>
      <w:proofErr w:type="spellStart"/>
      <w:r>
        <w:t>edn</w:t>
      </w:r>
      <w:proofErr w:type="spellEnd"/>
      <w:r>
        <w:t>. Mahwah, NJ: Lawrence Erlbaum Associates.</w:t>
      </w:r>
    </w:p>
    <w:p w14:paraId="74193FB6" w14:textId="77777777" w:rsidR="00481D49" w:rsidRDefault="00481D49" w:rsidP="00481D49"/>
    <w:p w14:paraId="721ADE95" w14:textId="77777777" w:rsidR="00481D49" w:rsidRDefault="00481D49" w:rsidP="00481D49">
      <w:r>
        <w:t xml:space="preserve">Braithwaite, J., Herkes, J., Ludlow, K., Testa, L. and </w:t>
      </w:r>
      <w:proofErr w:type="spellStart"/>
      <w:r>
        <w:t>Lamprell</w:t>
      </w:r>
      <w:proofErr w:type="spellEnd"/>
      <w:r>
        <w:t xml:space="preserve">, G. (2017) ‘Association between organisational and workplace cultures, and patient outcomes: systematic review’, </w:t>
      </w:r>
      <w:r w:rsidRPr="00481D49">
        <w:rPr>
          <w:i/>
          <w:iCs/>
        </w:rPr>
        <w:t>BMJ Open,</w:t>
      </w:r>
      <w:r>
        <w:t xml:space="preserve"> 7(11), e017708.</w:t>
      </w:r>
    </w:p>
    <w:p w14:paraId="2457A871" w14:textId="77777777" w:rsidR="00481D49" w:rsidRDefault="00481D49" w:rsidP="00481D49"/>
    <w:p w14:paraId="0BD9F923" w14:textId="77777777" w:rsidR="00481D49" w:rsidRDefault="00481D49" w:rsidP="00481D49">
      <w:r>
        <w:t>Burns, T. and Stalker, G.M. (1961</w:t>
      </w:r>
      <w:r w:rsidRPr="00481D49">
        <w:rPr>
          <w:i/>
          <w:iCs/>
        </w:rPr>
        <w:t>) The management of innovation</w:t>
      </w:r>
      <w:r>
        <w:t>. London: Tavistock Publications.</w:t>
      </w:r>
    </w:p>
    <w:p w14:paraId="6EFFF9C3" w14:textId="77777777" w:rsidR="00481D49" w:rsidRDefault="00481D49" w:rsidP="00481D49"/>
    <w:p w14:paraId="443762B2" w14:textId="77777777" w:rsidR="00481D49" w:rsidRDefault="00481D49" w:rsidP="00481D49">
      <w:proofErr w:type="spellStart"/>
      <w:r>
        <w:t>Checkland</w:t>
      </w:r>
      <w:proofErr w:type="spellEnd"/>
      <w:r>
        <w:t xml:space="preserve">, P. (1999) </w:t>
      </w:r>
      <w:r w:rsidRPr="00481D49">
        <w:rPr>
          <w:i/>
          <w:iCs/>
        </w:rPr>
        <w:t>Systems thinking, systems practice</w:t>
      </w:r>
      <w:r>
        <w:t>. Chichester: Wiley.</w:t>
      </w:r>
    </w:p>
    <w:p w14:paraId="198BFD2A" w14:textId="77777777" w:rsidR="00481D49" w:rsidRDefault="00481D49" w:rsidP="00481D49"/>
    <w:p w14:paraId="1BD21C3C" w14:textId="77777777" w:rsidR="00481D49" w:rsidRDefault="00481D49" w:rsidP="00481D49">
      <w:r>
        <w:t xml:space="preserve">Cummings, G.G., Tate, K., Lee, S., Wong, C.A., Paananen, T., </w:t>
      </w:r>
      <w:proofErr w:type="spellStart"/>
      <w:r>
        <w:t>Micaroni</w:t>
      </w:r>
      <w:proofErr w:type="spellEnd"/>
      <w:r>
        <w:t>, S.P. and Chatterjee, G.E. (2018) ‘Leadership styles and outcome patterns for the nursing workforce and work environment: A systematic review’</w:t>
      </w:r>
      <w:r w:rsidRPr="00481D49">
        <w:rPr>
          <w:i/>
          <w:iCs/>
        </w:rPr>
        <w:t>, International Journal of Nursing Studies</w:t>
      </w:r>
      <w:r>
        <w:t>, 85, pp. 19–60.</w:t>
      </w:r>
    </w:p>
    <w:p w14:paraId="1A928B43" w14:textId="77777777" w:rsidR="00481D49" w:rsidRDefault="00481D49" w:rsidP="00481D49"/>
    <w:p w14:paraId="6691EDE8" w14:textId="77777777" w:rsidR="00481D49" w:rsidRDefault="00481D49" w:rsidP="00481D49">
      <w:r>
        <w:t xml:space="preserve">Dixon-Woods, M., Baker, R., Charles, K., Dawson, J., </w:t>
      </w:r>
      <w:proofErr w:type="spellStart"/>
      <w:r>
        <w:t>Jerzembek</w:t>
      </w:r>
      <w:proofErr w:type="spellEnd"/>
      <w:r>
        <w:t xml:space="preserve">, G., Martin, G., McCarthy, I., McKee, L., Minion, J., </w:t>
      </w:r>
      <w:proofErr w:type="spellStart"/>
      <w:r>
        <w:t>Ozieranski</w:t>
      </w:r>
      <w:proofErr w:type="spellEnd"/>
      <w:r>
        <w:t xml:space="preserve">, P., Willars, J. and West, M. (2014) </w:t>
      </w:r>
      <w:r w:rsidRPr="00481D49">
        <w:rPr>
          <w:i/>
          <w:iCs/>
        </w:rPr>
        <w:t>Culture and behaviour in the English National Health Service: overview of lessons from a large multimethod study</w:t>
      </w:r>
      <w:r>
        <w:t>. BMJ Quality &amp; Safety, 23(2), pp.106–115.</w:t>
      </w:r>
    </w:p>
    <w:p w14:paraId="1433BD09" w14:textId="77777777" w:rsidR="00481D49" w:rsidRDefault="00481D49" w:rsidP="00481D49"/>
    <w:p w14:paraId="0760BB65" w14:textId="77777777" w:rsidR="00481D49" w:rsidRDefault="00481D49" w:rsidP="00481D49">
      <w:r>
        <w:t xml:space="preserve">Edmondson, A.C. (2018) The fearless organization: </w:t>
      </w:r>
      <w:r w:rsidRPr="00481D49">
        <w:rPr>
          <w:i/>
          <w:iCs/>
        </w:rPr>
        <w:t>Creating psychological safety in the workplace for learning, innovation, and growth</w:t>
      </w:r>
      <w:r>
        <w:t>. Hoboken, NJ: Wiley.</w:t>
      </w:r>
    </w:p>
    <w:p w14:paraId="1063100E" w14:textId="77777777" w:rsidR="00481D49" w:rsidRDefault="00481D49" w:rsidP="00481D49"/>
    <w:p w14:paraId="2501CA90" w14:textId="77777777" w:rsidR="00481D49" w:rsidRDefault="00481D49" w:rsidP="00481D49">
      <w:r>
        <w:t xml:space="preserve">Goleman, D. (2000) ‘Leadership that gets results’, </w:t>
      </w:r>
      <w:r w:rsidRPr="00481D49">
        <w:rPr>
          <w:i/>
          <w:iCs/>
        </w:rPr>
        <w:t>Harvard Business Review</w:t>
      </w:r>
      <w:r>
        <w:t>, 78(2), pp. 78–90.</w:t>
      </w:r>
    </w:p>
    <w:p w14:paraId="0F21A7AF" w14:textId="77777777" w:rsidR="00481D49" w:rsidRDefault="00481D49" w:rsidP="00481D49"/>
    <w:p w14:paraId="50C4CAFB" w14:textId="77777777" w:rsidR="00481D49" w:rsidRDefault="00481D49" w:rsidP="00481D49">
      <w:r>
        <w:t>Haskell, H. (2012) ‘The Lewis Blackman story: A patient safety case study’</w:t>
      </w:r>
      <w:r w:rsidRPr="00481D49">
        <w:rPr>
          <w:i/>
          <w:iCs/>
        </w:rPr>
        <w:t>, Journal of Patient Safety</w:t>
      </w:r>
      <w:r>
        <w:t>, 8(2), pp. 63–68.</w:t>
      </w:r>
    </w:p>
    <w:p w14:paraId="1D7720D5" w14:textId="77777777" w:rsidR="00481D49" w:rsidRDefault="00481D49" w:rsidP="00481D49"/>
    <w:p w14:paraId="28ABE2C4" w14:textId="77777777" w:rsidR="00481D49" w:rsidRDefault="00481D49" w:rsidP="00481D49">
      <w:r>
        <w:t>Institute for Healthcare Improvement (IHI) (2020</w:t>
      </w:r>
      <w:r w:rsidRPr="00481D49">
        <w:rPr>
          <w:i/>
          <w:iCs/>
        </w:rPr>
        <w:t>) Patient safety essentials toolkit</w:t>
      </w:r>
      <w:r>
        <w:t>. Boston: IHI.</w:t>
      </w:r>
    </w:p>
    <w:p w14:paraId="57F62675" w14:textId="77777777" w:rsidR="00481D49" w:rsidRDefault="00481D49" w:rsidP="00481D49"/>
    <w:p w14:paraId="65273C0A" w14:textId="77777777" w:rsidR="00481D49" w:rsidRDefault="00481D49" w:rsidP="00481D49">
      <w:r>
        <w:t xml:space="preserve">Institute of Medicine (2000) </w:t>
      </w:r>
      <w:r w:rsidRPr="00481D49">
        <w:rPr>
          <w:i/>
          <w:iCs/>
        </w:rPr>
        <w:t>To err is human: Building a safer health system</w:t>
      </w:r>
      <w:r>
        <w:t>. Washington, DC: National Academies Press.</w:t>
      </w:r>
    </w:p>
    <w:p w14:paraId="0E6D700F" w14:textId="77777777" w:rsidR="00481D49" w:rsidRDefault="00481D49" w:rsidP="00481D49"/>
    <w:p w14:paraId="2D37265F" w14:textId="77777777" w:rsidR="00481D49" w:rsidRDefault="00481D49" w:rsidP="00481D49">
      <w:r>
        <w:t xml:space="preserve">Joint Commission (2015) </w:t>
      </w:r>
      <w:r w:rsidRPr="00481D49">
        <w:rPr>
          <w:i/>
          <w:iCs/>
        </w:rPr>
        <w:t>Sentinel event data</w:t>
      </w:r>
      <w:r>
        <w:t>: Root causes by event type. Oakbrook Terrace, IL: The Joint Commission.</w:t>
      </w:r>
    </w:p>
    <w:p w14:paraId="26A43896" w14:textId="77777777" w:rsidR="00481D49" w:rsidRDefault="00481D49" w:rsidP="00481D49"/>
    <w:p w14:paraId="37C7E314" w14:textId="77777777" w:rsidR="00481D49" w:rsidRDefault="00481D49" w:rsidP="00481D49">
      <w:r>
        <w:t xml:space="preserve">Kaplan, H.C., Brady, P.W., Dritz, M.C., Hooper, D.K., Linam, W.M., Froehle, C.M. and Margolis, P. (2010) </w:t>
      </w:r>
      <w:r w:rsidRPr="00481D49">
        <w:rPr>
          <w:i/>
          <w:iCs/>
        </w:rPr>
        <w:t>The influence of context on quality improvement success in health care: a systematic review of the literature</w:t>
      </w:r>
      <w:r>
        <w:t>. The Milbank Quarterly, 88(4), pp.500–559.</w:t>
      </w:r>
    </w:p>
    <w:p w14:paraId="327057AC" w14:textId="77777777" w:rsidR="00481D49" w:rsidRDefault="00481D49" w:rsidP="00481D49"/>
    <w:p w14:paraId="0A5F4492" w14:textId="77777777" w:rsidR="00481D49" w:rsidRDefault="00481D49" w:rsidP="00481D49">
      <w:r>
        <w:t xml:space="preserve">Kotter, J.P. (1996) </w:t>
      </w:r>
      <w:r w:rsidRPr="00481D49">
        <w:rPr>
          <w:i/>
          <w:iCs/>
        </w:rPr>
        <w:t>Leading Change</w:t>
      </w:r>
      <w:r>
        <w:t>. Boston: Harvard Business School Press.</w:t>
      </w:r>
    </w:p>
    <w:p w14:paraId="03D64167" w14:textId="77777777" w:rsidR="00481D49" w:rsidRDefault="00481D49" w:rsidP="00481D49">
      <w:proofErr w:type="spellStart"/>
      <w:r>
        <w:t>Leape</w:t>
      </w:r>
      <w:proofErr w:type="spellEnd"/>
      <w:r>
        <w:t xml:space="preserve">, L.L. (1994) </w:t>
      </w:r>
      <w:r w:rsidRPr="00481D49">
        <w:rPr>
          <w:i/>
          <w:iCs/>
        </w:rPr>
        <w:t>Error in medicine</w:t>
      </w:r>
      <w:r>
        <w:t>. JAMA, 272(23), pp.1851–1857.</w:t>
      </w:r>
    </w:p>
    <w:p w14:paraId="1E40694D" w14:textId="77777777" w:rsidR="00481D49" w:rsidRDefault="00481D49" w:rsidP="00481D49"/>
    <w:p w14:paraId="4D97ADE9" w14:textId="77777777" w:rsidR="00481D49" w:rsidRDefault="00481D49" w:rsidP="00481D49">
      <w:r>
        <w:t xml:space="preserve">Makary, M.A. and Daniel, M. (2016) ‘Medical error—the third leading cause of death in the US’, </w:t>
      </w:r>
      <w:r w:rsidRPr="00481D49">
        <w:rPr>
          <w:i/>
          <w:iCs/>
        </w:rPr>
        <w:t>BMJ</w:t>
      </w:r>
      <w:r>
        <w:t>, 353, i2139.</w:t>
      </w:r>
    </w:p>
    <w:p w14:paraId="64DECFFB" w14:textId="77777777" w:rsidR="00481D49" w:rsidRDefault="00481D49" w:rsidP="00481D49"/>
    <w:p w14:paraId="4EF7A4E7" w14:textId="77777777" w:rsidR="00481D49" w:rsidRDefault="00481D49" w:rsidP="00481D49">
      <w:r>
        <w:t xml:space="preserve">Marquis, B.L. and Huston, C.J. (2021) </w:t>
      </w:r>
      <w:r w:rsidRPr="00481D49">
        <w:rPr>
          <w:i/>
          <w:iCs/>
        </w:rPr>
        <w:t>Leadership roles and management functions in nursing: Theory and application.</w:t>
      </w:r>
      <w:r>
        <w:t xml:space="preserve"> 10th </w:t>
      </w:r>
      <w:proofErr w:type="spellStart"/>
      <w:r>
        <w:t>edn</w:t>
      </w:r>
      <w:proofErr w:type="spellEnd"/>
      <w:r>
        <w:t>. Philadelphia: Wolters Kluwer.</w:t>
      </w:r>
    </w:p>
    <w:p w14:paraId="5581FD77" w14:textId="77777777" w:rsidR="00481D49" w:rsidRDefault="00481D49" w:rsidP="00481D49"/>
    <w:p w14:paraId="470CBDFD" w14:textId="66610DEA" w:rsidR="00481D49" w:rsidRDefault="00481D49" w:rsidP="00481D49">
      <w:r>
        <w:t xml:space="preserve">McGregor, D. (1960) </w:t>
      </w:r>
      <w:r w:rsidRPr="00481D49">
        <w:rPr>
          <w:i/>
          <w:iCs/>
        </w:rPr>
        <w:t>The human side of enterprise</w:t>
      </w:r>
      <w:r>
        <w:t>. New York: McGraw-Hill.</w:t>
      </w:r>
    </w:p>
    <w:p w14:paraId="6B1D437A" w14:textId="77777777" w:rsidR="00481D49" w:rsidRDefault="00481D49" w:rsidP="00481D49"/>
    <w:p w14:paraId="3642B269" w14:textId="77777777" w:rsidR="00481D49" w:rsidRDefault="00481D49" w:rsidP="00481D49">
      <w:r>
        <w:t>Mintzberg, H. (1983</w:t>
      </w:r>
      <w:r w:rsidRPr="00481D49">
        <w:rPr>
          <w:i/>
          <w:iCs/>
        </w:rPr>
        <w:t>) Structure in fives: Designing effective organizations</w:t>
      </w:r>
      <w:r>
        <w:t>. Englewood Cliffs, NJ: Prentice-Hall.</w:t>
      </w:r>
    </w:p>
    <w:p w14:paraId="37C33319" w14:textId="77777777" w:rsidR="00481D49" w:rsidRDefault="00481D49" w:rsidP="00481D49">
      <w:r>
        <w:t xml:space="preserve">NHS England (2022) </w:t>
      </w:r>
      <w:r w:rsidRPr="00481D49">
        <w:rPr>
          <w:i/>
          <w:iCs/>
        </w:rPr>
        <w:t>Patient safety incident statistics</w:t>
      </w:r>
      <w:r>
        <w:t>. London: NHS England.</w:t>
      </w:r>
    </w:p>
    <w:p w14:paraId="1E73F2E0" w14:textId="77777777" w:rsidR="00481D49" w:rsidRDefault="00481D49" w:rsidP="00481D49"/>
    <w:p w14:paraId="568C0E76" w14:textId="77777777" w:rsidR="00481D49" w:rsidRDefault="00481D49" w:rsidP="00481D49">
      <w:r>
        <w:t xml:space="preserve">OECD (2017) Health at a glance 2017: OECD </w:t>
      </w:r>
      <w:r w:rsidRPr="00481D49">
        <w:rPr>
          <w:i/>
          <w:iCs/>
        </w:rPr>
        <w:t>indicators</w:t>
      </w:r>
      <w:r>
        <w:t>. Paris: OECD Publishing.</w:t>
      </w:r>
    </w:p>
    <w:p w14:paraId="74D1B213" w14:textId="77777777" w:rsidR="00481D49" w:rsidRDefault="00481D49" w:rsidP="00481D49"/>
    <w:p w14:paraId="5613B08A" w14:textId="77777777" w:rsidR="00481D49" w:rsidRDefault="00481D49" w:rsidP="00481D49">
      <w:r>
        <w:t xml:space="preserve">OECD (2020) Health at a glance 2020: OECD </w:t>
      </w:r>
      <w:r w:rsidRPr="00481D49">
        <w:rPr>
          <w:i/>
          <w:iCs/>
        </w:rPr>
        <w:t>indicators</w:t>
      </w:r>
      <w:r>
        <w:t>. Paris: OECD Publishing.</w:t>
      </w:r>
    </w:p>
    <w:p w14:paraId="6CD2620A" w14:textId="77777777" w:rsidR="00481D49" w:rsidRDefault="00481D49" w:rsidP="00481D49"/>
    <w:p w14:paraId="4C6878A5" w14:textId="77777777" w:rsidR="00481D49" w:rsidRDefault="00481D49" w:rsidP="00481D49">
      <w:r>
        <w:t xml:space="preserve">Pronovost, P., Needham, D., </w:t>
      </w:r>
      <w:proofErr w:type="spellStart"/>
      <w:r>
        <w:t>Berenholtz</w:t>
      </w:r>
      <w:proofErr w:type="spellEnd"/>
      <w:r>
        <w:t xml:space="preserve">, S., Sinopoli, D., Chu, H., Cosgrove, S., Sexton, B., Hyzy, R., Welsh, R., Roth, G., Bander, J., </w:t>
      </w:r>
      <w:proofErr w:type="spellStart"/>
      <w:r>
        <w:t>Kepros</w:t>
      </w:r>
      <w:proofErr w:type="spellEnd"/>
      <w:r>
        <w:t>, J. and Goeschel, C. (2006</w:t>
      </w:r>
      <w:r w:rsidRPr="00481D49">
        <w:rPr>
          <w:i/>
          <w:iCs/>
        </w:rPr>
        <w:t>) An intervention to decrease catheter-related bloodstream infections in the ICU</w:t>
      </w:r>
      <w:r>
        <w:t>. New England Journal of Medicine, 355(26), pp.2725–2732.</w:t>
      </w:r>
    </w:p>
    <w:p w14:paraId="2DE9F422" w14:textId="77777777" w:rsidR="00481D49" w:rsidRDefault="00481D49" w:rsidP="00481D49"/>
    <w:p w14:paraId="5EE93BF7" w14:textId="77777777" w:rsidR="00481D49" w:rsidRDefault="00481D49" w:rsidP="00481D49">
      <w:r>
        <w:t xml:space="preserve">Reason, J. (2000) ‘Human error: Models and management’, </w:t>
      </w:r>
      <w:r w:rsidRPr="00481D49">
        <w:rPr>
          <w:i/>
          <w:iCs/>
        </w:rPr>
        <w:t>BMJ</w:t>
      </w:r>
      <w:r>
        <w:t>, 320(7237), pp. 768–770.</w:t>
      </w:r>
    </w:p>
    <w:p w14:paraId="543AF4B8" w14:textId="77777777" w:rsidR="00481D49" w:rsidRDefault="00481D49" w:rsidP="00481D49"/>
    <w:p w14:paraId="34AE4D65" w14:textId="77777777" w:rsidR="00481D49" w:rsidRDefault="00481D49" w:rsidP="00481D49">
      <w:r>
        <w:t xml:space="preserve">Schein, E.H. (2010) </w:t>
      </w:r>
      <w:r w:rsidRPr="00481D49">
        <w:rPr>
          <w:i/>
          <w:iCs/>
        </w:rPr>
        <w:t>Organizational Culture and Leadership</w:t>
      </w:r>
      <w:r>
        <w:t xml:space="preserve">. 4th </w:t>
      </w:r>
      <w:proofErr w:type="spellStart"/>
      <w:r>
        <w:t>edn</w:t>
      </w:r>
      <w:proofErr w:type="spellEnd"/>
      <w:r>
        <w:t>. San Francisco: Jossey-Bass.</w:t>
      </w:r>
    </w:p>
    <w:p w14:paraId="1BBC4016" w14:textId="77777777" w:rsidR="00481D49" w:rsidRDefault="00481D49" w:rsidP="00481D49"/>
    <w:p w14:paraId="1DDBED4A" w14:textId="77777777" w:rsidR="00481D49" w:rsidRDefault="00481D49" w:rsidP="00481D49">
      <w:r>
        <w:t xml:space="preserve">Senge, P.M. (2006) </w:t>
      </w:r>
      <w:r w:rsidRPr="00481D49">
        <w:rPr>
          <w:i/>
          <w:iCs/>
        </w:rPr>
        <w:t>The fifth discipline: The art and practice of the learning organization</w:t>
      </w:r>
      <w:r>
        <w:t xml:space="preserve">. Rev. </w:t>
      </w:r>
      <w:proofErr w:type="spellStart"/>
      <w:r>
        <w:t>edn</w:t>
      </w:r>
      <w:proofErr w:type="spellEnd"/>
      <w:r>
        <w:t>. New York: Doubleday.</w:t>
      </w:r>
    </w:p>
    <w:p w14:paraId="1935EA04" w14:textId="77777777" w:rsidR="00481D49" w:rsidRDefault="00481D49" w:rsidP="00481D49"/>
    <w:p w14:paraId="192B024E" w14:textId="77777777" w:rsidR="00481D49" w:rsidRDefault="00481D49" w:rsidP="00481D49">
      <w:r>
        <w:t>Tannenbaum, R. and Schmidt, W.H. (1973) ‘</w:t>
      </w:r>
      <w:r w:rsidRPr="00481D49">
        <w:rPr>
          <w:i/>
          <w:iCs/>
        </w:rPr>
        <w:t>How to choose a leadership pattern’, Harvard Business Review</w:t>
      </w:r>
      <w:r>
        <w:t>, 51(3), pp. 162–180.</w:t>
      </w:r>
    </w:p>
    <w:p w14:paraId="1686D95E" w14:textId="77777777" w:rsidR="00481D49" w:rsidRDefault="00481D49" w:rsidP="00481D49"/>
    <w:p w14:paraId="22043CAF" w14:textId="77777777" w:rsidR="00481D49" w:rsidRDefault="00481D49" w:rsidP="00481D49">
      <w:r>
        <w:t xml:space="preserve">Vincent, C. (2010) </w:t>
      </w:r>
      <w:r w:rsidRPr="00481D49">
        <w:rPr>
          <w:i/>
          <w:iCs/>
        </w:rPr>
        <w:t>Patient Safety.</w:t>
      </w:r>
      <w:r>
        <w:t xml:space="preserve"> 2nd </w:t>
      </w:r>
      <w:proofErr w:type="spellStart"/>
      <w:r>
        <w:t>edn</w:t>
      </w:r>
      <w:proofErr w:type="spellEnd"/>
      <w:r>
        <w:t>. Chichester: Wiley-Blackwell.</w:t>
      </w:r>
    </w:p>
    <w:p w14:paraId="13DC4584" w14:textId="77777777" w:rsidR="00481D49" w:rsidRDefault="00481D49" w:rsidP="00481D49"/>
    <w:p w14:paraId="1798D0F4" w14:textId="77777777" w:rsidR="00481D49" w:rsidRDefault="00481D49" w:rsidP="00481D49">
      <w:r>
        <w:t xml:space="preserve">Wachter, R.M. (2012) </w:t>
      </w:r>
      <w:r w:rsidRPr="00481D49">
        <w:rPr>
          <w:i/>
          <w:iCs/>
        </w:rPr>
        <w:t>Understanding Patient Safety</w:t>
      </w:r>
      <w:r>
        <w:t xml:space="preserve">. 2nd </w:t>
      </w:r>
      <w:proofErr w:type="spellStart"/>
      <w:r>
        <w:t>edn</w:t>
      </w:r>
      <w:proofErr w:type="spellEnd"/>
      <w:r>
        <w:t>. New York: McGraw-Hill.</w:t>
      </w:r>
    </w:p>
    <w:p w14:paraId="78D017FC" w14:textId="77777777" w:rsidR="00481D49" w:rsidRDefault="00481D49" w:rsidP="00481D49"/>
    <w:p w14:paraId="5C94F023" w14:textId="77777777" w:rsidR="00481D49" w:rsidRPr="003C6FAC" w:rsidRDefault="00481D49" w:rsidP="00481D49">
      <w:r>
        <w:t xml:space="preserve">Weick, K.E. and Sutcliffe, K.M. (2007) </w:t>
      </w:r>
      <w:r w:rsidRPr="00481D49">
        <w:rPr>
          <w:i/>
          <w:iCs/>
        </w:rPr>
        <w:t>Managing the Unexpected: Resilient Performance in an Age of Uncertainty</w:t>
      </w:r>
      <w:r>
        <w:t xml:space="preserve">. 2nd </w:t>
      </w:r>
      <w:proofErr w:type="spellStart"/>
      <w:r>
        <w:t>edn</w:t>
      </w:r>
      <w:proofErr w:type="spellEnd"/>
      <w:r>
        <w:t>. San Francisco: Jossey-Bass.</w:t>
      </w:r>
    </w:p>
    <w:p w14:paraId="58CD6434" w14:textId="77777777" w:rsidR="00481D49" w:rsidRDefault="00481D49" w:rsidP="00481D49">
      <w:r>
        <w:t xml:space="preserve">West, M., Armit, K., Loewenthal, L., Eckert, R., West, T. and Lee, A. (2015) </w:t>
      </w:r>
      <w:r w:rsidRPr="00481D49">
        <w:rPr>
          <w:i/>
          <w:iCs/>
        </w:rPr>
        <w:t>Leadership and leadership development in healthcare: The evidence base.</w:t>
      </w:r>
      <w:r>
        <w:t xml:space="preserve"> London: Faculty of Medical Leadership and Management.</w:t>
      </w:r>
    </w:p>
    <w:p w14:paraId="2A682365" w14:textId="77777777" w:rsidR="00481D49" w:rsidRDefault="00481D49" w:rsidP="00481D49"/>
    <w:p w14:paraId="5A89F189" w14:textId="77777777" w:rsidR="00481D49" w:rsidRDefault="00481D49" w:rsidP="00481D49">
      <w:r>
        <w:lastRenderedPageBreak/>
        <w:t xml:space="preserve">West, M., Coia, D. and Caring for Doctors, Caring for Patients (2018) </w:t>
      </w:r>
      <w:r w:rsidRPr="00481D49">
        <w:rPr>
          <w:i/>
          <w:iCs/>
        </w:rPr>
        <w:t>The general medical council report on wellbeing</w:t>
      </w:r>
      <w:r>
        <w:t>. London: GMC.</w:t>
      </w:r>
    </w:p>
    <w:p w14:paraId="44E93893" w14:textId="77777777" w:rsidR="00481D49" w:rsidRDefault="00481D49" w:rsidP="00481D49"/>
    <w:p w14:paraId="7903FC04" w14:textId="77777777" w:rsidR="00481D49" w:rsidRDefault="00481D49" w:rsidP="00481D49">
      <w:r>
        <w:t>World Health Organization (WHO) (2017</w:t>
      </w:r>
      <w:r w:rsidRPr="00481D49">
        <w:rPr>
          <w:i/>
          <w:iCs/>
        </w:rPr>
        <w:t>) Medication without harm: Global patient safety challenge.</w:t>
      </w:r>
      <w:r>
        <w:t xml:space="preserve"> Geneva: WHO.</w:t>
      </w:r>
    </w:p>
    <w:p w14:paraId="788858D5" w14:textId="77777777" w:rsidR="00481D49" w:rsidRDefault="00481D49" w:rsidP="00481D49"/>
    <w:p w14:paraId="28E83132" w14:textId="7162DB6A" w:rsidR="00481D49" w:rsidRDefault="00481D49" w:rsidP="00481D49">
      <w:r>
        <w:t xml:space="preserve">World Health Organization (WHO) (2019) </w:t>
      </w:r>
      <w:r w:rsidRPr="00481D49">
        <w:rPr>
          <w:i/>
          <w:iCs/>
        </w:rPr>
        <w:t>Patient safety: Global action on patient safety.</w:t>
      </w:r>
      <w:r>
        <w:t xml:space="preserve"> Geneva: WHO.</w:t>
      </w:r>
    </w:p>
    <w:p w14:paraId="6834C9DE" w14:textId="77777777" w:rsidR="00481D49" w:rsidRDefault="00481D49" w:rsidP="00481D49"/>
    <w:p w14:paraId="6EB41BDC" w14:textId="3200EA99" w:rsidR="00481D49" w:rsidRDefault="00481D49" w:rsidP="00481D49">
      <w:r>
        <w:t xml:space="preserve">Yukl, G. (2013) </w:t>
      </w:r>
      <w:r w:rsidRPr="00481D49">
        <w:rPr>
          <w:i/>
          <w:iCs/>
        </w:rPr>
        <w:t>Leadership in organizations</w:t>
      </w:r>
      <w:r>
        <w:t xml:space="preserve">. 8th </w:t>
      </w:r>
      <w:proofErr w:type="spellStart"/>
      <w:r>
        <w:t>edn</w:t>
      </w:r>
      <w:proofErr w:type="spellEnd"/>
      <w:r>
        <w:t>. Boston: Pearson.</w:t>
      </w:r>
    </w:p>
    <w:sectPr w:rsidR="00481D4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226A17" w14:textId="77777777" w:rsidR="00207299" w:rsidRDefault="00207299" w:rsidP="00DF557B">
      <w:pPr>
        <w:spacing w:after="0" w:line="240" w:lineRule="auto"/>
      </w:pPr>
      <w:r>
        <w:separator/>
      </w:r>
    </w:p>
  </w:endnote>
  <w:endnote w:type="continuationSeparator" w:id="0">
    <w:p w14:paraId="5BCF680D" w14:textId="77777777" w:rsidR="00207299" w:rsidRDefault="00207299" w:rsidP="00DF55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8489198"/>
      <w:docPartObj>
        <w:docPartGallery w:val="Page Numbers (Bottom of Page)"/>
        <w:docPartUnique/>
      </w:docPartObj>
    </w:sdtPr>
    <w:sdtContent>
      <w:p w14:paraId="79AD3B3F" w14:textId="306A43B3" w:rsidR="00FA5DFC" w:rsidRDefault="00FA5DFC">
        <w:pPr>
          <w:pStyle w:val="Footer"/>
          <w:jc w:val="right"/>
        </w:pPr>
        <w:r>
          <w:fldChar w:fldCharType="begin"/>
        </w:r>
        <w:r>
          <w:instrText>PAGE   \* MERGEFORMAT</w:instrText>
        </w:r>
        <w:r>
          <w:fldChar w:fldCharType="separate"/>
        </w:r>
        <w:r>
          <w:t>2</w:t>
        </w:r>
        <w:r>
          <w:fldChar w:fldCharType="end"/>
        </w:r>
      </w:p>
    </w:sdtContent>
  </w:sdt>
  <w:p w14:paraId="6B6D85A0" w14:textId="77777777" w:rsidR="00FA5DFC" w:rsidRDefault="00FA5D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2443CA" w14:textId="77777777" w:rsidR="00207299" w:rsidRDefault="00207299" w:rsidP="00DF557B">
      <w:pPr>
        <w:spacing w:after="0" w:line="240" w:lineRule="auto"/>
      </w:pPr>
      <w:r>
        <w:separator/>
      </w:r>
    </w:p>
  </w:footnote>
  <w:footnote w:type="continuationSeparator" w:id="0">
    <w:p w14:paraId="597DFD1C" w14:textId="77777777" w:rsidR="00207299" w:rsidRDefault="00207299" w:rsidP="00DF55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50DCE"/>
    <w:multiLevelType w:val="hybridMultilevel"/>
    <w:tmpl w:val="8BE0A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5B1019"/>
    <w:multiLevelType w:val="hybridMultilevel"/>
    <w:tmpl w:val="82CE8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2A0EBA"/>
    <w:multiLevelType w:val="hybridMultilevel"/>
    <w:tmpl w:val="49887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EA27BA"/>
    <w:multiLevelType w:val="hybridMultilevel"/>
    <w:tmpl w:val="A80E8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7F4BC1"/>
    <w:multiLevelType w:val="hybridMultilevel"/>
    <w:tmpl w:val="FF0AE3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294054"/>
    <w:multiLevelType w:val="hybridMultilevel"/>
    <w:tmpl w:val="25B618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1C82AE1"/>
    <w:multiLevelType w:val="hybridMultilevel"/>
    <w:tmpl w:val="642C4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9B7EF2"/>
    <w:multiLevelType w:val="hybridMultilevel"/>
    <w:tmpl w:val="A2E0F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AD5C4C"/>
    <w:multiLevelType w:val="hybridMultilevel"/>
    <w:tmpl w:val="3CDC2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B2377C"/>
    <w:multiLevelType w:val="hybridMultilevel"/>
    <w:tmpl w:val="8BEA34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1157052">
    <w:abstractNumId w:val="8"/>
  </w:num>
  <w:num w:numId="2" w16cid:durableId="250895406">
    <w:abstractNumId w:val="2"/>
  </w:num>
  <w:num w:numId="3" w16cid:durableId="1130322658">
    <w:abstractNumId w:val="7"/>
  </w:num>
  <w:num w:numId="4" w16cid:durableId="1672490567">
    <w:abstractNumId w:val="1"/>
  </w:num>
  <w:num w:numId="5" w16cid:durableId="1165130120">
    <w:abstractNumId w:val="3"/>
  </w:num>
  <w:num w:numId="6" w16cid:durableId="367531352">
    <w:abstractNumId w:val="0"/>
  </w:num>
  <w:num w:numId="7" w16cid:durableId="1095325850">
    <w:abstractNumId w:val="6"/>
  </w:num>
  <w:num w:numId="8" w16cid:durableId="608001850">
    <w:abstractNumId w:val="9"/>
  </w:num>
  <w:num w:numId="9" w16cid:durableId="445469232">
    <w:abstractNumId w:val="4"/>
  </w:num>
  <w:num w:numId="10" w16cid:durableId="60195820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373"/>
    <w:rsid w:val="0000135F"/>
    <w:rsid w:val="00015823"/>
    <w:rsid w:val="00015926"/>
    <w:rsid w:val="0008652E"/>
    <w:rsid w:val="0009240B"/>
    <w:rsid w:val="00092D78"/>
    <w:rsid w:val="000A189A"/>
    <w:rsid w:val="000A5373"/>
    <w:rsid w:val="000A7341"/>
    <w:rsid w:val="000A7DC3"/>
    <w:rsid w:val="000C6613"/>
    <w:rsid w:val="000D2F0B"/>
    <w:rsid w:val="00117FF0"/>
    <w:rsid w:val="0013264E"/>
    <w:rsid w:val="0013715B"/>
    <w:rsid w:val="00144B6F"/>
    <w:rsid w:val="001576E8"/>
    <w:rsid w:val="001638CD"/>
    <w:rsid w:val="001734F0"/>
    <w:rsid w:val="0017543C"/>
    <w:rsid w:val="001829D1"/>
    <w:rsid w:val="001F5C16"/>
    <w:rsid w:val="00207299"/>
    <w:rsid w:val="00265A11"/>
    <w:rsid w:val="002A1D18"/>
    <w:rsid w:val="002F1545"/>
    <w:rsid w:val="002F75CC"/>
    <w:rsid w:val="003016A8"/>
    <w:rsid w:val="00303D9E"/>
    <w:rsid w:val="003559CC"/>
    <w:rsid w:val="00382862"/>
    <w:rsid w:val="003863BD"/>
    <w:rsid w:val="003C6FAC"/>
    <w:rsid w:val="003D3E4A"/>
    <w:rsid w:val="003E7DEF"/>
    <w:rsid w:val="003F38C8"/>
    <w:rsid w:val="003F47C9"/>
    <w:rsid w:val="00401812"/>
    <w:rsid w:val="00422D02"/>
    <w:rsid w:val="004458BD"/>
    <w:rsid w:val="00457E6F"/>
    <w:rsid w:val="00481D49"/>
    <w:rsid w:val="00483704"/>
    <w:rsid w:val="0048444F"/>
    <w:rsid w:val="0049084E"/>
    <w:rsid w:val="004E7A76"/>
    <w:rsid w:val="00553CD8"/>
    <w:rsid w:val="00571461"/>
    <w:rsid w:val="005D2F93"/>
    <w:rsid w:val="005E408A"/>
    <w:rsid w:val="005F365A"/>
    <w:rsid w:val="0060709A"/>
    <w:rsid w:val="00612E7F"/>
    <w:rsid w:val="006318BD"/>
    <w:rsid w:val="006410DE"/>
    <w:rsid w:val="00650860"/>
    <w:rsid w:val="006856C5"/>
    <w:rsid w:val="0068690B"/>
    <w:rsid w:val="006A05DE"/>
    <w:rsid w:val="006D7E7A"/>
    <w:rsid w:val="006E0C52"/>
    <w:rsid w:val="00735CC8"/>
    <w:rsid w:val="00744291"/>
    <w:rsid w:val="00777B29"/>
    <w:rsid w:val="0078400A"/>
    <w:rsid w:val="00793CD3"/>
    <w:rsid w:val="00795978"/>
    <w:rsid w:val="007A537A"/>
    <w:rsid w:val="007C15EB"/>
    <w:rsid w:val="007C7991"/>
    <w:rsid w:val="007E73A3"/>
    <w:rsid w:val="008009AC"/>
    <w:rsid w:val="00821B4C"/>
    <w:rsid w:val="008A7C2D"/>
    <w:rsid w:val="00926F5C"/>
    <w:rsid w:val="00933233"/>
    <w:rsid w:val="00943B5C"/>
    <w:rsid w:val="00944CBF"/>
    <w:rsid w:val="009C522C"/>
    <w:rsid w:val="009C69F3"/>
    <w:rsid w:val="009C77F3"/>
    <w:rsid w:val="009D2AE7"/>
    <w:rsid w:val="00A1420F"/>
    <w:rsid w:val="00A3184E"/>
    <w:rsid w:val="00A613BA"/>
    <w:rsid w:val="00A85483"/>
    <w:rsid w:val="00AB511B"/>
    <w:rsid w:val="00AD1FFF"/>
    <w:rsid w:val="00AF0CFF"/>
    <w:rsid w:val="00AF7D9E"/>
    <w:rsid w:val="00B1416F"/>
    <w:rsid w:val="00B6728E"/>
    <w:rsid w:val="00B7236A"/>
    <w:rsid w:val="00BB69F8"/>
    <w:rsid w:val="00C1362C"/>
    <w:rsid w:val="00C31C9F"/>
    <w:rsid w:val="00C93C53"/>
    <w:rsid w:val="00CB18D0"/>
    <w:rsid w:val="00CB5F1A"/>
    <w:rsid w:val="00CF0842"/>
    <w:rsid w:val="00D01CB6"/>
    <w:rsid w:val="00D202D4"/>
    <w:rsid w:val="00D31A58"/>
    <w:rsid w:val="00D67581"/>
    <w:rsid w:val="00D86725"/>
    <w:rsid w:val="00DC1CC0"/>
    <w:rsid w:val="00DF4F56"/>
    <w:rsid w:val="00DF557B"/>
    <w:rsid w:val="00DF580F"/>
    <w:rsid w:val="00E14D04"/>
    <w:rsid w:val="00E2265F"/>
    <w:rsid w:val="00E83B75"/>
    <w:rsid w:val="00F00723"/>
    <w:rsid w:val="00F87479"/>
    <w:rsid w:val="00F91DA1"/>
    <w:rsid w:val="00F94710"/>
    <w:rsid w:val="00FA5DFC"/>
    <w:rsid w:val="00FD37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47A03"/>
  <w15:chartTrackingRefBased/>
  <w15:docId w15:val="{02199A51-C4D7-46F3-BF82-68705EF5E9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53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53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53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53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53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53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53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53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53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3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53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53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53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53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53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53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53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5373"/>
    <w:rPr>
      <w:rFonts w:eastAsiaTheme="majorEastAsia" w:cstheme="majorBidi"/>
      <w:color w:val="272727" w:themeColor="text1" w:themeTint="D8"/>
    </w:rPr>
  </w:style>
  <w:style w:type="paragraph" w:styleId="Title">
    <w:name w:val="Title"/>
    <w:basedOn w:val="Normal"/>
    <w:next w:val="Normal"/>
    <w:link w:val="TitleChar"/>
    <w:uiPriority w:val="10"/>
    <w:qFormat/>
    <w:rsid w:val="000A53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53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53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53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5373"/>
    <w:pPr>
      <w:spacing w:before="160"/>
      <w:jc w:val="center"/>
    </w:pPr>
    <w:rPr>
      <w:i/>
      <w:iCs/>
      <w:color w:val="404040" w:themeColor="text1" w:themeTint="BF"/>
    </w:rPr>
  </w:style>
  <w:style w:type="character" w:customStyle="1" w:styleId="QuoteChar">
    <w:name w:val="Quote Char"/>
    <w:basedOn w:val="DefaultParagraphFont"/>
    <w:link w:val="Quote"/>
    <w:uiPriority w:val="29"/>
    <w:rsid w:val="000A5373"/>
    <w:rPr>
      <w:i/>
      <w:iCs/>
      <w:color w:val="404040" w:themeColor="text1" w:themeTint="BF"/>
    </w:rPr>
  </w:style>
  <w:style w:type="paragraph" w:styleId="ListParagraph">
    <w:name w:val="List Paragraph"/>
    <w:basedOn w:val="Normal"/>
    <w:uiPriority w:val="34"/>
    <w:qFormat/>
    <w:rsid w:val="000A5373"/>
    <w:pPr>
      <w:ind w:left="720"/>
      <w:contextualSpacing/>
    </w:pPr>
  </w:style>
  <w:style w:type="character" w:styleId="IntenseEmphasis">
    <w:name w:val="Intense Emphasis"/>
    <w:basedOn w:val="DefaultParagraphFont"/>
    <w:uiPriority w:val="21"/>
    <w:qFormat/>
    <w:rsid w:val="000A5373"/>
    <w:rPr>
      <w:i/>
      <w:iCs/>
      <w:color w:val="0F4761" w:themeColor="accent1" w:themeShade="BF"/>
    </w:rPr>
  </w:style>
  <w:style w:type="paragraph" w:styleId="IntenseQuote">
    <w:name w:val="Intense Quote"/>
    <w:basedOn w:val="Normal"/>
    <w:next w:val="Normal"/>
    <w:link w:val="IntenseQuoteChar"/>
    <w:uiPriority w:val="30"/>
    <w:qFormat/>
    <w:rsid w:val="000A53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5373"/>
    <w:rPr>
      <w:i/>
      <w:iCs/>
      <w:color w:val="0F4761" w:themeColor="accent1" w:themeShade="BF"/>
    </w:rPr>
  </w:style>
  <w:style w:type="character" w:styleId="IntenseReference">
    <w:name w:val="Intense Reference"/>
    <w:basedOn w:val="DefaultParagraphFont"/>
    <w:uiPriority w:val="32"/>
    <w:qFormat/>
    <w:rsid w:val="000A5373"/>
    <w:rPr>
      <w:b/>
      <w:bCs/>
      <w:smallCaps/>
      <w:color w:val="0F4761" w:themeColor="accent1" w:themeShade="BF"/>
      <w:spacing w:val="5"/>
    </w:rPr>
  </w:style>
  <w:style w:type="paragraph" w:styleId="Header">
    <w:name w:val="header"/>
    <w:basedOn w:val="Normal"/>
    <w:link w:val="HeaderChar"/>
    <w:uiPriority w:val="99"/>
    <w:unhideWhenUsed/>
    <w:rsid w:val="00DF55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557B"/>
  </w:style>
  <w:style w:type="paragraph" w:styleId="Footer">
    <w:name w:val="footer"/>
    <w:basedOn w:val="Normal"/>
    <w:link w:val="FooterChar"/>
    <w:uiPriority w:val="99"/>
    <w:unhideWhenUsed/>
    <w:rsid w:val="00DF55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557B"/>
  </w:style>
  <w:style w:type="paragraph" w:styleId="TOCHeading">
    <w:name w:val="TOC Heading"/>
    <w:basedOn w:val="Heading1"/>
    <w:next w:val="Normal"/>
    <w:uiPriority w:val="39"/>
    <w:unhideWhenUsed/>
    <w:qFormat/>
    <w:rsid w:val="0074429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44291"/>
    <w:pPr>
      <w:spacing w:after="100"/>
    </w:pPr>
  </w:style>
  <w:style w:type="character" w:styleId="Hyperlink">
    <w:name w:val="Hyperlink"/>
    <w:basedOn w:val="DefaultParagraphFont"/>
    <w:uiPriority w:val="99"/>
    <w:unhideWhenUsed/>
    <w:rsid w:val="0074429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F3AD5B-ADF7-421D-801B-F509C95C69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9944</TotalTime>
  <Pages>27</Pages>
  <Words>7260</Words>
  <Characters>41382</Characters>
  <Application>Microsoft Office Word</Application>
  <DocSecurity>0</DocSecurity>
  <Lines>344</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Zobia Riaz (2226851)</dc:creator>
  <cp:keywords/>
  <dc:description/>
  <cp:lastModifiedBy>Zobia Riaz (2226851)</cp:lastModifiedBy>
  <cp:revision>107</cp:revision>
  <dcterms:created xsi:type="dcterms:W3CDTF">2026-03-18T15:48:00Z</dcterms:created>
  <dcterms:modified xsi:type="dcterms:W3CDTF">2026-03-27T08:42:00Z</dcterms:modified>
</cp:coreProperties>
</file>