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F5B9BF" w14:textId="62F96EDA" w:rsidR="000C2835" w:rsidRPr="000A7009" w:rsidRDefault="000A7009" w:rsidP="000A7009">
      <w:pPr>
        <w:pStyle w:val="Title"/>
        <w:rPr>
          <w:i/>
          <w:iCs/>
        </w:rPr>
      </w:pPr>
      <w:r>
        <w:rPr>
          <w:i/>
          <w:iCs/>
          <w:noProof/>
        </w:rPr>
        <w:drawing>
          <wp:inline distT="0" distB="0" distL="0" distR="0" wp14:anchorId="27AC0B98" wp14:editId="0886A507">
            <wp:extent cx="5705134" cy="76733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ver page.png"/>
                    <pic:cNvPicPr/>
                  </pic:nvPicPr>
                  <pic:blipFill>
                    <a:blip r:embed="rId8">
                      <a:extLst>
                        <a:ext uri="{28A0092B-C50C-407E-A947-70E740481C1C}">
                          <a14:useLocalDpi xmlns:a14="http://schemas.microsoft.com/office/drawing/2010/main" val="0"/>
                        </a:ext>
                      </a:extLst>
                    </a:blip>
                    <a:stretch>
                      <a:fillRect/>
                    </a:stretch>
                  </pic:blipFill>
                  <pic:spPr>
                    <a:xfrm>
                      <a:off x="0" y="0"/>
                      <a:ext cx="5718539" cy="7691369"/>
                    </a:xfrm>
                    <a:prstGeom prst="rect">
                      <a:avLst/>
                    </a:prstGeom>
                  </pic:spPr>
                </pic:pic>
              </a:graphicData>
            </a:graphic>
          </wp:inline>
        </w:drawing>
      </w:r>
    </w:p>
    <w:p w14:paraId="46A1427D" w14:textId="77777777" w:rsidR="007448DC" w:rsidRDefault="007448DC">
      <w:pPr>
        <w:spacing w:line="259" w:lineRule="auto"/>
        <w:rPr>
          <w:rFonts w:eastAsiaTheme="majorEastAsia" w:cstheme="majorBidi"/>
          <w:bCs/>
          <w:szCs w:val="28"/>
          <w:lang w:eastAsia="en-US" w:bidi="en-US"/>
        </w:rPr>
      </w:pPr>
      <w:r>
        <w:br w:type="page"/>
      </w:r>
    </w:p>
    <w:p w14:paraId="79F7C9DC" w14:textId="0454DCA4" w:rsidR="007448DC" w:rsidRDefault="007448DC" w:rsidP="007448DC">
      <w:pPr>
        <w:pStyle w:val="Heading1"/>
      </w:pPr>
      <w:bookmarkStart w:id="0" w:name="_Toc32760781"/>
      <w:r>
        <w:lastRenderedPageBreak/>
        <w:t>Declaration</w:t>
      </w:r>
      <w:bookmarkEnd w:id="0"/>
    </w:p>
    <w:p w14:paraId="6A8C7B2E" w14:textId="1915F229" w:rsidR="000A7009" w:rsidRPr="000A7009" w:rsidRDefault="000A7009" w:rsidP="000A7009">
      <w:pPr>
        <w:adjustRightInd w:val="0"/>
        <w:jc w:val="center"/>
        <w:rPr>
          <w:b/>
          <w:szCs w:val="24"/>
          <w:u w:val="single"/>
        </w:rPr>
      </w:pPr>
      <w:r w:rsidRPr="000A7009">
        <w:rPr>
          <w:color w:val="000000"/>
          <w:szCs w:val="24"/>
        </w:rPr>
        <w:t xml:space="preserve">UWTSD MBA (May/Nov 2019 intakes) </w:t>
      </w:r>
      <w:r w:rsidRPr="000A7009">
        <w:rPr>
          <w:color w:val="000000"/>
          <w:szCs w:val="24"/>
        </w:rPr>
        <w:br/>
        <w:t>BMMB7006 Global Business Challenges</w:t>
      </w:r>
    </w:p>
    <w:p w14:paraId="2A5E963D" w14:textId="77777777" w:rsidR="000A7009" w:rsidRPr="000A7009" w:rsidRDefault="000A7009" w:rsidP="000A7009">
      <w:pPr>
        <w:adjustRightInd w:val="0"/>
        <w:jc w:val="center"/>
        <w:rPr>
          <w:b/>
          <w:szCs w:val="24"/>
          <w:u w:val="single"/>
        </w:rPr>
      </w:pPr>
    </w:p>
    <w:p w14:paraId="09B665AD" w14:textId="77777777" w:rsidR="000A7009" w:rsidRPr="000A7009" w:rsidRDefault="000A7009" w:rsidP="000A7009">
      <w:pPr>
        <w:rPr>
          <w:szCs w:val="24"/>
        </w:rPr>
      </w:pPr>
      <w:r w:rsidRPr="000A7009">
        <w:rPr>
          <w:szCs w:val="24"/>
        </w:rPr>
        <w:t>Assignment Title:</w:t>
      </w:r>
    </w:p>
    <w:p w14:paraId="35674436" w14:textId="77777777" w:rsidR="000A7009" w:rsidRPr="000A7009" w:rsidRDefault="000A7009" w:rsidP="000A7009">
      <w:pPr>
        <w:jc w:val="both"/>
        <w:rPr>
          <w:szCs w:val="24"/>
          <w:u w:val="single"/>
        </w:rPr>
      </w:pPr>
      <w:r w:rsidRPr="000A7009">
        <w:rPr>
          <w:szCs w:val="24"/>
          <w:u w:val="single"/>
          <w:lang w:val="en-GB" w:eastAsia="en-GB"/>
        </w:rPr>
        <w:t>Challenges of GU to Expand Operations in India</w:t>
      </w:r>
    </w:p>
    <w:p w14:paraId="55B0A575" w14:textId="77777777" w:rsidR="000A7009" w:rsidRPr="000A7009" w:rsidRDefault="000A7009" w:rsidP="000A7009">
      <w:pPr>
        <w:jc w:val="both"/>
        <w:rPr>
          <w:szCs w:val="24"/>
        </w:rPr>
      </w:pPr>
    </w:p>
    <w:p w14:paraId="74C84B2C" w14:textId="77777777" w:rsidR="000A7009" w:rsidRPr="000A7009" w:rsidRDefault="000A7009" w:rsidP="000A7009">
      <w:pPr>
        <w:jc w:val="both"/>
        <w:rPr>
          <w:szCs w:val="24"/>
        </w:rPr>
      </w:pPr>
    </w:p>
    <w:p w14:paraId="42F8D6BD" w14:textId="77777777" w:rsidR="000A7009" w:rsidRPr="000A7009" w:rsidRDefault="000A7009" w:rsidP="000A7009">
      <w:pPr>
        <w:jc w:val="both"/>
        <w:rPr>
          <w:szCs w:val="24"/>
        </w:rPr>
      </w:pPr>
      <w:r w:rsidRPr="000A7009">
        <w:rPr>
          <w:szCs w:val="24"/>
        </w:rPr>
        <w:t>“I, Liu, Chi Kin student ID 1818498, certify this work is the result of my own investigations, except where otherwise stated.  All references have been duly cited”</w:t>
      </w:r>
    </w:p>
    <w:p w14:paraId="5F52DEF5" w14:textId="77777777" w:rsidR="000A7009" w:rsidRPr="000A7009" w:rsidRDefault="000A7009" w:rsidP="000A7009">
      <w:pPr>
        <w:jc w:val="both"/>
        <w:rPr>
          <w:szCs w:val="24"/>
        </w:rPr>
      </w:pPr>
    </w:p>
    <w:p w14:paraId="09405617" w14:textId="77777777" w:rsidR="000A7009" w:rsidRPr="000A7009" w:rsidRDefault="000A7009" w:rsidP="000A7009">
      <w:pPr>
        <w:jc w:val="both"/>
        <w:rPr>
          <w:szCs w:val="24"/>
        </w:rPr>
      </w:pPr>
    </w:p>
    <w:p w14:paraId="04337837" w14:textId="77777777" w:rsidR="000A7009" w:rsidRPr="000A7009" w:rsidRDefault="000A7009" w:rsidP="000A7009">
      <w:pPr>
        <w:jc w:val="both"/>
        <w:rPr>
          <w:szCs w:val="24"/>
        </w:rPr>
      </w:pPr>
    </w:p>
    <w:p w14:paraId="459790E0" w14:textId="563D0A58" w:rsidR="000A7009" w:rsidRPr="000A7009" w:rsidRDefault="00563F17" w:rsidP="000A7009">
      <w:pPr>
        <w:jc w:val="both"/>
        <w:rPr>
          <w:szCs w:val="24"/>
        </w:rPr>
      </w:pPr>
      <w:r>
        <w:rPr>
          <w:b/>
          <w:noProof/>
          <w:szCs w:val="24"/>
        </w:rPr>
        <w:drawing>
          <wp:anchor distT="0" distB="0" distL="114300" distR="114300" simplePos="0" relativeHeight="251658240" behindDoc="1" locked="0" layoutInCell="1" allowOverlap="1" wp14:anchorId="28FDE4F6" wp14:editId="5DFFC387">
            <wp:simplePos x="0" y="0"/>
            <wp:positionH relativeFrom="column">
              <wp:posOffset>366747</wp:posOffset>
            </wp:positionH>
            <wp:positionV relativeFrom="paragraph">
              <wp:posOffset>233580</wp:posOffset>
            </wp:positionV>
            <wp:extent cx="1710743" cy="1386815"/>
            <wp:effectExtent l="0" t="0" r="3810" b="0"/>
            <wp:wrapNone/>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oth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710743" cy="1386815"/>
                    </a:xfrm>
                    <a:prstGeom prst="rect">
                      <a:avLst/>
                    </a:prstGeom>
                  </pic:spPr>
                </pic:pic>
              </a:graphicData>
            </a:graphic>
            <wp14:sizeRelH relativeFrom="page">
              <wp14:pctWidth>0</wp14:pctWidth>
            </wp14:sizeRelH>
            <wp14:sizeRelV relativeFrom="page">
              <wp14:pctHeight>0</wp14:pctHeight>
            </wp14:sizeRelV>
          </wp:anchor>
        </w:drawing>
      </w:r>
    </w:p>
    <w:p w14:paraId="629DB25F" w14:textId="59B12626" w:rsidR="000A7009" w:rsidRPr="000A7009" w:rsidRDefault="000A7009" w:rsidP="000A7009">
      <w:pPr>
        <w:jc w:val="both"/>
        <w:rPr>
          <w:szCs w:val="24"/>
        </w:rPr>
      </w:pPr>
    </w:p>
    <w:p w14:paraId="56D0CDE9" w14:textId="74FE2E24" w:rsidR="000A7009" w:rsidRPr="000A7009" w:rsidRDefault="000A7009" w:rsidP="000A7009">
      <w:pPr>
        <w:jc w:val="both"/>
        <w:rPr>
          <w:b/>
          <w:szCs w:val="24"/>
        </w:rPr>
      </w:pPr>
    </w:p>
    <w:p w14:paraId="237856F6" w14:textId="77777777" w:rsidR="000A7009" w:rsidRPr="000A7009" w:rsidRDefault="000A7009" w:rsidP="000A7009">
      <w:pPr>
        <w:jc w:val="both"/>
        <w:rPr>
          <w:szCs w:val="24"/>
        </w:rPr>
      </w:pPr>
      <w:r w:rsidRPr="000A7009">
        <w:rPr>
          <w:szCs w:val="24"/>
        </w:rPr>
        <w:t>Signed: _____________________</w:t>
      </w:r>
    </w:p>
    <w:p w14:paraId="5AACE3BF" w14:textId="77777777" w:rsidR="000A7009" w:rsidRPr="000A7009" w:rsidRDefault="000A7009" w:rsidP="000A7009">
      <w:pPr>
        <w:rPr>
          <w:szCs w:val="24"/>
        </w:rPr>
      </w:pPr>
    </w:p>
    <w:p w14:paraId="35AA020F" w14:textId="61308B91" w:rsidR="000A7009" w:rsidRDefault="000A7009" w:rsidP="000A7009">
      <w:pPr>
        <w:rPr>
          <w:szCs w:val="24"/>
        </w:rPr>
      </w:pPr>
      <w:r w:rsidRPr="000A7009">
        <w:rPr>
          <w:szCs w:val="24"/>
        </w:rPr>
        <w:t xml:space="preserve">Date:  </w:t>
      </w:r>
      <w:r w:rsidR="00AD0585">
        <w:rPr>
          <w:szCs w:val="24"/>
        </w:rPr>
        <w:t>2</w:t>
      </w:r>
      <w:r w:rsidR="00B518D3">
        <w:rPr>
          <w:szCs w:val="24"/>
        </w:rPr>
        <w:t>6</w:t>
      </w:r>
      <w:r w:rsidR="00DC1849" w:rsidRPr="00DC1849">
        <w:rPr>
          <w:szCs w:val="24"/>
          <w:vertAlign w:val="superscript"/>
        </w:rPr>
        <w:t>th</w:t>
      </w:r>
      <w:r>
        <w:rPr>
          <w:szCs w:val="24"/>
        </w:rPr>
        <w:t xml:space="preserve"> February 2020</w:t>
      </w:r>
    </w:p>
    <w:p w14:paraId="3B1F1F2B" w14:textId="77777777" w:rsidR="000A7009" w:rsidRDefault="000A7009">
      <w:pPr>
        <w:spacing w:line="259" w:lineRule="auto"/>
        <w:rPr>
          <w:b/>
        </w:rPr>
      </w:pPr>
      <w:r>
        <w:rPr>
          <w:b/>
        </w:rPr>
        <w:br w:type="page"/>
      </w:r>
    </w:p>
    <w:p w14:paraId="53F02578" w14:textId="1693C8BF" w:rsidR="000A7009" w:rsidRDefault="000A7009" w:rsidP="003A716A">
      <w:pPr>
        <w:spacing w:after="0" w:line="480" w:lineRule="auto"/>
        <w:jc w:val="center"/>
      </w:pPr>
      <w:bookmarkStart w:id="1" w:name="_Toc32760782"/>
      <w:r w:rsidRPr="00076F56">
        <w:lastRenderedPageBreak/>
        <w:t>Synopsis</w:t>
      </w:r>
      <w:bookmarkEnd w:id="1"/>
    </w:p>
    <w:p w14:paraId="3E8912C4" w14:textId="77777777" w:rsidR="007448DC" w:rsidRPr="007448DC" w:rsidRDefault="007448DC" w:rsidP="003A716A">
      <w:pPr>
        <w:spacing w:after="0" w:line="480" w:lineRule="auto"/>
        <w:rPr>
          <w:lang w:eastAsia="en-US" w:bidi="en-US"/>
        </w:rPr>
      </w:pPr>
    </w:p>
    <w:p w14:paraId="53E38790" w14:textId="39A59E8F" w:rsidR="000C2835" w:rsidRDefault="00B518D3" w:rsidP="003A716A">
      <w:pPr>
        <w:spacing w:after="0" w:line="480" w:lineRule="auto"/>
        <w:ind w:firstLine="720"/>
        <w:jc w:val="both"/>
        <w:rPr>
          <w:lang w:eastAsia="en-US" w:bidi="en-US"/>
        </w:rPr>
      </w:pPr>
      <w:r>
        <w:rPr>
          <w:lang w:eastAsia="en-US" w:bidi="en-US"/>
        </w:rPr>
        <w:t xml:space="preserve">The current business environment for </w:t>
      </w:r>
      <w:r w:rsidR="00822432">
        <w:rPr>
          <w:lang w:eastAsia="en-US" w:bidi="en-US"/>
        </w:rPr>
        <w:t>the f</w:t>
      </w:r>
      <w:r w:rsidR="000A7009" w:rsidRPr="00076F56">
        <w:rPr>
          <w:lang w:eastAsia="en-US" w:bidi="en-US"/>
        </w:rPr>
        <w:t xml:space="preserve">ast fashion </w:t>
      </w:r>
      <w:r>
        <w:rPr>
          <w:lang w:eastAsia="en-US" w:bidi="en-US"/>
        </w:rPr>
        <w:t>industry</w:t>
      </w:r>
      <w:r w:rsidR="00C12027">
        <w:rPr>
          <w:lang w:eastAsia="en-US" w:bidi="en-US"/>
        </w:rPr>
        <w:t xml:space="preserve"> has been threatened by shrinking supply and rising prices of raw material</w:t>
      </w:r>
      <w:r w:rsidR="00822432">
        <w:rPr>
          <w:lang w:eastAsia="en-US" w:bidi="en-US"/>
        </w:rPr>
        <w:t>.</w:t>
      </w:r>
      <w:r>
        <w:rPr>
          <w:lang w:eastAsia="en-US" w:bidi="en-US"/>
        </w:rPr>
        <w:t xml:space="preserve"> </w:t>
      </w:r>
      <w:r w:rsidR="00C12027">
        <w:rPr>
          <w:lang w:eastAsia="en-US" w:bidi="en-US"/>
        </w:rPr>
        <w:t>It urges firms to</w:t>
      </w:r>
      <w:r>
        <w:rPr>
          <w:lang w:eastAsia="en-US" w:bidi="en-US"/>
        </w:rPr>
        <w:t xml:space="preserve"> </w:t>
      </w:r>
      <w:r w:rsidR="00C12027">
        <w:rPr>
          <w:lang w:eastAsia="en-US" w:bidi="en-US"/>
        </w:rPr>
        <w:t>seek</w:t>
      </w:r>
      <w:r>
        <w:rPr>
          <w:lang w:eastAsia="en-US" w:bidi="en-US"/>
        </w:rPr>
        <w:t xml:space="preserve"> ways to reduce the</w:t>
      </w:r>
      <w:r w:rsidR="00C12027">
        <w:rPr>
          <w:lang w:eastAsia="en-US" w:bidi="en-US"/>
        </w:rPr>
        <w:t xml:space="preserve"> production </w:t>
      </w:r>
      <w:r>
        <w:rPr>
          <w:lang w:eastAsia="en-US" w:bidi="en-US"/>
        </w:rPr>
        <w:t>cost to surviv</w:t>
      </w:r>
      <w:r w:rsidR="00C12027">
        <w:rPr>
          <w:lang w:eastAsia="en-US" w:bidi="en-US"/>
        </w:rPr>
        <w:t>al</w:t>
      </w:r>
      <w:r>
        <w:rPr>
          <w:lang w:eastAsia="en-US" w:bidi="en-US"/>
        </w:rPr>
        <w:t>. Th</w:t>
      </w:r>
      <w:r w:rsidR="00822432">
        <w:rPr>
          <w:lang w:eastAsia="en-US" w:bidi="en-US"/>
        </w:rPr>
        <w:t xml:space="preserve">is study </w:t>
      </w:r>
      <w:r w:rsidR="000F1D33">
        <w:rPr>
          <w:lang w:eastAsia="en-US" w:bidi="en-US"/>
        </w:rPr>
        <w:t>justifies</w:t>
      </w:r>
      <w:r w:rsidR="00C12027">
        <w:rPr>
          <w:lang w:eastAsia="en-US" w:bidi="en-US"/>
        </w:rPr>
        <w:t xml:space="preserve"> the company for expanding operations in </w:t>
      </w:r>
      <w:r w:rsidR="000F1D33">
        <w:rPr>
          <w:lang w:eastAsia="en-US" w:bidi="en-US"/>
        </w:rPr>
        <w:t>I</w:t>
      </w:r>
      <w:r w:rsidR="00C12027">
        <w:rPr>
          <w:lang w:eastAsia="en-US" w:bidi="en-US"/>
        </w:rPr>
        <w:t>ndia to reduce raw material costs. Appl</w:t>
      </w:r>
      <w:r w:rsidR="000F1D33">
        <w:rPr>
          <w:lang w:eastAsia="en-US" w:bidi="en-US"/>
        </w:rPr>
        <w:t>y</w:t>
      </w:r>
      <w:r w:rsidR="00C12027">
        <w:rPr>
          <w:lang w:eastAsia="en-US" w:bidi="en-US"/>
        </w:rPr>
        <w:t xml:space="preserve">ing the theory of economies of scale to investigate the strategic sourcing currently available in India, we find that </w:t>
      </w:r>
      <w:r w:rsidR="000F1D33">
        <w:rPr>
          <w:lang w:eastAsia="en-US" w:bidi="en-US"/>
        </w:rPr>
        <w:t>setup the sourcing office in India can gain operational advantages, with</w:t>
      </w:r>
      <w:r w:rsidR="00C12027">
        <w:rPr>
          <w:lang w:eastAsia="en-US" w:bidi="en-US"/>
        </w:rPr>
        <w:t xml:space="preserve"> </w:t>
      </w:r>
      <w:r w:rsidR="000F1D33">
        <w:rPr>
          <w:lang w:eastAsia="en-US" w:bidi="en-US"/>
        </w:rPr>
        <w:t xml:space="preserve">the </w:t>
      </w:r>
      <w:r w:rsidR="00C12027">
        <w:rPr>
          <w:lang w:eastAsia="en-US" w:bidi="en-US"/>
        </w:rPr>
        <w:t>use of</w:t>
      </w:r>
      <w:r w:rsidR="000F1D33">
        <w:rPr>
          <w:lang w:eastAsia="en-US" w:bidi="en-US"/>
        </w:rPr>
        <w:t xml:space="preserve"> global volume consolidation can result in</w:t>
      </w:r>
      <w:r w:rsidR="00C12027">
        <w:rPr>
          <w:lang w:eastAsia="en-US" w:bidi="en-US"/>
        </w:rPr>
        <w:t xml:space="preserve"> better leverage in price negotiation.</w:t>
      </w:r>
    </w:p>
    <w:p w14:paraId="16B00689" w14:textId="752F322B" w:rsidR="007448DC" w:rsidRDefault="007448DC" w:rsidP="003A716A">
      <w:pPr>
        <w:spacing w:after="0" w:line="480" w:lineRule="auto"/>
        <w:rPr>
          <w:lang w:eastAsia="en-US" w:bidi="en-US"/>
        </w:rPr>
      </w:pPr>
      <w:r>
        <w:rPr>
          <w:lang w:eastAsia="en-US" w:bidi="en-US"/>
        </w:rPr>
        <w:br w:type="page"/>
      </w:r>
      <w:bookmarkStart w:id="2" w:name="_GoBack"/>
      <w:bookmarkEnd w:id="2"/>
      <w:r w:rsidR="001B75D5">
        <w:rPr>
          <w:lang w:eastAsia="en-US" w:bidi="en-US"/>
        </w:rPr>
        <w:lastRenderedPageBreak/>
        <w:t xml:space="preserve"> </w:t>
      </w:r>
    </w:p>
    <w:p w14:paraId="02FA5C22" w14:textId="68C0D161" w:rsidR="007448DC" w:rsidRDefault="006A66DF" w:rsidP="0055378B">
      <w:pPr>
        <w:pStyle w:val="Heading2"/>
        <w:spacing w:line="276" w:lineRule="auto"/>
        <w:jc w:val="center"/>
      </w:pPr>
      <w:r w:rsidRPr="0055378B">
        <w:t>Table of Contents</w:t>
      </w:r>
    </w:p>
    <w:p w14:paraId="482D73F8" w14:textId="77777777" w:rsidR="006A66DF" w:rsidRPr="006A66DF" w:rsidRDefault="006A66DF" w:rsidP="006A66DF"/>
    <w:tbl>
      <w:tblPr>
        <w:tblStyle w:val="TableGrid1"/>
        <w:tblW w:w="0" w:type="auto"/>
        <w:tblLook w:val="04A0" w:firstRow="1" w:lastRow="0" w:firstColumn="1" w:lastColumn="0" w:noHBand="0" w:noVBand="1"/>
      </w:tblPr>
      <w:tblGrid>
        <w:gridCol w:w="713"/>
        <w:gridCol w:w="7890"/>
        <w:gridCol w:w="461"/>
      </w:tblGrid>
      <w:tr w:rsidR="00AB7AE2" w:rsidRPr="006A66DF" w14:paraId="5EF480C3" w14:textId="77777777" w:rsidTr="009D5514">
        <w:tc>
          <w:tcPr>
            <w:tcW w:w="713" w:type="dxa"/>
            <w:tcBorders>
              <w:top w:val="nil"/>
              <w:left w:val="nil"/>
              <w:bottom w:val="nil"/>
              <w:right w:val="nil"/>
            </w:tcBorders>
          </w:tcPr>
          <w:p w14:paraId="43AC3687" w14:textId="77777777" w:rsidR="006A66DF" w:rsidRPr="006A66DF" w:rsidRDefault="006A66DF" w:rsidP="006A66DF">
            <w:pPr>
              <w:spacing w:after="160" w:line="259" w:lineRule="auto"/>
            </w:pPr>
          </w:p>
        </w:tc>
        <w:tc>
          <w:tcPr>
            <w:tcW w:w="7890" w:type="dxa"/>
            <w:tcBorders>
              <w:top w:val="nil"/>
              <w:left w:val="nil"/>
              <w:bottom w:val="nil"/>
              <w:right w:val="nil"/>
            </w:tcBorders>
          </w:tcPr>
          <w:p w14:paraId="40B4A4DF" w14:textId="3EFB48C4" w:rsidR="006A66DF" w:rsidRPr="006A66DF" w:rsidRDefault="006A66DF" w:rsidP="006A66DF">
            <w:pPr>
              <w:spacing w:after="160" w:line="259" w:lineRule="auto"/>
            </w:pPr>
            <w:r w:rsidRPr="006A66DF">
              <w:t>Declaration</w:t>
            </w:r>
            <w:r w:rsidR="00AB7AE2">
              <w:t xml:space="preserve"> ………………………………………………………………………</w:t>
            </w:r>
          </w:p>
        </w:tc>
        <w:tc>
          <w:tcPr>
            <w:tcW w:w="461" w:type="dxa"/>
            <w:tcBorders>
              <w:top w:val="nil"/>
              <w:left w:val="nil"/>
              <w:bottom w:val="nil"/>
              <w:right w:val="nil"/>
            </w:tcBorders>
          </w:tcPr>
          <w:p w14:paraId="6D25D1F4" w14:textId="77777777" w:rsidR="006A66DF" w:rsidRPr="006A66DF" w:rsidRDefault="006A66DF" w:rsidP="006A66DF">
            <w:pPr>
              <w:spacing w:after="160" w:line="259" w:lineRule="auto"/>
            </w:pPr>
            <w:r w:rsidRPr="006A66DF">
              <w:t>ii</w:t>
            </w:r>
          </w:p>
        </w:tc>
      </w:tr>
      <w:tr w:rsidR="00AB7AE2" w:rsidRPr="006A66DF" w14:paraId="74AA63D6"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64FCB43F" w14:textId="77777777" w:rsidR="006A66DF" w:rsidRPr="006A66DF" w:rsidRDefault="006A66DF" w:rsidP="006A66DF">
            <w:pPr>
              <w:spacing w:after="160" w:line="259" w:lineRule="auto"/>
            </w:pPr>
          </w:p>
        </w:tc>
        <w:tc>
          <w:tcPr>
            <w:tcW w:w="7890" w:type="dxa"/>
          </w:tcPr>
          <w:p w14:paraId="4D9BB4F2" w14:textId="32217D89" w:rsidR="006A66DF" w:rsidRPr="006A66DF" w:rsidRDefault="006A66DF" w:rsidP="006A66DF">
            <w:pPr>
              <w:spacing w:after="160" w:line="259" w:lineRule="auto"/>
            </w:pPr>
            <w:r w:rsidRPr="006A66DF">
              <w:t>Synopsis</w:t>
            </w:r>
            <w:r w:rsidR="00AB7AE2">
              <w:t xml:space="preserve"> …………………………………………………………………………</w:t>
            </w:r>
          </w:p>
        </w:tc>
        <w:tc>
          <w:tcPr>
            <w:tcW w:w="461" w:type="dxa"/>
          </w:tcPr>
          <w:p w14:paraId="69797C82" w14:textId="77777777" w:rsidR="006A66DF" w:rsidRPr="006A66DF" w:rsidRDefault="006A66DF" w:rsidP="006A66DF">
            <w:pPr>
              <w:spacing w:after="160" w:line="259" w:lineRule="auto"/>
            </w:pPr>
            <w:r w:rsidRPr="006A66DF">
              <w:t>iii</w:t>
            </w:r>
          </w:p>
        </w:tc>
      </w:tr>
      <w:tr w:rsidR="00AB7AE2" w:rsidRPr="006A66DF" w14:paraId="12A0EF20"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47C4F610" w14:textId="77777777" w:rsidR="006A66DF" w:rsidRPr="006A66DF" w:rsidRDefault="006A66DF" w:rsidP="006A66DF">
            <w:pPr>
              <w:spacing w:after="160" w:line="259" w:lineRule="auto"/>
            </w:pPr>
          </w:p>
        </w:tc>
        <w:tc>
          <w:tcPr>
            <w:tcW w:w="7890" w:type="dxa"/>
          </w:tcPr>
          <w:p w14:paraId="6A209E40" w14:textId="4274C931" w:rsidR="006A66DF" w:rsidRPr="006A66DF" w:rsidRDefault="006A66DF" w:rsidP="006A66DF">
            <w:pPr>
              <w:spacing w:after="160" w:line="259" w:lineRule="auto"/>
            </w:pPr>
            <w:r w:rsidRPr="006A66DF">
              <w:t>Table of Contents</w:t>
            </w:r>
            <w:r w:rsidR="00AB7AE2">
              <w:t xml:space="preserve"> ………………………………………………………………..</w:t>
            </w:r>
          </w:p>
        </w:tc>
        <w:tc>
          <w:tcPr>
            <w:tcW w:w="461" w:type="dxa"/>
          </w:tcPr>
          <w:p w14:paraId="0063E04F" w14:textId="77777777" w:rsidR="006A66DF" w:rsidRPr="006A66DF" w:rsidRDefault="006A66DF" w:rsidP="006A66DF">
            <w:pPr>
              <w:spacing w:after="160" w:line="259" w:lineRule="auto"/>
            </w:pPr>
            <w:r w:rsidRPr="006A66DF">
              <w:t>iv</w:t>
            </w:r>
          </w:p>
        </w:tc>
      </w:tr>
      <w:tr w:rsidR="00AB7AE2" w:rsidRPr="006A66DF" w14:paraId="3B33D4E1"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306ACC2A" w14:textId="77777777" w:rsidR="006A66DF" w:rsidRPr="006A66DF" w:rsidRDefault="006A66DF" w:rsidP="006A66DF">
            <w:pPr>
              <w:spacing w:after="160" w:line="259" w:lineRule="auto"/>
            </w:pPr>
            <w:r w:rsidRPr="006A66DF">
              <w:t>1.</w:t>
            </w:r>
          </w:p>
        </w:tc>
        <w:tc>
          <w:tcPr>
            <w:tcW w:w="7890" w:type="dxa"/>
          </w:tcPr>
          <w:p w14:paraId="0C27333D" w14:textId="23A14231" w:rsidR="006A66DF" w:rsidRPr="006A66DF" w:rsidRDefault="006A66DF" w:rsidP="006A66DF">
            <w:pPr>
              <w:spacing w:after="160" w:line="259" w:lineRule="auto"/>
            </w:pPr>
            <w:r w:rsidRPr="006A66DF">
              <w:t>Introduction</w:t>
            </w:r>
            <w:r w:rsidR="00AB7AE2">
              <w:t xml:space="preserve"> ……………………………………………………………………...</w:t>
            </w:r>
          </w:p>
        </w:tc>
        <w:tc>
          <w:tcPr>
            <w:tcW w:w="461" w:type="dxa"/>
          </w:tcPr>
          <w:p w14:paraId="56E5712E" w14:textId="77777777" w:rsidR="006A66DF" w:rsidRPr="006A66DF" w:rsidRDefault="006A66DF" w:rsidP="006A66DF">
            <w:pPr>
              <w:spacing w:after="160" w:line="259" w:lineRule="auto"/>
            </w:pPr>
            <w:r w:rsidRPr="006A66DF">
              <w:t>1</w:t>
            </w:r>
          </w:p>
        </w:tc>
      </w:tr>
      <w:tr w:rsidR="00AB7AE2" w:rsidRPr="006A66DF" w14:paraId="115F87F8"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4FEAC655" w14:textId="6880CD27" w:rsidR="006A66DF" w:rsidRPr="006A66DF" w:rsidRDefault="006A66DF" w:rsidP="006A66DF">
            <w:pPr>
              <w:spacing w:after="160" w:line="259" w:lineRule="auto"/>
            </w:pPr>
            <w:r w:rsidRPr="006A66DF">
              <w:t>2</w:t>
            </w:r>
            <w:r w:rsidR="00480FF9">
              <w:t>.</w:t>
            </w:r>
          </w:p>
        </w:tc>
        <w:tc>
          <w:tcPr>
            <w:tcW w:w="7890" w:type="dxa"/>
          </w:tcPr>
          <w:p w14:paraId="7CC78457" w14:textId="645304DF" w:rsidR="006A66DF" w:rsidRPr="006A66DF" w:rsidRDefault="006A66DF" w:rsidP="006A66DF">
            <w:pPr>
              <w:spacing w:after="160" w:line="259" w:lineRule="auto"/>
            </w:pPr>
            <w:r w:rsidRPr="006A66DF">
              <w:t xml:space="preserve">Company </w:t>
            </w:r>
            <w:r w:rsidR="00AB7AE2">
              <w:t>b</w:t>
            </w:r>
            <w:r w:rsidRPr="006A66DF">
              <w:t>ackground</w:t>
            </w:r>
            <w:r w:rsidR="00AB7AE2">
              <w:t xml:space="preserve"> …………………………………………………………...</w:t>
            </w:r>
          </w:p>
        </w:tc>
        <w:tc>
          <w:tcPr>
            <w:tcW w:w="461" w:type="dxa"/>
          </w:tcPr>
          <w:p w14:paraId="0D2CF92A" w14:textId="77777777" w:rsidR="006A66DF" w:rsidRPr="006A66DF" w:rsidRDefault="006A66DF" w:rsidP="006A66DF">
            <w:pPr>
              <w:spacing w:after="160" w:line="259" w:lineRule="auto"/>
            </w:pPr>
            <w:r w:rsidRPr="006A66DF">
              <w:t>3</w:t>
            </w:r>
          </w:p>
        </w:tc>
      </w:tr>
      <w:tr w:rsidR="00AB7AE2" w:rsidRPr="006A66DF" w14:paraId="29F594D0"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18EFE20E" w14:textId="77777777" w:rsidR="006A66DF" w:rsidRPr="006A66DF" w:rsidRDefault="006A66DF" w:rsidP="006A66DF">
            <w:pPr>
              <w:spacing w:after="160" w:line="259" w:lineRule="auto"/>
            </w:pPr>
            <w:r w:rsidRPr="006A66DF">
              <w:t>2.1</w:t>
            </w:r>
          </w:p>
        </w:tc>
        <w:tc>
          <w:tcPr>
            <w:tcW w:w="7890" w:type="dxa"/>
          </w:tcPr>
          <w:p w14:paraId="45BFE5F6" w14:textId="56676D23" w:rsidR="006A66DF" w:rsidRPr="006A66DF" w:rsidRDefault="006A66DF" w:rsidP="006A66DF">
            <w:pPr>
              <w:spacing w:after="160" w:line="259" w:lineRule="auto"/>
            </w:pPr>
            <w:r w:rsidRPr="006A66DF">
              <w:t>Company’s product portfolio</w:t>
            </w:r>
            <w:r w:rsidR="00AB7AE2">
              <w:t xml:space="preserve"> ……………………………………………………</w:t>
            </w:r>
          </w:p>
        </w:tc>
        <w:tc>
          <w:tcPr>
            <w:tcW w:w="461" w:type="dxa"/>
          </w:tcPr>
          <w:p w14:paraId="6DE5F504" w14:textId="77777777" w:rsidR="006A66DF" w:rsidRPr="006A66DF" w:rsidRDefault="006A66DF" w:rsidP="006A66DF">
            <w:pPr>
              <w:spacing w:after="160" w:line="259" w:lineRule="auto"/>
            </w:pPr>
            <w:r w:rsidRPr="006A66DF">
              <w:t>3</w:t>
            </w:r>
          </w:p>
        </w:tc>
      </w:tr>
      <w:tr w:rsidR="00AB7AE2" w:rsidRPr="006A66DF" w14:paraId="1A5BDB47"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4D5ABADD" w14:textId="77777777" w:rsidR="006A66DF" w:rsidRPr="006A66DF" w:rsidRDefault="006A66DF" w:rsidP="006A66DF">
            <w:pPr>
              <w:spacing w:after="160" w:line="259" w:lineRule="auto"/>
            </w:pPr>
            <w:r w:rsidRPr="006A66DF">
              <w:t>2.2</w:t>
            </w:r>
          </w:p>
        </w:tc>
        <w:tc>
          <w:tcPr>
            <w:tcW w:w="7890" w:type="dxa"/>
          </w:tcPr>
          <w:p w14:paraId="2CBF9F2E" w14:textId="4F7CC8AB" w:rsidR="006A66DF" w:rsidRPr="006A66DF" w:rsidRDefault="006A66DF" w:rsidP="006A66DF">
            <w:pPr>
              <w:spacing w:after="160" w:line="259" w:lineRule="auto"/>
            </w:pPr>
            <w:r w:rsidRPr="006A66DF">
              <w:t>Domestic and foreign market environment for the development of the fast fashion industry</w:t>
            </w:r>
            <w:r w:rsidR="00AB7AE2">
              <w:t xml:space="preserve"> …………………………………………………………………</w:t>
            </w:r>
          </w:p>
        </w:tc>
        <w:tc>
          <w:tcPr>
            <w:tcW w:w="461" w:type="dxa"/>
            <w:vAlign w:val="bottom"/>
          </w:tcPr>
          <w:p w14:paraId="4E4A7AF5" w14:textId="1A9C8E82" w:rsidR="006A66DF" w:rsidRPr="006A66DF" w:rsidRDefault="006A66DF" w:rsidP="00AB7AE2">
            <w:pPr>
              <w:spacing w:after="160" w:line="259" w:lineRule="auto"/>
            </w:pPr>
            <w:r w:rsidRPr="006A66DF">
              <w:t>4</w:t>
            </w:r>
          </w:p>
        </w:tc>
      </w:tr>
      <w:tr w:rsidR="00AB7AE2" w:rsidRPr="006A66DF" w14:paraId="072870C7"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50F7F734" w14:textId="77777777" w:rsidR="006A66DF" w:rsidRPr="006A66DF" w:rsidRDefault="006A66DF" w:rsidP="006A66DF">
            <w:pPr>
              <w:spacing w:after="160" w:line="259" w:lineRule="auto"/>
            </w:pPr>
            <w:r w:rsidRPr="006A66DF">
              <w:t>2.3</w:t>
            </w:r>
          </w:p>
        </w:tc>
        <w:tc>
          <w:tcPr>
            <w:tcW w:w="7890" w:type="dxa"/>
          </w:tcPr>
          <w:p w14:paraId="53D35982" w14:textId="571C4E79" w:rsidR="006A66DF" w:rsidRPr="006A66DF" w:rsidRDefault="006A66DF" w:rsidP="006A66DF">
            <w:pPr>
              <w:spacing w:after="160" w:line="259" w:lineRule="auto"/>
            </w:pPr>
            <w:r w:rsidRPr="006A66DF">
              <w:t>The rationale of expanding operations in India</w:t>
            </w:r>
            <w:r w:rsidR="00AB7AE2">
              <w:t xml:space="preserve"> …………………………………</w:t>
            </w:r>
          </w:p>
        </w:tc>
        <w:tc>
          <w:tcPr>
            <w:tcW w:w="461" w:type="dxa"/>
          </w:tcPr>
          <w:p w14:paraId="6E1DC556" w14:textId="3270D421" w:rsidR="006A66DF" w:rsidRPr="006A66DF" w:rsidRDefault="00480FF9" w:rsidP="006A66DF">
            <w:pPr>
              <w:spacing w:after="160" w:line="259" w:lineRule="auto"/>
            </w:pPr>
            <w:r>
              <w:t>6</w:t>
            </w:r>
          </w:p>
        </w:tc>
      </w:tr>
      <w:tr w:rsidR="00AB7AE2" w:rsidRPr="006A66DF" w14:paraId="7844A517"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357B3193" w14:textId="08EB9272" w:rsidR="006A66DF" w:rsidRPr="006A66DF" w:rsidRDefault="006A66DF" w:rsidP="006A66DF">
            <w:pPr>
              <w:spacing w:after="160" w:line="259" w:lineRule="auto"/>
            </w:pPr>
            <w:r w:rsidRPr="006A66DF">
              <w:t>3</w:t>
            </w:r>
            <w:r w:rsidR="0008344E">
              <w:t>.</w:t>
            </w:r>
          </w:p>
        </w:tc>
        <w:tc>
          <w:tcPr>
            <w:tcW w:w="7890" w:type="dxa"/>
          </w:tcPr>
          <w:p w14:paraId="52299F7B" w14:textId="29793ADD" w:rsidR="006A66DF" w:rsidRPr="006A66DF" w:rsidRDefault="006A66DF" w:rsidP="006A66DF">
            <w:pPr>
              <w:spacing w:after="160" w:line="259" w:lineRule="auto"/>
            </w:pPr>
            <w:r w:rsidRPr="006A66DF">
              <w:t>Country background</w:t>
            </w:r>
            <w:r w:rsidR="00AB7AE2">
              <w:t xml:space="preserve"> …………………………………………………………….</w:t>
            </w:r>
          </w:p>
        </w:tc>
        <w:tc>
          <w:tcPr>
            <w:tcW w:w="461" w:type="dxa"/>
          </w:tcPr>
          <w:p w14:paraId="21D80BAD" w14:textId="3181EB57" w:rsidR="006A66DF" w:rsidRPr="006A66DF" w:rsidRDefault="00904664" w:rsidP="006A66DF">
            <w:pPr>
              <w:spacing w:after="160" w:line="259" w:lineRule="auto"/>
            </w:pPr>
            <w:r>
              <w:t>7</w:t>
            </w:r>
          </w:p>
        </w:tc>
      </w:tr>
      <w:tr w:rsidR="00AB7AE2" w:rsidRPr="006A66DF" w14:paraId="34FED7A2"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7C7E5ADD" w14:textId="77777777" w:rsidR="006A66DF" w:rsidRPr="006A66DF" w:rsidRDefault="006A66DF" w:rsidP="006A66DF">
            <w:pPr>
              <w:spacing w:after="160" w:line="259" w:lineRule="auto"/>
            </w:pPr>
            <w:r w:rsidRPr="006A66DF">
              <w:t>3.1</w:t>
            </w:r>
          </w:p>
        </w:tc>
        <w:tc>
          <w:tcPr>
            <w:tcW w:w="7890" w:type="dxa"/>
          </w:tcPr>
          <w:p w14:paraId="1670C5B3" w14:textId="091DA98F" w:rsidR="006A66DF" w:rsidRPr="006A66DF" w:rsidRDefault="006A66DF" w:rsidP="006A66DF">
            <w:pPr>
              <w:spacing w:after="160" w:line="259" w:lineRule="auto"/>
            </w:pPr>
            <w:r w:rsidRPr="006A66DF">
              <w:t>Economic setting</w:t>
            </w:r>
            <w:r w:rsidR="00AB7AE2">
              <w:t xml:space="preserve"> ………………………………………………………………..</w:t>
            </w:r>
          </w:p>
        </w:tc>
        <w:tc>
          <w:tcPr>
            <w:tcW w:w="461" w:type="dxa"/>
          </w:tcPr>
          <w:p w14:paraId="7F5D2FC7" w14:textId="708A3FA5" w:rsidR="006A66DF" w:rsidRPr="006A66DF" w:rsidRDefault="00904664" w:rsidP="006A66DF">
            <w:pPr>
              <w:spacing w:after="160" w:line="259" w:lineRule="auto"/>
            </w:pPr>
            <w:r>
              <w:t>7</w:t>
            </w:r>
          </w:p>
        </w:tc>
      </w:tr>
      <w:tr w:rsidR="00AB7AE2" w:rsidRPr="006A66DF" w14:paraId="0680C187"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2FA342E3" w14:textId="77777777" w:rsidR="006A66DF" w:rsidRPr="006A66DF" w:rsidRDefault="006A66DF" w:rsidP="006A66DF">
            <w:pPr>
              <w:spacing w:after="160" w:line="259" w:lineRule="auto"/>
            </w:pPr>
            <w:r w:rsidRPr="006A66DF">
              <w:t>3.2</w:t>
            </w:r>
          </w:p>
        </w:tc>
        <w:tc>
          <w:tcPr>
            <w:tcW w:w="7890" w:type="dxa"/>
          </w:tcPr>
          <w:p w14:paraId="2549BA8F" w14:textId="0CD389AA" w:rsidR="006A66DF" w:rsidRPr="006A66DF" w:rsidRDefault="006A66DF" w:rsidP="006A66DF">
            <w:pPr>
              <w:spacing w:after="160" w:line="259" w:lineRule="auto"/>
            </w:pPr>
            <w:r w:rsidRPr="006A66DF">
              <w:t>Sociological setting</w:t>
            </w:r>
            <w:r w:rsidR="00AB7AE2">
              <w:t xml:space="preserve"> ……………………………………………………………..</w:t>
            </w:r>
          </w:p>
        </w:tc>
        <w:tc>
          <w:tcPr>
            <w:tcW w:w="461" w:type="dxa"/>
          </w:tcPr>
          <w:p w14:paraId="1886CD5A" w14:textId="3A181B15" w:rsidR="006A66DF" w:rsidRPr="006A66DF" w:rsidRDefault="00904664" w:rsidP="006A66DF">
            <w:pPr>
              <w:spacing w:after="160" w:line="259" w:lineRule="auto"/>
            </w:pPr>
            <w:r>
              <w:t>9</w:t>
            </w:r>
          </w:p>
        </w:tc>
      </w:tr>
      <w:tr w:rsidR="00AB7AE2" w:rsidRPr="006A66DF" w14:paraId="79208A8B"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148D04A1" w14:textId="40F28A2E" w:rsidR="006A66DF" w:rsidRPr="006A66DF" w:rsidRDefault="006A66DF" w:rsidP="006A66DF">
            <w:pPr>
              <w:spacing w:after="160" w:line="259" w:lineRule="auto"/>
            </w:pPr>
            <w:r w:rsidRPr="006A66DF">
              <w:t>4</w:t>
            </w:r>
            <w:r w:rsidR="00904664">
              <w:t>.</w:t>
            </w:r>
          </w:p>
        </w:tc>
        <w:tc>
          <w:tcPr>
            <w:tcW w:w="7890" w:type="dxa"/>
          </w:tcPr>
          <w:p w14:paraId="00F74AE4" w14:textId="3EE4AF8D" w:rsidR="006A66DF" w:rsidRPr="006A66DF" w:rsidRDefault="006A66DF" w:rsidP="006A66DF">
            <w:pPr>
              <w:spacing w:after="160" w:line="259" w:lineRule="auto"/>
            </w:pPr>
            <w:r w:rsidRPr="006A66DF">
              <w:t>Analysis and discussion</w:t>
            </w:r>
            <w:r w:rsidR="00AB7AE2">
              <w:t xml:space="preserve"> …………………………………………………………</w:t>
            </w:r>
          </w:p>
        </w:tc>
        <w:tc>
          <w:tcPr>
            <w:tcW w:w="461" w:type="dxa"/>
          </w:tcPr>
          <w:p w14:paraId="2A00BB5C" w14:textId="422690FB" w:rsidR="006A66DF" w:rsidRPr="006A66DF" w:rsidRDefault="00904664" w:rsidP="006A66DF">
            <w:pPr>
              <w:spacing w:after="160" w:line="259" w:lineRule="auto"/>
            </w:pPr>
            <w:r>
              <w:t>12</w:t>
            </w:r>
          </w:p>
        </w:tc>
      </w:tr>
      <w:tr w:rsidR="00AB7AE2" w:rsidRPr="006A66DF" w14:paraId="059C9B3A"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706FDED5" w14:textId="77777777" w:rsidR="006A66DF" w:rsidRPr="006A66DF" w:rsidRDefault="006A66DF" w:rsidP="006A66DF">
            <w:pPr>
              <w:spacing w:after="160" w:line="259" w:lineRule="auto"/>
            </w:pPr>
            <w:r w:rsidRPr="006A66DF">
              <w:t>4.1</w:t>
            </w:r>
          </w:p>
        </w:tc>
        <w:tc>
          <w:tcPr>
            <w:tcW w:w="7890" w:type="dxa"/>
          </w:tcPr>
          <w:p w14:paraId="0EC47C01" w14:textId="73289DD4" w:rsidR="006A66DF" w:rsidRPr="006A66DF" w:rsidRDefault="006A66DF" w:rsidP="006A66DF">
            <w:pPr>
              <w:spacing w:after="160" w:line="259" w:lineRule="auto"/>
            </w:pPr>
            <w:r w:rsidRPr="006A66DF">
              <w:t>Theoretical background</w:t>
            </w:r>
            <w:r w:rsidR="00AB7AE2">
              <w:t xml:space="preserve"> …………………………………………………………</w:t>
            </w:r>
          </w:p>
        </w:tc>
        <w:tc>
          <w:tcPr>
            <w:tcW w:w="461" w:type="dxa"/>
          </w:tcPr>
          <w:p w14:paraId="22D5F820" w14:textId="41F4019C" w:rsidR="006A66DF" w:rsidRPr="006A66DF" w:rsidRDefault="00904664" w:rsidP="006A66DF">
            <w:pPr>
              <w:spacing w:after="160" w:line="259" w:lineRule="auto"/>
            </w:pPr>
            <w:r>
              <w:t>12</w:t>
            </w:r>
          </w:p>
        </w:tc>
      </w:tr>
      <w:tr w:rsidR="00AB7AE2" w:rsidRPr="006A66DF" w14:paraId="02C56639"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63FBAB01" w14:textId="77777777" w:rsidR="006A66DF" w:rsidRPr="006A66DF" w:rsidRDefault="006A66DF" w:rsidP="006A66DF">
            <w:pPr>
              <w:spacing w:after="160" w:line="259" w:lineRule="auto"/>
            </w:pPr>
            <w:r w:rsidRPr="006A66DF">
              <w:t>4.1.1</w:t>
            </w:r>
          </w:p>
        </w:tc>
        <w:tc>
          <w:tcPr>
            <w:tcW w:w="7890" w:type="dxa"/>
          </w:tcPr>
          <w:p w14:paraId="48DC2246" w14:textId="5E62E2E6" w:rsidR="006A66DF" w:rsidRPr="006A66DF" w:rsidRDefault="006A66DF" w:rsidP="006A66DF">
            <w:pPr>
              <w:spacing w:after="160" w:line="259" w:lineRule="auto"/>
            </w:pPr>
            <w:r w:rsidRPr="006A66DF">
              <w:t>The theory</w:t>
            </w:r>
            <w:r w:rsidR="00AB7AE2">
              <w:t xml:space="preserve"> ……………………………………………………………………….</w:t>
            </w:r>
          </w:p>
        </w:tc>
        <w:tc>
          <w:tcPr>
            <w:tcW w:w="461" w:type="dxa"/>
          </w:tcPr>
          <w:p w14:paraId="401BBA43" w14:textId="027F7847" w:rsidR="006A66DF" w:rsidRPr="006A66DF" w:rsidRDefault="00904664" w:rsidP="006A66DF">
            <w:pPr>
              <w:spacing w:after="160" w:line="259" w:lineRule="auto"/>
            </w:pPr>
            <w:r>
              <w:t>13</w:t>
            </w:r>
          </w:p>
        </w:tc>
      </w:tr>
      <w:tr w:rsidR="00AB7AE2" w:rsidRPr="006A66DF" w14:paraId="027592F5"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69EF4FED" w14:textId="77777777" w:rsidR="006A66DF" w:rsidRPr="006A66DF" w:rsidRDefault="006A66DF" w:rsidP="006A66DF">
            <w:pPr>
              <w:spacing w:after="160" w:line="259" w:lineRule="auto"/>
            </w:pPr>
            <w:r w:rsidRPr="006A66DF">
              <w:t>4.1.2</w:t>
            </w:r>
          </w:p>
        </w:tc>
        <w:tc>
          <w:tcPr>
            <w:tcW w:w="7890" w:type="dxa"/>
          </w:tcPr>
          <w:p w14:paraId="1CDA3249" w14:textId="4DD770F8" w:rsidR="006A66DF" w:rsidRPr="006A66DF" w:rsidRDefault="006A66DF" w:rsidP="006A66DF">
            <w:pPr>
              <w:spacing w:after="160" w:line="259" w:lineRule="auto"/>
            </w:pPr>
            <w:r w:rsidRPr="006A66DF">
              <w:t>Application</w:t>
            </w:r>
            <w:r w:rsidR="00AB7AE2">
              <w:t xml:space="preserve"> ………………………………………………………………………</w:t>
            </w:r>
          </w:p>
        </w:tc>
        <w:tc>
          <w:tcPr>
            <w:tcW w:w="461" w:type="dxa"/>
          </w:tcPr>
          <w:p w14:paraId="79C7D64F" w14:textId="1E2888D6" w:rsidR="006A66DF" w:rsidRPr="006A66DF" w:rsidRDefault="00904664" w:rsidP="006A66DF">
            <w:pPr>
              <w:spacing w:after="160" w:line="259" w:lineRule="auto"/>
            </w:pPr>
            <w:r>
              <w:t>13</w:t>
            </w:r>
          </w:p>
        </w:tc>
      </w:tr>
      <w:tr w:rsidR="00AB7AE2" w:rsidRPr="006A66DF" w14:paraId="04079925"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73937706" w14:textId="77777777" w:rsidR="006A66DF" w:rsidRPr="006A66DF" w:rsidRDefault="006A66DF" w:rsidP="006A66DF">
            <w:pPr>
              <w:spacing w:after="160" w:line="259" w:lineRule="auto"/>
            </w:pPr>
            <w:r w:rsidRPr="006A66DF">
              <w:t>4.2</w:t>
            </w:r>
          </w:p>
        </w:tc>
        <w:tc>
          <w:tcPr>
            <w:tcW w:w="7890" w:type="dxa"/>
          </w:tcPr>
          <w:p w14:paraId="7B4A1FF5" w14:textId="11E30282" w:rsidR="006A66DF" w:rsidRPr="006A66DF" w:rsidRDefault="006A66DF" w:rsidP="006A66DF">
            <w:pPr>
              <w:spacing w:after="160" w:line="259" w:lineRule="auto"/>
            </w:pPr>
            <w:r w:rsidRPr="006A66DF">
              <w:t>Challenges</w:t>
            </w:r>
            <w:r w:rsidR="00AB7AE2">
              <w:t xml:space="preserve"> ……………………………………………………………………….</w:t>
            </w:r>
          </w:p>
        </w:tc>
        <w:tc>
          <w:tcPr>
            <w:tcW w:w="461" w:type="dxa"/>
          </w:tcPr>
          <w:p w14:paraId="65B8F7CE" w14:textId="7004A894" w:rsidR="006A66DF" w:rsidRPr="006A66DF" w:rsidRDefault="00904664" w:rsidP="006A66DF">
            <w:pPr>
              <w:spacing w:after="160" w:line="259" w:lineRule="auto"/>
            </w:pPr>
            <w:r>
              <w:t>16</w:t>
            </w:r>
          </w:p>
        </w:tc>
      </w:tr>
      <w:tr w:rsidR="00AB7AE2" w:rsidRPr="006A66DF" w14:paraId="5C02F053"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5AEAE5DA" w14:textId="77777777" w:rsidR="006A66DF" w:rsidRPr="006A66DF" w:rsidRDefault="006A66DF" w:rsidP="006A66DF">
            <w:pPr>
              <w:spacing w:after="160" w:line="259" w:lineRule="auto"/>
            </w:pPr>
            <w:r w:rsidRPr="006A66DF">
              <w:t>4.3</w:t>
            </w:r>
          </w:p>
        </w:tc>
        <w:tc>
          <w:tcPr>
            <w:tcW w:w="7890" w:type="dxa"/>
          </w:tcPr>
          <w:p w14:paraId="0080CB05" w14:textId="47C39E5B" w:rsidR="006A66DF" w:rsidRPr="006A66DF" w:rsidRDefault="006A66DF" w:rsidP="006A66DF">
            <w:pPr>
              <w:spacing w:after="160" w:line="259" w:lineRule="auto"/>
            </w:pPr>
            <w:r w:rsidRPr="006A66DF">
              <w:t>Responses to work on the challenges</w:t>
            </w:r>
            <w:r w:rsidR="00AB7AE2">
              <w:t xml:space="preserve"> …………………………………………...</w:t>
            </w:r>
          </w:p>
        </w:tc>
        <w:tc>
          <w:tcPr>
            <w:tcW w:w="461" w:type="dxa"/>
          </w:tcPr>
          <w:p w14:paraId="67F924BA" w14:textId="0BDF2C9F" w:rsidR="006A66DF" w:rsidRPr="006A66DF" w:rsidRDefault="00904664" w:rsidP="006A66DF">
            <w:pPr>
              <w:spacing w:after="160" w:line="259" w:lineRule="auto"/>
            </w:pPr>
            <w:r>
              <w:t>17</w:t>
            </w:r>
          </w:p>
        </w:tc>
      </w:tr>
      <w:tr w:rsidR="00AB7AE2" w:rsidRPr="006A66DF" w14:paraId="22473966"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77CA9603" w14:textId="4405661F" w:rsidR="006A66DF" w:rsidRPr="006A66DF" w:rsidRDefault="006A66DF" w:rsidP="006A66DF">
            <w:pPr>
              <w:spacing w:after="160" w:line="259" w:lineRule="auto"/>
            </w:pPr>
            <w:r w:rsidRPr="006A66DF">
              <w:t>5</w:t>
            </w:r>
            <w:r w:rsidR="00904664">
              <w:t>.</w:t>
            </w:r>
          </w:p>
        </w:tc>
        <w:tc>
          <w:tcPr>
            <w:tcW w:w="7890" w:type="dxa"/>
          </w:tcPr>
          <w:p w14:paraId="31E9E694" w14:textId="2A23BE0C" w:rsidR="006A66DF" w:rsidRPr="006A66DF" w:rsidRDefault="006A66DF" w:rsidP="006A66DF">
            <w:pPr>
              <w:spacing w:after="160" w:line="259" w:lineRule="auto"/>
            </w:pPr>
            <w:r w:rsidRPr="006A66DF">
              <w:t>Conclusion and recommendations</w:t>
            </w:r>
            <w:r w:rsidR="00AB7AE2">
              <w:t xml:space="preserve"> ………………………………………………</w:t>
            </w:r>
          </w:p>
        </w:tc>
        <w:tc>
          <w:tcPr>
            <w:tcW w:w="461" w:type="dxa"/>
          </w:tcPr>
          <w:p w14:paraId="753F8E69" w14:textId="0C3E001D" w:rsidR="006A66DF" w:rsidRPr="006A66DF" w:rsidRDefault="00904664" w:rsidP="006A66DF">
            <w:pPr>
              <w:spacing w:after="160" w:line="259" w:lineRule="auto"/>
            </w:pPr>
            <w:r>
              <w:t>19</w:t>
            </w:r>
          </w:p>
        </w:tc>
      </w:tr>
      <w:tr w:rsidR="00AB7AE2" w:rsidRPr="006A66DF" w14:paraId="05B0D2E4"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2171BD39" w14:textId="77777777" w:rsidR="006A66DF" w:rsidRPr="006A66DF" w:rsidRDefault="006A66DF" w:rsidP="006A66DF">
            <w:pPr>
              <w:spacing w:after="160" w:line="259" w:lineRule="auto"/>
            </w:pPr>
            <w:r w:rsidRPr="006A66DF">
              <w:t>5.1</w:t>
            </w:r>
          </w:p>
        </w:tc>
        <w:tc>
          <w:tcPr>
            <w:tcW w:w="7890" w:type="dxa"/>
          </w:tcPr>
          <w:p w14:paraId="2374EBE8" w14:textId="67AB95C9" w:rsidR="006A66DF" w:rsidRPr="006A66DF" w:rsidRDefault="006A66DF" w:rsidP="006A66DF">
            <w:pPr>
              <w:spacing w:after="160" w:line="259" w:lineRule="auto"/>
            </w:pPr>
            <w:r w:rsidRPr="006A66DF">
              <w:t>Conclusion</w:t>
            </w:r>
            <w:r w:rsidR="00AB7AE2">
              <w:t xml:space="preserve"> ………………………………………………………………………</w:t>
            </w:r>
          </w:p>
        </w:tc>
        <w:tc>
          <w:tcPr>
            <w:tcW w:w="461" w:type="dxa"/>
          </w:tcPr>
          <w:p w14:paraId="578ADF99" w14:textId="0FC5BAB0" w:rsidR="006A66DF" w:rsidRPr="006A66DF" w:rsidRDefault="00904664" w:rsidP="006A66DF">
            <w:pPr>
              <w:spacing w:after="160" w:line="259" w:lineRule="auto"/>
            </w:pPr>
            <w:r>
              <w:t>19</w:t>
            </w:r>
          </w:p>
        </w:tc>
      </w:tr>
      <w:tr w:rsidR="00AB7AE2" w:rsidRPr="006A66DF" w14:paraId="779FD54E"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6B97344A" w14:textId="77777777" w:rsidR="006A66DF" w:rsidRPr="006A66DF" w:rsidRDefault="006A66DF" w:rsidP="006A66DF">
            <w:pPr>
              <w:spacing w:after="160" w:line="259" w:lineRule="auto"/>
            </w:pPr>
            <w:r w:rsidRPr="006A66DF">
              <w:t>5.2</w:t>
            </w:r>
          </w:p>
        </w:tc>
        <w:tc>
          <w:tcPr>
            <w:tcW w:w="7890" w:type="dxa"/>
          </w:tcPr>
          <w:p w14:paraId="22BDF551" w14:textId="7700CC90" w:rsidR="006A66DF" w:rsidRPr="006A66DF" w:rsidRDefault="006A66DF" w:rsidP="006A66DF">
            <w:pPr>
              <w:spacing w:after="160" w:line="259" w:lineRule="auto"/>
            </w:pPr>
            <w:r w:rsidRPr="006A66DF">
              <w:t>Recommendations</w:t>
            </w:r>
            <w:r w:rsidR="00AB7AE2">
              <w:t xml:space="preserve"> ……………………………………………………………….</w:t>
            </w:r>
          </w:p>
        </w:tc>
        <w:tc>
          <w:tcPr>
            <w:tcW w:w="461" w:type="dxa"/>
          </w:tcPr>
          <w:p w14:paraId="6C78F6C5" w14:textId="14E5F325" w:rsidR="006A66DF" w:rsidRPr="006A66DF" w:rsidRDefault="00904664" w:rsidP="006A66DF">
            <w:pPr>
              <w:spacing w:after="160" w:line="259" w:lineRule="auto"/>
            </w:pPr>
            <w:r>
              <w:t>19</w:t>
            </w:r>
          </w:p>
        </w:tc>
      </w:tr>
      <w:tr w:rsidR="00AB7AE2" w:rsidRPr="006A66DF" w14:paraId="673E31C2" w14:textId="77777777" w:rsidTr="009D55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13" w:type="dxa"/>
          </w:tcPr>
          <w:p w14:paraId="49C70759" w14:textId="036A561E" w:rsidR="006A66DF" w:rsidRPr="006A66DF" w:rsidRDefault="006A66DF" w:rsidP="006A66DF">
            <w:pPr>
              <w:spacing w:after="160" w:line="259" w:lineRule="auto"/>
            </w:pPr>
          </w:p>
        </w:tc>
        <w:tc>
          <w:tcPr>
            <w:tcW w:w="7890" w:type="dxa"/>
          </w:tcPr>
          <w:p w14:paraId="7371BE77" w14:textId="1FC8A80F" w:rsidR="006A66DF" w:rsidRPr="006A66DF" w:rsidRDefault="006A66DF" w:rsidP="006A66DF">
            <w:pPr>
              <w:spacing w:after="160" w:line="259" w:lineRule="auto"/>
            </w:pPr>
            <w:r w:rsidRPr="006A66DF">
              <w:t>References</w:t>
            </w:r>
            <w:r w:rsidR="00AB7AE2">
              <w:t xml:space="preserve"> ……………………………………………………………………….</w:t>
            </w:r>
          </w:p>
        </w:tc>
        <w:tc>
          <w:tcPr>
            <w:tcW w:w="461" w:type="dxa"/>
          </w:tcPr>
          <w:p w14:paraId="6DA4D2F7" w14:textId="26F799F5" w:rsidR="006A66DF" w:rsidRPr="006A66DF" w:rsidRDefault="00904664" w:rsidP="006A66DF">
            <w:pPr>
              <w:spacing w:after="160" w:line="259" w:lineRule="auto"/>
            </w:pPr>
            <w:r>
              <w:t>21</w:t>
            </w:r>
          </w:p>
        </w:tc>
      </w:tr>
    </w:tbl>
    <w:p w14:paraId="125D3909" w14:textId="77777777" w:rsidR="007448DC" w:rsidRDefault="007448DC" w:rsidP="007448DC">
      <w:pPr>
        <w:spacing w:line="480" w:lineRule="auto"/>
        <w:jc w:val="both"/>
        <w:rPr>
          <w:lang w:eastAsia="en-US" w:bidi="en-US"/>
        </w:rPr>
        <w:sectPr w:rsidR="007448DC" w:rsidSect="00101939">
          <w:headerReference w:type="even" r:id="rId10"/>
          <w:footerReference w:type="default" r:id="rId11"/>
          <w:pgSz w:w="11900" w:h="16840" w:code="9"/>
          <w:pgMar w:top="1418" w:right="1418" w:bottom="1418" w:left="1418" w:header="720" w:footer="720" w:gutter="0"/>
          <w:pgNumType w:fmt="lowerRoman" w:start="1" w:chapStyle="1"/>
          <w:cols w:space="720"/>
          <w:docGrid w:linePitch="360"/>
        </w:sectPr>
      </w:pPr>
    </w:p>
    <w:p w14:paraId="7FC28962" w14:textId="06138383" w:rsidR="007C2244" w:rsidRDefault="007C2244" w:rsidP="0055378B">
      <w:pPr>
        <w:spacing w:after="0" w:line="480" w:lineRule="auto"/>
        <w:jc w:val="both"/>
      </w:pPr>
      <w:bookmarkStart w:id="3" w:name="_Toc32760789"/>
      <w:r>
        <w:rPr>
          <w:rStyle w:val="Strong"/>
          <w:color w:val="0E101A"/>
        </w:rPr>
        <w:lastRenderedPageBreak/>
        <w:t xml:space="preserve">1. </w:t>
      </w:r>
      <w:r w:rsidR="00716F6D">
        <w:rPr>
          <w:rStyle w:val="Strong"/>
          <w:color w:val="0E101A"/>
        </w:rPr>
        <w:tab/>
      </w:r>
      <w:r>
        <w:rPr>
          <w:rStyle w:val="Strong"/>
          <w:color w:val="0E101A"/>
        </w:rPr>
        <w:t>Introduction</w:t>
      </w:r>
    </w:p>
    <w:p w14:paraId="651D7CF8" w14:textId="77777777" w:rsidR="007C2244" w:rsidRDefault="007C2244" w:rsidP="007C2244">
      <w:pPr>
        <w:spacing w:line="480" w:lineRule="auto"/>
        <w:ind w:firstLine="720"/>
        <w:jc w:val="both"/>
      </w:pPr>
      <w:r>
        <w:t>GU is an up-and-coming fast fashion brand based in Japan and expending its operation around Asia. To get a competitive edge versus other world-famous brands; such as Zara and H&amp;M, this study will describe GU's current operations model and investigate the advantages of fast fashion manufacturing in several emerging markets in Asia. Follow by consideration of a combination of the needs for GU and the advantages in the emerging market, with the application of the economic theory, to make a comprehensive suggestion for GU to better enrich its global operations strategy.</w:t>
      </w:r>
    </w:p>
    <w:p w14:paraId="3750266A" w14:textId="77777777" w:rsidR="007C2244" w:rsidRDefault="007C2244" w:rsidP="007C2244">
      <w:pPr>
        <w:spacing w:line="480" w:lineRule="auto"/>
        <w:ind w:firstLine="720"/>
        <w:jc w:val="both"/>
      </w:pPr>
      <w:r>
        <w:t>One of GU's strategies is to centralize the purchasing processes and to enhance supply chain management. GU has already been partnering with different manufacturers and fabric mills, targeting to get a better organize supply chain and cost reduction. When considering cost reduction, the emerging market is always in the mind of the multinational companies. Customization, mass production, and increasing the volume to achieve a lower price are some common strategies when entering emerging markets (</w:t>
      </w:r>
      <w:proofErr w:type="spellStart"/>
      <w:r>
        <w:t>Maurya</w:t>
      </w:r>
      <w:proofErr w:type="spellEnd"/>
      <w:r>
        <w:t xml:space="preserve">, 2019). The emerging economy evolved from a developing economy and define by per capita income level, degree of export diversification, and level of integration into the global financial system (Lane and </w:t>
      </w:r>
      <w:proofErr w:type="spellStart"/>
      <w:r>
        <w:t>Milesi</w:t>
      </w:r>
      <w:proofErr w:type="spellEnd"/>
      <w:r>
        <w:t>-Ferretti, 2018). Emerging economies have distinct characteristics, which included a fast growth rate of economic development and transformation from a closed market to an open market driven by favorable government policies (</w:t>
      </w:r>
      <w:proofErr w:type="spellStart"/>
      <w:r>
        <w:t>Kubickova</w:t>
      </w:r>
      <w:proofErr w:type="spellEnd"/>
      <w:r>
        <w:t>, 2019). </w:t>
      </w:r>
    </w:p>
    <w:p w14:paraId="18DE6EB3" w14:textId="77777777" w:rsidR="007C2244" w:rsidRDefault="007C2244" w:rsidP="007C2244">
      <w:pPr>
        <w:spacing w:line="480" w:lineRule="auto"/>
        <w:ind w:firstLine="720"/>
        <w:jc w:val="both"/>
      </w:pPr>
      <w:r>
        <w:t>As fast fashion companies aiming to gain control over further upstream on the supply chain, in this case, most used raw material for the fabric mill will be the cotton. India is the largest cotton production in the world (United States Department of Agriculture, 2020) and also is a fast-growing emerging market, along with all the distinct characteristics in India. It is interesting to understand the opportunity and challenge of GU as a fast-fashion brand entering India. </w:t>
      </w:r>
    </w:p>
    <w:p w14:paraId="284999BA" w14:textId="0EFB50ED" w:rsidR="007C2244" w:rsidRDefault="007C2244" w:rsidP="007C2244">
      <w:pPr>
        <w:spacing w:line="480" w:lineRule="auto"/>
        <w:ind w:firstLine="720"/>
        <w:jc w:val="both"/>
      </w:pPr>
      <w:r>
        <w:lastRenderedPageBreak/>
        <w:t>Therefore, this study describes the company’s background and reviews its existing policies. It also looks into both the domestic market and the international market environment in the fast fashion industry. It will investigate the characteristic of India as a key member of an emerging market, and the benefits and challenges of GU expand the operation in India. While enhancing the centralized purchasing process, which can get better control of the whole supply chain, to achieve cost reduction, increase the efficiencies of the operation, and secure the volume to cope with the business expansion.</w:t>
      </w:r>
    </w:p>
    <w:p w14:paraId="2A9B401A" w14:textId="437CAD63" w:rsidR="007C2244" w:rsidRDefault="007C2244" w:rsidP="007C2244">
      <w:pPr>
        <w:spacing w:line="480" w:lineRule="auto"/>
        <w:jc w:val="both"/>
      </w:pPr>
      <w:r>
        <w:t>           The direction is to seek an opportunity of GU to enhance the supply chain management, in particular, to gain further upstream control into the raw material sector. As cotton is the most used raw material in fast fashion, the analysis will focus on extracting the advantages of cotton purchasing in India. Review the existing advantages and policies that attract direct foreign investors, along with the country’s future strategy and development</w:t>
      </w:r>
      <w:r w:rsidR="003A716A">
        <w:t>,</w:t>
      </w:r>
      <w:r>
        <w:t xml:space="preserve"> which aim to help the investors in conjunction with the econom</w:t>
      </w:r>
      <w:r w:rsidR="003A716A">
        <w:t>y</w:t>
      </w:r>
      <w:r>
        <w:t xml:space="preserve"> grow.</w:t>
      </w:r>
    </w:p>
    <w:p w14:paraId="20F6DC85" w14:textId="77777777" w:rsidR="007C2244" w:rsidRDefault="007C2244" w:rsidP="00951BB5">
      <w:pPr>
        <w:spacing w:line="480" w:lineRule="auto"/>
        <w:ind w:firstLine="720"/>
        <w:jc w:val="both"/>
      </w:pPr>
      <w:r>
        <w:t>Economies of scale is the ultimate goal and the theory when applying to the GU strategy. The planning and execution of the sourcing office in India will be discussed. Also, reviewing the important elements and overcome the potential challenges that might be facing during the transformation is included. </w:t>
      </w:r>
    </w:p>
    <w:p w14:paraId="308C8A47" w14:textId="77777777" w:rsidR="007C2244" w:rsidRDefault="007C2244" w:rsidP="00AD0585">
      <w:pPr>
        <w:rPr>
          <w:b/>
          <w:sz w:val="26"/>
          <w:szCs w:val="26"/>
        </w:rPr>
      </w:pPr>
    </w:p>
    <w:p w14:paraId="25560719" w14:textId="77777777" w:rsidR="00F56355" w:rsidRDefault="00F56355">
      <w:pPr>
        <w:spacing w:line="259" w:lineRule="auto"/>
        <w:rPr>
          <w:b/>
          <w:sz w:val="26"/>
          <w:szCs w:val="26"/>
        </w:rPr>
      </w:pPr>
      <w:r>
        <w:rPr>
          <w:b/>
          <w:sz w:val="26"/>
          <w:szCs w:val="26"/>
        </w:rPr>
        <w:br w:type="page"/>
      </w:r>
    </w:p>
    <w:p w14:paraId="12E8D153" w14:textId="3ADF5894" w:rsidR="000A7009" w:rsidRPr="00077F79" w:rsidRDefault="00B553C5" w:rsidP="00077F79">
      <w:pPr>
        <w:rPr>
          <w:b/>
          <w:sz w:val="26"/>
          <w:szCs w:val="26"/>
        </w:rPr>
      </w:pPr>
      <w:r w:rsidRPr="00077F79">
        <w:rPr>
          <w:b/>
          <w:sz w:val="26"/>
          <w:szCs w:val="26"/>
        </w:rPr>
        <w:lastRenderedPageBreak/>
        <w:t>2</w:t>
      </w:r>
      <w:r w:rsidR="002904A1" w:rsidRPr="00077F79">
        <w:rPr>
          <w:b/>
          <w:sz w:val="26"/>
          <w:szCs w:val="26"/>
        </w:rPr>
        <w:t>.</w:t>
      </w:r>
      <w:r w:rsidRPr="00077F79">
        <w:rPr>
          <w:b/>
          <w:sz w:val="26"/>
          <w:szCs w:val="26"/>
        </w:rPr>
        <w:t xml:space="preserve">   </w:t>
      </w:r>
      <w:r w:rsidRPr="00077F79">
        <w:rPr>
          <w:b/>
          <w:sz w:val="26"/>
          <w:szCs w:val="26"/>
        </w:rPr>
        <w:tab/>
        <w:t>Company background</w:t>
      </w:r>
      <w:bookmarkEnd w:id="3"/>
    </w:p>
    <w:p w14:paraId="38B90EF4" w14:textId="433DE836" w:rsidR="00070D51" w:rsidRDefault="000A7009" w:rsidP="00077F79">
      <w:pPr>
        <w:spacing w:line="480" w:lineRule="auto"/>
        <w:ind w:firstLine="720"/>
        <w:jc w:val="both"/>
        <w:rPr>
          <w:rFonts w:cs="Times New Roman"/>
          <w:szCs w:val="24"/>
          <w:lang w:eastAsia="en-US" w:bidi="en-US"/>
        </w:rPr>
      </w:pPr>
      <w:r w:rsidRPr="000A7009">
        <w:rPr>
          <w:rFonts w:cs="Times New Roman"/>
          <w:szCs w:val="24"/>
          <w:lang w:eastAsia="en-US" w:bidi="en-US"/>
        </w:rPr>
        <w:t>GU is a fast-fashion brand with th</w:t>
      </w:r>
      <w:r w:rsidR="00AA3DDA">
        <w:rPr>
          <w:rFonts w:cs="Times New Roman"/>
          <w:szCs w:val="24"/>
          <w:lang w:eastAsia="en-US" w:bidi="en-US"/>
        </w:rPr>
        <w:t xml:space="preserve">e headquarter located in Japan and </w:t>
      </w:r>
      <w:r w:rsidRPr="000A7009">
        <w:rPr>
          <w:rFonts w:cs="Times New Roman"/>
          <w:szCs w:val="24"/>
          <w:lang w:eastAsia="en-US" w:bidi="en-US"/>
        </w:rPr>
        <w:t>opened its first retail store in Octo</w:t>
      </w:r>
      <w:r w:rsidR="00AA3DDA">
        <w:rPr>
          <w:rFonts w:cs="Times New Roman"/>
          <w:szCs w:val="24"/>
          <w:lang w:eastAsia="en-US" w:bidi="en-US"/>
        </w:rPr>
        <w:t>ber 2006</w:t>
      </w:r>
      <w:r w:rsidRPr="000A7009">
        <w:rPr>
          <w:rFonts w:cs="Times New Roman"/>
          <w:szCs w:val="24"/>
          <w:lang w:eastAsia="en-US" w:bidi="en-US"/>
        </w:rPr>
        <w:t xml:space="preserve">. As of 2019, GU </w:t>
      </w:r>
      <w:r w:rsidR="00AA3DDA">
        <w:rPr>
          <w:rFonts w:cs="Times New Roman"/>
          <w:szCs w:val="24"/>
          <w:lang w:eastAsia="en-US" w:bidi="en-US"/>
        </w:rPr>
        <w:t xml:space="preserve">operates </w:t>
      </w:r>
      <w:r w:rsidRPr="000A7009">
        <w:rPr>
          <w:rFonts w:cs="Times New Roman"/>
          <w:szCs w:val="24"/>
          <w:lang w:eastAsia="en-US" w:bidi="en-US"/>
        </w:rPr>
        <w:t>a total of 438 stores in Japan, Hong Kong, Korea, and Taiwan</w:t>
      </w:r>
      <w:r w:rsidR="00D564B2">
        <w:rPr>
          <w:rFonts w:cs="Times New Roman"/>
          <w:szCs w:val="24"/>
          <w:lang w:eastAsia="en-US" w:bidi="en-US"/>
        </w:rPr>
        <w:t xml:space="preserve"> (GU, 2019a)</w:t>
      </w:r>
      <w:r w:rsidR="00AA3DDA">
        <w:rPr>
          <w:rFonts w:cs="Times New Roman"/>
          <w:szCs w:val="24"/>
          <w:lang w:eastAsia="en-US" w:bidi="en-US"/>
        </w:rPr>
        <w:t xml:space="preserve">. </w:t>
      </w:r>
      <w:r w:rsidRPr="000A7009">
        <w:rPr>
          <w:rFonts w:cs="Times New Roman"/>
          <w:szCs w:val="24"/>
          <w:lang w:eastAsia="en-US" w:bidi="en-US"/>
        </w:rPr>
        <w:t>Fast Retailing Company Limited</w:t>
      </w:r>
      <w:r w:rsidR="00AA3DDA">
        <w:rPr>
          <w:rFonts w:cs="Times New Roman"/>
          <w:szCs w:val="24"/>
          <w:lang w:eastAsia="en-US" w:bidi="en-US"/>
        </w:rPr>
        <w:t xml:space="preserve"> is the mother company of GU along with</w:t>
      </w:r>
      <w:r w:rsidRPr="000A7009">
        <w:rPr>
          <w:rFonts w:cs="Times New Roman"/>
          <w:szCs w:val="24"/>
          <w:lang w:eastAsia="en-US" w:bidi="en-US"/>
        </w:rPr>
        <w:t xml:space="preserve"> </w:t>
      </w:r>
      <w:r w:rsidR="00AA3DDA">
        <w:rPr>
          <w:rFonts w:cs="Times New Roman"/>
          <w:szCs w:val="24"/>
          <w:lang w:eastAsia="en-US" w:bidi="en-US"/>
        </w:rPr>
        <w:t>other</w:t>
      </w:r>
      <w:r w:rsidRPr="000A7009">
        <w:rPr>
          <w:rFonts w:cs="Times New Roman"/>
          <w:szCs w:val="24"/>
          <w:lang w:eastAsia="en-US" w:bidi="en-US"/>
        </w:rPr>
        <w:t xml:space="preserve"> fast-fashion brand</w:t>
      </w:r>
      <w:r w:rsidR="000F1D33">
        <w:rPr>
          <w:rFonts w:cs="Times New Roman"/>
          <w:szCs w:val="24"/>
          <w:lang w:eastAsia="en-US" w:bidi="en-US"/>
        </w:rPr>
        <w:t>s</w:t>
      </w:r>
      <w:r w:rsidR="00B30845">
        <w:rPr>
          <w:rFonts w:cs="Times New Roman"/>
          <w:szCs w:val="24"/>
          <w:lang w:eastAsia="en-US" w:bidi="en-US"/>
        </w:rPr>
        <w:t>,</w:t>
      </w:r>
      <w:r w:rsidRPr="000A7009">
        <w:rPr>
          <w:rFonts w:cs="Times New Roman"/>
          <w:szCs w:val="24"/>
          <w:lang w:eastAsia="en-US" w:bidi="en-US"/>
        </w:rPr>
        <w:t xml:space="preserve"> including UNIQLO and Theory. Fast Retailing ranked number two in the world of fast-fashion sales, and the third-largest fast-fashion manufacturer and reta</w:t>
      </w:r>
      <w:r w:rsidR="00B553C5">
        <w:rPr>
          <w:rFonts w:cs="Times New Roman"/>
          <w:szCs w:val="24"/>
          <w:lang w:eastAsia="en-US" w:bidi="en-US"/>
        </w:rPr>
        <w:t>iler</w:t>
      </w:r>
      <w:r w:rsidR="00D564B2">
        <w:rPr>
          <w:rFonts w:cs="Times New Roman"/>
          <w:szCs w:val="24"/>
          <w:lang w:eastAsia="en-US" w:bidi="en-US"/>
        </w:rPr>
        <w:t xml:space="preserve"> (GU, 2019b)</w:t>
      </w:r>
      <w:r w:rsidR="00B553C5">
        <w:rPr>
          <w:rFonts w:cs="Times New Roman"/>
          <w:szCs w:val="24"/>
          <w:lang w:eastAsia="en-US" w:bidi="en-US"/>
        </w:rPr>
        <w:t xml:space="preserve">. </w:t>
      </w:r>
    </w:p>
    <w:p w14:paraId="59571C63" w14:textId="5A888201" w:rsidR="000A7009" w:rsidRPr="000A7009" w:rsidRDefault="00070D51" w:rsidP="00077F79">
      <w:pPr>
        <w:spacing w:line="480" w:lineRule="auto"/>
        <w:ind w:firstLine="720"/>
        <w:jc w:val="both"/>
        <w:rPr>
          <w:rFonts w:cs="Times New Roman"/>
          <w:szCs w:val="24"/>
          <w:lang w:eastAsia="en-US" w:bidi="en-US"/>
        </w:rPr>
      </w:pPr>
      <w:r w:rsidRPr="00070D51">
        <w:rPr>
          <w:rFonts w:cs="Times New Roman"/>
          <w:szCs w:val="24"/>
          <w:lang w:eastAsia="en-US" w:bidi="en-US"/>
        </w:rPr>
        <w:t xml:space="preserve">GU has identified “fashion and low prices” as the company strategy. It is best known for 1000 yen for a pair of jeans. Beginning of </w:t>
      </w:r>
      <w:r w:rsidR="000E6F24">
        <w:rPr>
          <w:rFonts w:cs="Times New Roman"/>
          <w:szCs w:val="24"/>
          <w:lang w:eastAsia="en-US" w:bidi="en-US"/>
        </w:rPr>
        <w:t xml:space="preserve">the </w:t>
      </w:r>
      <w:r w:rsidRPr="00070D51">
        <w:rPr>
          <w:rFonts w:cs="Times New Roman"/>
          <w:szCs w:val="24"/>
          <w:lang w:eastAsia="en-US" w:bidi="en-US"/>
        </w:rPr>
        <w:t xml:space="preserve">fall/winter season of 2018, the company changed the product structure to focus more on mass trends with the product with </w:t>
      </w:r>
      <w:r w:rsidR="000E6F24">
        <w:rPr>
          <w:rFonts w:cs="Times New Roman"/>
          <w:szCs w:val="24"/>
          <w:lang w:eastAsia="en-US" w:bidi="en-US"/>
        </w:rPr>
        <w:t xml:space="preserve">the </w:t>
      </w:r>
      <w:r w:rsidRPr="00070D51">
        <w:rPr>
          <w:rFonts w:cs="Times New Roman"/>
          <w:szCs w:val="24"/>
          <w:lang w:eastAsia="en-US" w:bidi="en-US"/>
        </w:rPr>
        <w:t>ability to target a wide range of customers to share the company brand concept Freedom, in turn, to improve the profitability of the company.</w:t>
      </w:r>
    </w:p>
    <w:p w14:paraId="7DE8EC96" w14:textId="2E151ECC" w:rsidR="000A7009" w:rsidRPr="00077F79" w:rsidRDefault="000A7009" w:rsidP="00103E81">
      <w:pPr>
        <w:spacing w:line="480" w:lineRule="auto"/>
        <w:rPr>
          <w:b/>
          <w:sz w:val="26"/>
          <w:szCs w:val="26"/>
        </w:rPr>
      </w:pPr>
      <w:bookmarkStart w:id="4" w:name="_Toc32760790"/>
      <w:r w:rsidRPr="00077F79">
        <w:rPr>
          <w:b/>
          <w:sz w:val="26"/>
          <w:szCs w:val="26"/>
        </w:rPr>
        <w:t xml:space="preserve">2.1 </w:t>
      </w:r>
      <w:r w:rsidR="00B553C5" w:rsidRPr="00077F79">
        <w:rPr>
          <w:b/>
          <w:sz w:val="26"/>
          <w:szCs w:val="26"/>
        </w:rPr>
        <w:tab/>
      </w:r>
      <w:r w:rsidRPr="00077F79">
        <w:rPr>
          <w:b/>
          <w:sz w:val="26"/>
          <w:szCs w:val="26"/>
        </w:rPr>
        <w:t>Company’s product portfolio</w:t>
      </w:r>
      <w:bookmarkEnd w:id="4"/>
    </w:p>
    <w:p w14:paraId="0EB4B030" w14:textId="246BAA17" w:rsidR="00217D4F" w:rsidRDefault="000A7009" w:rsidP="00077F79">
      <w:pPr>
        <w:spacing w:line="480" w:lineRule="auto"/>
        <w:ind w:firstLine="720"/>
        <w:jc w:val="both"/>
        <w:rPr>
          <w:rFonts w:cs="Times New Roman"/>
          <w:szCs w:val="24"/>
          <w:lang w:eastAsia="en-US" w:bidi="en-US"/>
        </w:rPr>
      </w:pPr>
      <w:r w:rsidRPr="000A7009">
        <w:rPr>
          <w:rFonts w:cs="Times New Roman"/>
          <w:szCs w:val="24"/>
          <w:lang w:eastAsia="en-US" w:bidi="en-US"/>
        </w:rPr>
        <w:t>Fast Retailing reaches US 21.5 Billion of sales in 2019, with a 7.5% growth compared to the last fiscal year. The growth rate is the highest amount of the top 5 of the world's fast-fashion</w:t>
      </w:r>
      <w:r w:rsidR="00A95F5D">
        <w:rPr>
          <w:rFonts w:cs="Times New Roman"/>
          <w:szCs w:val="24"/>
          <w:lang w:eastAsia="en-US" w:bidi="en-US"/>
        </w:rPr>
        <w:t xml:space="preserve"> (GU, 2019c)</w:t>
      </w:r>
      <w:r w:rsidRPr="000A7009">
        <w:rPr>
          <w:rFonts w:cs="Times New Roman"/>
          <w:szCs w:val="24"/>
          <w:lang w:eastAsia="en-US" w:bidi="en-US"/>
        </w:rPr>
        <w:t xml:space="preserve">. </w:t>
      </w:r>
      <w:r w:rsidR="00070D51">
        <w:rPr>
          <w:rFonts w:cs="Times New Roman"/>
          <w:szCs w:val="24"/>
          <w:lang w:eastAsia="en-US" w:bidi="en-US"/>
        </w:rPr>
        <w:t>This is the direct result of util</w:t>
      </w:r>
      <w:r w:rsidR="000E6F24">
        <w:rPr>
          <w:rFonts w:cs="Times New Roman"/>
          <w:szCs w:val="24"/>
          <w:lang w:eastAsia="en-US" w:bidi="en-US"/>
        </w:rPr>
        <w:t>i</w:t>
      </w:r>
      <w:r w:rsidR="00070D51">
        <w:rPr>
          <w:rFonts w:cs="Times New Roman"/>
          <w:szCs w:val="24"/>
          <w:lang w:eastAsia="en-US" w:bidi="en-US"/>
        </w:rPr>
        <w:t>zing a</w:t>
      </w:r>
      <w:r w:rsidR="00070D51" w:rsidRPr="00070D51">
        <w:rPr>
          <w:rFonts w:cs="Times New Roman"/>
          <w:szCs w:val="24"/>
          <w:lang w:eastAsia="en-US" w:bidi="en-US"/>
        </w:rPr>
        <w:t xml:space="preserve">dvertisements promotion </w:t>
      </w:r>
      <w:r w:rsidR="00070D51">
        <w:rPr>
          <w:rFonts w:cs="Times New Roman"/>
          <w:szCs w:val="24"/>
          <w:lang w:eastAsia="en-US" w:bidi="en-US"/>
        </w:rPr>
        <w:t xml:space="preserve">which </w:t>
      </w:r>
      <w:r w:rsidR="00070D51" w:rsidRPr="00070D51">
        <w:rPr>
          <w:rFonts w:cs="Times New Roman"/>
          <w:szCs w:val="24"/>
          <w:lang w:eastAsia="en-US" w:bidi="en-US"/>
        </w:rPr>
        <w:t>par</w:t>
      </w:r>
      <w:r w:rsidR="00070D51">
        <w:rPr>
          <w:rFonts w:cs="Times New Roman"/>
          <w:szCs w:val="24"/>
          <w:lang w:eastAsia="en-US" w:bidi="en-US"/>
        </w:rPr>
        <w:t>ticularly useful in Japan, and</w:t>
      </w:r>
      <w:r w:rsidR="00070D51" w:rsidRPr="00070D51">
        <w:rPr>
          <w:rFonts w:cs="Times New Roman"/>
          <w:szCs w:val="24"/>
          <w:lang w:eastAsia="en-US" w:bidi="en-US"/>
        </w:rPr>
        <w:t xml:space="preserve"> drove organic sales to a record high.</w:t>
      </w:r>
    </w:p>
    <w:tbl>
      <w:tblPr>
        <w:tblW w:w="8480" w:type="dxa"/>
        <w:tblLook w:val="04A0" w:firstRow="1" w:lastRow="0" w:firstColumn="1" w:lastColumn="0" w:noHBand="0" w:noVBand="1"/>
      </w:tblPr>
      <w:tblGrid>
        <w:gridCol w:w="2978"/>
        <w:gridCol w:w="1116"/>
        <w:gridCol w:w="1280"/>
        <w:gridCol w:w="1060"/>
        <w:gridCol w:w="1200"/>
        <w:gridCol w:w="1212"/>
      </w:tblGrid>
      <w:tr w:rsidR="00217D4F" w:rsidRPr="00AA3DDA" w14:paraId="0618F4C7" w14:textId="77777777" w:rsidTr="00254E39">
        <w:trPr>
          <w:trHeight w:val="312"/>
        </w:trPr>
        <w:tc>
          <w:tcPr>
            <w:tcW w:w="3940" w:type="dxa"/>
            <w:gridSpan w:val="2"/>
            <w:tcBorders>
              <w:top w:val="nil"/>
              <w:left w:val="nil"/>
              <w:bottom w:val="nil"/>
              <w:right w:val="nil"/>
            </w:tcBorders>
            <w:shd w:val="clear" w:color="000000" w:fill="FFFFFF"/>
            <w:noWrap/>
            <w:hideMark/>
          </w:tcPr>
          <w:p w14:paraId="44D7E193" w14:textId="77777777" w:rsidR="00217D4F" w:rsidRPr="00AA3DDA" w:rsidRDefault="00217D4F" w:rsidP="00254E39">
            <w:pPr>
              <w:spacing w:after="0" w:line="240" w:lineRule="auto"/>
              <w:rPr>
                <w:rFonts w:eastAsia="Times New Roman" w:cs="Times New Roman"/>
                <w:color w:val="000000"/>
                <w:sz w:val="20"/>
                <w:szCs w:val="20"/>
              </w:rPr>
            </w:pPr>
            <w:r w:rsidRPr="0055378B">
              <w:rPr>
                <w:rFonts w:eastAsia="Times New Roman" w:cs="Times New Roman"/>
                <w:color w:val="000000"/>
                <w:szCs w:val="20"/>
              </w:rPr>
              <w:t>Table 1 GU Business Data Overview</w:t>
            </w:r>
          </w:p>
        </w:tc>
        <w:tc>
          <w:tcPr>
            <w:tcW w:w="1280" w:type="dxa"/>
            <w:tcBorders>
              <w:top w:val="nil"/>
              <w:left w:val="nil"/>
              <w:bottom w:val="nil"/>
              <w:right w:val="nil"/>
            </w:tcBorders>
            <w:shd w:val="clear" w:color="000000" w:fill="FFFFFF"/>
            <w:noWrap/>
            <w:hideMark/>
          </w:tcPr>
          <w:p w14:paraId="28F5B0D3"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060" w:type="dxa"/>
            <w:tcBorders>
              <w:top w:val="nil"/>
              <w:left w:val="nil"/>
              <w:bottom w:val="nil"/>
              <w:right w:val="nil"/>
            </w:tcBorders>
            <w:shd w:val="clear" w:color="000000" w:fill="FFFFFF"/>
            <w:noWrap/>
            <w:hideMark/>
          </w:tcPr>
          <w:p w14:paraId="748D621F"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200" w:type="dxa"/>
            <w:tcBorders>
              <w:top w:val="nil"/>
              <w:left w:val="nil"/>
              <w:bottom w:val="nil"/>
              <w:right w:val="nil"/>
            </w:tcBorders>
            <w:shd w:val="clear" w:color="000000" w:fill="FFFFFF"/>
            <w:noWrap/>
            <w:hideMark/>
          </w:tcPr>
          <w:p w14:paraId="6EFA266F"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000" w:type="dxa"/>
            <w:tcBorders>
              <w:top w:val="nil"/>
              <w:left w:val="nil"/>
              <w:bottom w:val="nil"/>
              <w:right w:val="nil"/>
            </w:tcBorders>
            <w:shd w:val="clear" w:color="000000" w:fill="FFFFFF"/>
            <w:noWrap/>
            <w:hideMark/>
          </w:tcPr>
          <w:p w14:paraId="0DA1752D"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r>
      <w:tr w:rsidR="00217D4F" w:rsidRPr="00AA3DDA" w14:paraId="6102C5B7" w14:textId="77777777" w:rsidTr="00254E39">
        <w:trPr>
          <w:trHeight w:val="312"/>
        </w:trPr>
        <w:tc>
          <w:tcPr>
            <w:tcW w:w="2978" w:type="dxa"/>
            <w:tcBorders>
              <w:top w:val="nil"/>
              <w:left w:val="nil"/>
              <w:bottom w:val="single" w:sz="4" w:space="0" w:color="auto"/>
              <w:right w:val="nil"/>
            </w:tcBorders>
            <w:shd w:val="clear" w:color="000000" w:fill="FFFFFF"/>
            <w:noWrap/>
            <w:hideMark/>
          </w:tcPr>
          <w:p w14:paraId="067316F7"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962" w:type="dxa"/>
            <w:tcBorders>
              <w:top w:val="nil"/>
              <w:left w:val="nil"/>
              <w:bottom w:val="single" w:sz="4" w:space="0" w:color="auto"/>
              <w:right w:val="nil"/>
            </w:tcBorders>
            <w:shd w:val="clear" w:color="000000" w:fill="FFFFFF"/>
            <w:noWrap/>
            <w:hideMark/>
          </w:tcPr>
          <w:p w14:paraId="0844BCB4"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280" w:type="dxa"/>
            <w:tcBorders>
              <w:top w:val="nil"/>
              <w:left w:val="nil"/>
              <w:bottom w:val="single" w:sz="4" w:space="0" w:color="auto"/>
              <w:right w:val="nil"/>
            </w:tcBorders>
            <w:shd w:val="clear" w:color="000000" w:fill="FFFFFF"/>
            <w:noWrap/>
            <w:hideMark/>
          </w:tcPr>
          <w:p w14:paraId="5007F6FE"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060" w:type="dxa"/>
            <w:tcBorders>
              <w:top w:val="nil"/>
              <w:left w:val="nil"/>
              <w:bottom w:val="single" w:sz="4" w:space="0" w:color="auto"/>
              <w:right w:val="nil"/>
            </w:tcBorders>
            <w:shd w:val="clear" w:color="000000" w:fill="FFFFFF"/>
            <w:noWrap/>
            <w:hideMark/>
          </w:tcPr>
          <w:p w14:paraId="5C9B518D"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200" w:type="dxa"/>
            <w:tcBorders>
              <w:top w:val="nil"/>
              <w:left w:val="nil"/>
              <w:bottom w:val="single" w:sz="4" w:space="0" w:color="auto"/>
              <w:right w:val="nil"/>
            </w:tcBorders>
            <w:shd w:val="clear" w:color="000000" w:fill="FFFFFF"/>
            <w:noWrap/>
            <w:hideMark/>
          </w:tcPr>
          <w:p w14:paraId="4D9481E9"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c>
          <w:tcPr>
            <w:tcW w:w="1000" w:type="dxa"/>
            <w:tcBorders>
              <w:top w:val="nil"/>
              <w:left w:val="nil"/>
              <w:bottom w:val="single" w:sz="4" w:space="0" w:color="auto"/>
              <w:right w:val="nil"/>
            </w:tcBorders>
            <w:shd w:val="clear" w:color="000000" w:fill="FFFFFF"/>
            <w:noWrap/>
            <w:hideMark/>
          </w:tcPr>
          <w:p w14:paraId="5548B2DE" w14:textId="77777777" w:rsidR="00217D4F" w:rsidRPr="00AA3DDA" w:rsidRDefault="00217D4F" w:rsidP="00254E39">
            <w:pPr>
              <w:spacing w:after="0" w:line="240" w:lineRule="auto"/>
              <w:rPr>
                <w:rFonts w:eastAsia="Times New Roman" w:cs="Times New Roman"/>
                <w:color w:val="000000"/>
                <w:sz w:val="20"/>
                <w:szCs w:val="20"/>
              </w:rPr>
            </w:pPr>
            <w:r w:rsidRPr="00AA3DDA">
              <w:rPr>
                <w:rFonts w:eastAsia="Times New Roman" w:cs="Times New Roman"/>
                <w:color w:val="000000"/>
                <w:sz w:val="20"/>
                <w:szCs w:val="20"/>
              </w:rPr>
              <w:t> </w:t>
            </w:r>
          </w:p>
        </w:tc>
      </w:tr>
      <w:tr w:rsidR="00217D4F" w:rsidRPr="00AA3DDA" w14:paraId="4359B130" w14:textId="77777777" w:rsidTr="00254E39">
        <w:trPr>
          <w:trHeight w:val="312"/>
        </w:trPr>
        <w:tc>
          <w:tcPr>
            <w:tcW w:w="2978" w:type="dxa"/>
            <w:tcBorders>
              <w:top w:val="nil"/>
              <w:left w:val="single" w:sz="4" w:space="0" w:color="auto"/>
              <w:bottom w:val="single" w:sz="4" w:space="0" w:color="auto"/>
              <w:right w:val="single" w:sz="4" w:space="0" w:color="auto"/>
            </w:tcBorders>
            <w:shd w:val="clear" w:color="000000" w:fill="E7E6E6"/>
            <w:noWrap/>
            <w:vAlign w:val="center"/>
            <w:hideMark/>
          </w:tcPr>
          <w:p w14:paraId="4267D9DE" w14:textId="77777777"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Financial Year</w:t>
            </w:r>
          </w:p>
        </w:tc>
        <w:tc>
          <w:tcPr>
            <w:tcW w:w="962" w:type="dxa"/>
            <w:tcBorders>
              <w:top w:val="nil"/>
              <w:left w:val="nil"/>
              <w:bottom w:val="single" w:sz="4" w:space="0" w:color="auto"/>
              <w:right w:val="single" w:sz="4" w:space="0" w:color="auto"/>
            </w:tcBorders>
            <w:shd w:val="clear" w:color="000000" w:fill="E7E6E6"/>
            <w:noWrap/>
            <w:vAlign w:val="center"/>
            <w:hideMark/>
          </w:tcPr>
          <w:p w14:paraId="251DF211"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FY 2017</w:t>
            </w:r>
          </w:p>
        </w:tc>
        <w:tc>
          <w:tcPr>
            <w:tcW w:w="2340" w:type="dxa"/>
            <w:gridSpan w:val="2"/>
            <w:tcBorders>
              <w:top w:val="single" w:sz="4" w:space="0" w:color="auto"/>
              <w:left w:val="nil"/>
              <w:bottom w:val="single" w:sz="4" w:space="0" w:color="auto"/>
              <w:right w:val="single" w:sz="4" w:space="0" w:color="auto"/>
            </w:tcBorders>
            <w:shd w:val="clear" w:color="000000" w:fill="E7E6E6"/>
            <w:noWrap/>
            <w:vAlign w:val="center"/>
            <w:hideMark/>
          </w:tcPr>
          <w:p w14:paraId="08DC368B"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FY 2018</w:t>
            </w:r>
          </w:p>
        </w:tc>
        <w:tc>
          <w:tcPr>
            <w:tcW w:w="2200" w:type="dxa"/>
            <w:gridSpan w:val="2"/>
            <w:tcBorders>
              <w:top w:val="single" w:sz="4" w:space="0" w:color="auto"/>
              <w:left w:val="nil"/>
              <w:bottom w:val="single" w:sz="4" w:space="0" w:color="auto"/>
              <w:right w:val="single" w:sz="4" w:space="0" w:color="auto"/>
            </w:tcBorders>
            <w:shd w:val="clear" w:color="000000" w:fill="E7E6E6"/>
            <w:noWrap/>
            <w:vAlign w:val="center"/>
            <w:hideMark/>
          </w:tcPr>
          <w:p w14:paraId="0325271A"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FY 2019</w:t>
            </w:r>
          </w:p>
        </w:tc>
      </w:tr>
      <w:tr w:rsidR="00217D4F" w:rsidRPr="00AA3DDA" w14:paraId="5B16716A" w14:textId="77777777" w:rsidTr="00254E39">
        <w:trPr>
          <w:trHeight w:val="312"/>
        </w:trPr>
        <w:tc>
          <w:tcPr>
            <w:tcW w:w="2978" w:type="dxa"/>
            <w:tcBorders>
              <w:top w:val="nil"/>
              <w:left w:val="single" w:sz="4" w:space="0" w:color="auto"/>
              <w:bottom w:val="single" w:sz="4" w:space="0" w:color="auto"/>
              <w:right w:val="single" w:sz="4" w:space="0" w:color="auto"/>
            </w:tcBorders>
            <w:shd w:val="clear" w:color="000000" w:fill="B4C6E7"/>
            <w:noWrap/>
            <w:vAlign w:val="center"/>
            <w:hideMark/>
          </w:tcPr>
          <w:p w14:paraId="62EF66BD" w14:textId="77777777"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Revenue in Million Yen</w:t>
            </w:r>
          </w:p>
        </w:tc>
        <w:tc>
          <w:tcPr>
            <w:tcW w:w="962" w:type="dxa"/>
            <w:tcBorders>
              <w:top w:val="nil"/>
              <w:left w:val="nil"/>
              <w:bottom w:val="single" w:sz="4" w:space="0" w:color="auto"/>
              <w:right w:val="single" w:sz="4" w:space="0" w:color="auto"/>
            </w:tcBorders>
            <w:shd w:val="clear" w:color="000000" w:fill="B4C6E7"/>
            <w:noWrap/>
            <w:vAlign w:val="center"/>
            <w:hideMark/>
          </w:tcPr>
          <w:p w14:paraId="15454B83"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¥199,139</w:t>
            </w:r>
          </w:p>
        </w:tc>
        <w:tc>
          <w:tcPr>
            <w:tcW w:w="1280" w:type="dxa"/>
            <w:tcBorders>
              <w:top w:val="nil"/>
              <w:left w:val="nil"/>
              <w:bottom w:val="single" w:sz="4" w:space="0" w:color="auto"/>
              <w:right w:val="single" w:sz="4" w:space="0" w:color="auto"/>
            </w:tcBorders>
            <w:shd w:val="clear" w:color="000000" w:fill="B4C6E7"/>
            <w:noWrap/>
            <w:vAlign w:val="center"/>
            <w:hideMark/>
          </w:tcPr>
          <w:p w14:paraId="1E6E94D1"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¥211,831</w:t>
            </w:r>
          </w:p>
        </w:tc>
        <w:tc>
          <w:tcPr>
            <w:tcW w:w="1060" w:type="dxa"/>
            <w:tcBorders>
              <w:top w:val="nil"/>
              <w:left w:val="nil"/>
              <w:bottom w:val="single" w:sz="4" w:space="0" w:color="auto"/>
              <w:right w:val="single" w:sz="4" w:space="0" w:color="auto"/>
            </w:tcBorders>
            <w:shd w:val="clear" w:color="000000" w:fill="70AD47"/>
            <w:noWrap/>
            <w:vAlign w:val="center"/>
            <w:hideMark/>
          </w:tcPr>
          <w:p w14:paraId="134FE08F"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+6.37%</w:t>
            </w:r>
          </w:p>
        </w:tc>
        <w:tc>
          <w:tcPr>
            <w:tcW w:w="1200" w:type="dxa"/>
            <w:tcBorders>
              <w:top w:val="nil"/>
              <w:left w:val="nil"/>
              <w:bottom w:val="single" w:sz="4" w:space="0" w:color="auto"/>
              <w:right w:val="single" w:sz="4" w:space="0" w:color="auto"/>
            </w:tcBorders>
            <w:shd w:val="clear" w:color="000000" w:fill="B4C6E7"/>
            <w:noWrap/>
            <w:vAlign w:val="center"/>
            <w:hideMark/>
          </w:tcPr>
          <w:p w14:paraId="7A667E20"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¥238,741</w:t>
            </w:r>
          </w:p>
        </w:tc>
        <w:tc>
          <w:tcPr>
            <w:tcW w:w="1000" w:type="dxa"/>
            <w:tcBorders>
              <w:top w:val="nil"/>
              <w:left w:val="nil"/>
              <w:bottom w:val="single" w:sz="4" w:space="0" w:color="auto"/>
              <w:right w:val="single" w:sz="4" w:space="0" w:color="auto"/>
            </w:tcBorders>
            <w:shd w:val="clear" w:color="000000" w:fill="00B050"/>
            <w:noWrap/>
            <w:vAlign w:val="center"/>
            <w:hideMark/>
          </w:tcPr>
          <w:p w14:paraId="490189F6"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+12.70%</w:t>
            </w:r>
          </w:p>
        </w:tc>
      </w:tr>
      <w:tr w:rsidR="00217D4F" w:rsidRPr="00AA3DDA" w14:paraId="21CB73D4" w14:textId="77777777" w:rsidTr="00254E39">
        <w:trPr>
          <w:trHeight w:val="312"/>
        </w:trPr>
        <w:tc>
          <w:tcPr>
            <w:tcW w:w="2978" w:type="dxa"/>
            <w:tcBorders>
              <w:top w:val="nil"/>
              <w:left w:val="single" w:sz="4" w:space="0" w:color="auto"/>
              <w:bottom w:val="single" w:sz="4" w:space="0" w:color="auto"/>
              <w:right w:val="single" w:sz="4" w:space="0" w:color="auto"/>
            </w:tcBorders>
            <w:shd w:val="clear" w:color="auto" w:fill="auto"/>
            <w:noWrap/>
            <w:vAlign w:val="center"/>
            <w:hideMark/>
          </w:tcPr>
          <w:p w14:paraId="0709E18D" w14:textId="77777777"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Operating Profit in Million Yen</w:t>
            </w:r>
          </w:p>
        </w:tc>
        <w:tc>
          <w:tcPr>
            <w:tcW w:w="962" w:type="dxa"/>
            <w:tcBorders>
              <w:top w:val="nil"/>
              <w:left w:val="nil"/>
              <w:bottom w:val="single" w:sz="4" w:space="0" w:color="auto"/>
              <w:right w:val="single" w:sz="4" w:space="0" w:color="auto"/>
            </w:tcBorders>
            <w:shd w:val="clear" w:color="auto" w:fill="auto"/>
            <w:noWrap/>
            <w:vAlign w:val="center"/>
            <w:hideMark/>
          </w:tcPr>
          <w:p w14:paraId="211EA33C"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¥13,542</w:t>
            </w:r>
          </w:p>
        </w:tc>
        <w:tc>
          <w:tcPr>
            <w:tcW w:w="1280" w:type="dxa"/>
            <w:tcBorders>
              <w:top w:val="nil"/>
              <w:left w:val="nil"/>
              <w:bottom w:val="single" w:sz="4" w:space="0" w:color="auto"/>
              <w:right w:val="single" w:sz="4" w:space="0" w:color="auto"/>
            </w:tcBorders>
            <w:shd w:val="clear" w:color="auto" w:fill="auto"/>
            <w:noWrap/>
            <w:vAlign w:val="center"/>
            <w:hideMark/>
          </w:tcPr>
          <w:p w14:paraId="2F68F370"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¥11,774</w:t>
            </w:r>
          </w:p>
        </w:tc>
        <w:tc>
          <w:tcPr>
            <w:tcW w:w="1060" w:type="dxa"/>
            <w:tcBorders>
              <w:top w:val="nil"/>
              <w:left w:val="nil"/>
              <w:bottom w:val="single" w:sz="4" w:space="0" w:color="auto"/>
              <w:right w:val="single" w:sz="4" w:space="0" w:color="auto"/>
            </w:tcBorders>
            <w:shd w:val="clear" w:color="000000" w:fill="FF0000"/>
            <w:noWrap/>
            <w:vAlign w:val="center"/>
            <w:hideMark/>
          </w:tcPr>
          <w:p w14:paraId="684FE3D4"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-13.06%</w:t>
            </w:r>
          </w:p>
        </w:tc>
        <w:tc>
          <w:tcPr>
            <w:tcW w:w="1200" w:type="dxa"/>
            <w:tcBorders>
              <w:top w:val="nil"/>
              <w:left w:val="nil"/>
              <w:bottom w:val="single" w:sz="4" w:space="0" w:color="auto"/>
              <w:right w:val="single" w:sz="4" w:space="0" w:color="auto"/>
            </w:tcBorders>
            <w:shd w:val="clear" w:color="auto" w:fill="auto"/>
            <w:noWrap/>
            <w:vAlign w:val="center"/>
            <w:hideMark/>
          </w:tcPr>
          <w:p w14:paraId="5BE43B8B"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¥28,164</w:t>
            </w:r>
          </w:p>
        </w:tc>
        <w:tc>
          <w:tcPr>
            <w:tcW w:w="1000" w:type="dxa"/>
            <w:tcBorders>
              <w:top w:val="nil"/>
              <w:left w:val="nil"/>
              <w:bottom w:val="single" w:sz="4" w:space="0" w:color="auto"/>
              <w:right w:val="single" w:sz="4" w:space="0" w:color="auto"/>
            </w:tcBorders>
            <w:shd w:val="clear" w:color="000000" w:fill="00B050"/>
            <w:noWrap/>
            <w:vAlign w:val="center"/>
            <w:hideMark/>
          </w:tcPr>
          <w:p w14:paraId="5DCD232E"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+139.21%</w:t>
            </w:r>
          </w:p>
        </w:tc>
      </w:tr>
      <w:tr w:rsidR="00217D4F" w:rsidRPr="00AA3DDA" w14:paraId="05FECBBF" w14:textId="77777777" w:rsidTr="00254E39">
        <w:trPr>
          <w:trHeight w:val="312"/>
        </w:trPr>
        <w:tc>
          <w:tcPr>
            <w:tcW w:w="2978" w:type="dxa"/>
            <w:tcBorders>
              <w:top w:val="nil"/>
              <w:left w:val="single" w:sz="4" w:space="0" w:color="auto"/>
              <w:bottom w:val="single" w:sz="4" w:space="0" w:color="auto"/>
              <w:right w:val="single" w:sz="4" w:space="0" w:color="auto"/>
            </w:tcBorders>
            <w:shd w:val="clear" w:color="000000" w:fill="B4C6E7"/>
            <w:noWrap/>
            <w:vAlign w:val="center"/>
            <w:hideMark/>
          </w:tcPr>
          <w:p w14:paraId="152756DF" w14:textId="77777777"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Number of Stores</w:t>
            </w:r>
          </w:p>
        </w:tc>
        <w:tc>
          <w:tcPr>
            <w:tcW w:w="962" w:type="dxa"/>
            <w:tcBorders>
              <w:top w:val="nil"/>
              <w:left w:val="nil"/>
              <w:bottom w:val="single" w:sz="4" w:space="0" w:color="auto"/>
              <w:right w:val="single" w:sz="4" w:space="0" w:color="auto"/>
            </w:tcBorders>
            <w:shd w:val="clear" w:color="000000" w:fill="B4C6E7"/>
            <w:noWrap/>
            <w:vAlign w:val="center"/>
            <w:hideMark/>
          </w:tcPr>
          <w:p w14:paraId="213C6E19"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372</w:t>
            </w:r>
          </w:p>
        </w:tc>
        <w:tc>
          <w:tcPr>
            <w:tcW w:w="1280" w:type="dxa"/>
            <w:tcBorders>
              <w:top w:val="nil"/>
              <w:left w:val="nil"/>
              <w:bottom w:val="single" w:sz="4" w:space="0" w:color="auto"/>
              <w:right w:val="single" w:sz="4" w:space="0" w:color="auto"/>
            </w:tcBorders>
            <w:shd w:val="clear" w:color="000000" w:fill="B4C6E7"/>
            <w:noWrap/>
            <w:vAlign w:val="center"/>
            <w:hideMark/>
          </w:tcPr>
          <w:p w14:paraId="26587AB1"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393</w:t>
            </w:r>
          </w:p>
        </w:tc>
        <w:tc>
          <w:tcPr>
            <w:tcW w:w="1060" w:type="dxa"/>
            <w:tcBorders>
              <w:top w:val="nil"/>
              <w:left w:val="nil"/>
              <w:bottom w:val="single" w:sz="4" w:space="0" w:color="auto"/>
              <w:right w:val="single" w:sz="4" w:space="0" w:color="auto"/>
            </w:tcBorders>
            <w:shd w:val="clear" w:color="000000" w:fill="00B050"/>
            <w:noWrap/>
            <w:vAlign w:val="center"/>
            <w:hideMark/>
          </w:tcPr>
          <w:p w14:paraId="2B67A853"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+5.65%</w:t>
            </w:r>
          </w:p>
        </w:tc>
        <w:tc>
          <w:tcPr>
            <w:tcW w:w="1200" w:type="dxa"/>
            <w:tcBorders>
              <w:top w:val="nil"/>
              <w:left w:val="nil"/>
              <w:bottom w:val="single" w:sz="4" w:space="0" w:color="auto"/>
              <w:right w:val="single" w:sz="4" w:space="0" w:color="auto"/>
            </w:tcBorders>
            <w:shd w:val="clear" w:color="000000" w:fill="B4C6E7"/>
            <w:noWrap/>
            <w:vAlign w:val="center"/>
            <w:hideMark/>
          </w:tcPr>
          <w:p w14:paraId="42B151B1" w14:textId="77777777" w:rsidR="00217D4F" w:rsidRPr="0055378B" w:rsidRDefault="00217D4F" w:rsidP="00254E39">
            <w:pPr>
              <w:spacing w:after="0" w:line="240" w:lineRule="auto"/>
              <w:jc w:val="center"/>
              <w:rPr>
                <w:rFonts w:eastAsia="Times New Roman" w:cs="Times New Roman"/>
                <w:color w:val="000000"/>
                <w:szCs w:val="20"/>
              </w:rPr>
            </w:pPr>
            <w:r w:rsidRPr="0055378B">
              <w:rPr>
                <w:rFonts w:eastAsia="Times New Roman" w:cs="Times New Roman"/>
                <w:color w:val="000000"/>
                <w:szCs w:val="20"/>
              </w:rPr>
              <w:t>421</w:t>
            </w:r>
          </w:p>
        </w:tc>
        <w:tc>
          <w:tcPr>
            <w:tcW w:w="1000" w:type="dxa"/>
            <w:tcBorders>
              <w:top w:val="nil"/>
              <w:left w:val="nil"/>
              <w:bottom w:val="single" w:sz="4" w:space="0" w:color="auto"/>
              <w:right w:val="single" w:sz="4" w:space="0" w:color="auto"/>
            </w:tcBorders>
            <w:shd w:val="clear" w:color="000000" w:fill="00B050"/>
            <w:noWrap/>
            <w:vAlign w:val="center"/>
            <w:hideMark/>
          </w:tcPr>
          <w:p w14:paraId="2797CF77" w14:textId="77777777" w:rsidR="00217D4F" w:rsidRPr="0055378B" w:rsidRDefault="00217D4F" w:rsidP="00254E39">
            <w:pPr>
              <w:spacing w:after="0" w:line="240" w:lineRule="auto"/>
              <w:jc w:val="right"/>
              <w:rPr>
                <w:rFonts w:eastAsia="Times New Roman" w:cs="Times New Roman"/>
                <w:color w:val="000000"/>
                <w:szCs w:val="20"/>
              </w:rPr>
            </w:pPr>
            <w:r w:rsidRPr="0055378B">
              <w:rPr>
                <w:rFonts w:eastAsia="Times New Roman" w:cs="Times New Roman"/>
                <w:color w:val="000000"/>
                <w:szCs w:val="20"/>
              </w:rPr>
              <w:t>+7.12%</w:t>
            </w:r>
          </w:p>
        </w:tc>
      </w:tr>
      <w:tr w:rsidR="00217D4F" w:rsidRPr="00AA3DDA" w14:paraId="6AC65986" w14:textId="77777777" w:rsidTr="00254E39">
        <w:trPr>
          <w:trHeight w:val="312"/>
        </w:trPr>
        <w:tc>
          <w:tcPr>
            <w:tcW w:w="7480" w:type="dxa"/>
            <w:gridSpan w:val="5"/>
            <w:tcBorders>
              <w:top w:val="nil"/>
              <w:left w:val="single" w:sz="4" w:space="0" w:color="auto"/>
              <w:bottom w:val="single" w:sz="4" w:space="0" w:color="auto"/>
              <w:right w:val="nil"/>
            </w:tcBorders>
            <w:shd w:val="clear" w:color="000000" w:fill="FFFFFF"/>
            <w:vAlign w:val="center"/>
            <w:hideMark/>
          </w:tcPr>
          <w:p w14:paraId="1ADB04C1" w14:textId="0BC99086"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Source: GU Annual Report</w:t>
            </w:r>
          </w:p>
        </w:tc>
        <w:tc>
          <w:tcPr>
            <w:tcW w:w="1000" w:type="dxa"/>
            <w:tcBorders>
              <w:top w:val="nil"/>
              <w:left w:val="nil"/>
              <w:bottom w:val="single" w:sz="4" w:space="0" w:color="auto"/>
              <w:right w:val="single" w:sz="4" w:space="0" w:color="auto"/>
            </w:tcBorders>
            <w:shd w:val="clear" w:color="000000" w:fill="FFFFFF"/>
            <w:vAlign w:val="center"/>
            <w:hideMark/>
          </w:tcPr>
          <w:p w14:paraId="5F521396" w14:textId="77777777" w:rsidR="00217D4F" w:rsidRPr="0055378B" w:rsidRDefault="00217D4F" w:rsidP="00254E39">
            <w:pPr>
              <w:spacing w:after="0" w:line="240" w:lineRule="auto"/>
              <w:rPr>
                <w:rFonts w:eastAsia="Times New Roman" w:cs="Times New Roman"/>
                <w:color w:val="000000"/>
                <w:szCs w:val="20"/>
              </w:rPr>
            </w:pPr>
            <w:r w:rsidRPr="0055378B">
              <w:rPr>
                <w:rFonts w:eastAsia="Times New Roman" w:cs="Times New Roman"/>
                <w:color w:val="000000"/>
                <w:szCs w:val="20"/>
              </w:rPr>
              <w:t> </w:t>
            </w:r>
          </w:p>
        </w:tc>
      </w:tr>
    </w:tbl>
    <w:p w14:paraId="1ADDE3FA" w14:textId="77777777" w:rsidR="00103E81" w:rsidRDefault="00103E81" w:rsidP="00077F79">
      <w:pPr>
        <w:spacing w:before="240" w:line="480" w:lineRule="auto"/>
        <w:ind w:firstLine="720"/>
        <w:jc w:val="both"/>
        <w:rPr>
          <w:lang w:eastAsia="en-US" w:bidi="en-US"/>
        </w:rPr>
      </w:pPr>
      <w:r>
        <w:rPr>
          <w:lang w:eastAsia="en-US" w:bidi="en-US"/>
        </w:rPr>
        <w:t xml:space="preserve">GU revenue reached 238 billion yen in 2019, with an increased 12.7% compared with 2018. Along with the operating profit of over 28 billion yen (+139.21%) and open an additional </w:t>
      </w:r>
      <w:r>
        <w:rPr>
          <w:lang w:eastAsia="en-US" w:bidi="en-US"/>
        </w:rPr>
        <w:lastRenderedPageBreak/>
        <w:t xml:space="preserve">28 stores in 2019. According to the first quarter of 2020, revenue was 72.9 billion yen with a year-on-year increase of 11.4%; the operating profit was 12.3 billion yen with a year-on-year increase of 44.4%. Both revenue and profit are showing substantial growth. </w:t>
      </w:r>
    </w:p>
    <w:p w14:paraId="4D7FA63E" w14:textId="77777777" w:rsidR="00103E81" w:rsidRDefault="00103E81" w:rsidP="00077F79">
      <w:pPr>
        <w:spacing w:before="240" w:line="480" w:lineRule="auto"/>
        <w:ind w:firstLine="720"/>
        <w:jc w:val="both"/>
        <w:rPr>
          <w:lang w:eastAsia="en-US" w:bidi="en-US"/>
        </w:rPr>
      </w:pPr>
      <w:r>
        <w:rPr>
          <w:lang w:eastAsia="en-US" w:bidi="en-US"/>
        </w:rPr>
        <w:t xml:space="preserve">Besides driving sales and organic growth, GU is focused on cost control. Through continuous integration of centralized fabrics and inventory management, the cost has been reduced along with improving the discount rate. Therefore, the gross profit margin has significantly improved by 3.2 percent year-on-year due to the significant improvement of the supply chain management. In order to keep the momentum of cost control, further upstream control to the raw material level is necessary, which is the focal point on expensing the operation into India. </w:t>
      </w:r>
    </w:p>
    <w:p w14:paraId="351969BF" w14:textId="77777777" w:rsidR="00103E81" w:rsidRPr="00077F79" w:rsidRDefault="00103E81" w:rsidP="0055378B">
      <w:pPr>
        <w:spacing w:before="240" w:after="0" w:line="480" w:lineRule="auto"/>
        <w:jc w:val="both"/>
        <w:rPr>
          <w:b/>
          <w:sz w:val="26"/>
          <w:szCs w:val="26"/>
          <w:lang w:eastAsia="en-US" w:bidi="en-US"/>
        </w:rPr>
      </w:pPr>
      <w:r w:rsidRPr="00077F79">
        <w:rPr>
          <w:b/>
          <w:sz w:val="26"/>
          <w:szCs w:val="26"/>
          <w:lang w:eastAsia="en-US" w:bidi="en-US"/>
        </w:rPr>
        <w:t>2.2      Domestic and foreign market environment for the development of the fast fashion industry</w:t>
      </w:r>
    </w:p>
    <w:p w14:paraId="10D52444" w14:textId="695DA9E0" w:rsidR="008650BF" w:rsidRPr="008650BF" w:rsidRDefault="00103E81" w:rsidP="0055378B">
      <w:pPr>
        <w:spacing w:line="480" w:lineRule="auto"/>
        <w:jc w:val="both"/>
        <w:rPr>
          <w:rFonts w:cs="Times New Roman"/>
          <w:szCs w:val="24"/>
          <w:lang w:eastAsia="en-US" w:bidi="en-US"/>
        </w:rPr>
      </w:pPr>
      <w:r>
        <w:rPr>
          <w:lang w:eastAsia="en-US" w:bidi="en-US"/>
        </w:rPr>
        <w:t xml:space="preserve">           Both the International and Japanese market is very challenging in fast-fashion and to business growth. In reviewing the international market environment, the advanced economy GDP, along with Japan's GDP, not only growing at a slow pace but also been revised downward. Japan’s GDP is only projected to have 0.7% growth in 2020 and reduced to 0.5% in 2021 (International Monetary Fund, 2020</w:t>
      </w:r>
      <w:r w:rsidR="00DC1849">
        <w:rPr>
          <w:lang w:eastAsia="en-US" w:bidi="en-US"/>
        </w:rPr>
        <w:t>a</w:t>
      </w:r>
      <w:r>
        <w:rPr>
          <w:lang w:eastAsia="en-US" w:bidi="en-US"/>
        </w:rPr>
        <w:t>).</w:t>
      </w:r>
    </w:p>
    <w:tbl>
      <w:tblPr>
        <w:tblW w:w="9158" w:type="dxa"/>
        <w:tblLayout w:type="fixed"/>
        <w:tblLook w:val="04A0" w:firstRow="1" w:lastRow="0" w:firstColumn="1" w:lastColumn="0" w:noHBand="0" w:noVBand="1"/>
      </w:tblPr>
      <w:tblGrid>
        <w:gridCol w:w="3510"/>
        <w:gridCol w:w="1412"/>
        <w:gridCol w:w="28"/>
        <w:gridCol w:w="1056"/>
        <w:gridCol w:w="328"/>
        <w:gridCol w:w="1248"/>
        <w:gridCol w:w="164"/>
        <w:gridCol w:w="1412"/>
      </w:tblGrid>
      <w:tr w:rsidR="008650BF" w:rsidRPr="008650BF" w14:paraId="46E4D17D" w14:textId="77777777" w:rsidTr="00103E81">
        <w:trPr>
          <w:trHeight w:val="312"/>
        </w:trPr>
        <w:tc>
          <w:tcPr>
            <w:tcW w:w="9158" w:type="dxa"/>
            <w:gridSpan w:val="8"/>
            <w:tcBorders>
              <w:top w:val="nil"/>
              <w:left w:val="nil"/>
              <w:bottom w:val="nil"/>
              <w:right w:val="nil"/>
            </w:tcBorders>
            <w:shd w:val="clear" w:color="000000" w:fill="FFFFFF"/>
            <w:noWrap/>
            <w:hideMark/>
          </w:tcPr>
          <w:p w14:paraId="5BDCF661"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Table 2 Global GDP outlook</w:t>
            </w:r>
          </w:p>
        </w:tc>
      </w:tr>
      <w:tr w:rsidR="008650BF" w:rsidRPr="008650BF" w14:paraId="7F2E8505" w14:textId="77777777" w:rsidTr="00103E81">
        <w:trPr>
          <w:trHeight w:val="312"/>
        </w:trPr>
        <w:tc>
          <w:tcPr>
            <w:tcW w:w="3510" w:type="dxa"/>
            <w:tcBorders>
              <w:top w:val="nil"/>
              <w:left w:val="nil"/>
              <w:bottom w:val="single" w:sz="4" w:space="0" w:color="auto"/>
              <w:right w:val="nil"/>
            </w:tcBorders>
            <w:shd w:val="clear" w:color="000000" w:fill="FFFFFF"/>
            <w:noWrap/>
            <w:hideMark/>
          </w:tcPr>
          <w:p w14:paraId="5345719D"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 </w:t>
            </w:r>
          </w:p>
        </w:tc>
        <w:tc>
          <w:tcPr>
            <w:tcW w:w="1440" w:type="dxa"/>
            <w:gridSpan w:val="2"/>
            <w:tcBorders>
              <w:top w:val="nil"/>
              <w:left w:val="nil"/>
              <w:bottom w:val="single" w:sz="4" w:space="0" w:color="auto"/>
              <w:right w:val="nil"/>
            </w:tcBorders>
            <w:shd w:val="clear" w:color="000000" w:fill="FFFFFF"/>
            <w:noWrap/>
            <w:hideMark/>
          </w:tcPr>
          <w:p w14:paraId="2A247FA2"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 </w:t>
            </w:r>
          </w:p>
        </w:tc>
        <w:tc>
          <w:tcPr>
            <w:tcW w:w="1056" w:type="dxa"/>
            <w:tcBorders>
              <w:top w:val="nil"/>
              <w:left w:val="nil"/>
              <w:bottom w:val="single" w:sz="4" w:space="0" w:color="auto"/>
              <w:right w:val="nil"/>
            </w:tcBorders>
            <w:shd w:val="clear" w:color="000000" w:fill="FFFFFF"/>
            <w:noWrap/>
            <w:hideMark/>
          </w:tcPr>
          <w:p w14:paraId="55413D65"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 </w:t>
            </w:r>
          </w:p>
        </w:tc>
        <w:tc>
          <w:tcPr>
            <w:tcW w:w="1576" w:type="dxa"/>
            <w:gridSpan w:val="2"/>
            <w:tcBorders>
              <w:top w:val="nil"/>
              <w:left w:val="nil"/>
              <w:bottom w:val="single" w:sz="4" w:space="0" w:color="auto"/>
              <w:right w:val="nil"/>
            </w:tcBorders>
            <w:shd w:val="clear" w:color="000000" w:fill="FFFFFF"/>
            <w:noWrap/>
            <w:hideMark/>
          </w:tcPr>
          <w:p w14:paraId="42DD39D6"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 </w:t>
            </w:r>
          </w:p>
        </w:tc>
        <w:tc>
          <w:tcPr>
            <w:tcW w:w="1576" w:type="dxa"/>
            <w:gridSpan w:val="2"/>
            <w:tcBorders>
              <w:top w:val="nil"/>
              <w:left w:val="nil"/>
              <w:bottom w:val="single" w:sz="4" w:space="0" w:color="auto"/>
              <w:right w:val="nil"/>
            </w:tcBorders>
            <w:shd w:val="clear" w:color="000000" w:fill="FFFFFF"/>
            <w:noWrap/>
            <w:hideMark/>
          </w:tcPr>
          <w:p w14:paraId="3C00A108"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 </w:t>
            </w:r>
          </w:p>
        </w:tc>
      </w:tr>
      <w:tr w:rsidR="008650BF" w:rsidRPr="008650BF" w14:paraId="680A3989" w14:textId="77777777" w:rsidTr="00103E81">
        <w:trPr>
          <w:trHeight w:val="312"/>
        </w:trPr>
        <w:tc>
          <w:tcPr>
            <w:tcW w:w="3510" w:type="dxa"/>
            <w:tcBorders>
              <w:top w:val="nil"/>
              <w:left w:val="single" w:sz="4" w:space="0" w:color="auto"/>
              <w:bottom w:val="single" w:sz="4" w:space="0" w:color="auto"/>
              <w:right w:val="single" w:sz="4" w:space="0" w:color="auto"/>
            </w:tcBorders>
            <w:shd w:val="clear" w:color="000000" w:fill="D0CECE"/>
            <w:noWrap/>
            <w:vAlign w:val="center"/>
            <w:hideMark/>
          </w:tcPr>
          <w:p w14:paraId="36B21E35"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GDP in %</w:t>
            </w:r>
          </w:p>
        </w:tc>
        <w:tc>
          <w:tcPr>
            <w:tcW w:w="1412" w:type="dxa"/>
            <w:tcBorders>
              <w:top w:val="nil"/>
              <w:left w:val="nil"/>
              <w:bottom w:val="single" w:sz="4" w:space="0" w:color="auto"/>
              <w:right w:val="single" w:sz="4" w:space="0" w:color="auto"/>
            </w:tcBorders>
            <w:shd w:val="clear" w:color="000000" w:fill="D0CECE"/>
            <w:noWrap/>
            <w:vAlign w:val="center"/>
            <w:hideMark/>
          </w:tcPr>
          <w:p w14:paraId="6A3DA7CD"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2018</w:t>
            </w:r>
          </w:p>
        </w:tc>
        <w:tc>
          <w:tcPr>
            <w:tcW w:w="1412" w:type="dxa"/>
            <w:gridSpan w:val="3"/>
            <w:tcBorders>
              <w:top w:val="nil"/>
              <w:left w:val="nil"/>
              <w:bottom w:val="single" w:sz="4" w:space="0" w:color="auto"/>
              <w:right w:val="single" w:sz="4" w:space="0" w:color="auto"/>
            </w:tcBorders>
            <w:shd w:val="clear" w:color="000000" w:fill="D0CECE"/>
            <w:noWrap/>
            <w:vAlign w:val="center"/>
            <w:hideMark/>
          </w:tcPr>
          <w:p w14:paraId="5A5B476D"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2019 Estimate</w:t>
            </w:r>
          </w:p>
        </w:tc>
        <w:tc>
          <w:tcPr>
            <w:tcW w:w="1412" w:type="dxa"/>
            <w:gridSpan w:val="2"/>
            <w:tcBorders>
              <w:top w:val="nil"/>
              <w:left w:val="nil"/>
              <w:bottom w:val="single" w:sz="4" w:space="0" w:color="auto"/>
              <w:right w:val="single" w:sz="4" w:space="0" w:color="auto"/>
            </w:tcBorders>
            <w:shd w:val="clear" w:color="000000" w:fill="D0CECE"/>
            <w:noWrap/>
            <w:vAlign w:val="center"/>
            <w:hideMark/>
          </w:tcPr>
          <w:p w14:paraId="7AD00646"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2020 Projection</w:t>
            </w:r>
          </w:p>
        </w:tc>
        <w:tc>
          <w:tcPr>
            <w:tcW w:w="1412" w:type="dxa"/>
            <w:tcBorders>
              <w:top w:val="nil"/>
              <w:left w:val="nil"/>
              <w:bottom w:val="single" w:sz="4" w:space="0" w:color="auto"/>
              <w:right w:val="single" w:sz="4" w:space="0" w:color="auto"/>
            </w:tcBorders>
            <w:shd w:val="clear" w:color="000000" w:fill="D0CECE"/>
            <w:noWrap/>
            <w:vAlign w:val="center"/>
            <w:hideMark/>
          </w:tcPr>
          <w:p w14:paraId="198D97EE"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2021 Projection</w:t>
            </w:r>
          </w:p>
        </w:tc>
      </w:tr>
      <w:tr w:rsidR="008650BF" w:rsidRPr="008650BF" w14:paraId="53B7E932" w14:textId="77777777" w:rsidTr="00103E81">
        <w:trPr>
          <w:trHeight w:val="312"/>
        </w:trPr>
        <w:tc>
          <w:tcPr>
            <w:tcW w:w="3510" w:type="dxa"/>
            <w:tcBorders>
              <w:top w:val="nil"/>
              <w:left w:val="single" w:sz="4" w:space="0" w:color="auto"/>
              <w:bottom w:val="single" w:sz="4" w:space="0" w:color="auto"/>
              <w:right w:val="single" w:sz="4" w:space="0" w:color="auto"/>
            </w:tcBorders>
            <w:shd w:val="clear" w:color="auto" w:fill="auto"/>
            <w:noWrap/>
            <w:vAlign w:val="center"/>
            <w:hideMark/>
          </w:tcPr>
          <w:p w14:paraId="6B4E1FD3"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World Output</w:t>
            </w:r>
          </w:p>
        </w:tc>
        <w:tc>
          <w:tcPr>
            <w:tcW w:w="1412" w:type="dxa"/>
            <w:tcBorders>
              <w:top w:val="nil"/>
              <w:left w:val="nil"/>
              <w:bottom w:val="single" w:sz="4" w:space="0" w:color="auto"/>
              <w:right w:val="single" w:sz="4" w:space="0" w:color="auto"/>
            </w:tcBorders>
            <w:shd w:val="clear" w:color="auto" w:fill="auto"/>
            <w:noWrap/>
            <w:vAlign w:val="center"/>
            <w:hideMark/>
          </w:tcPr>
          <w:p w14:paraId="2F27C070"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3.6</w:t>
            </w:r>
          </w:p>
        </w:tc>
        <w:tc>
          <w:tcPr>
            <w:tcW w:w="1412" w:type="dxa"/>
            <w:gridSpan w:val="3"/>
            <w:tcBorders>
              <w:top w:val="nil"/>
              <w:left w:val="nil"/>
              <w:bottom w:val="single" w:sz="4" w:space="0" w:color="auto"/>
              <w:right w:val="single" w:sz="4" w:space="0" w:color="auto"/>
            </w:tcBorders>
            <w:shd w:val="clear" w:color="auto" w:fill="auto"/>
            <w:noWrap/>
            <w:vAlign w:val="center"/>
            <w:hideMark/>
          </w:tcPr>
          <w:p w14:paraId="230E59FD"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2.9</w:t>
            </w:r>
          </w:p>
        </w:tc>
        <w:tc>
          <w:tcPr>
            <w:tcW w:w="1412" w:type="dxa"/>
            <w:gridSpan w:val="2"/>
            <w:tcBorders>
              <w:top w:val="nil"/>
              <w:left w:val="nil"/>
              <w:bottom w:val="single" w:sz="4" w:space="0" w:color="auto"/>
              <w:right w:val="single" w:sz="4" w:space="0" w:color="auto"/>
            </w:tcBorders>
            <w:shd w:val="clear" w:color="auto" w:fill="auto"/>
            <w:noWrap/>
            <w:vAlign w:val="center"/>
            <w:hideMark/>
          </w:tcPr>
          <w:p w14:paraId="789EF574"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3.3</w:t>
            </w:r>
          </w:p>
        </w:tc>
        <w:tc>
          <w:tcPr>
            <w:tcW w:w="1412" w:type="dxa"/>
            <w:tcBorders>
              <w:top w:val="nil"/>
              <w:left w:val="nil"/>
              <w:bottom w:val="single" w:sz="4" w:space="0" w:color="auto"/>
              <w:right w:val="single" w:sz="4" w:space="0" w:color="auto"/>
            </w:tcBorders>
            <w:shd w:val="clear" w:color="auto" w:fill="auto"/>
            <w:noWrap/>
            <w:vAlign w:val="center"/>
            <w:hideMark/>
          </w:tcPr>
          <w:p w14:paraId="053B6C57"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3.4</w:t>
            </w:r>
          </w:p>
        </w:tc>
      </w:tr>
      <w:tr w:rsidR="008650BF" w:rsidRPr="008650BF" w14:paraId="09E54A8E" w14:textId="77777777" w:rsidTr="00103E81">
        <w:trPr>
          <w:trHeight w:val="312"/>
        </w:trPr>
        <w:tc>
          <w:tcPr>
            <w:tcW w:w="3510" w:type="dxa"/>
            <w:tcBorders>
              <w:top w:val="nil"/>
              <w:left w:val="single" w:sz="4" w:space="0" w:color="auto"/>
              <w:bottom w:val="single" w:sz="4" w:space="0" w:color="auto"/>
              <w:right w:val="single" w:sz="4" w:space="0" w:color="auto"/>
            </w:tcBorders>
            <w:shd w:val="clear" w:color="000000" w:fill="B4C6E7"/>
            <w:noWrap/>
            <w:vAlign w:val="center"/>
            <w:hideMark/>
          </w:tcPr>
          <w:p w14:paraId="517A07B8"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Advanced Economies</w:t>
            </w:r>
          </w:p>
        </w:tc>
        <w:tc>
          <w:tcPr>
            <w:tcW w:w="1412" w:type="dxa"/>
            <w:tcBorders>
              <w:top w:val="nil"/>
              <w:left w:val="nil"/>
              <w:bottom w:val="single" w:sz="4" w:space="0" w:color="auto"/>
              <w:right w:val="single" w:sz="4" w:space="0" w:color="auto"/>
            </w:tcBorders>
            <w:shd w:val="clear" w:color="000000" w:fill="B4C6E7"/>
            <w:noWrap/>
            <w:vAlign w:val="center"/>
            <w:hideMark/>
          </w:tcPr>
          <w:p w14:paraId="5186EE8A"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2.2</w:t>
            </w:r>
          </w:p>
        </w:tc>
        <w:tc>
          <w:tcPr>
            <w:tcW w:w="1412" w:type="dxa"/>
            <w:gridSpan w:val="3"/>
            <w:tcBorders>
              <w:top w:val="nil"/>
              <w:left w:val="nil"/>
              <w:bottom w:val="single" w:sz="4" w:space="0" w:color="auto"/>
              <w:right w:val="single" w:sz="4" w:space="0" w:color="auto"/>
            </w:tcBorders>
            <w:shd w:val="clear" w:color="000000" w:fill="B4C6E7"/>
            <w:noWrap/>
            <w:vAlign w:val="center"/>
            <w:hideMark/>
          </w:tcPr>
          <w:p w14:paraId="407A1606"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1.7</w:t>
            </w:r>
          </w:p>
        </w:tc>
        <w:tc>
          <w:tcPr>
            <w:tcW w:w="1412" w:type="dxa"/>
            <w:gridSpan w:val="2"/>
            <w:tcBorders>
              <w:top w:val="nil"/>
              <w:left w:val="nil"/>
              <w:bottom w:val="single" w:sz="4" w:space="0" w:color="auto"/>
              <w:right w:val="single" w:sz="4" w:space="0" w:color="auto"/>
            </w:tcBorders>
            <w:shd w:val="clear" w:color="000000" w:fill="B4C6E7"/>
            <w:noWrap/>
            <w:vAlign w:val="center"/>
            <w:hideMark/>
          </w:tcPr>
          <w:p w14:paraId="26ABC19E"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1.6</w:t>
            </w:r>
          </w:p>
        </w:tc>
        <w:tc>
          <w:tcPr>
            <w:tcW w:w="1412" w:type="dxa"/>
            <w:tcBorders>
              <w:top w:val="nil"/>
              <w:left w:val="nil"/>
              <w:bottom w:val="single" w:sz="4" w:space="0" w:color="auto"/>
              <w:right w:val="single" w:sz="4" w:space="0" w:color="auto"/>
            </w:tcBorders>
            <w:shd w:val="clear" w:color="000000" w:fill="B4C6E7"/>
            <w:noWrap/>
            <w:vAlign w:val="center"/>
            <w:hideMark/>
          </w:tcPr>
          <w:p w14:paraId="262F9148"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1.6</w:t>
            </w:r>
          </w:p>
        </w:tc>
      </w:tr>
      <w:tr w:rsidR="008650BF" w:rsidRPr="008650BF" w14:paraId="648993DD" w14:textId="77777777" w:rsidTr="00103E81">
        <w:trPr>
          <w:trHeight w:val="312"/>
        </w:trPr>
        <w:tc>
          <w:tcPr>
            <w:tcW w:w="3510" w:type="dxa"/>
            <w:tcBorders>
              <w:top w:val="nil"/>
              <w:left w:val="single" w:sz="4" w:space="0" w:color="auto"/>
              <w:bottom w:val="single" w:sz="4" w:space="0" w:color="auto"/>
              <w:right w:val="single" w:sz="4" w:space="0" w:color="auto"/>
            </w:tcBorders>
            <w:shd w:val="clear" w:color="auto" w:fill="auto"/>
            <w:noWrap/>
            <w:vAlign w:val="center"/>
            <w:hideMark/>
          </w:tcPr>
          <w:p w14:paraId="3C69E36E"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Japan</w:t>
            </w:r>
          </w:p>
        </w:tc>
        <w:tc>
          <w:tcPr>
            <w:tcW w:w="1412" w:type="dxa"/>
            <w:tcBorders>
              <w:top w:val="nil"/>
              <w:left w:val="nil"/>
              <w:bottom w:val="single" w:sz="4" w:space="0" w:color="auto"/>
              <w:right w:val="single" w:sz="4" w:space="0" w:color="auto"/>
            </w:tcBorders>
            <w:shd w:val="clear" w:color="auto" w:fill="auto"/>
            <w:noWrap/>
            <w:vAlign w:val="center"/>
            <w:hideMark/>
          </w:tcPr>
          <w:p w14:paraId="4546D57E"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0.3</w:t>
            </w:r>
          </w:p>
        </w:tc>
        <w:tc>
          <w:tcPr>
            <w:tcW w:w="1412" w:type="dxa"/>
            <w:gridSpan w:val="3"/>
            <w:tcBorders>
              <w:top w:val="nil"/>
              <w:left w:val="nil"/>
              <w:bottom w:val="single" w:sz="4" w:space="0" w:color="auto"/>
              <w:right w:val="single" w:sz="4" w:space="0" w:color="auto"/>
            </w:tcBorders>
            <w:shd w:val="clear" w:color="auto" w:fill="auto"/>
            <w:noWrap/>
            <w:vAlign w:val="center"/>
            <w:hideMark/>
          </w:tcPr>
          <w:p w14:paraId="49791724"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1</w:t>
            </w:r>
          </w:p>
        </w:tc>
        <w:tc>
          <w:tcPr>
            <w:tcW w:w="1412" w:type="dxa"/>
            <w:gridSpan w:val="2"/>
            <w:tcBorders>
              <w:top w:val="nil"/>
              <w:left w:val="nil"/>
              <w:bottom w:val="single" w:sz="4" w:space="0" w:color="auto"/>
              <w:right w:val="single" w:sz="4" w:space="0" w:color="auto"/>
            </w:tcBorders>
            <w:shd w:val="clear" w:color="auto" w:fill="auto"/>
            <w:noWrap/>
            <w:vAlign w:val="center"/>
            <w:hideMark/>
          </w:tcPr>
          <w:p w14:paraId="4579AE26"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0.7</w:t>
            </w:r>
          </w:p>
        </w:tc>
        <w:tc>
          <w:tcPr>
            <w:tcW w:w="1412" w:type="dxa"/>
            <w:tcBorders>
              <w:top w:val="nil"/>
              <w:left w:val="nil"/>
              <w:bottom w:val="single" w:sz="4" w:space="0" w:color="auto"/>
              <w:right w:val="single" w:sz="4" w:space="0" w:color="auto"/>
            </w:tcBorders>
            <w:shd w:val="clear" w:color="auto" w:fill="auto"/>
            <w:noWrap/>
            <w:vAlign w:val="center"/>
            <w:hideMark/>
          </w:tcPr>
          <w:p w14:paraId="681ABB1F"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0.5</w:t>
            </w:r>
          </w:p>
        </w:tc>
      </w:tr>
      <w:tr w:rsidR="008650BF" w:rsidRPr="008650BF" w14:paraId="631036A1" w14:textId="77777777" w:rsidTr="00103E81">
        <w:trPr>
          <w:trHeight w:val="312"/>
        </w:trPr>
        <w:tc>
          <w:tcPr>
            <w:tcW w:w="3510" w:type="dxa"/>
            <w:tcBorders>
              <w:top w:val="nil"/>
              <w:left w:val="single" w:sz="4" w:space="0" w:color="auto"/>
              <w:bottom w:val="single" w:sz="4" w:space="0" w:color="auto"/>
              <w:right w:val="single" w:sz="4" w:space="0" w:color="auto"/>
            </w:tcBorders>
            <w:shd w:val="clear" w:color="000000" w:fill="B4C6E7"/>
            <w:noWrap/>
            <w:vAlign w:val="center"/>
            <w:hideMark/>
          </w:tcPr>
          <w:p w14:paraId="0CFA6BF1"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Emerging and Developing Asia</w:t>
            </w:r>
          </w:p>
        </w:tc>
        <w:tc>
          <w:tcPr>
            <w:tcW w:w="1412" w:type="dxa"/>
            <w:tcBorders>
              <w:top w:val="nil"/>
              <w:left w:val="nil"/>
              <w:bottom w:val="single" w:sz="4" w:space="0" w:color="auto"/>
              <w:right w:val="single" w:sz="4" w:space="0" w:color="auto"/>
            </w:tcBorders>
            <w:shd w:val="clear" w:color="000000" w:fill="B4C6E7"/>
            <w:noWrap/>
            <w:vAlign w:val="center"/>
            <w:hideMark/>
          </w:tcPr>
          <w:p w14:paraId="7E0BAA2E"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6.4</w:t>
            </w:r>
          </w:p>
        </w:tc>
        <w:tc>
          <w:tcPr>
            <w:tcW w:w="1412" w:type="dxa"/>
            <w:gridSpan w:val="3"/>
            <w:tcBorders>
              <w:top w:val="nil"/>
              <w:left w:val="nil"/>
              <w:bottom w:val="single" w:sz="4" w:space="0" w:color="auto"/>
              <w:right w:val="single" w:sz="4" w:space="0" w:color="auto"/>
            </w:tcBorders>
            <w:shd w:val="clear" w:color="000000" w:fill="B4C6E7"/>
            <w:noWrap/>
            <w:vAlign w:val="center"/>
            <w:hideMark/>
          </w:tcPr>
          <w:p w14:paraId="208C984E"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5.6</w:t>
            </w:r>
          </w:p>
        </w:tc>
        <w:tc>
          <w:tcPr>
            <w:tcW w:w="1412" w:type="dxa"/>
            <w:gridSpan w:val="2"/>
            <w:tcBorders>
              <w:top w:val="nil"/>
              <w:left w:val="nil"/>
              <w:bottom w:val="single" w:sz="4" w:space="0" w:color="auto"/>
              <w:right w:val="single" w:sz="4" w:space="0" w:color="auto"/>
            </w:tcBorders>
            <w:shd w:val="clear" w:color="000000" w:fill="B4C6E7"/>
            <w:noWrap/>
            <w:vAlign w:val="center"/>
            <w:hideMark/>
          </w:tcPr>
          <w:p w14:paraId="4CBBA9E6"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5.8</w:t>
            </w:r>
          </w:p>
        </w:tc>
        <w:tc>
          <w:tcPr>
            <w:tcW w:w="1412" w:type="dxa"/>
            <w:tcBorders>
              <w:top w:val="nil"/>
              <w:left w:val="nil"/>
              <w:bottom w:val="single" w:sz="4" w:space="0" w:color="auto"/>
              <w:right w:val="single" w:sz="4" w:space="0" w:color="auto"/>
            </w:tcBorders>
            <w:shd w:val="clear" w:color="000000" w:fill="B4C6E7"/>
            <w:noWrap/>
            <w:vAlign w:val="center"/>
            <w:hideMark/>
          </w:tcPr>
          <w:p w14:paraId="5671B3EC"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5.9</w:t>
            </w:r>
          </w:p>
        </w:tc>
      </w:tr>
      <w:tr w:rsidR="008650BF" w:rsidRPr="008650BF" w14:paraId="3AEFAAAC" w14:textId="77777777" w:rsidTr="00103E81">
        <w:trPr>
          <w:trHeight w:val="309"/>
        </w:trPr>
        <w:tc>
          <w:tcPr>
            <w:tcW w:w="3510" w:type="dxa"/>
            <w:tcBorders>
              <w:top w:val="nil"/>
              <w:left w:val="single" w:sz="4" w:space="0" w:color="auto"/>
              <w:bottom w:val="single" w:sz="4" w:space="0" w:color="auto"/>
              <w:right w:val="single" w:sz="4" w:space="0" w:color="auto"/>
            </w:tcBorders>
            <w:shd w:val="clear" w:color="auto" w:fill="auto"/>
            <w:noWrap/>
            <w:vAlign w:val="center"/>
            <w:hideMark/>
          </w:tcPr>
          <w:p w14:paraId="000CACC9"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India</w:t>
            </w:r>
          </w:p>
        </w:tc>
        <w:tc>
          <w:tcPr>
            <w:tcW w:w="1412" w:type="dxa"/>
            <w:tcBorders>
              <w:top w:val="nil"/>
              <w:left w:val="nil"/>
              <w:bottom w:val="single" w:sz="4" w:space="0" w:color="auto"/>
              <w:right w:val="single" w:sz="4" w:space="0" w:color="auto"/>
            </w:tcBorders>
            <w:shd w:val="clear" w:color="auto" w:fill="auto"/>
            <w:noWrap/>
            <w:vAlign w:val="center"/>
            <w:hideMark/>
          </w:tcPr>
          <w:p w14:paraId="014D5CE3"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6.8</w:t>
            </w:r>
          </w:p>
        </w:tc>
        <w:tc>
          <w:tcPr>
            <w:tcW w:w="1412" w:type="dxa"/>
            <w:gridSpan w:val="3"/>
            <w:tcBorders>
              <w:top w:val="nil"/>
              <w:left w:val="nil"/>
              <w:bottom w:val="single" w:sz="4" w:space="0" w:color="auto"/>
              <w:right w:val="single" w:sz="4" w:space="0" w:color="auto"/>
            </w:tcBorders>
            <w:shd w:val="clear" w:color="auto" w:fill="auto"/>
            <w:noWrap/>
            <w:vAlign w:val="center"/>
            <w:hideMark/>
          </w:tcPr>
          <w:p w14:paraId="0FF116FC"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4.8</w:t>
            </w:r>
          </w:p>
        </w:tc>
        <w:tc>
          <w:tcPr>
            <w:tcW w:w="1412" w:type="dxa"/>
            <w:gridSpan w:val="2"/>
            <w:tcBorders>
              <w:top w:val="nil"/>
              <w:left w:val="nil"/>
              <w:bottom w:val="single" w:sz="4" w:space="0" w:color="auto"/>
              <w:right w:val="single" w:sz="4" w:space="0" w:color="auto"/>
            </w:tcBorders>
            <w:shd w:val="clear" w:color="auto" w:fill="auto"/>
            <w:noWrap/>
            <w:vAlign w:val="center"/>
            <w:hideMark/>
          </w:tcPr>
          <w:p w14:paraId="2F0B6A40"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5.8</w:t>
            </w:r>
          </w:p>
        </w:tc>
        <w:tc>
          <w:tcPr>
            <w:tcW w:w="1412" w:type="dxa"/>
            <w:tcBorders>
              <w:top w:val="nil"/>
              <w:left w:val="nil"/>
              <w:bottom w:val="single" w:sz="4" w:space="0" w:color="auto"/>
              <w:right w:val="single" w:sz="4" w:space="0" w:color="auto"/>
            </w:tcBorders>
            <w:shd w:val="clear" w:color="auto" w:fill="auto"/>
            <w:noWrap/>
            <w:vAlign w:val="center"/>
            <w:hideMark/>
          </w:tcPr>
          <w:p w14:paraId="63F7F7F0" w14:textId="77777777" w:rsidR="008650BF" w:rsidRPr="008650BF" w:rsidRDefault="008650BF" w:rsidP="008650BF">
            <w:pPr>
              <w:spacing w:after="0" w:line="240" w:lineRule="auto"/>
              <w:jc w:val="center"/>
              <w:rPr>
                <w:rFonts w:eastAsia="Times New Roman" w:cs="Times New Roman"/>
                <w:color w:val="000000"/>
                <w:szCs w:val="24"/>
              </w:rPr>
            </w:pPr>
            <w:r w:rsidRPr="008650BF">
              <w:rPr>
                <w:rFonts w:eastAsia="Times New Roman" w:cs="Times New Roman"/>
                <w:color w:val="000000"/>
                <w:szCs w:val="24"/>
              </w:rPr>
              <w:t>6.5</w:t>
            </w:r>
          </w:p>
        </w:tc>
      </w:tr>
      <w:tr w:rsidR="008650BF" w:rsidRPr="008650BF" w14:paraId="4102D6A7" w14:textId="77777777" w:rsidTr="00103E81">
        <w:trPr>
          <w:trHeight w:val="458"/>
        </w:trPr>
        <w:tc>
          <w:tcPr>
            <w:tcW w:w="9158" w:type="dxa"/>
            <w:gridSpan w:val="8"/>
            <w:vMerge w:val="restart"/>
            <w:tcBorders>
              <w:top w:val="nil"/>
              <w:left w:val="nil"/>
              <w:bottom w:val="nil"/>
              <w:right w:val="nil"/>
            </w:tcBorders>
            <w:shd w:val="clear" w:color="000000" w:fill="FFFFFF"/>
            <w:noWrap/>
            <w:hideMark/>
          </w:tcPr>
          <w:p w14:paraId="17736553" w14:textId="77777777" w:rsidR="008650BF" w:rsidRPr="008650BF" w:rsidRDefault="008650BF" w:rsidP="008650BF">
            <w:pPr>
              <w:spacing w:after="0" w:line="240" w:lineRule="auto"/>
              <w:rPr>
                <w:rFonts w:eastAsia="Times New Roman" w:cs="Times New Roman"/>
                <w:color w:val="000000"/>
                <w:szCs w:val="24"/>
              </w:rPr>
            </w:pPr>
            <w:r w:rsidRPr="008650BF">
              <w:rPr>
                <w:rFonts w:eastAsia="Times New Roman" w:cs="Times New Roman"/>
                <w:color w:val="000000"/>
                <w:szCs w:val="24"/>
              </w:rPr>
              <w:t>Source:  International Monetary Fund (2020)</w:t>
            </w:r>
          </w:p>
        </w:tc>
      </w:tr>
      <w:tr w:rsidR="008650BF" w:rsidRPr="008650BF" w14:paraId="62948755" w14:textId="77777777" w:rsidTr="00103E81">
        <w:trPr>
          <w:trHeight w:val="458"/>
        </w:trPr>
        <w:tc>
          <w:tcPr>
            <w:tcW w:w="9158" w:type="dxa"/>
            <w:gridSpan w:val="8"/>
            <w:vMerge/>
            <w:tcBorders>
              <w:top w:val="nil"/>
              <w:left w:val="nil"/>
              <w:bottom w:val="nil"/>
              <w:right w:val="nil"/>
            </w:tcBorders>
            <w:vAlign w:val="center"/>
            <w:hideMark/>
          </w:tcPr>
          <w:p w14:paraId="24F192AC" w14:textId="77777777" w:rsidR="008650BF" w:rsidRPr="008650BF" w:rsidRDefault="008650BF" w:rsidP="008650BF">
            <w:pPr>
              <w:spacing w:after="0" w:line="240" w:lineRule="auto"/>
              <w:rPr>
                <w:rFonts w:ascii="Arial" w:eastAsia="Times New Roman" w:hAnsi="Arial" w:cs="Arial"/>
                <w:color w:val="000000"/>
                <w:sz w:val="20"/>
                <w:szCs w:val="20"/>
              </w:rPr>
            </w:pPr>
          </w:p>
        </w:tc>
      </w:tr>
    </w:tbl>
    <w:p w14:paraId="7E8BDA3E" w14:textId="7C793912" w:rsidR="00103E81" w:rsidRPr="00103E81" w:rsidRDefault="00103E81" w:rsidP="00077F79">
      <w:pPr>
        <w:spacing w:after="0" w:line="480" w:lineRule="auto"/>
        <w:ind w:firstLine="720"/>
        <w:jc w:val="both"/>
        <w:rPr>
          <w:rFonts w:eastAsia="Times New Roman" w:cs="Times New Roman"/>
          <w:color w:val="0E101A"/>
          <w:szCs w:val="24"/>
        </w:rPr>
      </w:pPr>
      <w:bookmarkStart w:id="5" w:name="_Toc32760793"/>
      <w:r w:rsidRPr="00103E81">
        <w:rPr>
          <w:rFonts w:eastAsia="Times New Roman" w:cs="Times New Roman"/>
          <w:color w:val="0E101A"/>
          <w:szCs w:val="24"/>
        </w:rPr>
        <w:lastRenderedPageBreak/>
        <w:t>WHO Director-General had declared the new coronavirus outbreak as a Public Health Emergency of International Concern (World Health Organization, 2020), and the magnitude of this pandemic has not been seen before. Back in 2003 after the Severe Acute Respiratory Syndrome (SARS) pandemic, economists had conduct investigation on the impact for the economy but not able using the traditional microeconomic model for analysis (</w:t>
      </w:r>
      <w:proofErr w:type="spellStart"/>
      <w:r w:rsidRPr="00103E81">
        <w:rPr>
          <w:rFonts w:eastAsia="Times New Roman" w:cs="Times New Roman"/>
          <w:color w:val="0E101A"/>
          <w:szCs w:val="24"/>
        </w:rPr>
        <w:t>Beutels</w:t>
      </w:r>
      <w:proofErr w:type="spellEnd"/>
      <w:r w:rsidRPr="00103E81">
        <w:rPr>
          <w:rFonts w:eastAsia="Times New Roman" w:cs="Times New Roman"/>
          <w:color w:val="0E101A"/>
          <w:szCs w:val="24"/>
        </w:rPr>
        <w:t>, Edmunds and Smith, 2008), or the macroeconomic modeling techniques for elevate the impact of infectious disease outbreaks (Keogh-Brown and Smith, 2008). In the view of the current situation, as it is an ongoing event and without precise information, the global implications for the new coronavirus are not able to quantify at this moment.</w:t>
      </w:r>
    </w:p>
    <w:p w14:paraId="564072FC" w14:textId="1ACEC8CA" w:rsidR="00103E81" w:rsidRPr="00103E81" w:rsidRDefault="00103E81" w:rsidP="00077F79">
      <w:pPr>
        <w:spacing w:after="0" w:line="480" w:lineRule="auto"/>
        <w:ind w:firstLine="720"/>
        <w:jc w:val="both"/>
        <w:rPr>
          <w:rFonts w:eastAsia="Times New Roman" w:cs="Times New Roman"/>
          <w:color w:val="0E101A"/>
          <w:szCs w:val="24"/>
        </w:rPr>
      </w:pPr>
      <w:r w:rsidRPr="00103E81">
        <w:rPr>
          <w:rFonts w:eastAsia="Times New Roman" w:cs="Times New Roman"/>
          <w:color w:val="0E101A"/>
          <w:szCs w:val="24"/>
        </w:rPr>
        <w:t>As China is the second-highest output of cotton of the world and is the origin of the pandemic outbreak, due to the pandemic control measure, many farmers are not allowed to go back to work after the Chinese new year holiday (R</w:t>
      </w:r>
      <w:r w:rsidR="00DC1849">
        <w:rPr>
          <w:rFonts w:eastAsia="Times New Roman" w:cs="Times New Roman"/>
          <w:color w:val="0E101A"/>
          <w:szCs w:val="24"/>
        </w:rPr>
        <w:t>euters, 2020</w:t>
      </w:r>
      <w:r w:rsidRPr="00103E81">
        <w:rPr>
          <w:rFonts w:eastAsia="Times New Roman" w:cs="Times New Roman"/>
          <w:color w:val="0E101A"/>
          <w:szCs w:val="24"/>
        </w:rPr>
        <w:t>). The consequence of such a phenomenon is that the cotton production output in China will decrease; thus, the global price of cotton will increase. To secure the cotton supply within the fast fashion industry become very important. </w:t>
      </w:r>
    </w:p>
    <w:p w14:paraId="5B92E6FF" w14:textId="2DDB780C" w:rsidR="00103E81" w:rsidRPr="00103E81" w:rsidRDefault="00103E81" w:rsidP="00904664">
      <w:pPr>
        <w:spacing w:after="0" w:line="480" w:lineRule="auto"/>
        <w:ind w:firstLine="720"/>
        <w:jc w:val="both"/>
        <w:rPr>
          <w:rFonts w:eastAsia="Times New Roman" w:cs="Times New Roman"/>
          <w:color w:val="0E101A"/>
          <w:szCs w:val="24"/>
        </w:rPr>
      </w:pPr>
      <w:r w:rsidRPr="00103E81">
        <w:rPr>
          <w:rFonts w:eastAsia="Times New Roman" w:cs="Times New Roman"/>
          <w:color w:val="0E101A"/>
          <w:szCs w:val="24"/>
        </w:rPr>
        <w:t xml:space="preserve">GU as a new fashion brand from Japan, it aims to generate sales of 1 trillion yen in the long run. The recent expansion into the South Korean market is a strategic move right after the sister brand UNIQLO has set foot in the country, as UNIQLO has already been operating 180 shops in South Korea. GU is working on expanding its business through mergers and acquisitions and business alliances, on coping with the group expansion business plan overseas. The business expansion will increase the demand for the raw material, at the same time, GU is needed to maintain a low retail price to survive in the competitive market (Le and </w:t>
      </w:r>
      <w:proofErr w:type="spellStart"/>
      <w:r w:rsidRPr="00103E81">
        <w:rPr>
          <w:rFonts w:eastAsia="Times New Roman" w:cs="Times New Roman"/>
          <w:color w:val="0E101A"/>
          <w:szCs w:val="24"/>
        </w:rPr>
        <w:t>Nhu</w:t>
      </w:r>
      <w:proofErr w:type="spellEnd"/>
      <w:r w:rsidRPr="00103E81">
        <w:rPr>
          <w:rFonts w:eastAsia="Times New Roman" w:cs="Times New Roman"/>
          <w:color w:val="0E101A"/>
          <w:szCs w:val="24"/>
        </w:rPr>
        <w:t xml:space="preserve">, 2009). </w:t>
      </w:r>
      <w:r w:rsidR="003A716A">
        <w:rPr>
          <w:rFonts w:eastAsia="Times New Roman" w:cs="Times New Roman"/>
          <w:color w:val="0E101A"/>
          <w:szCs w:val="24"/>
        </w:rPr>
        <w:t xml:space="preserve">Consumer behavior is more </w:t>
      </w:r>
      <w:r w:rsidRPr="00103E81">
        <w:rPr>
          <w:rFonts w:eastAsia="Times New Roman" w:cs="Times New Roman"/>
          <w:color w:val="0E101A"/>
          <w:szCs w:val="24"/>
        </w:rPr>
        <w:t>sensitive</w:t>
      </w:r>
      <w:r w:rsidR="003A716A">
        <w:rPr>
          <w:rFonts w:eastAsia="Times New Roman" w:cs="Times New Roman"/>
          <w:color w:val="0E101A"/>
          <w:szCs w:val="24"/>
        </w:rPr>
        <w:t xml:space="preserve"> to price</w:t>
      </w:r>
      <w:r w:rsidRPr="00103E81">
        <w:rPr>
          <w:rFonts w:eastAsia="Times New Roman" w:cs="Times New Roman"/>
          <w:color w:val="0E101A"/>
          <w:szCs w:val="24"/>
        </w:rPr>
        <w:t xml:space="preserve"> when the economy is not promising (</w:t>
      </w:r>
      <w:proofErr w:type="spellStart"/>
      <w:r w:rsidRPr="00103E81">
        <w:rPr>
          <w:rFonts w:eastAsia="Times New Roman" w:cs="Times New Roman"/>
          <w:color w:val="0E101A"/>
          <w:szCs w:val="24"/>
        </w:rPr>
        <w:t>Shama</w:t>
      </w:r>
      <w:proofErr w:type="spellEnd"/>
      <w:r w:rsidRPr="00103E81">
        <w:rPr>
          <w:rFonts w:eastAsia="Times New Roman" w:cs="Times New Roman"/>
          <w:color w:val="0E101A"/>
          <w:szCs w:val="24"/>
        </w:rPr>
        <w:t>, 1981). Therefore, sourcing enough supply for business growth and controlling the total production cost is needed while expending the business. </w:t>
      </w:r>
    </w:p>
    <w:p w14:paraId="2DB4AAC4" w14:textId="77777777" w:rsidR="00103E81" w:rsidRPr="00103E81" w:rsidRDefault="00103E81" w:rsidP="00103E81">
      <w:pPr>
        <w:spacing w:after="0" w:line="240" w:lineRule="auto"/>
        <w:rPr>
          <w:rFonts w:eastAsia="Times New Roman" w:cs="Times New Roman"/>
          <w:b/>
          <w:color w:val="0E101A"/>
          <w:sz w:val="26"/>
          <w:szCs w:val="26"/>
        </w:rPr>
      </w:pPr>
    </w:p>
    <w:p w14:paraId="0707F640" w14:textId="23054D92" w:rsidR="00103E81" w:rsidRPr="00077F79" w:rsidRDefault="00103E81" w:rsidP="00077F79">
      <w:pPr>
        <w:rPr>
          <w:b/>
          <w:sz w:val="26"/>
          <w:szCs w:val="26"/>
        </w:rPr>
      </w:pPr>
      <w:r w:rsidRPr="00077F79">
        <w:rPr>
          <w:b/>
          <w:sz w:val="26"/>
          <w:szCs w:val="26"/>
        </w:rPr>
        <w:t xml:space="preserve">2.3 </w:t>
      </w:r>
      <w:r w:rsidR="00077F79" w:rsidRPr="00077F79">
        <w:rPr>
          <w:b/>
          <w:sz w:val="26"/>
          <w:szCs w:val="26"/>
        </w:rPr>
        <w:tab/>
      </w:r>
      <w:r w:rsidRPr="00077F79">
        <w:rPr>
          <w:b/>
          <w:sz w:val="26"/>
          <w:szCs w:val="26"/>
        </w:rPr>
        <w:t>The rationale of expanding operations in India</w:t>
      </w:r>
    </w:p>
    <w:p w14:paraId="577EAEF2" w14:textId="77777777" w:rsidR="00103E81" w:rsidRPr="00103E81" w:rsidRDefault="00103E81" w:rsidP="00077F79">
      <w:pPr>
        <w:spacing w:line="480" w:lineRule="auto"/>
        <w:ind w:firstLine="720"/>
        <w:jc w:val="both"/>
        <w:rPr>
          <w:szCs w:val="24"/>
        </w:rPr>
      </w:pPr>
      <w:r w:rsidRPr="00103E81">
        <w:rPr>
          <w:szCs w:val="24"/>
        </w:rPr>
        <w:t>Based on the company profile and the market environment, there are three challenges that GU is facing now. Spreading pandemic in China, causing a decreased supply of cotton, as the second-largest producing country is in shortage, the forecast of the cotton price is going up. At the same time, the continuous expansion of GU will require the additional need for raw material. The third challenge is to remain competitive within the fast fashion industry. All these challenges can be consolidated by expending the operation in India of centralizing the purchase of cotton.</w:t>
      </w:r>
    </w:p>
    <w:p w14:paraId="320A4E82" w14:textId="77777777" w:rsidR="00103E81" w:rsidRPr="00103E81" w:rsidRDefault="00103E81" w:rsidP="00077F79">
      <w:pPr>
        <w:spacing w:after="0" w:line="480" w:lineRule="auto"/>
        <w:ind w:firstLine="720"/>
        <w:jc w:val="both"/>
        <w:rPr>
          <w:rFonts w:eastAsia="Times New Roman" w:cs="Times New Roman"/>
          <w:color w:val="0E101A"/>
          <w:szCs w:val="24"/>
        </w:rPr>
      </w:pPr>
      <w:r w:rsidRPr="00103E81">
        <w:rPr>
          <w:rFonts w:eastAsia="Times New Roman" w:cs="Times New Roman"/>
          <w:color w:val="0E101A"/>
          <w:szCs w:val="24"/>
        </w:rPr>
        <w:t>India is the largest cotton production output in the global market, to gain control of the upstream supply chain in fast fashion, cotton is the focal point as it is the most used raw material in the industry (</w:t>
      </w:r>
      <w:proofErr w:type="spellStart"/>
      <w:r w:rsidRPr="00103E81">
        <w:rPr>
          <w:rFonts w:eastAsia="Times New Roman" w:cs="Times New Roman"/>
          <w:color w:val="0E101A"/>
          <w:szCs w:val="24"/>
        </w:rPr>
        <w:t>Moretto</w:t>
      </w:r>
      <w:proofErr w:type="spellEnd"/>
      <w:r w:rsidRPr="00103E81">
        <w:rPr>
          <w:rFonts w:eastAsia="Times New Roman" w:cs="Times New Roman"/>
          <w:color w:val="0E101A"/>
          <w:szCs w:val="24"/>
        </w:rPr>
        <w:t xml:space="preserve"> et al., 2018). GU has already been identified as the need to enhance the centralize purchasing processes, reducing the raw material cost, and securer the cotton supply. Therefore, it is a practical tactic for GU to expand its operations in India.</w:t>
      </w:r>
    </w:p>
    <w:p w14:paraId="41D5B7DE" w14:textId="77777777" w:rsidR="00F56355" w:rsidRDefault="00F56355">
      <w:pPr>
        <w:spacing w:line="259" w:lineRule="auto"/>
        <w:rPr>
          <w:b/>
          <w:sz w:val="26"/>
          <w:szCs w:val="26"/>
        </w:rPr>
      </w:pPr>
      <w:r>
        <w:rPr>
          <w:b/>
          <w:sz w:val="26"/>
          <w:szCs w:val="26"/>
        </w:rPr>
        <w:br w:type="page"/>
      </w:r>
    </w:p>
    <w:p w14:paraId="4F54F36F" w14:textId="2159D5D8" w:rsidR="000A7009" w:rsidRPr="00077F79" w:rsidRDefault="000A7009" w:rsidP="0055378B">
      <w:pPr>
        <w:spacing w:after="0" w:line="480" w:lineRule="auto"/>
        <w:rPr>
          <w:b/>
          <w:sz w:val="26"/>
          <w:szCs w:val="26"/>
        </w:rPr>
      </w:pPr>
      <w:r w:rsidRPr="00077F79">
        <w:rPr>
          <w:b/>
          <w:sz w:val="26"/>
          <w:szCs w:val="26"/>
        </w:rPr>
        <w:lastRenderedPageBreak/>
        <w:t>3</w:t>
      </w:r>
      <w:r w:rsidR="00F56355">
        <w:rPr>
          <w:b/>
          <w:sz w:val="26"/>
          <w:szCs w:val="26"/>
        </w:rPr>
        <w:t>.</w:t>
      </w:r>
      <w:r w:rsidRPr="00077F79">
        <w:rPr>
          <w:b/>
          <w:sz w:val="26"/>
          <w:szCs w:val="26"/>
        </w:rPr>
        <w:t xml:space="preserve">   </w:t>
      </w:r>
      <w:r w:rsidR="00B553C5" w:rsidRPr="00077F79">
        <w:rPr>
          <w:b/>
          <w:sz w:val="26"/>
          <w:szCs w:val="26"/>
        </w:rPr>
        <w:tab/>
      </w:r>
      <w:r w:rsidRPr="00077F79">
        <w:rPr>
          <w:b/>
          <w:sz w:val="26"/>
          <w:szCs w:val="26"/>
        </w:rPr>
        <w:t>Country background</w:t>
      </w:r>
      <w:bookmarkEnd w:id="5"/>
    </w:p>
    <w:p w14:paraId="6BC93679" w14:textId="76BD8CD7" w:rsidR="00B553C5" w:rsidRDefault="000A7009" w:rsidP="0055378B">
      <w:pPr>
        <w:spacing w:line="480" w:lineRule="auto"/>
        <w:ind w:firstLine="720"/>
        <w:jc w:val="both"/>
        <w:rPr>
          <w:rFonts w:cs="Times New Roman"/>
          <w:szCs w:val="24"/>
          <w:lang w:eastAsia="en-US" w:bidi="en-US"/>
        </w:rPr>
      </w:pPr>
      <w:r w:rsidRPr="000A7009">
        <w:rPr>
          <w:rFonts w:cs="Times New Roman"/>
          <w:szCs w:val="24"/>
          <w:lang w:eastAsia="en-US" w:bidi="en-US"/>
        </w:rPr>
        <w:t xml:space="preserve">The Republic of India is located in South Asia and is the largest country in South Asia, sharing the borders with neighboring countries, including Bangladesh, Bhutan, China, Nepal, Myanmar, Sri Lanka, Pakistan. </w:t>
      </w:r>
      <w:r w:rsidR="00B30845">
        <w:rPr>
          <w:rFonts w:cs="Times New Roman"/>
          <w:szCs w:val="24"/>
          <w:lang w:eastAsia="en-US" w:bidi="en-US"/>
        </w:rPr>
        <w:t>Also</w:t>
      </w:r>
      <w:r w:rsidRPr="000A7009">
        <w:rPr>
          <w:rFonts w:cs="Times New Roman"/>
          <w:szCs w:val="24"/>
          <w:lang w:eastAsia="en-US" w:bidi="en-US"/>
        </w:rPr>
        <w:t>, India has a coastline of over five thousand kilometers facing both the Bay of Bengal and the Arabian Sea which is also convenient for international sea trade.</w:t>
      </w:r>
      <w:r w:rsidR="00B553C5">
        <w:rPr>
          <w:rFonts w:cs="Times New Roman"/>
          <w:szCs w:val="24"/>
          <w:lang w:eastAsia="en-US" w:bidi="en-US"/>
        </w:rPr>
        <w:t xml:space="preserve"> </w:t>
      </w:r>
    </w:p>
    <w:p w14:paraId="25A1EE1E" w14:textId="697DC3CF" w:rsidR="00B553C5" w:rsidRDefault="000A7009" w:rsidP="00480FF9">
      <w:pPr>
        <w:spacing w:before="240" w:after="0" w:line="480" w:lineRule="auto"/>
        <w:ind w:firstLine="720"/>
        <w:jc w:val="both"/>
        <w:rPr>
          <w:rFonts w:cs="Times New Roman"/>
          <w:szCs w:val="24"/>
          <w:lang w:eastAsia="en-US" w:bidi="en-US"/>
        </w:rPr>
      </w:pPr>
      <w:r w:rsidRPr="000A7009">
        <w:rPr>
          <w:rFonts w:cs="Times New Roman"/>
          <w:szCs w:val="24"/>
          <w:lang w:eastAsia="en-US" w:bidi="en-US"/>
        </w:rPr>
        <w:t xml:space="preserve">India has a spread economy and industry, included agriculture, handicrafts, textiles, and service industries. Two-thirds of India's population still directly or indirectly depends on agriculture for their livelihoods. In recent years, the service industry has </w:t>
      </w:r>
      <w:r w:rsidR="00B30845">
        <w:rPr>
          <w:rFonts w:cs="Times New Roman"/>
          <w:szCs w:val="24"/>
          <w:lang w:eastAsia="en-US" w:bidi="en-US"/>
        </w:rPr>
        <w:t>proliferated</w:t>
      </w:r>
      <w:r w:rsidRPr="000A7009">
        <w:rPr>
          <w:rFonts w:cs="Times New Roman"/>
          <w:szCs w:val="24"/>
          <w:lang w:eastAsia="en-US" w:bidi="en-US"/>
        </w:rPr>
        <w:t>, India has become the world's most important exporter of information technolo</w:t>
      </w:r>
      <w:r w:rsidR="00B553C5">
        <w:rPr>
          <w:rFonts w:cs="Times New Roman"/>
          <w:szCs w:val="24"/>
          <w:lang w:eastAsia="en-US" w:bidi="en-US"/>
        </w:rPr>
        <w:t>gy, finance</w:t>
      </w:r>
      <w:r w:rsidR="003A716A">
        <w:rPr>
          <w:rFonts w:cs="Times New Roman"/>
          <w:szCs w:val="24"/>
          <w:lang w:eastAsia="en-US" w:bidi="en-US"/>
        </w:rPr>
        <w:t>,</w:t>
      </w:r>
      <w:r w:rsidR="00B553C5">
        <w:rPr>
          <w:rFonts w:cs="Times New Roman"/>
          <w:szCs w:val="24"/>
          <w:lang w:eastAsia="en-US" w:bidi="en-US"/>
        </w:rPr>
        <w:t xml:space="preserve"> and other services. </w:t>
      </w:r>
    </w:p>
    <w:p w14:paraId="05401E74" w14:textId="77777777" w:rsidR="00103E81" w:rsidRPr="00077F79" w:rsidRDefault="00103E81" w:rsidP="0055378B">
      <w:pPr>
        <w:spacing w:before="240" w:after="0" w:line="480" w:lineRule="auto"/>
        <w:jc w:val="both"/>
        <w:rPr>
          <w:rFonts w:eastAsiaTheme="majorEastAsia" w:cstheme="majorBidi"/>
          <w:b/>
          <w:bCs/>
          <w:sz w:val="26"/>
          <w:szCs w:val="26"/>
          <w:lang w:eastAsia="en-US" w:bidi="en-US"/>
        </w:rPr>
      </w:pPr>
      <w:r w:rsidRPr="00077F79">
        <w:rPr>
          <w:rFonts w:eastAsiaTheme="majorEastAsia" w:cstheme="majorBidi"/>
          <w:b/>
          <w:bCs/>
          <w:sz w:val="26"/>
          <w:szCs w:val="26"/>
          <w:lang w:eastAsia="en-US" w:bidi="en-US"/>
        </w:rPr>
        <w:t>3.1      Economic setting</w:t>
      </w:r>
    </w:p>
    <w:p w14:paraId="07DCFF11" w14:textId="1CF574F0" w:rsidR="00103E81" w:rsidRPr="00103E81" w:rsidRDefault="00103E81" w:rsidP="0055378B">
      <w:pPr>
        <w:spacing w:line="480" w:lineRule="auto"/>
        <w:ind w:firstLine="720"/>
        <w:jc w:val="both"/>
        <w:rPr>
          <w:rFonts w:eastAsiaTheme="majorEastAsia" w:cstheme="majorBidi"/>
          <w:bCs/>
          <w:szCs w:val="28"/>
          <w:lang w:eastAsia="en-US" w:bidi="en-US"/>
        </w:rPr>
      </w:pPr>
      <w:r w:rsidRPr="00103E81">
        <w:rPr>
          <w:rFonts w:eastAsiaTheme="majorEastAsia" w:cstheme="majorBidi"/>
          <w:bCs/>
          <w:szCs w:val="28"/>
          <w:lang w:eastAsia="en-US" w:bidi="en-US"/>
        </w:rPr>
        <w:t>India is one of the fastest-growing economy countries in the world. The pr</w:t>
      </w:r>
      <w:r w:rsidR="00077F79">
        <w:rPr>
          <w:rFonts w:eastAsiaTheme="majorEastAsia" w:cstheme="majorBidi"/>
          <w:bCs/>
          <w:szCs w:val="28"/>
          <w:lang w:eastAsia="en-US" w:bidi="en-US"/>
        </w:rPr>
        <w:t>ojected real GDP growth reaches</w:t>
      </w:r>
      <w:r w:rsidRPr="00103E81">
        <w:rPr>
          <w:rFonts w:eastAsiaTheme="majorEastAsia" w:cstheme="majorBidi"/>
          <w:bCs/>
          <w:szCs w:val="28"/>
          <w:lang w:eastAsia="en-US" w:bidi="en-US"/>
        </w:rPr>
        <w:t xml:space="preserve"> 7% in 2020 (International Monetary Fund, 2020b). Compare to Advance economies at 1.7% and Emerging and Developing countries in Asia at 6% of GDP growth. In comparison, India still manages in a competitive position, although the trend of GDP has been slow down in 2020. </w:t>
      </w:r>
    </w:p>
    <w:p w14:paraId="162C2587" w14:textId="67C85A2B" w:rsidR="00103E81" w:rsidRDefault="00103E81" w:rsidP="00103E81">
      <w:pPr>
        <w:spacing w:before="240" w:line="480" w:lineRule="auto"/>
        <w:ind w:firstLine="720"/>
        <w:jc w:val="both"/>
        <w:rPr>
          <w:rFonts w:eastAsiaTheme="majorEastAsia" w:cstheme="majorBidi"/>
          <w:bCs/>
          <w:szCs w:val="28"/>
          <w:lang w:eastAsia="en-US" w:bidi="en-US"/>
        </w:rPr>
      </w:pPr>
      <w:r w:rsidRPr="00103E81">
        <w:rPr>
          <w:rFonts w:eastAsiaTheme="majorEastAsia" w:cstheme="majorBidi"/>
          <w:bCs/>
          <w:szCs w:val="28"/>
          <w:lang w:eastAsia="en-US" w:bidi="en-US"/>
        </w:rPr>
        <w:t>The average consumer price index (CPI) is at 4.1%, and at the same time, the India</w:t>
      </w:r>
      <w:r w:rsidR="003A716A">
        <w:rPr>
          <w:rFonts w:eastAsiaTheme="majorEastAsia" w:cstheme="majorBidi"/>
          <w:bCs/>
          <w:szCs w:val="28"/>
          <w:lang w:eastAsia="en-US" w:bidi="en-US"/>
        </w:rPr>
        <w:t>n</w:t>
      </w:r>
      <w:r w:rsidRPr="00103E81">
        <w:rPr>
          <w:rFonts w:eastAsiaTheme="majorEastAsia" w:cstheme="majorBidi"/>
          <w:bCs/>
          <w:szCs w:val="28"/>
          <w:lang w:eastAsia="en-US" w:bidi="en-US"/>
        </w:rPr>
        <w:t xml:space="preserve"> middle class is expected to grow at 1.4% annually to 2022 (</w:t>
      </w:r>
      <w:proofErr w:type="spellStart"/>
      <w:r w:rsidRPr="00103E81">
        <w:rPr>
          <w:rFonts w:eastAsiaTheme="majorEastAsia" w:cstheme="majorBidi"/>
          <w:bCs/>
          <w:szCs w:val="28"/>
          <w:lang w:eastAsia="en-US" w:bidi="en-US"/>
        </w:rPr>
        <w:t>Amed</w:t>
      </w:r>
      <w:proofErr w:type="spellEnd"/>
      <w:r w:rsidRPr="00103E81">
        <w:rPr>
          <w:rFonts w:eastAsiaTheme="majorEastAsia" w:cstheme="majorBidi"/>
          <w:bCs/>
          <w:szCs w:val="28"/>
          <w:lang w:eastAsia="en-US" w:bidi="en-US"/>
        </w:rPr>
        <w:t xml:space="preserve"> et al.</w:t>
      </w:r>
      <w:r w:rsidR="00077F79">
        <w:rPr>
          <w:rFonts w:eastAsiaTheme="majorEastAsia" w:cstheme="majorBidi"/>
          <w:bCs/>
          <w:szCs w:val="28"/>
          <w:lang w:eastAsia="en-US" w:bidi="en-US"/>
        </w:rPr>
        <w:t>,</w:t>
      </w:r>
      <w:r w:rsidRPr="00103E81">
        <w:rPr>
          <w:rFonts w:eastAsiaTheme="majorEastAsia" w:cstheme="majorBidi"/>
          <w:bCs/>
          <w:szCs w:val="28"/>
          <w:lang w:eastAsia="en-US" w:bidi="en-US"/>
        </w:rPr>
        <w:t xml:space="preserve"> 2019). The country population at 1.35 billion, </w:t>
      </w:r>
      <w:r w:rsidR="003A716A">
        <w:rPr>
          <w:rFonts w:eastAsiaTheme="majorEastAsia" w:cstheme="majorBidi"/>
          <w:bCs/>
          <w:szCs w:val="28"/>
          <w:lang w:eastAsia="en-US" w:bidi="en-US"/>
        </w:rPr>
        <w:t xml:space="preserve">the </w:t>
      </w:r>
      <w:r w:rsidRPr="00103E81">
        <w:rPr>
          <w:rFonts w:eastAsiaTheme="majorEastAsia" w:cstheme="majorBidi"/>
          <w:bCs/>
          <w:szCs w:val="28"/>
          <w:lang w:eastAsia="en-US" w:bidi="en-US"/>
        </w:rPr>
        <w:t>second</w:t>
      </w:r>
      <w:r w:rsidR="003A716A">
        <w:rPr>
          <w:rFonts w:eastAsiaTheme="majorEastAsia" w:cstheme="majorBidi"/>
          <w:bCs/>
          <w:szCs w:val="28"/>
          <w:lang w:eastAsia="en-US" w:bidi="en-US"/>
        </w:rPr>
        <w:t>-</w:t>
      </w:r>
      <w:r w:rsidRPr="00103E81">
        <w:rPr>
          <w:rFonts w:eastAsiaTheme="majorEastAsia" w:cstheme="majorBidi"/>
          <w:bCs/>
          <w:szCs w:val="28"/>
          <w:lang w:eastAsia="en-US" w:bidi="en-US"/>
        </w:rPr>
        <w:t xml:space="preserve">highest populated countries right behind China, and it is going to overtake China by 2027 (United Nations, 2019). India has the world's second-biggest number of workforces. As of 2016, it has over five hundred million labor within the country. The work is divided into traditional and model industries. The traditional industry included farming of rice, wheat, oilseed, cotton, jute, tea, sugarcane, and potatoes. For modern industries, </w:t>
      </w:r>
      <w:r w:rsidRPr="00103E81">
        <w:rPr>
          <w:rFonts w:eastAsiaTheme="majorEastAsia" w:cstheme="majorBidi"/>
          <w:bCs/>
          <w:szCs w:val="28"/>
          <w:lang w:eastAsia="en-US" w:bidi="en-US"/>
        </w:rPr>
        <w:lastRenderedPageBreak/>
        <w:t xml:space="preserve">businesses include information technology, media communications, synthetic compounds, pharmaceuticals, biotechnology, nourishment handling, steel, transport hardware, concrete, mining, oil, apparatus, and software, both traditional and modern industries help the countries in sustainable growth. </w:t>
      </w:r>
    </w:p>
    <w:p w14:paraId="0C381C56" w14:textId="5D7C26FE" w:rsidR="00C329E2" w:rsidRDefault="00C329E2" w:rsidP="00C329E2">
      <w:pPr>
        <w:spacing w:before="240" w:line="480" w:lineRule="auto"/>
        <w:ind w:firstLine="720"/>
        <w:jc w:val="center"/>
        <w:rPr>
          <w:rFonts w:eastAsiaTheme="majorEastAsia" w:cstheme="majorBidi"/>
          <w:bCs/>
          <w:szCs w:val="28"/>
          <w:lang w:eastAsia="en-US" w:bidi="en-US"/>
        </w:rPr>
      </w:pPr>
      <w:r>
        <w:rPr>
          <w:rFonts w:eastAsiaTheme="majorEastAsia" w:cstheme="majorBidi"/>
          <w:bCs/>
          <w:szCs w:val="28"/>
          <w:lang w:eastAsia="en-US" w:bidi="en-US"/>
        </w:rPr>
        <w:t>2000 – 2030 Population China vs. India</w:t>
      </w:r>
    </w:p>
    <w:p w14:paraId="0082C3AF" w14:textId="345B6E5E" w:rsidR="00A12DB0" w:rsidRDefault="00C329E2" w:rsidP="00103E81">
      <w:pPr>
        <w:spacing w:before="240" w:line="480" w:lineRule="auto"/>
        <w:ind w:firstLine="720"/>
        <w:jc w:val="both"/>
        <w:rPr>
          <w:rFonts w:cs="Times New Roman"/>
          <w:szCs w:val="24"/>
          <w:lang w:eastAsia="en-US" w:bidi="en-US"/>
        </w:rPr>
      </w:pPr>
      <w:r>
        <w:rPr>
          <w:rFonts w:cs="Times New Roman"/>
          <w:noProof/>
          <w:szCs w:val="24"/>
        </w:rPr>
        <w:drawing>
          <wp:inline distT="0" distB="0" distL="0" distR="0" wp14:anchorId="2D4F454A" wp14:editId="48F0B7F4">
            <wp:extent cx="4548197" cy="2972771"/>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66075" cy="2984456"/>
                    </a:xfrm>
                    <a:prstGeom prst="rect">
                      <a:avLst/>
                    </a:prstGeom>
                    <a:noFill/>
                  </pic:spPr>
                </pic:pic>
              </a:graphicData>
            </a:graphic>
          </wp:inline>
        </w:drawing>
      </w:r>
    </w:p>
    <w:p w14:paraId="6F42F15F" w14:textId="22B01235" w:rsidR="00A12DB0" w:rsidRPr="00C329E2" w:rsidRDefault="00A12DB0" w:rsidP="00A12DB0">
      <w:pPr>
        <w:spacing w:after="0" w:line="240" w:lineRule="auto"/>
        <w:ind w:firstLine="720"/>
        <w:jc w:val="both"/>
        <w:rPr>
          <w:rFonts w:cs="Times New Roman"/>
          <w:szCs w:val="24"/>
          <w:lang w:eastAsia="en-US" w:bidi="en-US"/>
        </w:rPr>
      </w:pPr>
      <w:r w:rsidRPr="00C329E2">
        <w:rPr>
          <w:rFonts w:cs="Times New Roman"/>
          <w:szCs w:val="24"/>
          <w:lang w:eastAsia="en-US" w:bidi="en-US"/>
        </w:rPr>
        <w:t>Graph 1 2000 – 2030 Population China vs. India</w:t>
      </w:r>
    </w:p>
    <w:p w14:paraId="57B73699" w14:textId="231C2EAD" w:rsidR="00A12DB0" w:rsidRPr="00C329E2" w:rsidRDefault="00A12DB0" w:rsidP="00A12DB0">
      <w:pPr>
        <w:spacing w:after="0" w:line="240" w:lineRule="auto"/>
        <w:ind w:firstLine="720"/>
        <w:jc w:val="both"/>
        <w:rPr>
          <w:rFonts w:cs="Times New Roman"/>
          <w:szCs w:val="24"/>
          <w:lang w:eastAsia="en-US" w:bidi="en-US"/>
        </w:rPr>
      </w:pPr>
      <w:r w:rsidRPr="00C329E2">
        <w:rPr>
          <w:rFonts w:cs="Times New Roman"/>
          <w:szCs w:val="24"/>
          <w:lang w:eastAsia="en-US" w:bidi="en-US"/>
        </w:rPr>
        <w:t xml:space="preserve">Source: </w:t>
      </w:r>
      <w:r w:rsidR="00094AC4">
        <w:rPr>
          <w:rFonts w:cs="Times New Roman"/>
          <w:szCs w:val="24"/>
          <w:lang w:eastAsia="en-US" w:bidi="en-US"/>
        </w:rPr>
        <w:t>United Nations</w:t>
      </w:r>
    </w:p>
    <w:p w14:paraId="74A12D08" w14:textId="77777777" w:rsidR="00A12DB0" w:rsidRPr="00A12DB0" w:rsidRDefault="00A12DB0" w:rsidP="00A12DB0">
      <w:pPr>
        <w:spacing w:after="0" w:line="240" w:lineRule="auto"/>
        <w:ind w:firstLine="720"/>
        <w:jc w:val="both"/>
        <w:rPr>
          <w:rFonts w:cs="Times New Roman"/>
          <w:sz w:val="20"/>
          <w:szCs w:val="24"/>
          <w:lang w:eastAsia="en-US" w:bidi="en-US"/>
        </w:rPr>
      </w:pPr>
    </w:p>
    <w:p w14:paraId="4171223E" w14:textId="777777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These indicators are favorable for companies and investors, the unemployment rate in India is at 8.5% (Trading Economics, 2020), in reviewing the past from the 1980s to 2019, the average unemployment rate sits at 5.16%. It implies the country has enough workforce enters into the market. </w:t>
      </w:r>
    </w:p>
    <w:p w14:paraId="2C3B7825" w14:textId="777777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To attract foreign investment, the Indian government has major initiatives and continuously update the policy. For Single brand retail trading, the policy has revised in 2017, which allows 100% of equity for the foreign investors, and the entry route is automatic, which does not require any additional application before setting out the investment. It is a major advantage versus other emerging markets, which required companies to submit an investment </w:t>
      </w:r>
      <w:r w:rsidRPr="006D3026">
        <w:rPr>
          <w:rFonts w:eastAsia="Times New Roman" w:cs="Times New Roman"/>
          <w:color w:val="0E101A"/>
          <w:szCs w:val="24"/>
        </w:rPr>
        <w:lastRenderedPageBreak/>
        <w:t>proposal and getting approval from the government. As a result, India managed to attract more than 9000 startups companies based in different cities of India and 1300 startup companies founded in 2019 alone (</w:t>
      </w:r>
      <w:proofErr w:type="spellStart"/>
      <w:r w:rsidRPr="006D3026">
        <w:rPr>
          <w:rFonts w:eastAsia="Times New Roman" w:cs="Times New Roman"/>
          <w:color w:val="0E101A"/>
          <w:szCs w:val="24"/>
        </w:rPr>
        <w:t>Nasscom</w:t>
      </w:r>
      <w:proofErr w:type="spellEnd"/>
      <w:r w:rsidRPr="006D3026">
        <w:rPr>
          <w:rFonts w:eastAsia="Times New Roman" w:cs="Times New Roman"/>
          <w:color w:val="0E101A"/>
          <w:szCs w:val="24"/>
        </w:rPr>
        <w:t>, 2019).  </w:t>
      </w:r>
    </w:p>
    <w:p w14:paraId="007CF232" w14:textId="61537E91"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In order to promote farming in India, the Tax Administration Reform Commission (TARC) of India issued a report in 2014, implemented a new policy that agriculture income under 5 million </w:t>
      </w:r>
      <w:r w:rsidR="004945E7" w:rsidRPr="006D3026">
        <w:rPr>
          <w:rFonts w:eastAsia="Times New Roman" w:cs="Times New Roman"/>
          <w:color w:val="0E101A"/>
          <w:szCs w:val="24"/>
        </w:rPr>
        <w:t>rupees</w:t>
      </w:r>
      <w:r w:rsidRPr="006D3026">
        <w:rPr>
          <w:rFonts w:eastAsia="Times New Roman" w:cs="Times New Roman"/>
          <w:color w:val="0E101A"/>
          <w:szCs w:val="24"/>
        </w:rPr>
        <w:t xml:space="preserve"> (around US $70,000) entitled for tax-free (Department of Revenue, 2014). In comparison to 30% for the same amount, this is a </w:t>
      </w:r>
      <w:r w:rsidR="003A716A">
        <w:rPr>
          <w:rFonts w:eastAsia="Times New Roman" w:cs="Times New Roman"/>
          <w:color w:val="0E101A"/>
          <w:szCs w:val="24"/>
        </w:rPr>
        <w:t>considerabl</w:t>
      </w:r>
      <w:r w:rsidRPr="006D3026">
        <w:rPr>
          <w:rFonts w:eastAsia="Times New Roman" w:cs="Times New Roman"/>
          <w:color w:val="0E101A"/>
          <w:szCs w:val="24"/>
        </w:rPr>
        <w:t>e relief from the government. </w:t>
      </w:r>
    </w:p>
    <w:p w14:paraId="546417F8" w14:textId="77777777" w:rsidR="006D3026" w:rsidRPr="006D3026" w:rsidRDefault="006D3026" w:rsidP="00951BB5">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In between 2015 to 2019, the potential labour productivity of India average was 5.55 ± 0.56 (CEIC, 2019a), in the same period, China is average 6.56 ± 0.20 (CEIC, 2019b), the overall potential labour productivity of India is lower with a higher fluctuation compared to the direct competitor in Cotton production.</w:t>
      </w:r>
    </w:p>
    <w:p w14:paraId="1EF85A97" w14:textId="2E47DD45" w:rsidR="006D3026" w:rsidRPr="00077F79" w:rsidRDefault="006D3026" w:rsidP="00F958F9">
      <w:pPr>
        <w:spacing w:before="240" w:after="0" w:line="480" w:lineRule="auto"/>
        <w:jc w:val="both"/>
        <w:rPr>
          <w:rFonts w:cs="Times New Roman"/>
          <w:b/>
          <w:sz w:val="26"/>
          <w:szCs w:val="26"/>
        </w:rPr>
      </w:pPr>
      <w:r w:rsidRPr="00077F79">
        <w:rPr>
          <w:rFonts w:cs="Times New Roman"/>
          <w:b/>
          <w:sz w:val="26"/>
          <w:szCs w:val="26"/>
        </w:rPr>
        <w:t xml:space="preserve">3.2 </w:t>
      </w:r>
      <w:r w:rsidR="00077F79">
        <w:rPr>
          <w:rFonts w:cs="Times New Roman"/>
          <w:b/>
          <w:sz w:val="26"/>
          <w:szCs w:val="26"/>
        </w:rPr>
        <w:tab/>
      </w:r>
      <w:r w:rsidRPr="00077F79">
        <w:rPr>
          <w:rFonts w:cs="Times New Roman"/>
          <w:b/>
          <w:sz w:val="26"/>
          <w:szCs w:val="26"/>
        </w:rPr>
        <w:t>Sociological setting</w:t>
      </w:r>
    </w:p>
    <w:p w14:paraId="38B81B76" w14:textId="77777777" w:rsidR="006D3026" w:rsidRPr="006D3026" w:rsidRDefault="006D3026" w:rsidP="00F958F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India is a historical hierarchical society where social groups ranked based on wealth and affiliation; although the law stated the caste system was officially abolished, it has a minor effect on the social life in this rich heritage country. </w:t>
      </w:r>
    </w:p>
    <w:p w14:paraId="0A025816" w14:textId="77777777" w:rsidR="006D3026" w:rsidRPr="006D3026" w:rsidRDefault="006D3026" w:rsidP="00F958F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India is also known to be a most ethnically diverse country, although the government official languages are English and Hindi, the people of India use many different linguistic groups from different languages or dialects (Britannica, 2020). Hinduism is the most popular religion in India accumulated about 80% of the population, different types of religions including Buddhists, Christians, Muslims, and Jains, which makes India a rich cultural and diversified country. </w:t>
      </w:r>
    </w:p>
    <w:p w14:paraId="16F9EBC8" w14:textId="777777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Some of the most populated cities in India are Mumbai with 20 million, Kolkata 15 Million, and Delhi with 30 million, Bengaluru 14 million, Chennai 11million, and Hyderabad </w:t>
      </w:r>
      <w:r w:rsidRPr="006D3026">
        <w:rPr>
          <w:rFonts w:eastAsia="Times New Roman" w:cs="Times New Roman"/>
          <w:color w:val="0E101A"/>
          <w:szCs w:val="24"/>
        </w:rPr>
        <w:lastRenderedPageBreak/>
        <w:t>14 Million (World Population Review, 2019), these six cities accumulated over 7% of the total population of India. </w:t>
      </w:r>
    </w:p>
    <w:p w14:paraId="0CD71C72" w14:textId="2CAFC64B"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India government had spent many resources on improving the education (Dubey et al. 2019), the Youth literacy rate in male and female are 88.4% and </w:t>
      </w:r>
      <w:r w:rsidR="004945E7">
        <w:rPr>
          <w:rFonts w:eastAsia="Times New Roman" w:cs="Times New Roman"/>
          <w:color w:val="0E101A"/>
          <w:szCs w:val="24"/>
        </w:rPr>
        <w:t>74.4%</w:t>
      </w:r>
      <w:r w:rsidR="004945E7" w:rsidRPr="004945E7">
        <w:rPr>
          <w:rFonts w:eastAsia="Times New Roman" w:cs="Times New Roman"/>
          <w:color w:val="0E101A"/>
          <w:szCs w:val="24"/>
        </w:rPr>
        <w:t xml:space="preserve"> respectively (</w:t>
      </w:r>
      <w:proofErr w:type="spellStart"/>
      <w:r w:rsidR="004945E7" w:rsidRPr="004945E7">
        <w:rPr>
          <w:rFonts w:eastAsia="Times New Roman" w:cs="Times New Roman"/>
          <w:color w:val="0E101A"/>
          <w:szCs w:val="24"/>
        </w:rPr>
        <w:t>Unicef</w:t>
      </w:r>
      <w:proofErr w:type="spellEnd"/>
      <w:r w:rsidR="004945E7" w:rsidRPr="004945E7">
        <w:rPr>
          <w:rFonts w:eastAsia="Times New Roman" w:cs="Times New Roman"/>
          <w:color w:val="0E101A"/>
          <w:szCs w:val="24"/>
        </w:rPr>
        <w:t>,</w:t>
      </w:r>
      <w:r w:rsidR="004945E7">
        <w:rPr>
          <w:rFonts w:eastAsia="Times New Roman" w:cs="Times New Roman"/>
          <w:color w:val="0E101A"/>
          <w:szCs w:val="24"/>
        </w:rPr>
        <w:t xml:space="preserve"> </w:t>
      </w:r>
      <w:r w:rsidR="004945E7" w:rsidRPr="004945E7">
        <w:rPr>
          <w:rFonts w:eastAsia="Times New Roman" w:cs="Times New Roman"/>
          <w:color w:val="0E101A"/>
          <w:szCs w:val="24"/>
        </w:rPr>
        <w:t>2019</w:t>
      </w:r>
      <w:r w:rsidRPr="004945E7">
        <w:rPr>
          <w:rFonts w:eastAsia="Times New Roman" w:cs="Times New Roman"/>
          <w:color w:val="0E101A"/>
          <w:szCs w:val="24"/>
        </w:rPr>
        <w:t>).</w:t>
      </w:r>
      <w:r w:rsidRPr="006D3026">
        <w:rPr>
          <w:rFonts w:eastAsia="Times New Roman" w:cs="Times New Roman"/>
          <w:color w:val="0E101A"/>
          <w:szCs w:val="24"/>
        </w:rPr>
        <w:t xml:space="preserve"> However, India has the largest illiterate population in the world, and it is expected that the literacy rate can be improved and meeting with the world average by 2060 (</w:t>
      </w:r>
      <w:proofErr w:type="spellStart"/>
      <w:r w:rsidRPr="006D3026">
        <w:rPr>
          <w:rFonts w:eastAsia="Times New Roman" w:cs="Times New Roman"/>
          <w:color w:val="0E101A"/>
          <w:szCs w:val="24"/>
        </w:rPr>
        <w:t>Vittal</w:t>
      </w:r>
      <w:proofErr w:type="spellEnd"/>
      <w:r w:rsidRPr="006D3026">
        <w:rPr>
          <w:rFonts w:eastAsia="Times New Roman" w:cs="Times New Roman"/>
          <w:color w:val="0E101A"/>
          <w:szCs w:val="24"/>
        </w:rPr>
        <w:t xml:space="preserve"> and Reddy, 2019). </w:t>
      </w:r>
    </w:p>
    <w:p w14:paraId="336AEB26" w14:textId="777777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The Indian government has taken the great initiative on infrastructure, including Highway, Railway, Ports, Airports. Inject a total of over US$ 1.4 trillion in the next five years (India Brand Equity Foundation, 2019). It is believed the infrastructure can help drive the economic growth of India; therefore, the Indian government initiating policies to ensure the infrastructure of the country can cope with the growth of the economy. The national highway is reached 50,000 km in 2019, increased by 20 percent compared in 2018. On top of that, the government is targeted to enhance the railway system by investing US 750 billion. </w:t>
      </w:r>
    </w:p>
    <w:p w14:paraId="27CBF150" w14:textId="398C3D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According to the latest data from International Energy Agency, India produced over 1.5 million units of electricity which </w:t>
      </w:r>
      <w:r w:rsidR="003A716A">
        <w:rPr>
          <w:rFonts w:eastAsia="Times New Roman" w:cs="Times New Roman"/>
          <w:color w:val="0E101A"/>
          <w:szCs w:val="24"/>
        </w:rPr>
        <w:t>can</w:t>
      </w:r>
      <w:r w:rsidRPr="006D3026">
        <w:rPr>
          <w:rFonts w:eastAsia="Times New Roman" w:cs="Times New Roman"/>
          <w:color w:val="0E101A"/>
          <w:szCs w:val="24"/>
        </w:rPr>
        <w:t xml:space="preserve"> cover the country needed (International Energy Agency, 2020), as of 2018, India is ranked number three in the world electricity production which is more compared to Russia and Japan (Business Standard, 2018). </w:t>
      </w:r>
    </w:p>
    <w:p w14:paraId="55F5621A" w14:textId="77777777"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India only has 4% of the freshwater of the world but baring 16% of the population growth of the world, as of today, around 76 million people in India are not able to get access of drinking water, which is a major crisis in India (International Development Enterprises India, 2020). As the water facility is as important as agriculture and to the people, the Indian government along NGOs are working hard to enhance the water hygiene and availability across the country (World Health Organization, 2017). </w:t>
      </w:r>
    </w:p>
    <w:p w14:paraId="41C169B2" w14:textId="4CD2103E"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lastRenderedPageBreak/>
        <w:t xml:space="preserve">Gini coefficient as an indicator of inequality, India remains at a low level even with a high GDP growth compared to the rest of the world. The Gini coefficient was 35.7 in 2011 (The World Bank, 2019), and estimated at 35.2 in 2020 (World Population Review, 2020). India </w:t>
      </w:r>
      <w:r w:rsidR="003A716A">
        <w:rPr>
          <w:rFonts w:eastAsia="Times New Roman" w:cs="Times New Roman"/>
          <w:color w:val="0E101A"/>
          <w:szCs w:val="24"/>
        </w:rPr>
        <w:t>can</w:t>
      </w:r>
      <w:r w:rsidRPr="006D3026">
        <w:rPr>
          <w:rFonts w:eastAsia="Times New Roman" w:cs="Times New Roman"/>
          <w:color w:val="0E101A"/>
          <w:szCs w:val="24"/>
        </w:rPr>
        <w:t xml:space="preserve"> maintain a low Gini coefficient because of the population growth at the same pace as the GDP, which explained </w:t>
      </w:r>
      <w:r w:rsidR="003A716A">
        <w:rPr>
          <w:rFonts w:eastAsia="Times New Roman" w:cs="Times New Roman"/>
          <w:color w:val="0E101A"/>
          <w:szCs w:val="24"/>
        </w:rPr>
        <w:t xml:space="preserve">that </w:t>
      </w:r>
      <w:r w:rsidRPr="006D3026">
        <w:rPr>
          <w:rFonts w:eastAsia="Times New Roman" w:cs="Times New Roman"/>
          <w:color w:val="0E101A"/>
          <w:szCs w:val="24"/>
        </w:rPr>
        <w:t>the Gini coefficient remained unchanged for the last ten years. </w:t>
      </w:r>
    </w:p>
    <w:p w14:paraId="34009ADF" w14:textId="1904E5D5" w:rsidR="006D3026" w:rsidRPr="006D3026" w:rsidRDefault="006D3026" w:rsidP="00077F79">
      <w:pPr>
        <w:spacing w:after="0" w:line="480" w:lineRule="auto"/>
        <w:ind w:firstLine="720"/>
        <w:jc w:val="both"/>
        <w:rPr>
          <w:rFonts w:eastAsia="Times New Roman" w:cs="Times New Roman"/>
          <w:color w:val="0E101A"/>
          <w:szCs w:val="24"/>
        </w:rPr>
      </w:pPr>
      <w:r w:rsidRPr="006D3026">
        <w:rPr>
          <w:rFonts w:eastAsia="Times New Roman" w:cs="Times New Roman"/>
          <w:color w:val="0E101A"/>
          <w:szCs w:val="24"/>
        </w:rPr>
        <w:t xml:space="preserve">As an emerging market, the Indian government has invested significantly in infrastructure development, revising policy to attract direct foreign investment. Another policy is to improve the quality of living, such as freshwater hygiene and availability. While doing so, it also benefits the farming industry to expand the accessibility to water. </w:t>
      </w:r>
      <w:r w:rsidR="003A716A">
        <w:rPr>
          <w:rFonts w:eastAsia="Times New Roman" w:cs="Times New Roman"/>
          <w:color w:val="0E101A"/>
          <w:szCs w:val="24"/>
        </w:rPr>
        <w:t>Besides</w:t>
      </w:r>
      <w:r w:rsidRPr="006D3026">
        <w:rPr>
          <w:rFonts w:eastAsia="Times New Roman" w:cs="Times New Roman"/>
          <w:color w:val="0E101A"/>
          <w:szCs w:val="24"/>
        </w:rPr>
        <w:t>, farming is also a labour intensive industry; with strong population growth in India, there should have no concern in regards to labour storage. These all the favorable elements for GU to expend the operations in India.</w:t>
      </w:r>
    </w:p>
    <w:p w14:paraId="5E51232F" w14:textId="77777777" w:rsidR="00F56355" w:rsidRDefault="00F56355">
      <w:pPr>
        <w:spacing w:line="259" w:lineRule="auto"/>
        <w:rPr>
          <w:b/>
          <w:sz w:val="26"/>
          <w:szCs w:val="26"/>
        </w:rPr>
      </w:pPr>
      <w:r>
        <w:rPr>
          <w:b/>
          <w:sz w:val="26"/>
          <w:szCs w:val="26"/>
        </w:rPr>
        <w:br w:type="page"/>
      </w:r>
    </w:p>
    <w:p w14:paraId="44F2E0AE" w14:textId="1F06AE15" w:rsidR="006B268A" w:rsidRPr="00077F79" w:rsidRDefault="006B268A" w:rsidP="00F958F9">
      <w:pPr>
        <w:spacing w:after="0" w:line="480" w:lineRule="auto"/>
        <w:jc w:val="both"/>
        <w:rPr>
          <w:b/>
          <w:sz w:val="26"/>
          <w:szCs w:val="26"/>
        </w:rPr>
      </w:pPr>
      <w:r w:rsidRPr="00077F79">
        <w:rPr>
          <w:b/>
          <w:sz w:val="26"/>
          <w:szCs w:val="26"/>
        </w:rPr>
        <w:lastRenderedPageBreak/>
        <w:t xml:space="preserve">4.        Analysis and discussion  </w:t>
      </w:r>
    </w:p>
    <w:p w14:paraId="34A24A94" w14:textId="77777777" w:rsidR="006B268A" w:rsidRDefault="006B268A" w:rsidP="00F958F9">
      <w:pPr>
        <w:spacing w:line="480" w:lineRule="auto"/>
        <w:ind w:firstLine="720"/>
        <w:jc w:val="both"/>
      </w:pPr>
      <w:r>
        <w:t xml:space="preserve">GU is facing three potential challenges; global cotton supply is decreasing, increase of the cotton demand due to the business expansion, and total cost control to remain competitive within the fast fashion industry. Therefore, gain control of the upstream supply chain to the raw material level became significant. </w:t>
      </w:r>
    </w:p>
    <w:p w14:paraId="5113E1A9" w14:textId="77777777" w:rsidR="006B268A" w:rsidRDefault="006B268A" w:rsidP="006B268A">
      <w:pPr>
        <w:spacing w:before="240" w:line="480" w:lineRule="auto"/>
        <w:ind w:firstLine="720"/>
        <w:jc w:val="both"/>
      </w:pPr>
      <w:r>
        <w:t xml:space="preserve">Before getting into the operational detail, it is important to understand the source of the origin of raw material. India is the largest cotton production in the world, the total output at 6.4 million tons in 2019, china comes in second at 5.9 million tons, and the US is managing at 4.4 million tons’ production. With the all three top production countries, India is the only place that is showing continuous growth, despite there was a slight drop in 2018, it is still managing a steady growth over the last five years, versus china and the US showing no increase in their total cotton production (United States Department of Agriculture, 2020). </w:t>
      </w:r>
    </w:p>
    <w:p w14:paraId="02C4FEB1" w14:textId="77777777" w:rsidR="006B268A" w:rsidRDefault="006B268A" w:rsidP="00F958F9">
      <w:pPr>
        <w:spacing w:after="0" w:line="480" w:lineRule="auto"/>
        <w:ind w:firstLine="720"/>
        <w:jc w:val="both"/>
      </w:pPr>
      <w:r>
        <w:t>With understanding of the position of India in cotton production, India, as an important member of the emerging economy, shares many distinct characteristics of an emerging economy; a stable GDP growth, excellent human resources, and changing from a closed market to an open market driven by promising government policies (</w:t>
      </w:r>
      <w:proofErr w:type="spellStart"/>
      <w:r>
        <w:t>Heirati</w:t>
      </w:r>
      <w:proofErr w:type="spellEnd"/>
      <w:r>
        <w:t xml:space="preserve"> and </w:t>
      </w:r>
      <w:proofErr w:type="spellStart"/>
      <w:r>
        <w:t>O’Cass</w:t>
      </w:r>
      <w:proofErr w:type="spellEnd"/>
      <w:r>
        <w:t>, 2016). These factors created an encouraging atmosphere, which makes increasing investing in India possible (</w:t>
      </w:r>
      <w:proofErr w:type="spellStart"/>
      <w:r>
        <w:t>Mehra</w:t>
      </w:r>
      <w:proofErr w:type="spellEnd"/>
      <w:r>
        <w:t>, 2017). With these favorable factors, cotton production volume and having characteristics of an emerging economy provide a good reason for GU to expend the operations in India by setting up a sourcing office for cotton.</w:t>
      </w:r>
    </w:p>
    <w:p w14:paraId="5A6B8E29" w14:textId="77777777" w:rsidR="006B268A" w:rsidRPr="00077F79" w:rsidRDefault="006B268A" w:rsidP="00F958F9">
      <w:pPr>
        <w:spacing w:before="240" w:after="0" w:line="480" w:lineRule="auto"/>
        <w:jc w:val="both"/>
        <w:rPr>
          <w:b/>
          <w:sz w:val="26"/>
          <w:szCs w:val="26"/>
        </w:rPr>
      </w:pPr>
      <w:r w:rsidRPr="00077F79">
        <w:rPr>
          <w:b/>
          <w:sz w:val="26"/>
          <w:szCs w:val="26"/>
        </w:rPr>
        <w:t xml:space="preserve">4.1      Theoretical background </w:t>
      </w:r>
    </w:p>
    <w:p w14:paraId="6B39AE22" w14:textId="63220D17" w:rsidR="006B268A" w:rsidRDefault="006B268A" w:rsidP="00F958F9">
      <w:pPr>
        <w:spacing w:after="0" w:line="480" w:lineRule="auto"/>
        <w:ind w:firstLine="720"/>
        <w:jc w:val="both"/>
      </w:pPr>
      <w:r>
        <w:t>Cont</w:t>
      </w:r>
      <w:r w:rsidR="00077F79">
        <w:t>rolling the whole supply chain,</w:t>
      </w:r>
      <w:r>
        <w:t xml:space="preserve"> from the raw material to the end products, is an </w:t>
      </w:r>
      <w:r w:rsidR="003A716A">
        <w:t>essential</w:t>
      </w:r>
      <w:r>
        <w:t xml:space="preserve"> element while competing in the fast fashion market industry (Choi and Shen, 2016). As the textile and clothing industry remains a labor-intensive industry, GU and sister companies </w:t>
      </w:r>
      <w:r>
        <w:lastRenderedPageBreak/>
        <w:t>had already centralized the sourcing and manufacturing in low labor cost countries, and the operation was a success and very mature. To further drive down the cost, GU should consider further upstream of the supply chain, along with other sister companies, centralize the purchase of the raw material, cotton, for their designated fabric mills, utilize the benefit from the emerging market and to achieve the economies of scale.</w:t>
      </w:r>
    </w:p>
    <w:p w14:paraId="1EDA4D22" w14:textId="77777777" w:rsidR="006B268A" w:rsidRPr="00077F79" w:rsidRDefault="006B268A" w:rsidP="00F958F9">
      <w:pPr>
        <w:spacing w:before="240" w:after="0" w:line="480" w:lineRule="auto"/>
        <w:jc w:val="both"/>
        <w:rPr>
          <w:b/>
          <w:sz w:val="26"/>
          <w:szCs w:val="26"/>
        </w:rPr>
      </w:pPr>
      <w:r w:rsidRPr="00077F79">
        <w:rPr>
          <w:b/>
          <w:sz w:val="26"/>
          <w:szCs w:val="26"/>
        </w:rPr>
        <w:t>4.1.1   The theory</w:t>
      </w:r>
    </w:p>
    <w:p w14:paraId="37CDD1B7" w14:textId="77777777" w:rsidR="006B268A" w:rsidRDefault="006B268A" w:rsidP="00F958F9">
      <w:pPr>
        <w:spacing w:after="0" w:line="480" w:lineRule="auto"/>
        <w:ind w:firstLine="720"/>
        <w:jc w:val="both"/>
      </w:pPr>
      <w:r>
        <w:t>Economies of scale refer to the phenomenon where the average costs per unit of output decrease with the increase in the scale or magnitude of the output being produced by a firm. (OECD, 2002). As the variable cost is proportional, increase with the quantity of the product, while fixed costs can be spread over more units of products, which able to lower the total cost. (</w:t>
      </w:r>
      <w:proofErr w:type="spellStart"/>
      <w:r>
        <w:t>Ethier</w:t>
      </w:r>
      <w:proofErr w:type="spellEnd"/>
      <w:r>
        <w:t>, 2009).</w:t>
      </w:r>
    </w:p>
    <w:p w14:paraId="6DF33471" w14:textId="77777777" w:rsidR="006B268A" w:rsidRDefault="006B268A" w:rsidP="006B268A">
      <w:pPr>
        <w:spacing w:before="240" w:line="480" w:lineRule="auto"/>
        <w:ind w:firstLine="720"/>
        <w:jc w:val="both"/>
      </w:pPr>
      <w:r>
        <w:t xml:space="preserve">This theory remains an important role in industrial research (Jose and </w:t>
      </w:r>
      <w:proofErr w:type="spellStart"/>
      <w:r>
        <w:t>Olleros</w:t>
      </w:r>
      <w:proofErr w:type="spellEnd"/>
      <w:r>
        <w:t>, 2019), and it is highly untiled in the manufacturing industry for cost saving. To utilize the theory, once should have enough buying power, which is the key to the theory (</w:t>
      </w:r>
      <w:proofErr w:type="spellStart"/>
      <w:r>
        <w:t>Baumer</w:t>
      </w:r>
      <w:proofErr w:type="spellEnd"/>
      <w:r>
        <w:t xml:space="preserve"> et al., 2016). In this case, GU, in conjunction with the group, is ranked second in fast fashion in volume, has enough buying power to use economies of scale in the cotton purchase.</w:t>
      </w:r>
    </w:p>
    <w:p w14:paraId="262FC086" w14:textId="77777777" w:rsidR="006B268A" w:rsidRPr="00077F79" w:rsidRDefault="006B268A" w:rsidP="00F958F9">
      <w:pPr>
        <w:spacing w:before="240" w:after="0"/>
        <w:rPr>
          <w:b/>
          <w:sz w:val="26"/>
          <w:szCs w:val="26"/>
        </w:rPr>
      </w:pPr>
      <w:r w:rsidRPr="00077F79">
        <w:rPr>
          <w:b/>
          <w:sz w:val="26"/>
          <w:szCs w:val="26"/>
        </w:rPr>
        <w:t>4.1.2   Application</w:t>
      </w:r>
    </w:p>
    <w:p w14:paraId="5AE43464" w14:textId="6F80E889" w:rsidR="00D244C8" w:rsidRDefault="006B268A" w:rsidP="00F958F9">
      <w:pPr>
        <w:spacing w:before="240" w:after="0" w:line="480" w:lineRule="auto"/>
        <w:ind w:firstLine="720"/>
        <w:jc w:val="both"/>
      </w:pPr>
      <w:r>
        <w:t>As suggested GU to set up a sourcing office in India for purchasing cotton, according to the annual report from GU, the group has a list of partner fabric mills. Table 4.1 shows the breakdown of the location. Other than China, the rest of the locations are low cotton production countries, which the cotton is highly depended from import. Therefore, centralize buying is applicable in this case and can be beneficial based on the economics of scale.</w:t>
      </w:r>
    </w:p>
    <w:p w14:paraId="3F65D2F8" w14:textId="77777777" w:rsidR="00D244C8" w:rsidRDefault="00D244C8">
      <w:pPr>
        <w:spacing w:line="259" w:lineRule="auto"/>
      </w:pPr>
      <w:r>
        <w:br w:type="page"/>
      </w:r>
    </w:p>
    <w:tbl>
      <w:tblPr>
        <w:tblW w:w="4320" w:type="dxa"/>
        <w:tblLook w:val="04A0" w:firstRow="1" w:lastRow="0" w:firstColumn="1" w:lastColumn="0" w:noHBand="0" w:noVBand="1"/>
      </w:tblPr>
      <w:tblGrid>
        <w:gridCol w:w="3066"/>
        <w:gridCol w:w="1254"/>
      </w:tblGrid>
      <w:tr w:rsidR="00F571A1" w:rsidRPr="00F958F9" w14:paraId="3A3CCD04" w14:textId="77777777" w:rsidTr="00951BB5">
        <w:trPr>
          <w:trHeight w:val="312"/>
        </w:trPr>
        <w:tc>
          <w:tcPr>
            <w:tcW w:w="4320" w:type="dxa"/>
            <w:gridSpan w:val="2"/>
            <w:tcBorders>
              <w:top w:val="nil"/>
              <w:left w:val="nil"/>
              <w:bottom w:val="nil"/>
              <w:right w:val="nil"/>
            </w:tcBorders>
            <w:shd w:val="clear" w:color="000000" w:fill="FFFFFF"/>
            <w:noWrap/>
            <w:hideMark/>
          </w:tcPr>
          <w:p w14:paraId="7FBABEF6"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lastRenderedPageBreak/>
              <w:t>Table 3 GU Partner Fabric Mill Location</w:t>
            </w:r>
          </w:p>
        </w:tc>
      </w:tr>
      <w:tr w:rsidR="00F571A1" w:rsidRPr="00F958F9" w14:paraId="70504433" w14:textId="77777777" w:rsidTr="00951BB5">
        <w:trPr>
          <w:trHeight w:val="312"/>
        </w:trPr>
        <w:tc>
          <w:tcPr>
            <w:tcW w:w="3066" w:type="dxa"/>
            <w:tcBorders>
              <w:top w:val="nil"/>
              <w:left w:val="nil"/>
              <w:bottom w:val="nil"/>
              <w:right w:val="nil"/>
            </w:tcBorders>
            <w:shd w:val="clear" w:color="000000" w:fill="FFFFFF"/>
            <w:noWrap/>
            <w:hideMark/>
          </w:tcPr>
          <w:p w14:paraId="4991F0CA" w14:textId="77777777" w:rsidR="00F571A1" w:rsidRPr="00E832D4" w:rsidRDefault="00F571A1" w:rsidP="00254E39">
            <w:pPr>
              <w:spacing w:after="0" w:line="240" w:lineRule="auto"/>
              <w:rPr>
                <w:rFonts w:ascii="Arial" w:eastAsia="Times New Roman" w:hAnsi="Arial" w:cs="Arial"/>
                <w:color w:val="000000"/>
                <w:sz w:val="20"/>
                <w:szCs w:val="20"/>
              </w:rPr>
            </w:pPr>
            <w:r w:rsidRPr="00E832D4">
              <w:rPr>
                <w:rFonts w:ascii="Arial" w:eastAsia="Times New Roman" w:hAnsi="Arial" w:cs="Arial"/>
                <w:color w:val="000000"/>
                <w:sz w:val="20"/>
                <w:szCs w:val="20"/>
              </w:rPr>
              <w:t> </w:t>
            </w:r>
          </w:p>
        </w:tc>
        <w:tc>
          <w:tcPr>
            <w:tcW w:w="1254" w:type="dxa"/>
            <w:tcBorders>
              <w:top w:val="nil"/>
              <w:left w:val="nil"/>
              <w:bottom w:val="nil"/>
              <w:right w:val="nil"/>
            </w:tcBorders>
            <w:shd w:val="clear" w:color="000000" w:fill="FFFFFF"/>
            <w:noWrap/>
            <w:hideMark/>
          </w:tcPr>
          <w:p w14:paraId="7ECF4328"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 </w:t>
            </w:r>
          </w:p>
        </w:tc>
      </w:tr>
      <w:tr w:rsidR="00F571A1" w:rsidRPr="00E832D4" w14:paraId="2B1DBF04" w14:textId="77777777" w:rsidTr="00951BB5">
        <w:trPr>
          <w:trHeight w:val="312"/>
        </w:trPr>
        <w:tc>
          <w:tcPr>
            <w:tcW w:w="4320" w:type="dxa"/>
            <w:gridSpan w:val="2"/>
            <w:tcBorders>
              <w:top w:val="single" w:sz="4" w:space="0" w:color="auto"/>
              <w:left w:val="single" w:sz="4" w:space="0" w:color="auto"/>
              <w:bottom w:val="single" w:sz="4" w:space="0" w:color="auto"/>
              <w:right w:val="single" w:sz="4" w:space="0" w:color="000000"/>
            </w:tcBorders>
            <w:shd w:val="clear" w:color="000000" w:fill="D0CECE"/>
            <w:noWrap/>
            <w:vAlign w:val="center"/>
            <w:hideMark/>
          </w:tcPr>
          <w:p w14:paraId="52553D4E"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Country</w:t>
            </w:r>
          </w:p>
        </w:tc>
      </w:tr>
      <w:tr w:rsidR="00F571A1" w:rsidRPr="00E832D4" w14:paraId="34ED6384" w14:textId="77777777" w:rsidTr="00951BB5">
        <w:trPr>
          <w:trHeight w:val="312"/>
        </w:trPr>
        <w:tc>
          <w:tcPr>
            <w:tcW w:w="3066" w:type="dxa"/>
            <w:tcBorders>
              <w:top w:val="nil"/>
              <w:left w:val="single" w:sz="4" w:space="0" w:color="auto"/>
              <w:bottom w:val="single" w:sz="4" w:space="0" w:color="auto"/>
              <w:right w:val="single" w:sz="4" w:space="0" w:color="auto"/>
            </w:tcBorders>
            <w:shd w:val="clear" w:color="auto" w:fill="auto"/>
            <w:noWrap/>
            <w:vAlign w:val="center"/>
            <w:hideMark/>
          </w:tcPr>
          <w:p w14:paraId="2F35C296"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Bangladesh</w:t>
            </w:r>
          </w:p>
        </w:tc>
        <w:tc>
          <w:tcPr>
            <w:tcW w:w="1254" w:type="dxa"/>
            <w:tcBorders>
              <w:top w:val="nil"/>
              <w:left w:val="nil"/>
              <w:bottom w:val="single" w:sz="4" w:space="0" w:color="auto"/>
              <w:right w:val="single" w:sz="4" w:space="0" w:color="auto"/>
            </w:tcBorders>
            <w:shd w:val="clear" w:color="auto" w:fill="auto"/>
            <w:noWrap/>
            <w:vAlign w:val="center"/>
            <w:hideMark/>
          </w:tcPr>
          <w:p w14:paraId="3C76CEEE"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1</w:t>
            </w:r>
          </w:p>
        </w:tc>
      </w:tr>
      <w:tr w:rsidR="00F571A1" w:rsidRPr="00E832D4" w14:paraId="6C7DB00B" w14:textId="77777777" w:rsidTr="00951BB5">
        <w:trPr>
          <w:trHeight w:val="312"/>
        </w:trPr>
        <w:tc>
          <w:tcPr>
            <w:tcW w:w="3066" w:type="dxa"/>
            <w:tcBorders>
              <w:top w:val="nil"/>
              <w:left w:val="single" w:sz="4" w:space="0" w:color="auto"/>
              <w:bottom w:val="single" w:sz="4" w:space="0" w:color="auto"/>
              <w:right w:val="single" w:sz="4" w:space="0" w:color="auto"/>
            </w:tcBorders>
            <w:shd w:val="clear" w:color="000000" w:fill="B4C6E7"/>
            <w:noWrap/>
            <w:vAlign w:val="center"/>
            <w:hideMark/>
          </w:tcPr>
          <w:p w14:paraId="120F9DBE"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China</w:t>
            </w:r>
          </w:p>
        </w:tc>
        <w:tc>
          <w:tcPr>
            <w:tcW w:w="1254" w:type="dxa"/>
            <w:tcBorders>
              <w:top w:val="nil"/>
              <w:left w:val="nil"/>
              <w:bottom w:val="single" w:sz="4" w:space="0" w:color="auto"/>
              <w:right w:val="single" w:sz="4" w:space="0" w:color="auto"/>
            </w:tcBorders>
            <w:shd w:val="clear" w:color="000000" w:fill="B4C6E7"/>
            <w:noWrap/>
            <w:vAlign w:val="center"/>
            <w:hideMark/>
          </w:tcPr>
          <w:p w14:paraId="7C232CE1"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28</w:t>
            </w:r>
          </w:p>
        </w:tc>
      </w:tr>
      <w:tr w:rsidR="00F571A1" w:rsidRPr="00E832D4" w14:paraId="07A20687" w14:textId="77777777" w:rsidTr="00951BB5">
        <w:trPr>
          <w:trHeight w:val="312"/>
        </w:trPr>
        <w:tc>
          <w:tcPr>
            <w:tcW w:w="3066" w:type="dxa"/>
            <w:tcBorders>
              <w:top w:val="nil"/>
              <w:left w:val="single" w:sz="4" w:space="0" w:color="auto"/>
              <w:bottom w:val="single" w:sz="4" w:space="0" w:color="auto"/>
              <w:right w:val="single" w:sz="4" w:space="0" w:color="auto"/>
            </w:tcBorders>
            <w:shd w:val="clear" w:color="auto" w:fill="auto"/>
            <w:noWrap/>
            <w:vAlign w:val="center"/>
            <w:hideMark/>
          </w:tcPr>
          <w:p w14:paraId="2CD77D06"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Indonesia</w:t>
            </w:r>
          </w:p>
        </w:tc>
        <w:tc>
          <w:tcPr>
            <w:tcW w:w="1254" w:type="dxa"/>
            <w:tcBorders>
              <w:top w:val="nil"/>
              <w:left w:val="nil"/>
              <w:bottom w:val="single" w:sz="4" w:space="0" w:color="auto"/>
              <w:right w:val="single" w:sz="4" w:space="0" w:color="auto"/>
            </w:tcBorders>
            <w:shd w:val="clear" w:color="auto" w:fill="auto"/>
            <w:noWrap/>
            <w:vAlign w:val="center"/>
            <w:hideMark/>
          </w:tcPr>
          <w:p w14:paraId="61E41FBA"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2</w:t>
            </w:r>
          </w:p>
        </w:tc>
      </w:tr>
      <w:tr w:rsidR="00F571A1" w:rsidRPr="00E832D4" w14:paraId="3D527D06" w14:textId="77777777" w:rsidTr="00951BB5">
        <w:trPr>
          <w:trHeight w:val="312"/>
        </w:trPr>
        <w:tc>
          <w:tcPr>
            <w:tcW w:w="3066" w:type="dxa"/>
            <w:tcBorders>
              <w:top w:val="nil"/>
              <w:left w:val="single" w:sz="4" w:space="0" w:color="auto"/>
              <w:bottom w:val="single" w:sz="4" w:space="0" w:color="auto"/>
              <w:right w:val="single" w:sz="4" w:space="0" w:color="auto"/>
            </w:tcBorders>
            <w:shd w:val="clear" w:color="000000" w:fill="B4C6E7"/>
            <w:noWrap/>
            <w:vAlign w:val="center"/>
            <w:hideMark/>
          </w:tcPr>
          <w:p w14:paraId="6DE1285B"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Japan</w:t>
            </w:r>
          </w:p>
        </w:tc>
        <w:tc>
          <w:tcPr>
            <w:tcW w:w="1254" w:type="dxa"/>
            <w:tcBorders>
              <w:top w:val="nil"/>
              <w:left w:val="nil"/>
              <w:bottom w:val="single" w:sz="4" w:space="0" w:color="auto"/>
              <w:right w:val="single" w:sz="4" w:space="0" w:color="auto"/>
            </w:tcBorders>
            <w:shd w:val="clear" w:color="000000" w:fill="B4C6E7"/>
            <w:noWrap/>
            <w:vAlign w:val="center"/>
            <w:hideMark/>
          </w:tcPr>
          <w:p w14:paraId="71D6178D"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6</w:t>
            </w:r>
          </w:p>
        </w:tc>
      </w:tr>
      <w:tr w:rsidR="00F571A1" w:rsidRPr="00E832D4" w14:paraId="2C7EBD3E" w14:textId="77777777" w:rsidTr="00951BB5">
        <w:trPr>
          <w:trHeight w:val="309"/>
        </w:trPr>
        <w:tc>
          <w:tcPr>
            <w:tcW w:w="3066" w:type="dxa"/>
            <w:tcBorders>
              <w:top w:val="nil"/>
              <w:left w:val="single" w:sz="4" w:space="0" w:color="auto"/>
              <w:bottom w:val="single" w:sz="4" w:space="0" w:color="auto"/>
              <w:right w:val="single" w:sz="4" w:space="0" w:color="auto"/>
            </w:tcBorders>
            <w:shd w:val="clear" w:color="auto" w:fill="auto"/>
            <w:noWrap/>
            <w:vAlign w:val="center"/>
            <w:hideMark/>
          </w:tcPr>
          <w:p w14:paraId="20933250"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Malaysia</w:t>
            </w:r>
          </w:p>
        </w:tc>
        <w:tc>
          <w:tcPr>
            <w:tcW w:w="1254" w:type="dxa"/>
            <w:tcBorders>
              <w:top w:val="nil"/>
              <w:left w:val="nil"/>
              <w:bottom w:val="single" w:sz="4" w:space="0" w:color="auto"/>
              <w:right w:val="single" w:sz="4" w:space="0" w:color="auto"/>
            </w:tcBorders>
            <w:shd w:val="clear" w:color="auto" w:fill="auto"/>
            <w:noWrap/>
            <w:vAlign w:val="center"/>
            <w:hideMark/>
          </w:tcPr>
          <w:p w14:paraId="49FDE674"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1</w:t>
            </w:r>
          </w:p>
        </w:tc>
      </w:tr>
      <w:tr w:rsidR="00F571A1" w:rsidRPr="00E832D4" w14:paraId="4FA70308" w14:textId="77777777" w:rsidTr="00951BB5">
        <w:trPr>
          <w:trHeight w:val="312"/>
        </w:trPr>
        <w:tc>
          <w:tcPr>
            <w:tcW w:w="3066" w:type="dxa"/>
            <w:tcBorders>
              <w:top w:val="nil"/>
              <w:left w:val="single" w:sz="4" w:space="0" w:color="auto"/>
              <w:bottom w:val="single" w:sz="4" w:space="0" w:color="auto"/>
              <w:right w:val="single" w:sz="4" w:space="0" w:color="auto"/>
            </w:tcBorders>
            <w:shd w:val="clear" w:color="000000" w:fill="B4C6E7"/>
            <w:noWrap/>
            <w:vAlign w:val="center"/>
            <w:hideMark/>
          </w:tcPr>
          <w:p w14:paraId="152EC9D8"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Thailand</w:t>
            </w:r>
          </w:p>
        </w:tc>
        <w:tc>
          <w:tcPr>
            <w:tcW w:w="1254" w:type="dxa"/>
            <w:tcBorders>
              <w:top w:val="nil"/>
              <w:left w:val="nil"/>
              <w:bottom w:val="single" w:sz="4" w:space="0" w:color="auto"/>
              <w:right w:val="single" w:sz="4" w:space="0" w:color="auto"/>
            </w:tcBorders>
            <w:shd w:val="clear" w:color="000000" w:fill="B4C6E7"/>
            <w:noWrap/>
            <w:vAlign w:val="center"/>
            <w:hideMark/>
          </w:tcPr>
          <w:p w14:paraId="3F022089"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4</w:t>
            </w:r>
          </w:p>
        </w:tc>
      </w:tr>
      <w:tr w:rsidR="00F571A1" w:rsidRPr="00E832D4" w14:paraId="3FF01780" w14:textId="77777777" w:rsidTr="00951BB5">
        <w:trPr>
          <w:trHeight w:val="309"/>
        </w:trPr>
        <w:tc>
          <w:tcPr>
            <w:tcW w:w="3066" w:type="dxa"/>
            <w:tcBorders>
              <w:top w:val="nil"/>
              <w:left w:val="single" w:sz="4" w:space="0" w:color="auto"/>
              <w:bottom w:val="single" w:sz="4" w:space="0" w:color="auto"/>
              <w:right w:val="single" w:sz="4" w:space="0" w:color="auto"/>
            </w:tcBorders>
            <w:shd w:val="clear" w:color="auto" w:fill="auto"/>
            <w:noWrap/>
            <w:vAlign w:val="center"/>
            <w:hideMark/>
          </w:tcPr>
          <w:p w14:paraId="552C2CE3"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Turkey</w:t>
            </w:r>
          </w:p>
        </w:tc>
        <w:tc>
          <w:tcPr>
            <w:tcW w:w="1254" w:type="dxa"/>
            <w:tcBorders>
              <w:top w:val="nil"/>
              <w:left w:val="nil"/>
              <w:bottom w:val="single" w:sz="4" w:space="0" w:color="auto"/>
              <w:right w:val="single" w:sz="4" w:space="0" w:color="auto"/>
            </w:tcBorders>
            <w:shd w:val="clear" w:color="auto" w:fill="auto"/>
            <w:noWrap/>
            <w:vAlign w:val="center"/>
            <w:hideMark/>
          </w:tcPr>
          <w:p w14:paraId="1AC2D849"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1</w:t>
            </w:r>
          </w:p>
        </w:tc>
      </w:tr>
      <w:tr w:rsidR="00F571A1" w:rsidRPr="00E832D4" w14:paraId="6D07337D" w14:textId="77777777" w:rsidTr="00951BB5">
        <w:trPr>
          <w:trHeight w:val="312"/>
        </w:trPr>
        <w:tc>
          <w:tcPr>
            <w:tcW w:w="3066" w:type="dxa"/>
            <w:tcBorders>
              <w:top w:val="nil"/>
              <w:left w:val="single" w:sz="4" w:space="0" w:color="auto"/>
              <w:bottom w:val="single" w:sz="4" w:space="0" w:color="auto"/>
              <w:right w:val="single" w:sz="4" w:space="0" w:color="auto"/>
            </w:tcBorders>
            <w:shd w:val="clear" w:color="000000" w:fill="B4C6E7"/>
            <w:noWrap/>
            <w:vAlign w:val="center"/>
            <w:hideMark/>
          </w:tcPr>
          <w:p w14:paraId="78C25F11"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Vietnam</w:t>
            </w:r>
          </w:p>
        </w:tc>
        <w:tc>
          <w:tcPr>
            <w:tcW w:w="1254" w:type="dxa"/>
            <w:tcBorders>
              <w:top w:val="nil"/>
              <w:left w:val="nil"/>
              <w:bottom w:val="single" w:sz="4" w:space="0" w:color="auto"/>
              <w:right w:val="single" w:sz="4" w:space="0" w:color="auto"/>
            </w:tcBorders>
            <w:shd w:val="clear" w:color="000000" w:fill="B4C6E7"/>
            <w:noWrap/>
            <w:vAlign w:val="center"/>
            <w:hideMark/>
          </w:tcPr>
          <w:p w14:paraId="53C5F9A6"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6</w:t>
            </w:r>
          </w:p>
        </w:tc>
      </w:tr>
      <w:tr w:rsidR="00F571A1" w:rsidRPr="00E832D4" w14:paraId="6AEF3B15" w14:textId="77777777" w:rsidTr="00951BB5">
        <w:trPr>
          <w:trHeight w:val="312"/>
        </w:trPr>
        <w:tc>
          <w:tcPr>
            <w:tcW w:w="3066" w:type="dxa"/>
            <w:tcBorders>
              <w:top w:val="nil"/>
              <w:left w:val="single" w:sz="4" w:space="0" w:color="auto"/>
              <w:bottom w:val="single" w:sz="4" w:space="0" w:color="auto"/>
              <w:right w:val="single" w:sz="4" w:space="0" w:color="auto"/>
            </w:tcBorders>
            <w:shd w:val="clear" w:color="auto" w:fill="auto"/>
            <w:noWrap/>
            <w:vAlign w:val="center"/>
            <w:hideMark/>
          </w:tcPr>
          <w:p w14:paraId="484F289D" w14:textId="77777777" w:rsidR="00F571A1" w:rsidRPr="00F958F9" w:rsidRDefault="00F571A1" w:rsidP="00254E39">
            <w:pPr>
              <w:spacing w:after="0" w:line="240" w:lineRule="auto"/>
              <w:rPr>
                <w:rFonts w:eastAsia="Times New Roman" w:cs="Times New Roman"/>
                <w:color w:val="000000"/>
                <w:szCs w:val="20"/>
              </w:rPr>
            </w:pPr>
            <w:r w:rsidRPr="00F958F9">
              <w:rPr>
                <w:rFonts w:eastAsia="Times New Roman" w:cs="Times New Roman"/>
                <w:color w:val="000000"/>
                <w:szCs w:val="20"/>
              </w:rPr>
              <w:t>Total</w:t>
            </w:r>
          </w:p>
        </w:tc>
        <w:tc>
          <w:tcPr>
            <w:tcW w:w="1254" w:type="dxa"/>
            <w:tcBorders>
              <w:top w:val="nil"/>
              <w:left w:val="nil"/>
              <w:bottom w:val="single" w:sz="4" w:space="0" w:color="auto"/>
              <w:right w:val="single" w:sz="4" w:space="0" w:color="auto"/>
            </w:tcBorders>
            <w:shd w:val="clear" w:color="auto" w:fill="auto"/>
            <w:noWrap/>
            <w:vAlign w:val="center"/>
            <w:hideMark/>
          </w:tcPr>
          <w:p w14:paraId="1FD5DF96" w14:textId="77777777" w:rsidR="00F571A1" w:rsidRPr="00F958F9" w:rsidRDefault="00F571A1" w:rsidP="00254E39">
            <w:pPr>
              <w:spacing w:after="0" w:line="240" w:lineRule="auto"/>
              <w:jc w:val="center"/>
              <w:rPr>
                <w:rFonts w:eastAsia="Times New Roman" w:cs="Times New Roman"/>
                <w:color w:val="000000"/>
                <w:szCs w:val="20"/>
              </w:rPr>
            </w:pPr>
            <w:r w:rsidRPr="00F958F9">
              <w:rPr>
                <w:rFonts w:eastAsia="Times New Roman" w:cs="Times New Roman"/>
                <w:color w:val="000000"/>
                <w:szCs w:val="20"/>
              </w:rPr>
              <w:t>49</w:t>
            </w:r>
          </w:p>
        </w:tc>
      </w:tr>
      <w:tr w:rsidR="00F571A1" w:rsidRPr="00E832D4" w14:paraId="6AF2EEE8" w14:textId="77777777" w:rsidTr="00951BB5">
        <w:trPr>
          <w:trHeight w:val="312"/>
        </w:trPr>
        <w:tc>
          <w:tcPr>
            <w:tcW w:w="4320" w:type="dxa"/>
            <w:gridSpan w:val="2"/>
            <w:tcBorders>
              <w:top w:val="single" w:sz="4" w:space="0" w:color="auto"/>
              <w:left w:val="nil"/>
              <w:bottom w:val="nil"/>
              <w:right w:val="nil"/>
            </w:tcBorders>
            <w:shd w:val="clear" w:color="000000" w:fill="FFFFFF"/>
            <w:noWrap/>
            <w:vAlign w:val="center"/>
            <w:hideMark/>
          </w:tcPr>
          <w:p w14:paraId="76BA7A4E" w14:textId="6829E466" w:rsidR="00F571A1" w:rsidRPr="00F958F9" w:rsidRDefault="00F571A1" w:rsidP="00F958F9">
            <w:pPr>
              <w:spacing w:after="0" w:line="240" w:lineRule="auto"/>
              <w:rPr>
                <w:rFonts w:eastAsia="Times New Roman" w:cs="Times New Roman"/>
                <w:color w:val="000000"/>
                <w:szCs w:val="20"/>
              </w:rPr>
            </w:pPr>
            <w:r w:rsidRPr="00F958F9">
              <w:rPr>
                <w:rFonts w:eastAsia="Times New Roman" w:cs="Times New Roman"/>
                <w:color w:val="000000"/>
                <w:szCs w:val="20"/>
              </w:rPr>
              <w:t xml:space="preserve">Source: </w:t>
            </w:r>
            <w:r w:rsidR="00F958F9" w:rsidRPr="00F958F9">
              <w:rPr>
                <w:rFonts w:eastAsia="Times New Roman" w:cs="Times New Roman"/>
                <w:color w:val="000000"/>
                <w:szCs w:val="20"/>
              </w:rPr>
              <w:t>GU Company Website</w:t>
            </w:r>
          </w:p>
        </w:tc>
      </w:tr>
    </w:tbl>
    <w:p w14:paraId="5B289334" w14:textId="77777777" w:rsidR="00077F79" w:rsidRDefault="00077F79" w:rsidP="006B268A">
      <w:pPr>
        <w:spacing w:line="480" w:lineRule="auto"/>
        <w:jc w:val="both"/>
        <w:rPr>
          <w:rFonts w:cs="Times New Roman"/>
          <w:szCs w:val="24"/>
          <w:lang w:eastAsia="en-US" w:bidi="en-US"/>
        </w:rPr>
      </w:pPr>
    </w:p>
    <w:p w14:paraId="37518441" w14:textId="4D19358F"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India is the center of all partnering fabric mills, compare to individual fabric mills that partnered with GU. It has better purchasing leverage due to the large volume and stable demand; for sure, it will get the farmers' and suppliers' attention. In addition, the geography location provides an advantage to the factories used by the company, which can help increase the buying power and convenience of logistics arrangements (</w:t>
      </w:r>
      <w:proofErr w:type="spellStart"/>
      <w:r w:rsidRPr="006B268A">
        <w:rPr>
          <w:rFonts w:cs="Times New Roman"/>
          <w:szCs w:val="24"/>
          <w:lang w:eastAsia="en-US" w:bidi="en-US"/>
        </w:rPr>
        <w:t>Fernie</w:t>
      </w:r>
      <w:proofErr w:type="spellEnd"/>
      <w:r w:rsidRPr="006B268A">
        <w:rPr>
          <w:rFonts w:cs="Times New Roman"/>
          <w:szCs w:val="24"/>
          <w:lang w:eastAsia="en-US" w:bidi="en-US"/>
        </w:rPr>
        <w:t xml:space="preserve"> and Grant, 2019). When considering reducing the cost of raw material, centralize purchasing using a sourcing office setting is happening around the world (</w:t>
      </w:r>
      <w:proofErr w:type="spellStart"/>
      <w:r w:rsidRPr="006B268A">
        <w:rPr>
          <w:rFonts w:cs="Times New Roman"/>
          <w:szCs w:val="24"/>
          <w:lang w:eastAsia="en-US" w:bidi="en-US"/>
        </w:rPr>
        <w:t>Schuh</w:t>
      </w:r>
      <w:proofErr w:type="spellEnd"/>
      <w:r w:rsidRPr="006B268A">
        <w:rPr>
          <w:rFonts w:cs="Times New Roman"/>
          <w:szCs w:val="24"/>
          <w:lang w:eastAsia="en-US" w:bidi="en-US"/>
        </w:rPr>
        <w:t xml:space="preserve"> et al., 2017). All sourcing office is targeted to use the leverage of global volume consolidation for a better price negotiation (</w:t>
      </w:r>
      <w:proofErr w:type="spellStart"/>
      <w:r w:rsidRPr="006B268A">
        <w:rPr>
          <w:rFonts w:cs="Times New Roman"/>
          <w:szCs w:val="24"/>
          <w:lang w:eastAsia="en-US" w:bidi="en-US"/>
        </w:rPr>
        <w:t>Schiele</w:t>
      </w:r>
      <w:proofErr w:type="spellEnd"/>
      <w:r w:rsidRPr="006B268A">
        <w:rPr>
          <w:rFonts w:cs="Times New Roman"/>
          <w:szCs w:val="24"/>
          <w:lang w:eastAsia="en-US" w:bidi="en-US"/>
        </w:rPr>
        <w:t>, 2019). It is the feasibility of gaining control of the whole supply chain in India to achieve cost reduction and increase the efficiencies of the operation.</w:t>
      </w:r>
    </w:p>
    <w:p w14:paraId="4D4B7FEA"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Specialization is another benefit that can be getting from centralizing the purchase; a specific sourcing team can be more focused on the market trend, price and quality, and reducing risk at the same time. It has to achieve by working closely with the farmers to get an up-to-date trend and production volume. Therefore, the results can be a benefit in both financial and inventory control.</w:t>
      </w:r>
    </w:p>
    <w:p w14:paraId="647706BA"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lastRenderedPageBreak/>
        <w:t xml:space="preserve">Big data inventory management has already helped fast fashion for stock management (Caro and </w:t>
      </w:r>
      <w:proofErr w:type="spellStart"/>
      <w:r w:rsidRPr="006B268A">
        <w:rPr>
          <w:rFonts w:cs="Times New Roman"/>
          <w:szCs w:val="24"/>
          <w:lang w:eastAsia="en-US" w:bidi="en-US"/>
        </w:rPr>
        <w:t>Gallien</w:t>
      </w:r>
      <w:proofErr w:type="spellEnd"/>
      <w:r w:rsidRPr="006B268A">
        <w:rPr>
          <w:rFonts w:cs="Times New Roman"/>
          <w:szCs w:val="24"/>
          <w:lang w:eastAsia="en-US" w:bidi="en-US"/>
        </w:rPr>
        <w:t xml:space="preserve">, 2010). However, there are unique benefits from the sourcing office in India. The geographic location of the office is fundamentally essential. The office location reduced the distance between buyers and suppliers, which lead to shorter lead times for decision making, reduced logistics costs, and also the inventory coordination (Jiang et al. 2019). </w:t>
      </w:r>
    </w:p>
    <w:p w14:paraId="4549FBCA" w14:textId="038F1BCE"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It is operational essential to have short decision lead time, in conjunction with good inventory coordination are a necessary element for integrated into the Just-In-time production model, which most of the fast-fashion company facto</w:t>
      </w:r>
      <w:r w:rsidR="00D244C8">
        <w:rPr>
          <w:rFonts w:cs="Times New Roman"/>
          <w:szCs w:val="24"/>
          <w:lang w:eastAsia="en-US" w:bidi="en-US"/>
        </w:rPr>
        <w:t xml:space="preserve">ries and fabric mill are using </w:t>
      </w:r>
      <w:r w:rsidRPr="006B268A">
        <w:rPr>
          <w:rFonts w:cs="Times New Roman"/>
          <w:szCs w:val="24"/>
          <w:lang w:eastAsia="en-US" w:bidi="en-US"/>
        </w:rPr>
        <w:t xml:space="preserve">(Barnes and Lea‐Greenwood, 2006). </w:t>
      </w:r>
      <w:r w:rsidR="003A716A">
        <w:rPr>
          <w:rFonts w:cs="Times New Roman"/>
          <w:szCs w:val="24"/>
          <w:lang w:eastAsia="en-US" w:bidi="en-US"/>
        </w:rPr>
        <w:t>Furthermore,</w:t>
      </w:r>
      <w:r w:rsidRPr="006B268A">
        <w:rPr>
          <w:rFonts w:cs="Times New Roman"/>
          <w:szCs w:val="24"/>
          <w:lang w:eastAsia="en-US" w:bidi="en-US"/>
        </w:rPr>
        <w:t xml:space="preserve"> most importantly, a partially common language and the availability of trained professionals is key to the success of the local sourcing office (</w:t>
      </w:r>
      <w:proofErr w:type="spellStart"/>
      <w:r w:rsidRPr="006B268A">
        <w:rPr>
          <w:rFonts w:cs="Times New Roman"/>
          <w:szCs w:val="24"/>
          <w:lang w:eastAsia="en-US" w:bidi="en-US"/>
        </w:rPr>
        <w:t>Lacity</w:t>
      </w:r>
      <w:proofErr w:type="spellEnd"/>
      <w:r w:rsidRPr="006B268A">
        <w:rPr>
          <w:rFonts w:cs="Times New Roman"/>
          <w:szCs w:val="24"/>
          <w:lang w:eastAsia="en-US" w:bidi="en-US"/>
        </w:rPr>
        <w:t xml:space="preserve"> et al., 2008).</w:t>
      </w:r>
    </w:p>
    <w:p w14:paraId="424D55A4"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This sourcing office in India is to carry out a specific task, which is focused on the cotton sourcing. Three types of personnel are required in this office, purchasing, quality, and logistics. The purchasing team is to conduct the market study and look for a suitable farm, which is capable of delivering the volume that is expected, and most importantly, for the price negotiation. In the early stages, Request for Quotation (RFQ) is a useful tool for the implementation of centralizing purchasing (Paul Gregory and </w:t>
      </w:r>
      <w:proofErr w:type="spellStart"/>
      <w:r w:rsidRPr="006B268A">
        <w:rPr>
          <w:rFonts w:cs="Times New Roman"/>
          <w:szCs w:val="24"/>
          <w:lang w:eastAsia="en-US" w:bidi="en-US"/>
        </w:rPr>
        <w:t>Gokul</w:t>
      </w:r>
      <w:proofErr w:type="spellEnd"/>
      <w:r w:rsidRPr="006B268A">
        <w:rPr>
          <w:rFonts w:cs="Times New Roman"/>
          <w:szCs w:val="24"/>
          <w:lang w:eastAsia="en-US" w:bidi="en-US"/>
        </w:rPr>
        <w:t xml:space="preserve">, 2019). It provides a transparent platform between the buyer and seller with all the necessary information. Information in the RFQ, such as farm location, farm size, annual production volume, species, and variety of the cotton, can be used for vetting qualify suppliers. </w:t>
      </w:r>
    </w:p>
    <w:p w14:paraId="2BDB4594" w14:textId="77777777" w:rsidR="006B268A" w:rsidRPr="006B268A" w:rsidRDefault="006B268A" w:rsidP="00951BB5">
      <w:pPr>
        <w:spacing w:line="480" w:lineRule="auto"/>
        <w:ind w:firstLine="720"/>
        <w:jc w:val="both"/>
        <w:rPr>
          <w:rFonts w:cs="Times New Roman"/>
          <w:szCs w:val="24"/>
          <w:lang w:eastAsia="en-US" w:bidi="en-US"/>
        </w:rPr>
      </w:pPr>
      <w:r w:rsidRPr="006B268A">
        <w:rPr>
          <w:rFonts w:cs="Times New Roman"/>
          <w:szCs w:val="24"/>
          <w:lang w:eastAsia="en-US" w:bidi="en-US"/>
        </w:rPr>
        <w:t xml:space="preserve">The quality team is responsible for ensuring the quality of the cotton, understanding, and meeting the needs of the fabric mill. It is expected the quality team will conduct a periodic visit to the farms, as it is an important window for communicating with the local farmer to </w:t>
      </w:r>
      <w:r w:rsidRPr="006B268A">
        <w:rPr>
          <w:rFonts w:cs="Times New Roman"/>
          <w:szCs w:val="24"/>
          <w:lang w:eastAsia="en-US" w:bidi="en-US"/>
        </w:rPr>
        <w:lastRenderedPageBreak/>
        <w:t xml:space="preserve">understand the corps maturity in a timely matter, and to feedback the information within the organization. </w:t>
      </w:r>
    </w:p>
    <w:p w14:paraId="1608FFCE" w14:textId="1924BE89"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The logistics team is responsible for inventory management and arranges the delivery schedule for each location; the team needs to understand the delivery timeline and the stock level movement of each fabric mill. It would require a high level of communication within all stakeholders</w:t>
      </w:r>
      <w:r w:rsidR="00077F79">
        <w:rPr>
          <w:rFonts w:cs="Times New Roman"/>
          <w:szCs w:val="24"/>
          <w:lang w:eastAsia="en-US" w:bidi="en-US"/>
        </w:rPr>
        <w:t>.</w:t>
      </w:r>
    </w:p>
    <w:p w14:paraId="724A4EC9" w14:textId="77777777" w:rsidR="006B268A" w:rsidRPr="00077F79" w:rsidRDefault="006B268A" w:rsidP="00480FF9">
      <w:pPr>
        <w:spacing w:after="0" w:line="480" w:lineRule="auto"/>
        <w:jc w:val="both"/>
        <w:rPr>
          <w:rFonts w:cs="Times New Roman"/>
          <w:b/>
          <w:sz w:val="26"/>
          <w:szCs w:val="26"/>
          <w:lang w:eastAsia="en-US" w:bidi="en-US"/>
        </w:rPr>
      </w:pPr>
      <w:r w:rsidRPr="00077F79">
        <w:rPr>
          <w:rFonts w:cs="Times New Roman"/>
          <w:b/>
          <w:sz w:val="26"/>
          <w:szCs w:val="26"/>
          <w:lang w:eastAsia="en-US" w:bidi="en-US"/>
        </w:rPr>
        <w:t>4.2      Challenges</w:t>
      </w:r>
    </w:p>
    <w:p w14:paraId="27BD63C4"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Cotton crops grow in three different zones in India, Northern, Central, and Southern Zone. Maharashtra is a state located in Central Zone, which has the largest area of cultivation in India, accumulate around 33% of the total cultivation of India. Gujarat is another state within the central zone; this state has the highest production output of cotton, which accumulated 26% of total cotton production. It translated 1.6 million tons in a year (Ministry of Textiles, 2019).</w:t>
      </w:r>
    </w:p>
    <w:p w14:paraId="27A91BAA"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The quality consistency of cotton is a great challenge for the sourcing office. As mentioned earlier, India has different cultivation areas, and these areas have a variety of soil, weather, water quality, and species of cotton, which all these factors affect the quality of the cotton. </w:t>
      </w:r>
    </w:p>
    <w:p w14:paraId="1D970AD9" w14:textId="63843364"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On the other hand, another major challenge is the production volume and yield, which is common in all commodities. The effect can go both directions, overproducing or under produc</w:t>
      </w:r>
      <w:r w:rsidR="003A716A">
        <w:rPr>
          <w:rFonts w:cs="Times New Roman"/>
          <w:szCs w:val="24"/>
          <w:lang w:eastAsia="en-US" w:bidi="en-US"/>
        </w:rPr>
        <w:t>ing; this phenomenon is directly</w:t>
      </w:r>
      <w:r w:rsidRPr="006B268A">
        <w:rPr>
          <w:rFonts w:cs="Times New Roman"/>
          <w:szCs w:val="24"/>
          <w:lang w:eastAsia="en-US" w:bidi="en-US"/>
        </w:rPr>
        <w:t xml:space="preserve"> correlated with the price fluctuation. </w:t>
      </w:r>
    </w:p>
    <w:p w14:paraId="4687E240"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Operational challenges in fast fashion companies coming from high demand and supply-side uncertainties (Wen, Choi, and Chung, 2019), which in turn will affect the manufacturing schedule and fabric output. Unlike other manufacturing, commodities take a longer time to plan and grow. Cotton, in this case, take about six months to complete the full cycle of cultivation.</w:t>
      </w:r>
    </w:p>
    <w:p w14:paraId="65FF8CA9" w14:textId="7AE690BB" w:rsidR="006B268A" w:rsidRPr="00077F79" w:rsidRDefault="00F958F9" w:rsidP="00951BB5">
      <w:pPr>
        <w:spacing w:line="259" w:lineRule="auto"/>
        <w:rPr>
          <w:rFonts w:cs="Times New Roman"/>
          <w:b/>
          <w:sz w:val="26"/>
          <w:szCs w:val="26"/>
          <w:lang w:eastAsia="en-US" w:bidi="en-US"/>
        </w:rPr>
      </w:pPr>
      <w:r>
        <w:rPr>
          <w:rFonts w:cs="Times New Roman"/>
          <w:b/>
          <w:sz w:val="26"/>
          <w:szCs w:val="26"/>
          <w:lang w:eastAsia="en-US" w:bidi="en-US"/>
        </w:rPr>
        <w:br w:type="page"/>
      </w:r>
      <w:r w:rsidR="006B268A" w:rsidRPr="00077F79">
        <w:rPr>
          <w:rFonts w:cs="Times New Roman"/>
          <w:b/>
          <w:sz w:val="26"/>
          <w:szCs w:val="26"/>
          <w:lang w:eastAsia="en-US" w:bidi="en-US"/>
        </w:rPr>
        <w:lastRenderedPageBreak/>
        <w:t>4.3      Responses to work on the challenges</w:t>
      </w:r>
    </w:p>
    <w:p w14:paraId="17C42050" w14:textId="77777777" w:rsidR="006B268A" w:rsidRPr="006B268A" w:rsidRDefault="006B268A" w:rsidP="00F958F9">
      <w:pPr>
        <w:spacing w:after="0" w:line="480" w:lineRule="auto"/>
        <w:ind w:firstLine="720"/>
        <w:jc w:val="both"/>
        <w:rPr>
          <w:rFonts w:cs="Times New Roman"/>
          <w:szCs w:val="24"/>
          <w:lang w:eastAsia="en-US" w:bidi="en-US"/>
        </w:rPr>
      </w:pPr>
      <w:r w:rsidRPr="006B268A">
        <w:rPr>
          <w:rFonts w:cs="Times New Roman"/>
          <w:szCs w:val="24"/>
          <w:lang w:eastAsia="en-US" w:bidi="en-US"/>
        </w:rPr>
        <w:t xml:space="preserve">Concerning the quality of the cotton, the sourcing office, especially for the quality team, is the key to acquire the knowledge and understanding from the market than to cascade down the information to the sourcing team. </w:t>
      </w:r>
    </w:p>
    <w:p w14:paraId="5A186CA3"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Smooth communication in all directions is essential for all stakeholders and important for the sourcing office. GU sourcing team should initiate the conversation with different fabric mills; the goal is to understand the needs and specifications of the cotton that is compatible with the production requirement. At the same time, the centralized sourcing is aim to get the benefit from the economies of scale. Therefore, the quality team is needed to equip with the fabric making expertise to harmonized the cotton standard.</w:t>
      </w:r>
    </w:p>
    <w:p w14:paraId="760C7F4E"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Once this information is available from the production side, it is the sourcing team to share this information with the potential partners, using different commercial tools such as ‘request for quotation’ or ‘invitation for tender.’ These standardized technical documents are useful and practical for all parties to understand the requirements. </w:t>
      </w:r>
    </w:p>
    <w:p w14:paraId="587CC839"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The next step is moving on to the tender stages. In addition to the pricing and other commercial terms and condition, it is pervasive that requesting random samples from the farmer. GU quality team is responsible for testing to ensure the cotton is meeting the expectation and requirements. Once the business is awarded, the quality team should actively engage and interact with the farmers. It is important to understand the growth of the corps and to ensure the cotton quality is meeting with the company standard. </w:t>
      </w:r>
    </w:p>
    <w:p w14:paraId="461A1A55"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To address the second challenge, which is the volume of the production. Modern cotton farming in India involving much high technology, with the aids of these improved technologies, India cotton farming can reduce the use of water and get a higher yield per land (Singh, 2020), </w:t>
      </w:r>
      <w:r w:rsidRPr="006B268A">
        <w:rPr>
          <w:rFonts w:cs="Times New Roman"/>
          <w:szCs w:val="24"/>
          <w:lang w:eastAsia="en-US" w:bidi="en-US"/>
        </w:rPr>
        <w:lastRenderedPageBreak/>
        <w:t xml:space="preserve">as India has the largest cultivation area, they have a high potential for growth and stabilize the output. </w:t>
      </w:r>
    </w:p>
    <w:p w14:paraId="727110BC"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As mentioned, there are three different cultivation zones for cotton growing in India. From a sourcing point of view, it is important to have partners in all three zones. According to the data, it understands that the yield from different regions is varied (Reddy, 2015), which is affecting the price. However, with the consideration of contingency, it is much secure to have different partners from different regions. GU should base on the yield difference and manage the stock accordingly. </w:t>
      </w:r>
    </w:p>
    <w:p w14:paraId="769BDEAD"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 xml:space="preserve">For reasons beyond control and the low production output is affecting the whole country, such as the weather condition. The sourcing team is still able to purchase from the open market, predominantly from the US and China. It should serve as the last resort as the open market price will not be as favorable as to the contract farmers. </w:t>
      </w:r>
    </w:p>
    <w:p w14:paraId="5BD463F4" w14:textId="77777777" w:rsidR="00F56355" w:rsidRDefault="006B268A" w:rsidP="00F56355">
      <w:pPr>
        <w:spacing w:line="480" w:lineRule="auto"/>
        <w:ind w:firstLine="720"/>
        <w:jc w:val="both"/>
        <w:rPr>
          <w:rFonts w:cs="Times New Roman"/>
          <w:szCs w:val="24"/>
          <w:lang w:eastAsia="en-US" w:bidi="en-US"/>
        </w:rPr>
      </w:pPr>
      <w:r w:rsidRPr="006B268A">
        <w:rPr>
          <w:rFonts w:cs="Times New Roman"/>
          <w:szCs w:val="24"/>
          <w:lang w:eastAsia="en-US" w:bidi="en-US"/>
        </w:rPr>
        <w:t>Conversely, it also involves inventory management. The advantage of the cotton product is that it does not have a shelf life, which can maintain its value. However, storage cost is something to be considered. Alternatively, if the overproduction is meeting with a favorable price in the open market, the inventory can be released in the market, as a secondary source of income.</w:t>
      </w:r>
    </w:p>
    <w:p w14:paraId="53757850" w14:textId="77777777" w:rsidR="00F56355" w:rsidRDefault="00F56355">
      <w:pPr>
        <w:spacing w:line="259" w:lineRule="auto"/>
        <w:rPr>
          <w:b/>
          <w:sz w:val="26"/>
          <w:szCs w:val="26"/>
          <w:lang w:eastAsia="en-US" w:bidi="en-US"/>
        </w:rPr>
      </w:pPr>
      <w:r>
        <w:rPr>
          <w:b/>
          <w:sz w:val="26"/>
          <w:szCs w:val="26"/>
          <w:lang w:eastAsia="en-US" w:bidi="en-US"/>
        </w:rPr>
        <w:br w:type="page"/>
      </w:r>
    </w:p>
    <w:p w14:paraId="5323DA63" w14:textId="3D0B773C" w:rsidR="006B268A" w:rsidRPr="00F56355" w:rsidRDefault="006B268A" w:rsidP="00F958F9">
      <w:pPr>
        <w:spacing w:after="0" w:line="480" w:lineRule="auto"/>
        <w:jc w:val="both"/>
        <w:rPr>
          <w:rFonts w:cs="Times New Roman"/>
          <w:szCs w:val="24"/>
          <w:lang w:eastAsia="en-US" w:bidi="en-US"/>
        </w:rPr>
      </w:pPr>
      <w:r w:rsidRPr="00077F79">
        <w:rPr>
          <w:b/>
          <w:sz w:val="26"/>
          <w:szCs w:val="26"/>
          <w:lang w:eastAsia="en-US" w:bidi="en-US"/>
        </w:rPr>
        <w:lastRenderedPageBreak/>
        <w:t>5</w:t>
      </w:r>
      <w:r w:rsidR="00F56355">
        <w:rPr>
          <w:b/>
          <w:sz w:val="26"/>
          <w:szCs w:val="26"/>
          <w:lang w:eastAsia="en-US" w:bidi="en-US"/>
        </w:rPr>
        <w:t>.</w:t>
      </w:r>
      <w:r w:rsidR="00716F6D">
        <w:rPr>
          <w:b/>
          <w:sz w:val="26"/>
          <w:szCs w:val="26"/>
          <w:lang w:eastAsia="en-US" w:bidi="en-US"/>
        </w:rPr>
        <w:t xml:space="preserve">        </w:t>
      </w:r>
      <w:r w:rsidRPr="00077F79">
        <w:rPr>
          <w:b/>
          <w:sz w:val="26"/>
          <w:szCs w:val="26"/>
          <w:lang w:eastAsia="en-US" w:bidi="en-US"/>
        </w:rPr>
        <w:t>Conclusion and recommendations</w:t>
      </w:r>
    </w:p>
    <w:p w14:paraId="217DED6C" w14:textId="10E99834" w:rsidR="006B268A" w:rsidRPr="00077F79" w:rsidRDefault="006B268A" w:rsidP="00F958F9">
      <w:pPr>
        <w:spacing w:after="0" w:line="480" w:lineRule="auto"/>
        <w:rPr>
          <w:b/>
          <w:sz w:val="26"/>
          <w:szCs w:val="26"/>
          <w:lang w:eastAsia="en-US" w:bidi="en-US"/>
        </w:rPr>
      </w:pPr>
      <w:r w:rsidRPr="00077F79">
        <w:rPr>
          <w:b/>
          <w:sz w:val="26"/>
          <w:szCs w:val="26"/>
          <w:lang w:eastAsia="en-US" w:bidi="en-US"/>
        </w:rPr>
        <w:t xml:space="preserve">5.1      </w:t>
      </w:r>
      <w:r w:rsidR="00716F6D">
        <w:rPr>
          <w:b/>
          <w:sz w:val="26"/>
          <w:szCs w:val="26"/>
          <w:lang w:eastAsia="en-US" w:bidi="en-US"/>
        </w:rPr>
        <w:tab/>
      </w:r>
      <w:r w:rsidRPr="00077F79">
        <w:rPr>
          <w:b/>
          <w:sz w:val="26"/>
          <w:szCs w:val="26"/>
          <w:lang w:eastAsia="en-US" w:bidi="en-US"/>
        </w:rPr>
        <w:t>Conclusion</w:t>
      </w:r>
    </w:p>
    <w:p w14:paraId="7709F976" w14:textId="3F82A13F" w:rsidR="006B268A" w:rsidRPr="006B268A" w:rsidRDefault="006B268A" w:rsidP="00F958F9">
      <w:pPr>
        <w:spacing w:after="0" w:line="480" w:lineRule="auto"/>
        <w:ind w:firstLine="720"/>
        <w:jc w:val="both"/>
        <w:rPr>
          <w:rFonts w:cs="Times New Roman"/>
          <w:szCs w:val="24"/>
          <w:lang w:eastAsia="en-US" w:bidi="en-US"/>
        </w:rPr>
      </w:pPr>
      <w:r w:rsidRPr="006B268A">
        <w:rPr>
          <w:rFonts w:cs="Times New Roman"/>
          <w:szCs w:val="24"/>
          <w:lang w:eastAsia="en-US" w:bidi="en-US"/>
        </w:rPr>
        <w:t xml:space="preserve">Setting up a sourcing office in India to centralize the purchasing of cotton, using economies of scale, can solve three challenges that GU is facing, resolve the foreseeable shortage of global declining cotton production, control the rise of raw material cost, and secure the cotton volume to cope with the GU business expansion. The challenge of the sourcing office is to maintain the consistency of cotton quality, at the same time, to manage the cotton volume in both directions. Communication with all stakeholders is essential and applying periodic testing to understand the cotton corps maturity can help the early stage of detection of deviation and help the business to maintain the cotton quality. Working with a range of partner farmers across the three main regions in India and help to balance the risk of production volume, with the open market purchase as the alternative, the risk of production fluctuation can be managed. </w:t>
      </w:r>
    </w:p>
    <w:p w14:paraId="54B40AAB" w14:textId="77777777" w:rsidR="006B268A" w:rsidRPr="006B268A"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Economics of scale is achievable and wildly use in agriculture (Ge et al., 2019). It has been demonstrated India government set out favorable environments and infrastructure for attracting foreign investors, GU, on the other hand, strategy that aim for better control on the supply chain management, centralized purchasing by setting up a sourcing team in India for cotton is the strategic way not only to reduce cost in a long run but also to better drive the efficiency of the supply chain, thus, proactively to face the challenges of the market for both supply and demand side.</w:t>
      </w:r>
    </w:p>
    <w:p w14:paraId="1A0A240E" w14:textId="77777777" w:rsidR="006B268A" w:rsidRPr="00077F79" w:rsidRDefault="006B268A" w:rsidP="006B268A">
      <w:pPr>
        <w:spacing w:line="480" w:lineRule="auto"/>
        <w:jc w:val="both"/>
        <w:rPr>
          <w:rFonts w:cs="Times New Roman"/>
          <w:b/>
          <w:sz w:val="26"/>
          <w:szCs w:val="26"/>
          <w:lang w:eastAsia="en-US" w:bidi="en-US"/>
        </w:rPr>
      </w:pPr>
      <w:r w:rsidRPr="00077F79">
        <w:rPr>
          <w:rFonts w:cs="Times New Roman"/>
          <w:b/>
          <w:sz w:val="26"/>
          <w:szCs w:val="26"/>
          <w:lang w:eastAsia="en-US" w:bidi="en-US"/>
        </w:rPr>
        <w:t>5.2      Recommendations</w:t>
      </w:r>
    </w:p>
    <w:p w14:paraId="1C301D96" w14:textId="488DA69A" w:rsidR="000A7009" w:rsidRPr="000A7009" w:rsidRDefault="006B268A" w:rsidP="00077F79">
      <w:pPr>
        <w:spacing w:line="480" w:lineRule="auto"/>
        <w:ind w:firstLine="720"/>
        <w:jc w:val="both"/>
        <w:rPr>
          <w:rFonts w:cs="Times New Roman"/>
          <w:szCs w:val="24"/>
          <w:lang w:eastAsia="en-US" w:bidi="en-US"/>
        </w:rPr>
      </w:pPr>
      <w:r w:rsidRPr="006B268A">
        <w:rPr>
          <w:rFonts w:cs="Times New Roman"/>
          <w:szCs w:val="24"/>
          <w:lang w:eastAsia="en-US" w:bidi="en-US"/>
        </w:rPr>
        <w:t>As illustrated the importance of the sourcing office and examine the critical roles of purchasing, technical, and logistics. The successful factor will rely on the information flow and communication between entities. Modern supply chain management involving Internet of Things (</w:t>
      </w:r>
      <w:proofErr w:type="spellStart"/>
      <w:r w:rsidRPr="006B268A">
        <w:rPr>
          <w:rFonts w:cs="Times New Roman"/>
          <w:szCs w:val="24"/>
          <w:lang w:eastAsia="en-US" w:bidi="en-US"/>
        </w:rPr>
        <w:t>IoT</w:t>
      </w:r>
      <w:proofErr w:type="spellEnd"/>
      <w:r w:rsidRPr="006B268A">
        <w:rPr>
          <w:rFonts w:cs="Times New Roman"/>
          <w:szCs w:val="24"/>
          <w:lang w:eastAsia="en-US" w:bidi="en-US"/>
        </w:rPr>
        <w:t>) can enhance complex data management (</w:t>
      </w:r>
      <w:proofErr w:type="spellStart"/>
      <w:r w:rsidRPr="006B268A">
        <w:rPr>
          <w:rFonts w:cs="Times New Roman"/>
          <w:szCs w:val="24"/>
          <w:lang w:eastAsia="en-US" w:bidi="en-US"/>
        </w:rPr>
        <w:t>Brous</w:t>
      </w:r>
      <w:proofErr w:type="spellEnd"/>
      <w:r w:rsidRPr="006B268A">
        <w:rPr>
          <w:rFonts w:cs="Times New Roman"/>
          <w:szCs w:val="24"/>
          <w:lang w:eastAsia="en-US" w:bidi="en-US"/>
        </w:rPr>
        <w:t xml:space="preserve">, Janssen and Herder, 2019), </w:t>
      </w:r>
      <w:r w:rsidRPr="006B268A">
        <w:rPr>
          <w:rFonts w:cs="Times New Roman"/>
          <w:szCs w:val="24"/>
          <w:lang w:eastAsia="en-US" w:bidi="en-US"/>
        </w:rPr>
        <w:lastRenderedPageBreak/>
        <w:t xml:space="preserve">incorporate the sales data of each product, in each country, cascade down to stock in warehouse or distribution center, down to factories, fabric mill, and raw material, </w:t>
      </w:r>
      <w:r w:rsidR="00077F79" w:rsidRPr="006B268A">
        <w:rPr>
          <w:rFonts w:cs="Times New Roman"/>
          <w:szCs w:val="24"/>
          <w:lang w:eastAsia="en-US" w:bidi="en-US"/>
        </w:rPr>
        <w:t>this complex information</w:t>
      </w:r>
      <w:r w:rsidRPr="006B268A">
        <w:rPr>
          <w:rFonts w:cs="Times New Roman"/>
          <w:szCs w:val="24"/>
          <w:lang w:eastAsia="en-US" w:bidi="en-US"/>
        </w:rPr>
        <w:t xml:space="preserve"> can be consolidated with </w:t>
      </w:r>
      <w:proofErr w:type="spellStart"/>
      <w:r w:rsidRPr="006B268A">
        <w:rPr>
          <w:rFonts w:cs="Times New Roman"/>
          <w:szCs w:val="24"/>
          <w:lang w:eastAsia="en-US" w:bidi="en-US"/>
        </w:rPr>
        <w:t>IoT</w:t>
      </w:r>
      <w:proofErr w:type="spellEnd"/>
      <w:r w:rsidRPr="006B268A">
        <w:rPr>
          <w:rFonts w:cs="Times New Roman"/>
          <w:szCs w:val="24"/>
          <w:lang w:eastAsia="en-US" w:bidi="en-US"/>
        </w:rPr>
        <w:t xml:space="preserve"> and get better trend analysis and forecasting in controlling both supply and demand side (Kumar, 2019). This unique and exclusive information generated from the retail section is important and giving a competitive edge for real-time decision making on cotton purchasing. As a result, sourcing office setup by GU in India can utilize the theory of economics of scale to benefit the group driving down the cost.</w:t>
      </w:r>
      <w:r w:rsidR="000A7009" w:rsidRPr="000A7009">
        <w:rPr>
          <w:rFonts w:cs="Times New Roman"/>
          <w:szCs w:val="24"/>
          <w:lang w:eastAsia="en-US" w:bidi="en-US"/>
        </w:rPr>
        <w:t> </w:t>
      </w:r>
    </w:p>
    <w:p w14:paraId="74398E3F" w14:textId="77777777" w:rsidR="006879A5" w:rsidRDefault="006879A5">
      <w:pPr>
        <w:spacing w:line="259" w:lineRule="auto"/>
        <w:rPr>
          <w:rFonts w:eastAsiaTheme="majorEastAsia" w:cstheme="majorBidi"/>
          <w:bCs/>
          <w:szCs w:val="28"/>
          <w:lang w:eastAsia="en-US" w:bidi="en-US"/>
        </w:rPr>
      </w:pPr>
      <w:bookmarkStart w:id="6" w:name="_Toc32760807"/>
      <w:r>
        <w:br w:type="page"/>
      </w:r>
    </w:p>
    <w:p w14:paraId="61BBA5F9" w14:textId="0EB0E2B9" w:rsidR="00897BF4" w:rsidRPr="00897BF4" w:rsidRDefault="000A7009" w:rsidP="00480FF9">
      <w:r w:rsidRPr="000A7009">
        <w:lastRenderedPageBreak/>
        <w:t>References</w:t>
      </w:r>
      <w:bookmarkEnd w:id="6"/>
    </w:p>
    <w:p w14:paraId="04DC5FC4" w14:textId="139927D6" w:rsidR="00562A20" w:rsidRPr="00716F6D" w:rsidRDefault="00562A20" w:rsidP="00897BF4">
      <w:pPr>
        <w:spacing w:after="0" w:line="240" w:lineRule="auto"/>
        <w:ind w:left="540" w:hanging="540"/>
        <w:rPr>
          <w:rFonts w:eastAsia="Times New Roman" w:cs="Times New Roman"/>
          <w:szCs w:val="24"/>
          <w:shd w:val="clear" w:color="auto" w:fill="FFFFFF"/>
          <w:lang w:val="en-HK"/>
        </w:rPr>
      </w:pPr>
      <w:proofErr w:type="spellStart"/>
      <w:r w:rsidRPr="00716F6D">
        <w:rPr>
          <w:rFonts w:eastAsia="Times New Roman" w:cs="Times New Roman"/>
          <w:szCs w:val="24"/>
          <w:shd w:val="clear" w:color="auto" w:fill="FFFFFF"/>
          <w:lang w:val="en-HK"/>
        </w:rPr>
        <w:t>Amed</w:t>
      </w:r>
      <w:proofErr w:type="spellEnd"/>
      <w:r w:rsidRPr="00716F6D">
        <w:rPr>
          <w:rFonts w:eastAsia="Times New Roman" w:cs="Times New Roman"/>
          <w:szCs w:val="24"/>
          <w:shd w:val="clear" w:color="auto" w:fill="FFFFFF"/>
          <w:lang w:val="en-HK"/>
        </w:rPr>
        <w:t>, I.</w:t>
      </w:r>
      <w:proofErr w:type="gramStart"/>
      <w:r w:rsidRPr="00716F6D">
        <w:rPr>
          <w:rFonts w:eastAsia="Times New Roman" w:cs="Times New Roman"/>
          <w:szCs w:val="24"/>
          <w:shd w:val="clear" w:color="auto" w:fill="FFFFFF"/>
          <w:lang w:val="en-HK"/>
        </w:rPr>
        <w:t xml:space="preserve">,  </w:t>
      </w:r>
      <w:proofErr w:type="spellStart"/>
      <w:r w:rsidRPr="00716F6D">
        <w:rPr>
          <w:rFonts w:eastAsia="Times New Roman" w:cs="Times New Roman"/>
          <w:szCs w:val="24"/>
          <w:shd w:val="clear" w:color="auto" w:fill="FFFFFF"/>
          <w:lang w:val="en-HK"/>
        </w:rPr>
        <w:t>Balchandani</w:t>
      </w:r>
      <w:proofErr w:type="spellEnd"/>
      <w:proofErr w:type="gramEnd"/>
      <w:r w:rsidRPr="00716F6D">
        <w:rPr>
          <w:rFonts w:eastAsia="Times New Roman" w:cs="Times New Roman"/>
          <w:szCs w:val="24"/>
          <w:shd w:val="clear" w:color="auto" w:fill="FFFFFF"/>
          <w:lang w:val="en-HK"/>
        </w:rPr>
        <w:t xml:space="preserve">, A., </w:t>
      </w:r>
      <w:proofErr w:type="spellStart"/>
      <w:r w:rsidRPr="00716F6D">
        <w:rPr>
          <w:rFonts w:eastAsia="Times New Roman" w:cs="Times New Roman"/>
          <w:szCs w:val="24"/>
          <w:shd w:val="clear" w:color="auto" w:fill="FFFFFF"/>
          <w:lang w:val="en-HK"/>
        </w:rPr>
        <w:t>Belt</w:t>
      </w:r>
      <w:r w:rsidR="005B675B">
        <w:rPr>
          <w:rFonts w:eastAsia="Times New Roman" w:cs="Times New Roman"/>
          <w:szCs w:val="24"/>
          <w:shd w:val="clear" w:color="auto" w:fill="FFFFFF"/>
          <w:lang w:val="en-HK"/>
        </w:rPr>
        <w:t>rami</w:t>
      </w:r>
      <w:proofErr w:type="spellEnd"/>
      <w:r w:rsidR="005B675B">
        <w:rPr>
          <w:rFonts w:eastAsia="Times New Roman" w:cs="Times New Roman"/>
          <w:szCs w:val="24"/>
          <w:shd w:val="clear" w:color="auto" w:fill="FFFFFF"/>
          <w:lang w:val="en-HK"/>
        </w:rPr>
        <w:t xml:space="preserve">, M., Berg, A., </w:t>
      </w:r>
      <w:proofErr w:type="spellStart"/>
      <w:r w:rsidR="005B675B">
        <w:rPr>
          <w:rFonts w:eastAsia="Times New Roman" w:cs="Times New Roman"/>
          <w:szCs w:val="24"/>
          <w:shd w:val="clear" w:color="auto" w:fill="FFFFFF"/>
          <w:lang w:val="en-HK"/>
        </w:rPr>
        <w:t>Hedrich</w:t>
      </w:r>
      <w:proofErr w:type="spellEnd"/>
      <w:r w:rsidR="005B675B">
        <w:rPr>
          <w:rFonts w:eastAsia="Times New Roman" w:cs="Times New Roman"/>
          <w:szCs w:val="24"/>
          <w:shd w:val="clear" w:color="auto" w:fill="FFFFFF"/>
          <w:lang w:val="en-HK"/>
        </w:rPr>
        <w:t>, S.</w:t>
      </w:r>
      <w:r w:rsidRPr="00716F6D">
        <w:rPr>
          <w:rFonts w:eastAsia="Times New Roman" w:cs="Times New Roman"/>
          <w:szCs w:val="24"/>
          <w:shd w:val="clear" w:color="auto" w:fill="FFFFFF"/>
          <w:lang w:val="en-HK"/>
        </w:rPr>
        <w:t xml:space="preserve"> and </w:t>
      </w:r>
      <w:proofErr w:type="spellStart"/>
      <w:r w:rsidRPr="00716F6D">
        <w:rPr>
          <w:rFonts w:eastAsia="Times New Roman" w:cs="Times New Roman"/>
          <w:szCs w:val="24"/>
          <w:shd w:val="clear" w:color="auto" w:fill="FFFFFF"/>
          <w:lang w:val="en-HK"/>
        </w:rPr>
        <w:t>Rölkens</w:t>
      </w:r>
      <w:proofErr w:type="spellEnd"/>
      <w:r w:rsidRPr="00716F6D">
        <w:rPr>
          <w:rFonts w:eastAsia="Times New Roman" w:cs="Times New Roman"/>
          <w:szCs w:val="24"/>
          <w:shd w:val="clear" w:color="auto" w:fill="FFFFFF"/>
          <w:lang w:val="en-HK"/>
        </w:rPr>
        <w:t>, F. (2019</w:t>
      </w:r>
      <w:r w:rsidRPr="00716F6D">
        <w:rPr>
          <w:rFonts w:eastAsia="Times New Roman" w:cs="Times New Roman"/>
          <w:i/>
          <w:szCs w:val="24"/>
          <w:shd w:val="clear" w:color="auto" w:fill="FFFFFF"/>
          <w:lang w:val="en-HK"/>
        </w:rPr>
        <w:t>) How India’s ascent could change the fashion industry, McKinsey.</w:t>
      </w:r>
      <w:r w:rsidRPr="00716F6D">
        <w:rPr>
          <w:rFonts w:eastAsia="Times New Roman" w:cs="Times New Roman"/>
          <w:szCs w:val="24"/>
          <w:shd w:val="clear" w:color="auto" w:fill="FFFFFF"/>
          <w:lang w:val="en-HK"/>
        </w:rPr>
        <w:t xml:space="preserve"> Available at: https://www.mckinsey.com/industries/retail/our-insights/how-indias-ascent-could-change-the-fashion-industry</w:t>
      </w:r>
      <w:r w:rsidRPr="00716F6D">
        <w:rPr>
          <w:rFonts w:eastAsia="Times New Roman" w:cs="Times New Roman"/>
          <w:szCs w:val="24"/>
          <w:lang w:val="en-HK"/>
        </w:rPr>
        <w:t xml:space="preserve"> (Accessed: 28</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January 2020)</w:t>
      </w:r>
      <w:r w:rsidR="005B675B">
        <w:rPr>
          <w:rFonts w:eastAsia="Times New Roman" w:cs="Times New Roman"/>
          <w:szCs w:val="24"/>
          <w:lang w:val="en-HK"/>
        </w:rPr>
        <w:t>.</w:t>
      </w:r>
    </w:p>
    <w:p w14:paraId="17698BCF" w14:textId="47B28F4B" w:rsidR="00562A20" w:rsidRPr="00562A20" w:rsidRDefault="00562A20" w:rsidP="00562A20">
      <w:pPr>
        <w:spacing w:after="0" w:line="240" w:lineRule="auto"/>
        <w:rPr>
          <w:rFonts w:eastAsia="Times New Roman" w:cs="Times New Roman"/>
          <w:szCs w:val="24"/>
          <w:lang w:val="en-HK" w:eastAsia="en-US" w:bidi="en-US"/>
        </w:rPr>
      </w:pPr>
    </w:p>
    <w:p w14:paraId="52766D0C" w14:textId="20D595C8" w:rsidR="00D244C8" w:rsidRPr="00D244C8" w:rsidRDefault="00D244C8" w:rsidP="00562A20">
      <w:pPr>
        <w:spacing w:after="0" w:line="240" w:lineRule="auto"/>
        <w:ind w:left="540" w:hanging="540"/>
        <w:rPr>
          <w:rFonts w:eastAsia="Times New Roman" w:cs="Times New Roman"/>
          <w:i/>
          <w:szCs w:val="24"/>
          <w:lang w:val="en-HK" w:eastAsia="en-US" w:bidi="en-US"/>
        </w:rPr>
      </w:pPr>
      <w:r>
        <w:rPr>
          <w:rFonts w:eastAsia="Times New Roman" w:cs="Times New Roman"/>
          <w:szCs w:val="24"/>
          <w:lang w:val="en-HK" w:eastAsia="en-US" w:bidi="en-US"/>
        </w:rPr>
        <w:t>Barnes, L. and</w:t>
      </w:r>
      <w:r w:rsidR="005B675B">
        <w:rPr>
          <w:rFonts w:eastAsia="Times New Roman" w:cs="Times New Roman"/>
          <w:szCs w:val="24"/>
          <w:lang w:val="en-HK" w:eastAsia="en-US" w:bidi="en-US"/>
        </w:rPr>
        <w:t xml:space="preserve"> Lea‐Greenwood, G. (2006)</w:t>
      </w:r>
      <w:r w:rsidRPr="00D244C8">
        <w:rPr>
          <w:rFonts w:eastAsia="Times New Roman" w:cs="Times New Roman"/>
          <w:szCs w:val="24"/>
          <w:lang w:val="en-HK" w:eastAsia="en-US" w:bidi="en-US"/>
        </w:rPr>
        <w:t xml:space="preserve"> </w:t>
      </w:r>
      <w:r w:rsidR="005B675B">
        <w:rPr>
          <w:rFonts w:eastAsia="Times New Roman" w:cs="Times New Roman"/>
          <w:szCs w:val="24"/>
          <w:lang w:val="en-HK" w:eastAsia="en-US" w:bidi="en-US"/>
        </w:rPr>
        <w:t>‘</w:t>
      </w:r>
      <w:r w:rsidRPr="00D244C8">
        <w:rPr>
          <w:rFonts w:eastAsia="Times New Roman" w:cs="Times New Roman"/>
          <w:szCs w:val="24"/>
          <w:lang w:val="en-HK" w:eastAsia="en-US" w:bidi="en-US"/>
        </w:rPr>
        <w:t>Fast fashioning the supply chain: shaping the research agenda</w:t>
      </w:r>
      <w:r w:rsidR="005B675B">
        <w:rPr>
          <w:rFonts w:eastAsia="Times New Roman" w:cs="Times New Roman"/>
          <w:szCs w:val="24"/>
          <w:lang w:val="en-HK" w:eastAsia="en-US" w:bidi="en-US"/>
        </w:rPr>
        <w:t>’</w:t>
      </w:r>
      <w:r w:rsidR="00A15F6F">
        <w:rPr>
          <w:rFonts w:eastAsia="Times New Roman" w:cs="Times New Roman"/>
          <w:szCs w:val="24"/>
          <w:lang w:val="en-HK" w:eastAsia="en-US" w:bidi="en-US"/>
        </w:rPr>
        <w:t>,</w:t>
      </w:r>
      <w:r w:rsidRPr="00D244C8">
        <w:rPr>
          <w:rFonts w:eastAsia="Times New Roman" w:cs="Times New Roman"/>
          <w:szCs w:val="24"/>
          <w:lang w:val="en-HK" w:eastAsia="en-US" w:bidi="en-US"/>
        </w:rPr>
        <w:t xml:space="preserve"> </w:t>
      </w:r>
      <w:r w:rsidRPr="00D244C8">
        <w:rPr>
          <w:rFonts w:eastAsia="Times New Roman" w:cs="Times New Roman"/>
          <w:i/>
          <w:szCs w:val="24"/>
          <w:lang w:val="en-HK" w:eastAsia="en-US" w:bidi="en-US"/>
        </w:rPr>
        <w:t>Journal of Fashion Marketing and Management: An International Journal.</w:t>
      </w:r>
    </w:p>
    <w:p w14:paraId="19D6B41A" w14:textId="77777777" w:rsidR="00D244C8" w:rsidRDefault="00D244C8" w:rsidP="00562A20">
      <w:pPr>
        <w:spacing w:after="0" w:line="240" w:lineRule="auto"/>
        <w:ind w:left="540" w:hanging="540"/>
        <w:rPr>
          <w:rFonts w:eastAsia="Times New Roman" w:cs="Times New Roman"/>
          <w:szCs w:val="24"/>
          <w:lang w:val="en-HK" w:eastAsia="en-US" w:bidi="en-US"/>
        </w:rPr>
      </w:pPr>
    </w:p>
    <w:p w14:paraId="472539B3" w14:textId="2C55A1AF" w:rsidR="00562A20" w:rsidRPr="00562A20" w:rsidRDefault="00562A20" w:rsidP="00562A20">
      <w:pPr>
        <w:spacing w:after="0" w:line="240" w:lineRule="auto"/>
        <w:ind w:left="540" w:hanging="540"/>
        <w:rPr>
          <w:rFonts w:eastAsia="Times New Roman" w:cs="Times New Roman"/>
          <w:szCs w:val="24"/>
          <w:lang w:val="en-HK" w:eastAsia="en-US" w:bidi="en-US"/>
        </w:rPr>
      </w:pPr>
      <w:proofErr w:type="spellStart"/>
      <w:r w:rsidRPr="00562A20">
        <w:rPr>
          <w:rFonts w:eastAsia="Times New Roman" w:cs="Times New Roman"/>
          <w:szCs w:val="24"/>
          <w:lang w:val="en-HK" w:eastAsia="en-US" w:bidi="en-US"/>
        </w:rPr>
        <w:t>Baumers</w:t>
      </w:r>
      <w:proofErr w:type="spellEnd"/>
      <w:r w:rsidRPr="00562A20">
        <w:rPr>
          <w:rFonts w:eastAsia="Times New Roman" w:cs="Times New Roman"/>
          <w:szCs w:val="24"/>
          <w:lang w:val="en-HK" w:eastAsia="en-US" w:bidi="en-US"/>
        </w:rPr>
        <w:t>, M., Dickens, P</w:t>
      </w:r>
      <w:r w:rsidR="005B675B">
        <w:rPr>
          <w:rFonts w:eastAsia="Times New Roman" w:cs="Times New Roman"/>
          <w:szCs w:val="24"/>
          <w:lang w:val="en-HK" w:eastAsia="en-US" w:bidi="en-US"/>
        </w:rPr>
        <w:t>., Tuck, C</w:t>
      </w:r>
      <w:r w:rsidR="00254E39">
        <w:rPr>
          <w:rFonts w:eastAsia="Times New Roman" w:cs="Times New Roman"/>
          <w:szCs w:val="24"/>
          <w:lang w:val="en-HK" w:eastAsia="en-US" w:bidi="en-US"/>
        </w:rPr>
        <w:t>. and</w:t>
      </w:r>
      <w:r w:rsidR="005B675B">
        <w:rPr>
          <w:rFonts w:eastAsia="Times New Roman" w:cs="Times New Roman"/>
          <w:szCs w:val="24"/>
          <w:lang w:val="en-HK" w:eastAsia="en-US" w:bidi="en-US"/>
        </w:rPr>
        <w:t xml:space="preserve"> Hague, R. (2016)</w:t>
      </w:r>
      <w:r w:rsidRPr="00562A20">
        <w:rPr>
          <w:rFonts w:eastAsia="Times New Roman" w:cs="Times New Roman"/>
          <w:szCs w:val="24"/>
          <w:lang w:val="en-HK" w:eastAsia="en-US" w:bidi="en-US"/>
        </w:rPr>
        <w:t xml:space="preserve"> </w:t>
      </w:r>
      <w:r w:rsidR="005B675B">
        <w:rPr>
          <w:rFonts w:eastAsia="Times New Roman" w:cs="Times New Roman"/>
          <w:szCs w:val="24"/>
          <w:lang w:val="en-HK" w:eastAsia="en-US" w:bidi="en-US"/>
        </w:rPr>
        <w:t>‘</w:t>
      </w:r>
      <w:r w:rsidRPr="00562A20">
        <w:rPr>
          <w:rFonts w:eastAsia="Times New Roman" w:cs="Times New Roman"/>
          <w:szCs w:val="24"/>
          <w:lang w:val="en-HK" w:eastAsia="en-US" w:bidi="en-US"/>
        </w:rPr>
        <w:t>The cost of additive manufacturing: machine productivity, economies of scale and technology-push</w:t>
      </w:r>
      <w:r w:rsidR="005B675B">
        <w:rPr>
          <w:rFonts w:eastAsia="Times New Roman" w:cs="Times New Roman"/>
          <w:szCs w:val="24"/>
          <w:lang w:val="en-HK" w:eastAsia="en-US" w:bidi="en-US"/>
        </w:rPr>
        <w:t>’,</w:t>
      </w:r>
      <w:r w:rsidRPr="00562A20">
        <w:rPr>
          <w:rFonts w:eastAsia="Times New Roman" w:cs="Times New Roman"/>
          <w:szCs w:val="24"/>
          <w:lang w:val="en-HK" w:eastAsia="en-US" w:bidi="en-US"/>
        </w:rPr>
        <w:t xml:space="preserve"> </w:t>
      </w:r>
      <w:r w:rsidRPr="005B675B">
        <w:rPr>
          <w:rFonts w:eastAsia="Times New Roman" w:cs="Times New Roman"/>
          <w:i/>
          <w:szCs w:val="24"/>
          <w:lang w:val="en-HK" w:eastAsia="en-US" w:bidi="en-US"/>
        </w:rPr>
        <w:t>Technological forecasting and social change</w:t>
      </w:r>
      <w:r w:rsidRPr="00562A20">
        <w:rPr>
          <w:rFonts w:eastAsia="Times New Roman" w:cs="Times New Roman"/>
          <w:szCs w:val="24"/>
          <w:lang w:val="en-HK" w:eastAsia="en-US" w:bidi="en-US"/>
        </w:rPr>
        <w:t xml:space="preserve">, 102, </w:t>
      </w:r>
      <w:r w:rsidR="005B675B">
        <w:rPr>
          <w:rFonts w:eastAsia="Times New Roman" w:cs="Times New Roman"/>
          <w:szCs w:val="24"/>
          <w:lang w:val="en-HK" w:eastAsia="en-US" w:bidi="en-US"/>
        </w:rPr>
        <w:t>pp.</w:t>
      </w:r>
      <w:r w:rsidRPr="00562A20">
        <w:rPr>
          <w:rFonts w:eastAsia="Times New Roman" w:cs="Times New Roman"/>
          <w:szCs w:val="24"/>
          <w:lang w:val="en-HK" w:eastAsia="en-US" w:bidi="en-US"/>
        </w:rPr>
        <w:t>193-201.</w:t>
      </w:r>
    </w:p>
    <w:p w14:paraId="34D4D809"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7A235606" w14:textId="45B63F00" w:rsidR="00562A20" w:rsidRPr="00716F6D" w:rsidRDefault="00254E39" w:rsidP="00897BF4">
      <w:pPr>
        <w:spacing w:after="0" w:line="240" w:lineRule="auto"/>
        <w:ind w:left="540" w:hanging="540"/>
        <w:rPr>
          <w:rFonts w:eastAsia="Times New Roman" w:cs="Times New Roman"/>
          <w:szCs w:val="24"/>
          <w:shd w:val="clear" w:color="auto" w:fill="FFFFFF"/>
          <w:lang w:val="en-HK"/>
        </w:rPr>
      </w:pPr>
      <w:proofErr w:type="spellStart"/>
      <w:r>
        <w:rPr>
          <w:rFonts w:eastAsia="Times New Roman" w:cs="Times New Roman"/>
          <w:szCs w:val="24"/>
          <w:shd w:val="clear" w:color="auto" w:fill="FFFFFF"/>
          <w:lang w:val="en-HK"/>
        </w:rPr>
        <w:t>Beutels</w:t>
      </w:r>
      <w:proofErr w:type="spellEnd"/>
      <w:r>
        <w:rPr>
          <w:rFonts w:eastAsia="Times New Roman" w:cs="Times New Roman"/>
          <w:szCs w:val="24"/>
          <w:shd w:val="clear" w:color="auto" w:fill="FFFFFF"/>
          <w:lang w:val="en-HK"/>
        </w:rPr>
        <w:t xml:space="preserve">, P., Edmunds, W. J. and </w:t>
      </w:r>
      <w:r w:rsidR="00562A20" w:rsidRPr="00716F6D">
        <w:rPr>
          <w:rFonts w:eastAsia="Times New Roman" w:cs="Times New Roman"/>
          <w:szCs w:val="24"/>
          <w:shd w:val="clear" w:color="auto" w:fill="FFFFFF"/>
          <w:lang w:val="en-HK"/>
        </w:rPr>
        <w:t>Smith, R. D. (2008) ‘Partially wrong? Partial equilibrium and the economic analysis of public health emergencies of international concern’, </w:t>
      </w:r>
      <w:r w:rsidR="00562A20" w:rsidRPr="00716F6D">
        <w:rPr>
          <w:rFonts w:eastAsia="Times New Roman" w:cs="Times New Roman"/>
          <w:i/>
          <w:iCs/>
          <w:szCs w:val="24"/>
          <w:shd w:val="clear" w:color="auto" w:fill="FFFFFF"/>
          <w:lang w:val="en-HK"/>
        </w:rPr>
        <w:t>Health economics</w:t>
      </w:r>
      <w:r w:rsidR="00562A20" w:rsidRPr="00716F6D">
        <w:rPr>
          <w:rFonts w:eastAsia="Times New Roman" w:cs="Times New Roman"/>
          <w:szCs w:val="24"/>
          <w:shd w:val="clear" w:color="auto" w:fill="FFFFFF"/>
          <w:lang w:val="en-HK"/>
        </w:rPr>
        <w:t>, </w:t>
      </w:r>
      <w:r w:rsidR="00562A20" w:rsidRPr="00716F6D">
        <w:rPr>
          <w:rFonts w:eastAsia="Times New Roman" w:cs="Times New Roman"/>
          <w:iCs/>
          <w:szCs w:val="24"/>
          <w:shd w:val="clear" w:color="auto" w:fill="FFFFFF"/>
          <w:lang w:val="en-HK"/>
        </w:rPr>
        <w:t>17</w:t>
      </w:r>
      <w:r w:rsidR="00562A20" w:rsidRPr="00716F6D">
        <w:rPr>
          <w:rFonts w:eastAsia="Times New Roman" w:cs="Times New Roman"/>
          <w:szCs w:val="24"/>
          <w:shd w:val="clear" w:color="auto" w:fill="FFFFFF"/>
          <w:lang w:val="en-HK"/>
        </w:rPr>
        <w:t>(11), 1317-1322.</w:t>
      </w:r>
    </w:p>
    <w:p w14:paraId="2C30CAAF" w14:textId="77777777" w:rsidR="00562A20" w:rsidRDefault="00562A20" w:rsidP="00897BF4">
      <w:pPr>
        <w:spacing w:after="0" w:line="240" w:lineRule="auto"/>
        <w:ind w:left="540" w:hanging="540"/>
        <w:rPr>
          <w:rFonts w:eastAsia="Times New Roman" w:cs="Times New Roman"/>
          <w:szCs w:val="24"/>
          <w:lang w:val="en-HK" w:eastAsia="en-US" w:bidi="en-US"/>
        </w:rPr>
      </w:pPr>
    </w:p>
    <w:p w14:paraId="38A827C1" w14:textId="53E25056" w:rsidR="00562A20" w:rsidRPr="00716F6D" w:rsidRDefault="00562A20" w:rsidP="00897BF4">
      <w:pPr>
        <w:spacing w:after="0" w:line="240" w:lineRule="auto"/>
        <w:ind w:left="540" w:hanging="540"/>
        <w:rPr>
          <w:rFonts w:eastAsia="Times New Roman" w:cs="Times New Roman"/>
          <w:szCs w:val="24"/>
          <w:lang w:val="en-HK" w:eastAsia="en-US" w:bidi="en-US"/>
        </w:rPr>
      </w:pPr>
      <w:r w:rsidRPr="00716F6D">
        <w:rPr>
          <w:rFonts w:eastAsia="Times New Roman" w:cs="Times New Roman"/>
          <w:szCs w:val="24"/>
          <w:lang w:val="en-HK" w:eastAsia="en-US" w:bidi="en-US"/>
        </w:rPr>
        <w:t xml:space="preserve">Britannica (2020) </w:t>
      </w:r>
      <w:r w:rsidRPr="00254E39">
        <w:rPr>
          <w:rFonts w:eastAsia="Times New Roman" w:cs="Times New Roman"/>
          <w:i/>
          <w:szCs w:val="24"/>
          <w:lang w:val="en-HK" w:eastAsia="en-US" w:bidi="en-US"/>
        </w:rPr>
        <w:t>India</w:t>
      </w:r>
      <w:r w:rsidRPr="00716F6D">
        <w:rPr>
          <w:rFonts w:eastAsia="Times New Roman" w:cs="Times New Roman"/>
          <w:szCs w:val="24"/>
          <w:lang w:val="en-HK" w:eastAsia="en-US" w:bidi="en-US"/>
        </w:rPr>
        <w:t>. Available at: https://www.britannica.com/place/India (Accessed: 28</w:t>
      </w:r>
      <w:r w:rsidRPr="00716F6D">
        <w:rPr>
          <w:rFonts w:eastAsia="Times New Roman" w:cs="Times New Roman"/>
          <w:szCs w:val="24"/>
          <w:vertAlign w:val="superscript"/>
          <w:lang w:val="en-HK" w:eastAsia="en-US" w:bidi="en-US"/>
        </w:rPr>
        <w:t>th</w:t>
      </w:r>
      <w:r w:rsidRPr="00716F6D">
        <w:rPr>
          <w:rFonts w:eastAsia="Times New Roman" w:cs="Times New Roman"/>
          <w:szCs w:val="24"/>
          <w:lang w:val="en-HK" w:eastAsia="en-US" w:bidi="en-US"/>
        </w:rPr>
        <w:t xml:space="preserve"> January 2020).</w:t>
      </w:r>
    </w:p>
    <w:p w14:paraId="086BD4B2" w14:textId="77777777" w:rsidR="00562A20" w:rsidRDefault="00562A20" w:rsidP="00897BF4">
      <w:pPr>
        <w:spacing w:after="0" w:line="240" w:lineRule="auto"/>
        <w:ind w:left="540" w:hanging="540"/>
        <w:rPr>
          <w:rFonts w:eastAsia="Times New Roman" w:cs="Times New Roman"/>
          <w:szCs w:val="24"/>
          <w:lang w:eastAsia="en-US" w:bidi="en-US"/>
        </w:rPr>
      </w:pPr>
    </w:p>
    <w:p w14:paraId="2609EF75" w14:textId="751A28A6" w:rsidR="00562A20" w:rsidRPr="00716F6D" w:rsidRDefault="00254E39" w:rsidP="00897BF4">
      <w:pPr>
        <w:spacing w:after="0" w:line="240" w:lineRule="auto"/>
        <w:ind w:left="540" w:hanging="540"/>
        <w:rPr>
          <w:rFonts w:eastAsia="Times New Roman" w:cs="Times New Roman"/>
          <w:szCs w:val="24"/>
          <w:lang w:eastAsia="en-US" w:bidi="en-US"/>
        </w:rPr>
      </w:pPr>
      <w:proofErr w:type="spellStart"/>
      <w:r>
        <w:rPr>
          <w:rFonts w:eastAsia="Times New Roman" w:cs="Times New Roman"/>
          <w:szCs w:val="24"/>
          <w:lang w:eastAsia="en-US" w:bidi="en-US"/>
        </w:rPr>
        <w:t>Brous</w:t>
      </w:r>
      <w:proofErr w:type="spellEnd"/>
      <w:r>
        <w:rPr>
          <w:rFonts w:eastAsia="Times New Roman" w:cs="Times New Roman"/>
          <w:szCs w:val="24"/>
          <w:lang w:eastAsia="en-US" w:bidi="en-US"/>
        </w:rPr>
        <w:t>, P., Janssen, M.</w:t>
      </w:r>
      <w:r w:rsidR="00562A20" w:rsidRPr="00716F6D">
        <w:rPr>
          <w:rFonts w:eastAsia="Times New Roman" w:cs="Times New Roman"/>
          <w:szCs w:val="24"/>
          <w:lang w:eastAsia="en-US" w:bidi="en-US"/>
        </w:rPr>
        <w:t xml:space="preserve"> and Herder, P. (2019) ‘Internet of things adoption for reconfiguring decision-making processes in asset management’, </w:t>
      </w:r>
      <w:r w:rsidR="00562A20" w:rsidRPr="00716F6D">
        <w:rPr>
          <w:rFonts w:eastAsia="Times New Roman" w:cs="Times New Roman"/>
          <w:i/>
          <w:szCs w:val="24"/>
          <w:lang w:eastAsia="en-US" w:bidi="en-US"/>
        </w:rPr>
        <w:t>Business Process Management Journal</w:t>
      </w:r>
      <w:r w:rsidR="00562A20" w:rsidRPr="00716F6D">
        <w:rPr>
          <w:rFonts w:eastAsia="Times New Roman" w:cs="Times New Roman"/>
          <w:szCs w:val="24"/>
          <w:lang w:eastAsia="en-US" w:bidi="en-US"/>
        </w:rPr>
        <w:t xml:space="preserve">, 25(3) pp. 495-511. </w:t>
      </w:r>
    </w:p>
    <w:p w14:paraId="42D49D99" w14:textId="77777777" w:rsidR="00562A20" w:rsidRDefault="00562A20" w:rsidP="00562A20">
      <w:pPr>
        <w:spacing w:after="0" w:line="240" w:lineRule="auto"/>
        <w:ind w:left="540" w:hanging="540"/>
        <w:rPr>
          <w:rFonts w:eastAsia="Times New Roman" w:cs="Times New Roman"/>
          <w:szCs w:val="24"/>
          <w:lang w:val="en-HK" w:eastAsia="en-US" w:bidi="en-US"/>
        </w:rPr>
      </w:pPr>
    </w:p>
    <w:p w14:paraId="663414E6" w14:textId="146F5474"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Business Standard (2018) </w:t>
      </w:r>
      <w:r w:rsidRPr="00254E39">
        <w:rPr>
          <w:rFonts w:eastAsia="Times New Roman" w:cs="Times New Roman"/>
          <w:i/>
          <w:szCs w:val="24"/>
          <w:lang w:val="en-HK" w:eastAsia="en-US" w:bidi="en-US"/>
        </w:rPr>
        <w:t>Now, India is the third largest electricity producer ahead of Russia, Japan 26 March 2018</w:t>
      </w:r>
      <w:r w:rsidR="00254E39" w:rsidRPr="00254E39">
        <w:rPr>
          <w:rFonts w:eastAsia="Times New Roman" w:cs="Times New Roman"/>
          <w:i/>
          <w:szCs w:val="24"/>
          <w:lang w:val="en-HK" w:eastAsia="en-US" w:bidi="en-US"/>
        </w:rPr>
        <w:t>.</w:t>
      </w:r>
      <w:r w:rsidRPr="00562A20">
        <w:rPr>
          <w:rFonts w:eastAsia="Times New Roman" w:cs="Times New Roman"/>
          <w:szCs w:val="24"/>
          <w:lang w:val="en-HK" w:eastAsia="en-US" w:bidi="en-US"/>
        </w:rPr>
        <w:t xml:space="preserve"> Available at: https://www.business-standard.com/article/economy-policy/now-india-is-the-third-largest-electricity-producer-ahead-of-russia-japan-11</w:t>
      </w:r>
      <w:r w:rsidR="00254E39">
        <w:rPr>
          <w:rFonts w:eastAsia="Times New Roman" w:cs="Times New Roman"/>
          <w:szCs w:val="24"/>
          <w:lang w:val="en-HK" w:eastAsia="en-US" w:bidi="en-US"/>
        </w:rPr>
        <w:t>8032600086_1.html (Accessed: 22</w:t>
      </w:r>
      <w:r w:rsidR="00254E39" w:rsidRPr="00254E39">
        <w:rPr>
          <w:rFonts w:eastAsia="Times New Roman" w:cs="Times New Roman"/>
          <w:szCs w:val="24"/>
          <w:vertAlign w:val="superscript"/>
          <w:lang w:val="en-HK" w:eastAsia="en-US" w:bidi="en-US"/>
        </w:rPr>
        <w:t>nd</w:t>
      </w:r>
      <w:r w:rsidRPr="00562A20">
        <w:rPr>
          <w:rFonts w:eastAsia="Times New Roman" w:cs="Times New Roman"/>
          <w:szCs w:val="24"/>
          <w:lang w:val="en-HK" w:eastAsia="en-US" w:bidi="en-US"/>
        </w:rPr>
        <w:t xml:space="preserve"> February 2020).</w:t>
      </w:r>
    </w:p>
    <w:p w14:paraId="3FA643EC"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77129AA3" w14:textId="25EE3CFC"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 xml:space="preserve">Caro, F. and </w:t>
      </w:r>
      <w:proofErr w:type="spellStart"/>
      <w:r w:rsidRPr="00716F6D">
        <w:rPr>
          <w:rFonts w:eastAsia="Times New Roman" w:cs="Times New Roman"/>
          <w:szCs w:val="24"/>
          <w:shd w:val="clear" w:color="auto" w:fill="FFFFFF"/>
          <w:lang w:val="en-HK"/>
        </w:rPr>
        <w:t>Gallien</w:t>
      </w:r>
      <w:proofErr w:type="spellEnd"/>
      <w:r w:rsidRPr="00716F6D">
        <w:rPr>
          <w:rFonts w:eastAsia="Times New Roman" w:cs="Times New Roman"/>
          <w:szCs w:val="24"/>
          <w:shd w:val="clear" w:color="auto" w:fill="FFFFFF"/>
          <w:lang w:val="en-HK"/>
        </w:rPr>
        <w:t xml:space="preserve">, J. (2010) ‘Inventory management of a fast-fashion retail network’, </w:t>
      </w:r>
      <w:r w:rsidRPr="00716F6D">
        <w:rPr>
          <w:rFonts w:eastAsia="Times New Roman" w:cs="Times New Roman"/>
          <w:i/>
          <w:szCs w:val="24"/>
          <w:shd w:val="clear" w:color="auto" w:fill="FFFFFF"/>
          <w:lang w:val="en-HK"/>
        </w:rPr>
        <w:t>Operations Research</w:t>
      </w:r>
      <w:r w:rsidRPr="00716F6D">
        <w:rPr>
          <w:rFonts w:eastAsia="Times New Roman" w:cs="Times New Roman"/>
          <w:szCs w:val="24"/>
          <w:shd w:val="clear" w:color="auto" w:fill="FFFFFF"/>
          <w:lang w:val="en-HK"/>
        </w:rPr>
        <w:t>, 58(2), pp. 257-273.</w:t>
      </w:r>
    </w:p>
    <w:p w14:paraId="6EC10F81" w14:textId="77777777" w:rsidR="00562A20" w:rsidRDefault="00562A20" w:rsidP="00562A20">
      <w:pPr>
        <w:spacing w:after="0" w:line="240" w:lineRule="auto"/>
        <w:ind w:left="540" w:hanging="540"/>
        <w:rPr>
          <w:rFonts w:eastAsia="Times New Roman" w:cs="Times New Roman"/>
          <w:szCs w:val="24"/>
          <w:lang w:val="en-HK" w:eastAsia="en-US" w:bidi="en-US"/>
        </w:rPr>
      </w:pPr>
    </w:p>
    <w:p w14:paraId="1FC34C50" w14:textId="076CBBE4"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CEIC (2019a) </w:t>
      </w:r>
      <w:r w:rsidRPr="00254E39">
        <w:rPr>
          <w:rFonts w:eastAsia="Times New Roman" w:cs="Times New Roman"/>
          <w:i/>
          <w:szCs w:val="24"/>
          <w:lang w:val="en-HK" w:eastAsia="en-US" w:bidi="en-US"/>
        </w:rPr>
        <w:t>India Labour Productivity Growth</w:t>
      </w:r>
      <w:r w:rsidRPr="00562A20">
        <w:rPr>
          <w:rFonts w:eastAsia="Times New Roman" w:cs="Times New Roman"/>
          <w:szCs w:val="24"/>
          <w:lang w:val="en-HK" w:eastAsia="en-US" w:bidi="en-US"/>
        </w:rPr>
        <w:t>. Available at: https://www.ceicdata.com/en/indicator/india/labour-pro</w:t>
      </w:r>
      <w:r w:rsidR="00254E39">
        <w:rPr>
          <w:rFonts w:eastAsia="Times New Roman" w:cs="Times New Roman"/>
          <w:szCs w:val="24"/>
          <w:lang w:val="en-HK" w:eastAsia="en-US" w:bidi="en-US"/>
        </w:rPr>
        <w:t>ductivity-growth (Accessed: 22</w:t>
      </w:r>
      <w:r w:rsidR="00254E39" w:rsidRPr="00254E39">
        <w:rPr>
          <w:rFonts w:eastAsia="Times New Roman" w:cs="Times New Roman"/>
          <w:szCs w:val="24"/>
          <w:vertAlign w:val="superscript"/>
          <w:lang w:val="en-HK" w:eastAsia="en-US" w:bidi="en-US"/>
        </w:rPr>
        <w:t>nd</w:t>
      </w:r>
      <w:r w:rsidRPr="00562A20">
        <w:rPr>
          <w:rFonts w:eastAsia="Times New Roman" w:cs="Times New Roman"/>
          <w:szCs w:val="24"/>
          <w:lang w:val="en-HK" w:eastAsia="en-US" w:bidi="en-US"/>
        </w:rPr>
        <w:t xml:space="preserve"> February 2020).</w:t>
      </w:r>
    </w:p>
    <w:p w14:paraId="1DEE027E" w14:textId="77777777" w:rsidR="00562A20" w:rsidRDefault="00562A20" w:rsidP="00562A20">
      <w:pPr>
        <w:spacing w:after="0" w:line="240" w:lineRule="auto"/>
        <w:ind w:left="540" w:hanging="540"/>
        <w:rPr>
          <w:rFonts w:eastAsia="Times New Roman" w:cs="Times New Roman"/>
          <w:szCs w:val="24"/>
          <w:lang w:val="en-HK" w:eastAsia="en-US" w:bidi="en-US"/>
        </w:rPr>
      </w:pPr>
    </w:p>
    <w:p w14:paraId="22535E86" w14:textId="146192E5"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CEIC (2019b) </w:t>
      </w:r>
      <w:r w:rsidRPr="00254E39">
        <w:rPr>
          <w:rFonts w:eastAsia="Times New Roman" w:cs="Times New Roman"/>
          <w:i/>
          <w:szCs w:val="24"/>
          <w:lang w:val="en-HK" w:eastAsia="en-US" w:bidi="en-US"/>
        </w:rPr>
        <w:t>China Labour Productivity Growth</w:t>
      </w:r>
      <w:r w:rsidRPr="00562A20">
        <w:rPr>
          <w:rFonts w:eastAsia="Times New Roman" w:cs="Times New Roman"/>
          <w:szCs w:val="24"/>
          <w:lang w:val="en-HK" w:eastAsia="en-US" w:bidi="en-US"/>
        </w:rPr>
        <w:t>. Available at: https://www.ceicdata.com/en/indicator/china/labour-productivity-growth</w:t>
      </w:r>
      <w:r w:rsidR="00254E39">
        <w:rPr>
          <w:rFonts w:eastAsia="Times New Roman" w:cs="Times New Roman"/>
          <w:szCs w:val="24"/>
          <w:lang w:val="en-HK" w:eastAsia="en-US" w:bidi="en-US"/>
        </w:rPr>
        <w:t xml:space="preserve"> (Accessed: 22</w:t>
      </w:r>
      <w:r w:rsidR="00254E39" w:rsidRPr="00254E39">
        <w:rPr>
          <w:rFonts w:eastAsia="Times New Roman" w:cs="Times New Roman"/>
          <w:szCs w:val="24"/>
          <w:vertAlign w:val="superscript"/>
          <w:lang w:val="en-HK" w:eastAsia="en-US" w:bidi="en-US"/>
        </w:rPr>
        <w:t>nd</w:t>
      </w:r>
      <w:r w:rsidRPr="00562A20">
        <w:rPr>
          <w:rFonts w:eastAsia="Times New Roman" w:cs="Times New Roman"/>
          <w:szCs w:val="24"/>
          <w:lang w:val="en-HK" w:eastAsia="en-US" w:bidi="en-US"/>
        </w:rPr>
        <w:t xml:space="preserve"> February 2020).</w:t>
      </w:r>
    </w:p>
    <w:p w14:paraId="652493DC"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735DFCC3" w14:textId="5F41EF83" w:rsidR="00562A20" w:rsidRPr="00716F6D" w:rsidRDefault="00A15F6F" w:rsidP="00897BF4">
      <w:pPr>
        <w:spacing w:after="0" w:line="240" w:lineRule="auto"/>
        <w:ind w:left="540" w:hanging="540"/>
        <w:rPr>
          <w:rFonts w:eastAsia="Times New Roman" w:cs="Times New Roman"/>
          <w:szCs w:val="24"/>
          <w:shd w:val="clear" w:color="auto" w:fill="FFFFFF"/>
          <w:lang w:val="en-HK"/>
        </w:rPr>
      </w:pPr>
      <w:r>
        <w:rPr>
          <w:rFonts w:eastAsia="Times New Roman" w:cs="Times New Roman"/>
          <w:szCs w:val="24"/>
          <w:shd w:val="clear" w:color="auto" w:fill="FFFFFF"/>
          <w:lang w:val="en-HK"/>
        </w:rPr>
        <w:t>Choi, T. M.</w:t>
      </w:r>
      <w:r w:rsidR="00562A20" w:rsidRPr="00716F6D">
        <w:rPr>
          <w:rFonts w:eastAsia="Times New Roman" w:cs="Times New Roman"/>
          <w:szCs w:val="24"/>
          <w:shd w:val="clear" w:color="auto" w:fill="FFFFFF"/>
          <w:lang w:val="en-HK"/>
        </w:rPr>
        <w:t xml:space="preserve"> and Shen, B. (2016) ‘A system of systems framework for sustainable fashion supply chain management in the big data era’, </w:t>
      </w:r>
      <w:r w:rsidR="00562A20" w:rsidRPr="00716F6D">
        <w:rPr>
          <w:rFonts w:eastAsia="Times New Roman" w:cs="Times New Roman"/>
          <w:i/>
          <w:iCs/>
          <w:szCs w:val="24"/>
          <w:shd w:val="clear" w:color="auto" w:fill="FFFFFF"/>
          <w:lang w:val="en-HK"/>
        </w:rPr>
        <w:t xml:space="preserve">2016 IEEE 14th International Conference on Industrial Informatics. </w:t>
      </w:r>
      <w:r w:rsidR="00562A20" w:rsidRPr="00716F6D">
        <w:rPr>
          <w:rFonts w:eastAsia="Times New Roman" w:cs="Times New Roman"/>
          <w:szCs w:val="24"/>
          <w:shd w:val="clear" w:color="auto" w:fill="FFFFFF"/>
          <w:lang w:val="en-HK"/>
        </w:rPr>
        <w:t>pp. 902-908.</w:t>
      </w:r>
    </w:p>
    <w:p w14:paraId="35AC9769" w14:textId="77777777" w:rsidR="00562A20" w:rsidRDefault="00562A20" w:rsidP="00562A20">
      <w:pPr>
        <w:spacing w:after="0" w:line="240" w:lineRule="auto"/>
        <w:ind w:left="540" w:hanging="540"/>
        <w:rPr>
          <w:rFonts w:eastAsia="Times New Roman" w:cs="Times New Roman"/>
          <w:szCs w:val="24"/>
          <w:lang w:val="en-HK" w:eastAsia="en-US" w:bidi="en-US"/>
        </w:rPr>
      </w:pPr>
    </w:p>
    <w:p w14:paraId="7873710E" w14:textId="77777777" w:rsidR="00A15F6F" w:rsidRDefault="00562A20" w:rsidP="00A15F6F">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Department of Revenue (2014) </w:t>
      </w:r>
      <w:r w:rsidRPr="00254E39">
        <w:rPr>
          <w:rFonts w:eastAsia="Times New Roman" w:cs="Times New Roman"/>
          <w:i/>
          <w:szCs w:val="24"/>
          <w:lang w:val="en-HK" w:eastAsia="en-US" w:bidi="en-US"/>
        </w:rPr>
        <w:t>Status of TARC Recommendations. The Tax Administration Reform</w:t>
      </w:r>
      <w:r w:rsidR="00254E39">
        <w:rPr>
          <w:rFonts w:eastAsia="Times New Roman" w:cs="Times New Roman"/>
          <w:i/>
          <w:szCs w:val="24"/>
          <w:lang w:val="en-HK" w:eastAsia="en-US" w:bidi="en-US"/>
        </w:rPr>
        <w:t>s Commission, Government of Indi</w:t>
      </w:r>
      <w:r w:rsidRPr="00254E39">
        <w:rPr>
          <w:rFonts w:eastAsia="Times New Roman" w:cs="Times New Roman"/>
          <w:i/>
          <w:szCs w:val="24"/>
          <w:lang w:val="en-HK" w:eastAsia="en-US" w:bidi="en-US"/>
        </w:rPr>
        <w:t>a.</w:t>
      </w:r>
      <w:r w:rsidRPr="00562A20">
        <w:rPr>
          <w:rFonts w:eastAsia="Times New Roman" w:cs="Times New Roman"/>
          <w:szCs w:val="24"/>
          <w:lang w:val="en-HK" w:eastAsia="en-US" w:bidi="en-US"/>
        </w:rPr>
        <w:t xml:space="preserve"> Available at: https://dor.gov.in/sites/default/files/Status%20Of%20TARC%20Recom</w:t>
      </w:r>
      <w:r w:rsidR="00254E39">
        <w:rPr>
          <w:rFonts w:eastAsia="Times New Roman" w:cs="Times New Roman"/>
          <w:szCs w:val="24"/>
          <w:lang w:val="en-HK" w:eastAsia="en-US" w:bidi="en-US"/>
        </w:rPr>
        <w:t>mendations_0.pdf (Accessed: 22</w:t>
      </w:r>
      <w:r w:rsidR="00254E39" w:rsidRPr="00254E39">
        <w:rPr>
          <w:rFonts w:eastAsia="Times New Roman" w:cs="Times New Roman"/>
          <w:szCs w:val="24"/>
          <w:vertAlign w:val="superscript"/>
          <w:lang w:val="en-HK" w:eastAsia="en-US" w:bidi="en-US"/>
        </w:rPr>
        <w:t>nd</w:t>
      </w:r>
      <w:r w:rsidRPr="00562A20">
        <w:rPr>
          <w:rFonts w:eastAsia="Times New Roman" w:cs="Times New Roman"/>
          <w:szCs w:val="24"/>
          <w:lang w:val="en-HK" w:eastAsia="en-US" w:bidi="en-US"/>
        </w:rPr>
        <w:t xml:space="preserve"> February 2020)</w:t>
      </w:r>
      <w:r w:rsidR="00A15F6F">
        <w:rPr>
          <w:rFonts w:eastAsia="Times New Roman" w:cs="Times New Roman"/>
          <w:szCs w:val="24"/>
          <w:lang w:val="en-HK" w:eastAsia="en-US" w:bidi="en-US"/>
        </w:rPr>
        <w:t>.</w:t>
      </w:r>
    </w:p>
    <w:p w14:paraId="3AE2BB09" w14:textId="26ED4B6E" w:rsidR="00562A20" w:rsidRPr="00A15F6F" w:rsidRDefault="00562A20" w:rsidP="00A15F6F">
      <w:pPr>
        <w:spacing w:after="0" w:line="240" w:lineRule="auto"/>
        <w:ind w:left="540" w:hanging="540"/>
        <w:rPr>
          <w:rFonts w:eastAsia="Times New Roman" w:cs="Times New Roman"/>
          <w:szCs w:val="24"/>
          <w:lang w:val="en-HK" w:eastAsia="en-US" w:bidi="en-US"/>
        </w:rPr>
      </w:pPr>
      <w:r w:rsidRPr="00716F6D">
        <w:rPr>
          <w:rFonts w:eastAsia="Times New Roman" w:cs="Times New Roman"/>
          <w:szCs w:val="24"/>
          <w:shd w:val="clear" w:color="auto" w:fill="FFFFFF"/>
          <w:lang w:val="en-HK"/>
        </w:rPr>
        <w:lastRenderedPageBreak/>
        <w:t xml:space="preserve">Dubey, A., </w:t>
      </w:r>
      <w:proofErr w:type="spellStart"/>
      <w:r w:rsidRPr="00716F6D">
        <w:rPr>
          <w:rFonts w:eastAsia="Times New Roman" w:cs="Times New Roman"/>
          <w:szCs w:val="24"/>
          <w:shd w:val="clear" w:color="auto" w:fill="FFFFFF"/>
          <w:lang w:val="en-HK"/>
        </w:rPr>
        <w:t>Mehndiratta</w:t>
      </w:r>
      <w:proofErr w:type="spellEnd"/>
      <w:r w:rsidRPr="00716F6D">
        <w:rPr>
          <w:rFonts w:eastAsia="Times New Roman" w:cs="Times New Roman"/>
          <w:szCs w:val="24"/>
          <w:shd w:val="clear" w:color="auto" w:fill="FFFFFF"/>
          <w:lang w:val="en-HK"/>
        </w:rPr>
        <w:t xml:space="preserve">, A., </w:t>
      </w:r>
      <w:proofErr w:type="spellStart"/>
      <w:r w:rsidRPr="00716F6D">
        <w:rPr>
          <w:rFonts w:eastAsia="Times New Roman" w:cs="Times New Roman"/>
          <w:szCs w:val="24"/>
          <w:shd w:val="clear" w:color="auto" w:fill="FFFFFF"/>
          <w:lang w:val="en-HK"/>
        </w:rPr>
        <w:t>Sagar</w:t>
      </w:r>
      <w:proofErr w:type="spellEnd"/>
      <w:r w:rsidRPr="00716F6D">
        <w:rPr>
          <w:rFonts w:eastAsia="Times New Roman" w:cs="Times New Roman"/>
          <w:szCs w:val="24"/>
          <w:shd w:val="clear" w:color="auto" w:fill="FFFFFF"/>
          <w:lang w:val="en-HK"/>
        </w:rPr>
        <w:t xml:space="preserve">, M., and </w:t>
      </w:r>
      <w:proofErr w:type="spellStart"/>
      <w:r w:rsidRPr="00716F6D">
        <w:rPr>
          <w:rFonts w:eastAsia="Times New Roman" w:cs="Times New Roman"/>
          <w:szCs w:val="24"/>
          <w:shd w:val="clear" w:color="auto" w:fill="FFFFFF"/>
          <w:lang w:val="en-HK"/>
        </w:rPr>
        <w:t>Kashiramka</w:t>
      </w:r>
      <w:proofErr w:type="spellEnd"/>
      <w:r w:rsidRPr="00716F6D">
        <w:rPr>
          <w:rFonts w:eastAsia="Times New Roman" w:cs="Times New Roman"/>
          <w:szCs w:val="24"/>
          <w:shd w:val="clear" w:color="auto" w:fill="FFFFFF"/>
          <w:lang w:val="en-HK"/>
        </w:rPr>
        <w:t>, S. (2019) ‘Reforms in technical education sector: evidence from World Bank-assisted Technical Education Quality Improvement Programme in India’, </w:t>
      </w:r>
      <w:r w:rsidRPr="00716F6D">
        <w:rPr>
          <w:rFonts w:eastAsia="Times New Roman" w:cs="Times New Roman"/>
          <w:i/>
          <w:iCs/>
          <w:szCs w:val="24"/>
          <w:shd w:val="clear" w:color="auto" w:fill="FFFFFF"/>
          <w:lang w:val="en-HK"/>
        </w:rPr>
        <w:t>Higher Education</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78</w:t>
      </w:r>
      <w:r w:rsidRPr="00716F6D">
        <w:rPr>
          <w:rFonts w:eastAsia="Times New Roman" w:cs="Times New Roman"/>
          <w:szCs w:val="24"/>
          <w:shd w:val="clear" w:color="auto" w:fill="FFFFFF"/>
          <w:lang w:val="en-HK"/>
        </w:rPr>
        <w:t>(2), pp. 273-299.</w:t>
      </w:r>
    </w:p>
    <w:p w14:paraId="344D2261" w14:textId="77777777" w:rsidR="005B675B" w:rsidRPr="00716F6D" w:rsidRDefault="005B675B" w:rsidP="00897BF4">
      <w:pPr>
        <w:spacing w:after="0" w:line="240" w:lineRule="auto"/>
        <w:ind w:left="540" w:hanging="540"/>
        <w:rPr>
          <w:rFonts w:eastAsia="Times New Roman" w:cs="Times New Roman"/>
          <w:szCs w:val="24"/>
          <w:lang w:val="en-HK"/>
        </w:rPr>
      </w:pPr>
    </w:p>
    <w:p w14:paraId="272E19DE" w14:textId="77777777" w:rsidR="00562A20" w:rsidRPr="00716F6D" w:rsidRDefault="00562A20" w:rsidP="00897BF4">
      <w:pPr>
        <w:spacing w:after="0" w:line="240" w:lineRule="auto"/>
        <w:ind w:left="540" w:hanging="540"/>
        <w:rPr>
          <w:rFonts w:eastAsia="Times New Roman" w:cs="Times New Roman"/>
          <w:szCs w:val="24"/>
          <w:lang w:val="en-HK"/>
        </w:rPr>
      </w:pPr>
      <w:proofErr w:type="spellStart"/>
      <w:r w:rsidRPr="00716F6D">
        <w:rPr>
          <w:rFonts w:eastAsia="Times New Roman" w:cs="Times New Roman"/>
          <w:szCs w:val="24"/>
          <w:lang w:val="en-HK"/>
        </w:rPr>
        <w:t>Ethier</w:t>
      </w:r>
      <w:proofErr w:type="spellEnd"/>
      <w:r w:rsidRPr="00716F6D">
        <w:rPr>
          <w:rFonts w:eastAsia="Times New Roman" w:cs="Times New Roman"/>
          <w:szCs w:val="24"/>
          <w:lang w:val="en-HK"/>
        </w:rPr>
        <w:t xml:space="preserve">, W.J. (2009) </w:t>
      </w:r>
      <w:r w:rsidRPr="00716F6D">
        <w:rPr>
          <w:rFonts w:eastAsia="Times New Roman" w:cs="Times New Roman"/>
          <w:i/>
          <w:szCs w:val="24"/>
          <w:lang w:val="en-HK"/>
        </w:rPr>
        <w:t>Economies of scale</w:t>
      </w:r>
      <w:r w:rsidRPr="00716F6D">
        <w:rPr>
          <w:rFonts w:eastAsia="Times New Roman" w:cs="Times New Roman"/>
          <w:szCs w:val="24"/>
          <w:lang w:val="en-HK"/>
        </w:rPr>
        <w:t>, Princeton University Press, Princeton.</w:t>
      </w:r>
    </w:p>
    <w:p w14:paraId="35FCFD12" w14:textId="77777777" w:rsidR="00562A20" w:rsidRDefault="00562A20" w:rsidP="00897BF4">
      <w:pPr>
        <w:spacing w:after="0" w:line="240" w:lineRule="auto"/>
        <w:ind w:left="540" w:hanging="540"/>
        <w:rPr>
          <w:rFonts w:eastAsia="Times New Roman" w:cs="Times New Roman"/>
          <w:szCs w:val="24"/>
          <w:lang w:val="en-HK"/>
        </w:rPr>
      </w:pPr>
    </w:p>
    <w:p w14:paraId="44DE80E3" w14:textId="0B51417F" w:rsidR="00562A20" w:rsidRPr="00716F6D" w:rsidRDefault="00254E39" w:rsidP="00897BF4">
      <w:pPr>
        <w:spacing w:after="0" w:line="240" w:lineRule="auto"/>
        <w:ind w:left="540" w:hanging="540"/>
        <w:rPr>
          <w:rFonts w:eastAsia="Times New Roman" w:cs="Times New Roman"/>
          <w:szCs w:val="24"/>
          <w:lang w:val="en-HK"/>
        </w:rPr>
      </w:pPr>
      <w:proofErr w:type="spellStart"/>
      <w:r>
        <w:rPr>
          <w:rFonts w:eastAsia="Times New Roman" w:cs="Times New Roman"/>
          <w:szCs w:val="24"/>
          <w:lang w:val="en-HK"/>
        </w:rPr>
        <w:t>Fernie</w:t>
      </w:r>
      <w:proofErr w:type="spellEnd"/>
      <w:r>
        <w:rPr>
          <w:rFonts w:eastAsia="Times New Roman" w:cs="Times New Roman"/>
          <w:szCs w:val="24"/>
          <w:lang w:val="en-HK"/>
        </w:rPr>
        <w:t>, J. and</w:t>
      </w:r>
      <w:r w:rsidR="00562A20" w:rsidRPr="00716F6D">
        <w:rPr>
          <w:rFonts w:eastAsia="Times New Roman" w:cs="Times New Roman"/>
          <w:szCs w:val="24"/>
          <w:lang w:val="en-HK"/>
        </w:rPr>
        <w:t xml:space="preserve"> Grant, D. B. (2019) </w:t>
      </w:r>
      <w:r w:rsidR="00562A20" w:rsidRPr="00716F6D">
        <w:rPr>
          <w:rFonts w:eastAsia="Times New Roman" w:cs="Times New Roman"/>
          <w:i/>
          <w:szCs w:val="24"/>
          <w:lang w:val="en-HK"/>
        </w:rPr>
        <w:t>Fashion logistics: Insights into the fashion retail supply chain.</w:t>
      </w:r>
      <w:r w:rsidR="00562A20" w:rsidRPr="00716F6D">
        <w:rPr>
          <w:rFonts w:eastAsia="Times New Roman" w:cs="Times New Roman"/>
          <w:szCs w:val="24"/>
          <w:lang w:val="en-HK"/>
        </w:rPr>
        <w:t xml:space="preserve"> </w:t>
      </w:r>
      <w:proofErr w:type="spellStart"/>
      <w:r w:rsidR="00562A20" w:rsidRPr="00716F6D">
        <w:rPr>
          <w:rFonts w:eastAsia="Times New Roman" w:cs="Times New Roman"/>
          <w:szCs w:val="24"/>
          <w:lang w:val="en-HK"/>
        </w:rPr>
        <w:t>Kogan</w:t>
      </w:r>
      <w:proofErr w:type="spellEnd"/>
      <w:r w:rsidR="00562A20" w:rsidRPr="00716F6D">
        <w:rPr>
          <w:rFonts w:eastAsia="Times New Roman" w:cs="Times New Roman"/>
          <w:szCs w:val="24"/>
          <w:lang w:val="en-HK"/>
        </w:rPr>
        <w:t xml:space="preserve"> Page Publishers.</w:t>
      </w:r>
    </w:p>
    <w:p w14:paraId="2CEDD411" w14:textId="77777777" w:rsidR="00562A20" w:rsidRDefault="00562A20" w:rsidP="00897BF4">
      <w:pPr>
        <w:spacing w:after="0" w:line="240" w:lineRule="auto"/>
        <w:ind w:left="540" w:hanging="540"/>
        <w:rPr>
          <w:rFonts w:eastAsia="Times New Roman" w:cs="Times New Roman"/>
          <w:szCs w:val="24"/>
          <w:lang w:eastAsia="en-US" w:bidi="en-US"/>
        </w:rPr>
      </w:pPr>
    </w:p>
    <w:p w14:paraId="27034FD8" w14:textId="124CB387" w:rsidR="00562A20" w:rsidRPr="00716F6D" w:rsidRDefault="00562A20" w:rsidP="00897BF4">
      <w:pPr>
        <w:spacing w:after="0" w:line="240" w:lineRule="auto"/>
        <w:ind w:left="540" w:hanging="540"/>
        <w:rPr>
          <w:rFonts w:eastAsia="Times New Roman" w:cs="Times New Roman"/>
          <w:szCs w:val="24"/>
          <w:lang w:eastAsia="en-US" w:bidi="en-US"/>
        </w:rPr>
      </w:pPr>
      <w:r w:rsidRPr="00716F6D">
        <w:rPr>
          <w:rFonts w:eastAsia="Times New Roman" w:cs="Times New Roman"/>
          <w:szCs w:val="24"/>
          <w:lang w:eastAsia="en-US" w:bidi="en-US"/>
        </w:rPr>
        <w:t>Ge, H., Ca</w:t>
      </w:r>
      <w:r w:rsidR="00254E39">
        <w:rPr>
          <w:rFonts w:eastAsia="Times New Roman" w:cs="Times New Roman"/>
          <w:szCs w:val="24"/>
          <w:lang w:eastAsia="en-US" w:bidi="en-US"/>
        </w:rPr>
        <w:t>nning, P., Goetz, S., Perez, A.</w:t>
      </w:r>
      <w:r w:rsidRPr="00716F6D">
        <w:rPr>
          <w:rFonts w:eastAsia="Times New Roman" w:cs="Times New Roman"/>
          <w:szCs w:val="24"/>
          <w:lang w:eastAsia="en-US" w:bidi="en-US"/>
        </w:rPr>
        <w:t xml:space="preserve"> and Li, J. (2019) ‘Embedding economies of scale concepts in the model of optimal locations of fresh produce aggregation hubs’, </w:t>
      </w:r>
      <w:r w:rsidRPr="00716F6D">
        <w:rPr>
          <w:rFonts w:eastAsia="Times New Roman" w:cs="Times New Roman"/>
          <w:i/>
          <w:szCs w:val="24"/>
          <w:lang w:eastAsia="en-US" w:bidi="en-US"/>
        </w:rPr>
        <w:t>Agricultural and Resource Economics Review,</w:t>
      </w:r>
      <w:r w:rsidRPr="00716F6D">
        <w:rPr>
          <w:rFonts w:eastAsia="Times New Roman" w:cs="Times New Roman"/>
          <w:szCs w:val="24"/>
          <w:lang w:eastAsia="en-US" w:bidi="en-US"/>
        </w:rPr>
        <w:t xml:space="preserve"> 48(3), pp. 365-387. </w:t>
      </w:r>
      <w:proofErr w:type="spellStart"/>
      <w:r w:rsidRPr="00716F6D">
        <w:rPr>
          <w:rFonts w:eastAsia="Times New Roman" w:cs="Times New Roman"/>
          <w:szCs w:val="24"/>
          <w:lang w:eastAsia="en-US" w:bidi="en-US"/>
        </w:rPr>
        <w:t>DOI:http</w:t>
      </w:r>
      <w:proofErr w:type="spellEnd"/>
      <w:r w:rsidRPr="00716F6D">
        <w:rPr>
          <w:rFonts w:eastAsia="Times New Roman" w:cs="Times New Roman"/>
          <w:szCs w:val="24"/>
          <w:lang w:eastAsia="en-US" w:bidi="en-US"/>
        </w:rPr>
        <w:t>://dx.doi.org/10.1017/age.2019.10</w:t>
      </w:r>
    </w:p>
    <w:p w14:paraId="07680B4B" w14:textId="77777777" w:rsidR="00562A20" w:rsidRDefault="00562A20" w:rsidP="00897BF4">
      <w:pPr>
        <w:spacing w:after="0" w:line="240" w:lineRule="auto"/>
        <w:ind w:left="540" w:hanging="540"/>
        <w:rPr>
          <w:rFonts w:eastAsia="Times New Roman" w:cs="Times New Roman"/>
          <w:szCs w:val="24"/>
          <w:lang w:val="en-HK"/>
        </w:rPr>
      </w:pPr>
    </w:p>
    <w:p w14:paraId="451AE0F8" w14:textId="14CDF91A"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GU (2019a) </w:t>
      </w:r>
      <w:r w:rsidRPr="00254E39">
        <w:rPr>
          <w:rFonts w:eastAsia="Times New Roman" w:cs="Times New Roman"/>
          <w:i/>
          <w:szCs w:val="24"/>
          <w:lang w:val="en-HK"/>
        </w:rPr>
        <w:t>Company Introduction.</w:t>
      </w:r>
      <w:r w:rsidRPr="00716F6D">
        <w:rPr>
          <w:rFonts w:eastAsia="Times New Roman" w:cs="Times New Roman"/>
          <w:szCs w:val="24"/>
          <w:lang w:val="en-HK"/>
        </w:rPr>
        <w:t xml:space="preserve"> Available at</w:t>
      </w:r>
      <w:r w:rsidR="00A15F6F">
        <w:rPr>
          <w:rFonts w:eastAsia="Times New Roman" w:cs="Times New Roman"/>
          <w:szCs w:val="24"/>
          <w:lang w:val="en-HK"/>
        </w:rPr>
        <w:t xml:space="preserve">: </w:t>
      </w:r>
      <w:r w:rsidRPr="00716F6D">
        <w:rPr>
          <w:rFonts w:eastAsia="Times New Roman" w:cs="Times New Roman"/>
          <w:szCs w:val="24"/>
          <w:lang w:val="en-HK"/>
        </w:rPr>
        <w:t xml:space="preserve"> https://www.fastretailing.com/eng/group/gov/ (Accessed: 14</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786B90DC" w14:textId="77777777" w:rsidR="00562A20" w:rsidRDefault="00562A20" w:rsidP="00897BF4">
      <w:pPr>
        <w:spacing w:after="0" w:line="240" w:lineRule="auto"/>
        <w:ind w:left="540" w:hanging="540"/>
        <w:rPr>
          <w:rFonts w:eastAsia="Times New Roman" w:cs="Times New Roman"/>
          <w:szCs w:val="24"/>
          <w:lang w:val="en-HK"/>
        </w:rPr>
      </w:pPr>
    </w:p>
    <w:p w14:paraId="33355938" w14:textId="28C4FF27"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GU (2019b) </w:t>
      </w:r>
      <w:r w:rsidRPr="00254E39">
        <w:rPr>
          <w:rFonts w:eastAsia="Times New Roman" w:cs="Times New Roman"/>
          <w:i/>
          <w:szCs w:val="24"/>
          <w:lang w:val="en-HK"/>
        </w:rPr>
        <w:t>Industry Ranking.</w:t>
      </w:r>
      <w:r w:rsidRPr="00716F6D">
        <w:rPr>
          <w:rFonts w:eastAsia="Times New Roman" w:cs="Times New Roman"/>
          <w:szCs w:val="24"/>
          <w:lang w:val="en-HK"/>
        </w:rPr>
        <w:t xml:space="preserve"> Available at</w:t>
      </w:r>
      <w:r w:rsidR="00A15F6F">
        <w:rPr>
          <w:rFonts w:eastAsia="Times New Roman" w:cs="Times New Roman"/>
          <w:szCs w:val="24"/>
          <w:lang w:val="en-HK"/>
        </w:rPr>
        <w:t>:</w:t>
      </w:r>
      <w:r w:rsidRPr="00716F6D">
        <w:rPr>
          <w:rFonts w:eastAsia="Times New Roman" w:cs="Times New Roman"/>
          <w:szCs w:val="24"/>
          <w:lang w:val="en-HK"/>
        </w:rPr>
        <w:t xml:space="preserve"> https://www.fastretailing.com/eng/ir/direction/position.html (Accessed: 14</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60C07A91" w14:textId="77777777" w:rsidR="00562A20" w:rsidRDefault="00562A20" w:rsidP="00897BF4">
      <w:pPr>
        <w:spacing w:after="0" w:line="240" w:lineRule="auto"/>
        <w:ind w:left="540" w:hanging="540"/>
        <w:rPr>
          <w:rFonts w:eastAsia="Times New Roman" w:cs="Times New Roman"/>
          <w:szCs w:val="24"/>
          <w:lang w:val="en-HK"/>
        </w:rPr>
      </w:pPr>
    </w:p>
    <w:p w14:paraId="20AC8BFE" w14:textId="508A3282"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GU (2019c) </w:t>
      </w:r>
      <w:r w:rsidRPr="00254E39">
        <w:rPr>
          <w:rFonts w:eastAsia="Times New Roman" w:cs="Times New Roman"/>
          <w:i/>
          <w:szCs w:val="24"/>
          <w:lang w:val="en-HK"/>
        </w:rPr>
        <w:t>Major Global Apparel Manufacturer and Retailer</w:t>
      </w:r>
      <w:r w:rsidRPr="00716F6D">
        <w:rPr>
          <w:rFonts w:eastAsia="Times New Roman" w:cs="Times New Roman"/>
          <w:szCs w:val="24"/>
          <w:lang w:val="en-HK"/>
        </w:rPr>
        <w:t>. Available at: https://www.fastretailing.com/eng/ir/direction/position.html (Accessed: 14</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1F4921D9" w14:textId="77777777" w:rsidR="00562A20" w:rsidRDefault="00562A20" w:rsidP="00897BF4">
      <w:pPr>
        <w:spacing w:after="0" w:line="240" w:lineRule="auto"/>
        <w:ind w:left="540" w:hanging="540"/>
        <w:rPr>
          <w:rFonts w:eastAsia="Times New Roman" w:cs="Times New Roman"/>
          <w:szCs w:val="24"/>
          <w:lang w:val="en-HK"/>
        </w:rPr>
      </w:pPr>
    </w:p>
    <w:p w14:paraId="46A71A46" w14:textId="1AF4737B" w:rsidR="00562A20" w:rsidRPr="00716F6D" w:rsidRDefault="00254E39" w:rsidP="00897BF4">
      <w:pPr>
        <w:spacing w:after="0" w:line="240" w:lineRule="auto"/>
        <w:ind w:left="540" w:hanging="540"/>
        <w:rPr>
          <w:rFonts w:eastAsia="Times New Roman" w:cs="Times New Roman"/>
          <w:szCs w:val="24"/>
          <w:lang w:val="en-HK"/>
        </w:rPr>
      </w:pPr>
      <w:proofErr w:type="spellStart"/>
      <w:r>
        <w:rPr>
          <w:rFonts w:eastAsia="Times New Roman" w:cs="Times New Roman"/>
          <w:szCs w:val="24"/>
          <w:lang w:val="en-HK"/>
        </w:rPr>
        <w:t>Heirati</w:t>
      </w:r>
      <w:proofErr w:type="spellEnd"/>
      <w:r>
        <w:rPr>
          <w:rFonts w:eastAsia="Times New Roman" w:cs="Times New Roman"/>
          <w:szCs w:val="24"/>
          <w:lang w:val="en-HK"/>
        </w:rPr>
        <w:t>, N. and</w:t>
      </w:r>
      <w:r w:rsidR="00562A20" w:rsidRPr="00716F6D">
        <w:rPr>
          <w:rFonts w:eastAsia="Times New Roman" w:cs="Times New Roman"/>
          <w:szCs w:val="24"/>
          <w:lang w:val="en-HK"/>
        </w:rPr>
        <w:t xml:space="preserve"> </w:t>
      </w:r>
      <w:proofErr w:type="spellStart"/>
      <w:r w:rsidR="00562A20" w:rsidRPr="00716F6D">
        <w:rPr>
          <w:rFonts w:eastAsia="Times New Roman" w:cs="Times New Roman"/>
          <w:szCs w:val="24"/>
          <w:lang w:val="en-HK"/>
        </w:rPr>
        <w:t>O’Cass</w:t>
      </w:r>
      <w:proofErr w:type="spellEnd"/>
      <w:r w:rsidR="00562A20" w:rsidRPr="00716F6D">
        <w:rPr>
          <w:rFonts w:eastAsia="Times New Roman" w:cs="Times New Roman"/>
          <w:szCs w:val="24"/>
          <w:lang w:val="en-HK"/>
        </w:rPr>
        <w:t xml:space="preserve">, A. (2016) ‘Supporting new product commercialization through managerial social ties and market knowledge development in an emerging economy’, </w:t>
      </w:r>
      <w:r w:rsidR="00562A20" w:rsidRPr="00716F6D">
        <w:rPr>
          <w:rFonts w:eastAsia="Times New Roman" w:cs="Times New Roman"/>
          <w:i/>
          <w:szCs w:val="24"/>
          <w:lang w:val="en-HK"/>
        </w:rPr>
        <w:t>Asia Pacific Journal of Management</w:t>
      </w:r>
      <w:r w:rsidR="00562A20" w:rsidRPr="00716F6D">
        <w:rPr>
          <w:rFonts w:eastAsia="Times New Roman" w:cs="Times New Roman"/>
          <w:szCs w:val="24"/>
          <w:lang w:val="en-HK"/>
        </w:rPr>
        <w:t>, 33(2), 411-433.</w:t>
      </w:r>
    </w:p>
    <w:p w14:paraId="50F259D8" w14:textId="77777777" w:rsidR="00562A20" w:rsidRDefault="00562A20" w:rsidP="00897BF4">
      <w:pPr>
        <w:spacing w:after="0" w:line="240" w:lineRule="auto"/>
        <w:ind w:left="540" w:hanging="540"/>
        <w:rPr>
          <w:rFonts w:eastAsia="Times New Roman" w:cs="Times New Roman"/>
          <w:szCs w:val="24"/>
          <w:lang w:val="en-HK" w:eastAsia="en-US" w:bidi="en-US"/>
        </w:rPr>
      </w:pPr>
    </w:p>
    <w:p w14:paraId="13A7C00E" w14:textId="7F9283DA"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eastAsia="en-US" w:bidi="en-US"/>
        </w:rPr>
        <w:t>India Brand Equity Foundation (2019)</w:t>
      </w:r>
      <w:r w:rsidR="00254E39">
        <w:rPr>
          <w:rFonts w:eastAsia="Times New Roman" w:cs="Times New Roman"/>
          <w:szCs w:val="24"/>
          <w:lang w:val="en-HK" w:eastAsia="en-US" w:bidi="en-US"/>
        </w:rPr>
        <w:t xml:space="preserve"> </w:t>
      </w:r>
      <w:r w:rsidR="00254E39" w:rsidRPr="00254E39">
        <w:rPr>
          <w:rFonts w:eastAsia="Times New Roman" w:cs="Times New Roman"/>
          <w:i/>
          <w:szCs w:val="24"/>
          <w:lang w:val="en-HK" w:eastAsia="en-US" w:bidi="en-US"/>
        </w:rPr>
        <w:t>Infrastructure Sector in India.</w:t>
      </w:r>
      <w:r w:rsidRPr="00716F6D">
        <w:rPr>
          <w:rFonts w:eastAsia="Times New Roman" w:cs="Times New Roman"/>
          <w:szCs w:val="24"/>
          <w:lang w:val="en-HK" w:eastAsia="en-US" w:bidi="en-US"/>
        </w:rPr>
        <w:t xml:space="preserve"> Available at: </w:t>
      </w:r>
      <w:r w:rsidRPr="00716F6D">
        <w:rPr>
          <w:rFonts w:eastAsia="Times New Roman" w:cs="Times New Roman"/>
          <w:szCs w:val="24"/>
          <w:lang w:val="en-HK"/>
        </w:rPr>
        <w:t>https://www.ibef.org/industry/infrastructure-sector-india.aspx (Accessed: 7</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r>
        <w:rPr>
          <w:rFonts w:eastAsia="Times New Roman" w:cs="Times New Roman"/>
          <w:szCs w:val="24"/>
          <w:lang w:val="en-HK"/>
        </w:rPr>
        <w:t>.</w:t>
      </w:r>
    </w:p>
    <w:p w14:paraId="07A45608" w14:textId="77777777" w:rsidR="00562A20" w:rsidRDefault="00562A20" w:rsidP="00562A20">
      <w:pPr>
        <w:spacing w:after="0" w:line="240" w:lineRule="auto"/>
        <w:ind w:left="540" w:hanging="540"/>
        <w:rPr>
          <w:rFonts w:eastAsia="Times New Roman" w:cs="Times New Roman"/>
          <w:szCs w:val="24"/>
          <w:lang w:val="en-HK" w:eastAsia="en-US" w:bidi="en-US"/>
        </w:rPr>
      </w:pPr>
    </w:p>
    <w:p w14:paraId="257F9DA6" w14:textId="7B625B3F"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International Development Enterprises India (2020) </w:t>
      </w:r>
      <w:r w:rsidRPr="00254E39">
        <w:rPr>
          <w:rFonts w:eastAsia="Times New Roman" w:cs="Times New Roman"/>
          <w:i/>
          <w:szCs w:val="24"/>
          <w:lang w:val="en-HK" w:eastAsia="en-US" w:bidi="en-US"/>
        </w:rPr>
        <w:t>Water – India Facts</w:t>
      </w:r>
      <w:r w:rsidR="00254E39">
        <w:rPr>
          <w:rFonts w:eastAsia="Times New Roman" w:cs="Times New Roman"/>
          <w:i/>
          <w:szCs w:val="24"/>
          <w:lang w:val="en-HK" w:eastAsia="en-US" w:bidi="en-US"/>
        </w:rPr>
        <w:t>.</w:t>
      </w:r>
      <w:r w:rsidRPr="00562A20">
        <w:rPr>
          <w:rFonts w:eastAsia="Times New Roman" w:cs="Times New Roman"/>
          <w:szCs w:val="24"/>
          <w:lang w:val="en-HK" w:eastAsia="en-US" w:bidi="en-US"/>
        </w:rPr>
        <w:t xml:space="preserve"> Available at: http://www.ide-india.org/content/water-india-facts (Accessed</w:t>
      </w:r>
      <w:r w:rsidR="00254E39">
        <w:rPr>
          <w:rFonts w:eastAsia="Times New Roman" w:cs="Times New Roman"/>
          <w:szCs w:val="24"/>
          <w:lang w:val="en-HK" w:eastAsia="en-US" w:bidi="en-US"/>
        </w:rPr>
        <w:t>:</w:t>
      </w:r>
      <w:r>
        <w:rPr>
          <w:rFonts w:eastAsia="Times New Roman" w:cs="Times New Roman"/>
          <w:szCs w:val="24"/>
          <w:lang w:val="en-HK" w:eastAsia="en-US" w:bidi="en-US"/>
        </w:rPr>
        <w:t xml:space="preserve"> 24</w:t>
      </w:r>
      <w:r w:rsidRPr="00562A20">
        <w:rPr>
          <w:rFonts w:eastAsia="Times New Roman" w:cs="Times New Roman"/>
          <w:szCs w:val="24"/>
          <w:vertAlign w:val="superscript"/>
          <w:lang w:val="en-HK" w:eastAsia="en-US" w:bidi="en-US"/>
        </w:rPr>
        <w:t>th</w:t>
      </w:r>
      <w:r>
        <w:rPr>
          <w:rFonts w:eastAsia="Times New Roman" w:cs="Times New Roman"/>
          <w:szCs w:val="24"/>
          <w:lang w:val="en-HK" w:eastAsia="en-US" w:bidi="en-US"/>
        </w:rPr>
        <w:t xml:space="preserve"> February 2020).</w:t>
      </w:r>
    </w:p>
    <w:p w14:paraId="7B4B970A" w14:textId="77777777" w:rsidR="00562A20" w:rsidRDefault="00562A20" w:rsidP="00562A20">
      <w:pPr>
        <w:spacing w:after="0" w:line="240" w:lineRule="auto"/>
        <w:ind w:left="540" w:hanging="540"/>
        <w:rPr>
          <w:rFonts w:eastAsia="Times New Roman" w:cs="Times New Roman"/>
          <w:szCs w:val="24"/>
          <w:lang w:val="en-HK" w:eastAsia="en-US" w:bidi="en-US"/>
        </w:rPr>
      </w:pPr>
    </w:p>
    <w:p w14:paraId="2BCFA480" w14:textId="7E285D1F"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International Energy Agency (2020) </w:t>
      </w:r>
      <w:r w:rsidRPr="00254E39">
        <w:rPr>
          <w:rFonts w:eastAsia="Times New Roman" w:cs="Times New Roman"/>
          <w:i/>
          <w:szCs w:val="24"/>
          <w:lang w:val="en-HK" w:eastAsia="en-US" w:bidi="en-US"/>
        </w:rPr>
        <w:t>India, Data and statistics</w:t>
      </w:r>
      <w:r w:rsidRPr="00562A20">
        <w:rPr>
          <w:rFonts w:eastAsia="Times New Roman" w:cs="Times New Roman"/>
          <w:szCs w:val="24"/>
          <w:lang w:val="en-HK" w:eastAsia="en-US" w:bidi="en-US"/>
        </w:rPr>
        <w:t>. Available at: https://www.iea.org/data-and-statistics/data-tables?country=INDIA&amp;energy=Electricity&amp;year=2017 (Accessed</w:t>
      </w:r>
      <w:r w:rsidR="00254E39">
        <w:rPr>
          <w:rFonts w:eastAsia="Times New Roman" w:cs="Times New Roman"/>
          <w:szCs w:val="24"/>
          <w:lang w:val="en-HK" w:eastAsia="en-US" w:bidi="en-US"/>
        </w:rPr>
        <w:t>: 22</w:t>
      </w:r>
      <w:r w:rsidR="00254E39" w:rsidRPr="00254E39">
        <w:rPr>
          <w:rFonts w:eastAsia="Times New Roman" w:cs="Times New Roman"/>
          <w:szCs w:val="24"/>
          <w:vertAlign w:val="superscript"/>
          <w:lang w:val="en-HK" w:eastAsia="en-US" w:bidi="en-US"/>
        </w:rPr>
        <w:t>nd</w:t>
      </w:r>
      <w:r w:rsidRPr="00562A20">
        <w:rPr>
          <w:rFonts w:eastAsia="Times New Roman" w:cs="Times New Roman"/>
          <w:szCs w:val="24"/>
          <w:lang w:val="en-HK" w:eastAsia="en-US" w:bidi="en-US"/>
        </w:rPr>
        <w:t xml:space="preserve"> February 2020)</w:t>
      </w:r>
      <w:r>
        <w:rPr>
          <w:rFonts w:eastAsia="Times New Roman" w:cs="Times New Roman"/>
          <w:szCs w:val="24"/>
          <w:lang w:val="en-HK" w:eastAsia="en-US" w:bidi="en-US"/>
        </w:rPr>
        <w:t>.</w:t>
      </w:r>
    </w:p>
    <w:p w14:paraId="716AF093" w14:textId="77777777" w:rsidR="00562A20" w:rsidRDefault="00562A20" w:rsidP="00897BF4">
      <w:pPr>
        <w:spacing w:after="0" w:line="240" w:lineRule="auto"/>
        <w:ind w:left="540" w:hanging="540"/>
        <w:rPr>
          <w:rFonts w:eastAsia="Times New Roman" w:cs="Times New Roman"/>
          <w:szCs w:val="24"/>
          <w:lang w:val="en-HK" w:eastAsia="en-US" w:bidi="en-US"/>
        </w:rPr>
      </w:pPr>
    </w:p>
    <w:p w14:paraId="57E68902" w14:textId="7A92EBBF"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eastAsia="en-US" w:bidi="en-US"/>
        </w:rPr>
        <w:t xml:space="preserve">International Monetary Fund (2020a) </w:t>
      </w:r>
      <w:r w:rsidRPr="00716F6D">
        <w:rPr>
          <w:rFonts w:eastAsia="Times New Roman" w:cs="Times New Roman"/>
          <w:i/>
          <w:szCs w:val="24"/>
          <w:lang w:val="en-HK" w:eastAsia="en-US" w:bidi="en-US"/>
        </w:rPr>
        <w:t xml:space="preserve">World Economic Outlook, January 2020. </w:t>
      </w:r>
      <w:r w:rsidRPr="00716F6D">
        <w:rPr>
          <w:rFonts w:eastAsia="Times New Roman" w:cs="Times New Roman"/>
          <w:szCs w:val="24"/>
          <w:lang w:val="en-HK" w:eastAsia="en-US" w:bidi="en-US"/>
        </w:rPr>
        <w:t xml:space="preserve">Available at: </w:t>
      </w:r>
      <w:r w:rsidRPr="00716F6D">
        <w:rPr>
          <w:rFonts w:eastAsia="Times New Roman" w:cs="Times New Roman"/>
          <w:szCs w:val="24"/>
          <w:lang w:val="en-HK"/>
        </w:rPr>
        <w:t>https://www.imf.org/en/Publications/WEO/Issues/2020/01/20/weo-update-january2020 (Accessed: 15</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570ABE01" w14:textId="77777777" w:rsidR="00562A20" w:rsidRDefault="00562A20" w:rsidP="00897BF4">
      <w:pPr>
        <w:spacing w:after="0" w:line="240" w:lineRule="auto"/>
        <w:ind w:left="540" w:hanging="540"/>
        <w:rPr>
          <w:rFonts w:eastAsia="Times New Roman" w:cs="Times New Roman"/>
          <w:szCs w:val="24"/>
          <w:lang w:val="en-HK" w:eastAsia="en-US" w:bidi="en-US"/>
        </w:rPr>
      </w:pPr>
    </w:p>
    <w:p w14:paraId="4222E8A5" w14:textId="30AC24C1"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eastAsia="en-US" w:bidi="en-US"/>
        </w:rPr>
        <w:t xml:space="preserve">International Monetary Fund (2020b) </w:t>
      </w:r>
      <w:r w:rsidRPr="00716F6D">
        <w:rPr>
          <w:rFonts w:eastAsia="Times New Roman" w:cs="Times New Roman"/>
          <w:i/>
          <w:szCs w:val="24"/>
          <w:lang w:val="en-HK" w:eastAsia="en-US" w:bidi="en-US"/>
        </w:rPr>
        <w:t xml:space="preserve">Country Data. </w:t>
      </w:r>
      <w:r w:rsidRPr="00716F6D">
        <w:rPr>
          <w:rFonts w:eastAsia="Times New Roman" w:cs="Times New Roman"/>
          <w:szCs w:val="24"/>
          <w:lang w:val="en-HK" w:eastAsia="en-US" w:bidi="en-US"/>
        </w:rPr>
        <w:t xml:space="preserve">Available at: </w:t>
      </w:r>
      <w:r w:rsidRPr="00716F6D">
        <w:rPr>
          <w:rFonts w:eastAsia="Times New Roman" w:cs="Times New Roman"/>
          <w:szCs w:val="24"/>
          <w:lang w:val="en-HK"/>
        </w:rPr>
        <w:t>https://www.imf.org/en/Countries/IND (Accessed: 17</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75CE2A30" w14:textId="77777777" w:rsidR="00562A20" w:rsidRDefault="00562A20" w:rsidP="00897BF4">
      <w:pPr>
        <w:shd w:val="clear" w:color="auto" w:fill="FFFFFF"/>
        <w:spacing w:after="158" w:line="240" w:lineRule="auto"/>
        <w:ind w:left="540" w:hanging="540"/>
        <w:rPr>
          <w:rFonts w:eastAsia="Times New Roman" w:cs="Times New Roman"/>
          <w:szCs w:val="24"/>
        </w:rPr>
      </w:pPr>
    </w:p>
    <w:p w14:paraId="5043D064" w14:textId="5F2F06DB" w:rsidR="00562A20" w:rsidRPr="00716F6D" w:rsidRDefault="00562A20" w:rsidP="00897BF4">
      <w:pPr>
        <w:shd w:val="clear" w:color="auto" w:fill="FFFFFF"/>
        <w:spacing w:after="158" w:line="240" w:lineRule="auto"/>
        <w:ind w:left="540" w:hanging="540"/>
        <w:rPr>
          <w:rFonts w:eastAsia="Times New Roman" w:cs="Times New Roman"/>
          <w:szCs w:val="24"/>
        </w:rPr>
      </w:pPr>
      <w:r w:rsidRPr="00716F6D">
        <w:rPr>
          <w:rFonts w:eastAsia="Times New Roman" w:cs="Times New Roman"/>
          <w:szCs w:val="24"/>
        </w:rPr>
        <w:lastRenderedPageBreak/>
        <w:t xml:space="preserve">Jiang Y., </w:t>
      </w:r>
      <w:proofErr w:type="spellStart"/>
      <w:r w:rsidRPr="00716F6D">
        <w:rPr>
          <w:rFonts w:eastAsia="Times New Roman" w:cs="Times New Roman"/>
          <w:szCs w:val="24"/>
        </w:rPr>
        <w:t>Jia</w:t>
      </w:r>
      <w:proofErr w:type="spellEnd"/>
      <w:r w:rsidRPr="00716F6D">
        <w:rPr>
          <w:rFonts w:eastAsia="Times New Roman" w:cs="Times New Roman"/>
          <w:szCs w:val="24"/>
        </w:rPr>
        <w:t xml:space="preserve">, F., </w:t>
      </w:r>
      <w:proofErr w:type="spellStart"/>
      <w:r w:rsidRPr="00716F6D">
        <w:rPr>
          <w:rFonts w:eastAsia="Times New Roman" w:cs="Times New Roman"/>
          <w:szCs w:val="24"/>
        </w:rPr>
        <w:t>Blome</w:t>
      </w:r>
      <w:proofErr w:type="spellEnd"/>
      <w:r w:rsidRPr="00716F6D">
        <w:rPr>
          <w:rFonts w:eastAsia="Times New Roman" w:cs="Times New Roman"/>
          <w:szCs w:val="24"/>
        </w:rPr>
        <w:t xml:space="preserve">, C, and Chen, L. (2019) ‘Achieving sustainability in global sourcing: </w:t>
      </w:r>
      <w:r w:rsidR="00A15F6F">
        <w:rPr>
          <w:rFonts w:eastAsia="Times New Roman" w:cs="Times New Roman"/>
          <w:szCs w:val="24"/>
        </w:rPr>
        <w:t>towards a conceptual framework’,</w:t>
      </w:r>
      <w:r w:rsidRPr="00716F6D">
        <w:rPr>
          <w:rFonts w:eastAsia="Times New Roman" w:cs="Times New Roman"/>
          <w:szCs w:val="24"/>
        </w:rPr>
        <w:t> </w:t>
      </w:r>
      <w:r w:rsidRPr="00716F6D">
        <w:rPr>
          <w:rFonts w:eastAsia="Times New Roman" w:cs="Times New Roman"/>
          <w:i/>
          <w:iCs/>
          <w:szCs w:val="24"/>
        </w:rPr>
        <w:t>Supply Chain Management, </w:t>
      </w:r>
      <w:r w:rsidRPr="00716F6D">
        <w:rPr>
          <w:rFonts w:eastAsia="Times New Roman" w:cs="Times New Roman"/>
          <w:bCs/>
          <w:szCs w:val="24"/>
        </w:rPr>
        <w:t>25</w:t>
      </w:r>
      <w:r w:rsidRPr="00716F6D">
        <w:rPr>
          <w:rFonts w:eastAsia="Times New Roman" w:cs="Times New Roman"/>
          <w:szCs w:val="24"/>
        </w:rPr>
        <w:t>(1), pp. 35-60.</w:t>
      </w:r>
    </w:p>
    <w:p w14:paraId="549E6CFC" w14:textId="77777777"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Jose, O.M. and </w:t>
      </w:r>
      <w:proofErr w:type="spellStart"/>
      <w:r w:rsidRPr="00716F6D">
        <w:rPr>
          <w:rFonts w:eastAsia="Times New Roman" w:cs="Times New Roman"/>
          <w:szCs w:val="24"/>
          <w:lang w:val="en-HK"/>
        </w:rPr>
        <w:t>Olleros</w:t>
      </w:r>
      <w:proofErr w:type="spellEnd"/>
      <w:r w:rsidRPr="00716F6D">
        <w:rPr>
          <w:rFonts w:eastAsia="Times New Roman" w:cs="Times New Roman"/>
          <w:szCs w:val="24"/>
          <w:lang w:val="en-HK"/>
        </w:rPr>
        <w:t>, F.X. (2019) ‘</w:t>
      </w:r>
      <w:proofErr w:type="spellStart"/>
      <w:r w:rsidRPr="00716F6D">
        <w:rPr>
          <w:rFonts w:eastAsia="Times New Roman" w:cs="Times New Roman"/>
          <w:szCs w:val="24"/>
          <w:lang w:val="en-HK"/>
        </w:rPr>
        <w:t>Microfactories</w:t>
      </w:r>
      <w:proofErr w:type="spellEnd"/>
      <w:r w:rsidRPr="00716F6D">
        <w:rPr>
          <w:rFonts w:eastAsia="Times New Roman" w:cs="Times New Roman"/>
          <w:szCs w:val="24"/>
          <w:lang w:val="en-HK"/>
        </w:rPr>
        <w:t xml:space="preserve"> and the new economies of scale and scope: IMS’, </w:t>
      </w:r>
      <w:r w:rsidRPr="00716F6D">
        <w:rPr>
          <w:rFonts w:eastAsia="Times New Roman" w:cs="Times New Roman"/>
          <w:i/>
          <w:szCs w:val="24"/>
          <w:lang w:val="en-HK"/>
        </w:rPr>
        <w:t>Journal of Manufacturing Technology Management</w:t>
      </w:r>
      <w:r w:rsidRPr="00716F6D">
        <w:rPr>
          <w:rFonts w:eastAsia="Times New Roman" w:cs="Times New Roman"/>
          <w:szCs w:val="24"/>
          <w:lang w:val="en-HK"/>
        </w:rPr>
        <w:t>, 31(1), pp. 72-90.</w:t>
      </w:r>
    </w:p>
    <w:p w14:paraId="417BBF37"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5CC7E586" w14:textId="43377477"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Keogh-Brown, M. R. and Smith, R. D. (2008) ‘The economic impact of SARS: how does the reality match the predictions?’, </w:t>
      </w:r>
      <w:r w:rsidRPr="00716F6D">
        <w:rPr>
          <w:rFonts w:eastAsia="Times New Roman" w:cs="Times New Roman"/>
          <w:i/>
          <w:iCs/>
          <w:szCs w:val="24"/>
          <w:shd w:val="clear" w:color="auto" w:fill="FFFFFF"/>
          <w:lang w:val="en-HK"/>
        </w:rPr>
        <w:t>Health policy</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88</w:t>
      </w:r>
      <w:r w:rsidRPr="00716F6D">
        <w:rPr>
          <w:rFonts w:eastAsia="Times New Roman" w:cs="Times New Roman"/>
          <w:szCs w:val="24"/>
          <w:shd w:val="clear" w:color="auto" w:fill="FFFFFF"/>
          <w:lang w:val="en-HK"/>
        </w:rPr>
        <w:t>(1), pp. 110-120.</w:t>
      </w:r>
    </w:p>
    <w:p w14:paraId="3BEAB5F2"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7BBD27AF" w14:textId="346904D2" w:rsidR="00562A20" w:rsidRPr="00716F6D" w:rsidRDefault="00562A20" w:rsidP="00897BF4">
      <w:pPr>
        <w:spacing w:after="0" w:line="240" w:lineRule="auto"/>
        <w:ind w:left="540" w:hanging="540"/>
        <w:rPr>
          <w:rFonts w:eastAsia="Times New Roman" w:cs="Times New Roman"/>
          <w:szCs w:val="24"/>
          <w:shd w:val="clear" w:color="auto" w:fill="FFFFFF"/>
          <w:lang w:val="en-HK"/>
        </w:rPr>
      </w:pPr>
      <w:proofErr w:type="spellStart"/>
      <w:r w:rsidRPr="00716F6D">
        <w:rPr>
          <w:rFonts w:eastAsia="Times New Roman" w:cs="Times New Roman"/>
          <w:szCs w:val="24"/>
          <w:shd w:val="clear" w:color="auto" w:fill="FFFFFF"/>
          <w:lang w:val="en-HK"/>
        </w:rPr>
        <w:t>Kubickova</w:t>
      </w:r>
      <w:proofErr w:type="spellEnd"/>
      <w:r w:rsidRPr="00716F6D">
        <w:rPr>
          <w:rFonts w:eastAsia="Times New Roman" w:cs="Times New Roman"/>
          <w:szCs w:val="24"/>
          <w:shd w:val="clear" w:color="auto" w:fill="FFFFFF"/>
          <w:lang w:val="en-HK"/>
        </w:rPr>
        <w:t>, M. (2019) ‘The impact of government policies on destination competitiveness in developing economies’, </w:t>
      </w:r>
      <w:r w:rsidRPr="00716F6D">
        <w:rPr>
          <w:rFonts w:eastAsia="Times New Roman" w:cs="Times New Roman"/>
          <w:i/>
          <w:iCs/>
          <w:szCs w:val="24"/>
          <w:shd w:val="clear" w:color="auto" w:fill="FFFFFF"/>
          <w:lang w:val="en-HK"/>
        </w:rPr>
        <w:t>Current Issues in Tourism</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22</w:t>
      </w:r>
      <w:r w:rsidRPr="00716F6D">
        <w:rPr>
          <w:rFonts w:eastAsia="Times New Roman" w:cs="Times New Roman"/>
          <w:szCs w:val="24"/>
          <w:shd w:val="clear" w:color="auto" w:fill="FFFFFF"/>
          <w:lang w:val="en-HK"/>
        </w:rPr>
        <w:t>(6), pp. 619-642.</w:t>
      </w:r>
    </w:p>
    <w:p w14:paraId="206E2A01" w14:textId="77777777" w:rsidR="00562A20" w:rsidRDefault="00562A20" w:rsidP="00897BF4">
      <w:pPr>
        <w:spacing w:after="0" w:line="240" w:lineRule="auto"/>
        <w:ind w:left="540" w:hanging="540"/>
        <w:rPr>
          <w:rFonts w:eastAsia="Times New Roman" w:cs="Times New Roman"/>
          <w:szCs w:val="24"/>
          <w:lang w:eastAsia="en-US" w:bidi="en-US"/>
        </w:rPr>
      </w:pPr>
    </w:p>
    <w:p w14:paraId="22A854E5" w14:textId="0A1345EC" w:rsidR="00562A20" w:rsidRPr="00716F6D" w:rsidRDefault="00562A20" w:rsidP="00897BF4">
      <w:pPr>
        <w:spacing w:after="0" w:line="240" w:lineRule="auto"/>
        <w:ind w:left="540" w:hanging="540"/>
        <w:rPr>
          <w:rFonts w:eastAsia="Times New Roman" w:cs="Times New Roman"/>
          <w:szCs w:val="24"/>
          <w:lang w:eastAsia="en-US" w:bidi="en-US"/>
        </w:rPr>
      </w:pPr>
      <w:r w:rsidRPr="00716F6D">
        <w:rPr>
          <w:rFonts w:eastAsia="Times New Roman" w:cs="Times New Roman"/>
          <w:szCs w:val="24"/>
          <w:lang w:eastAsia="en-US" w:bidi="en-US"/>
        </w:rPr>
        <w:t xml:space="preserve">Kumar V. (2019) ‘How </w:t>
      </w:r>
      <w:proofErr w:type="spellStart"/>
      <w:r w:rsidRPr="00716F6D">
        <w:rPr>
          <w:rFonts w:eastAsia="Times New Roman" w:cs="Times New Roman"/>
          <w:szCs w:val="24"/>
          <w:lang w:eastAsia="en-US" w:bidi="en-US"/>
        </w:rPr>
        <w:t>IoT</w:t>
      </w:r>
      <w:proofErr w:type="spellEnd"/>
      <w:r w:rsidRPr="00716F6D">
        <w:rPr>
          <w:rFonts w:eastAsia="Times New Roman" w:cs="Times New Roman"/>
          <w:szCs w:val="24"/>
          <w:lang w:eastAsia="en-US" w:bidi="en-US"/>
        </w:rPr>
        <w:t xml:space="preserve"> is transforming supply chain management’, </w:t>
      </w:r>
      <w:r w:rsidRPr="00716F6D">
        <w:rPr>
          <w:rFonts w:eastAsia="Times New Roman" w:cs="Times New Roman"/>
          <w:i/>
          <w:szCs w:val="24"/>
          <w:lang w:eastAsia="en-US" w:bidi="en-US"/>
        </w:rPr>
        <w:t>Machine Design</w:t>
      </w:r>
      <w:r w:rsidRPr="00716F6D">
        <w:rPr>
          <w:rFonts w:eastAsia="Times New Roman" w:cs="Times New Roman"/>
          <w:szCs w:val="24"/>
          <w:lang w:eastAsia="en-US" w:bidi="en-US"/>
        </w:rPr>
        <w:t>, 91(11), pp. 84.</w:t>
      </w:r>
    </w:p>
    <w:p w14:paraId="603BA437" w14:textId="77777777" w:rsidR="00562A20" w:rsidRDefault="00562A20" w:rsidP="00897BF4">
      <w:pPr>
        <w:spacing w:after="0" w:line="240" w:lineRule="auto"/>
        <w:ind w:left="540" w:hanging="540"/>
        <w:rPr>
          <w:rFonts w:eastAsia="Times New Roman" w:cs="Times New Roman"/>
          <w:szCs w:val="24"/>
          <w:lang w:val="en-HK"/>
        </w:rPr>
      </w:pPr>
    </w:p>
    <w:p w14:paraId="2ECD9375" w14:textId="26B09B1E" w:rsidR="00562A20" w:rsidRPr="00716F6D" w:rsidRDefault="00562A20" w:rsidP="00897BF4">
      <w:pPr>
        <w:spacing w:after="0" w:line="240" w:lineRule="auto"/>
        <w:ind w:left="540" w:hanging="540"/>
        <w:rPr>
          <w:rFonts w:eastAsia="Times New Roman" w:cs="Times New Roman"/>
          <w:szCs w:val="24"/>
          <w:lang w:val="en-HK"/>
        </w:rPr>
      </w:pPr>
      <w:proofErr w:type="spellStart"/>
      <w:r w:rsidRPr="00716F6D">
        <w:rPr>
          <w:rFonts w:eastAsia="Times New Roman" w:cs="Times New Roman"/>
          <w:szCs w:val="24"/>
          <w:lang w:val="en-HK"/>
        </w:rPr>
        <w:t>Lacity</w:t>
      </w:r>
      <w:proofErr w:type="spellEnd"/>
      <w:r w:rsidRPr="00716F6D">
        <w:rPr>
          <w:rFonts w:eastAsia="Times New Roman" w:cs="Times New Roman"/>
          <w:szCs w:val="24"/>
          <w:lang w:val="en-HK"/>
        </w:rPr>
        <w:t xml:space="preserve">, M.C., Willcocks, L.P. and </w:t>
      </w:r>
      <w:proofErr w:type="spellStart"/>
      <w:r w:rsidRPr="00716F6D">
        <w:rPr>
          <w:rFonts w:eastAsia="Times New Roman" w:cs="Times New Roman"/>
          <w:szCs w:val="24"/>
          <w:lang w:val="en-HK"/>
        </w:rPr>
        <w:t>Rottman</w:t>
      </w:r>
      <w:proofErr w:type="spellEnd"/>
      <w:r w:rsidRPr="00716F6D">
        <w:rPr>
          <w:rFonts w:eastAsia="Times New Roman" w:cs="Times New Roman"/>
          <w:szCs w:val="24"/>
          <w:lang w:val="en-HK"/>
        </w:rPr>
        <w:t xml:space="preserve">, J.W. (2008) ‘Global outsourcing of back office services: lessons, trends, and enduring challenges’, </w:t>
      </w:r>
      <w:r w:rsidRPr="00716F6D">
        <w:rPr>
          <w:rFonts w:eastAsia="Times New Roman" w:cs="Times New Roman"/>
          <w:i/>
          <w:szCs w:val="24"/>
          <w:lang w:val="en-HK"/>
        </w:rPr>
        <w:t>Strategic Outsourcing: An International Journal</w:t>
      </w:r>
      <w:r w:rsidRPr="00716F6D">
        <w:rPr>
          <w:rFonts w:eastAsia="Times New Roman" w:cs="Times New Roman"/>
          <w:szCs w:val="24"/>
          <w:lang w:val="en-HK"/>
        </w:rPr>
        <w:t>, 1(1), pp. 13-34.</w:t>
      </w:r>
    </w:p>
    <w:p w14:paraId="1A1419E1"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1F9EC72C" w14:textId="6C01BF48"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 xml:space="preserve">Lane, P. R., and </w:t>
      </w:r>
      <w:proofErr w:type="spellStart"/>
      <w:r w:rsidRPr="00716F6D">
        <w:rPr>
          <w:rFonts w:eastAsia="Times New Roman" w:cs="Times New Roman"/>
          <w:szCs w:val="24"/>
          <w:shd w:val="clear" w:color="auto" w:fill="FFFFFF"/>
          <w:lang w:val="en-HK"/>
        </w:rPr>
        <w:t>Milesi</w:t>
      </w:r>
      <w:proofErr w:type="spellEnd"/>
      <w:r w:rsidRPr="00716F6D">
        <w:rPr>
          <w:rFonts w:eastAsia="Times New Roman" w:cs="Times New Roman"/>
          <w:szCs w:val="24"/>
          <w:shd w:val="clear" w:color="auto" w:fill="FFFFFF"/>
          <w:lang w:val="en-HK"/>
        </w:rPr>
        <w:t>-Ferretti, G. M. (2018) ‘The external wealth of nations revisited: international financial integration in the aftermath of the global financial crisis’, </w:t>
      </w:r>
      <w:r w:rsidRPr="00716F6D">
        <w:rPr>
          <w:rFonts w:eastAsia="Times New Roman" w:cs="Times New Roman"/>
          <w:i/>
          <w:iCs/>
          <w:szCs w:val="24"/>
          <w:shd w:val="clear" w:color="auto" w:fill="FFFFFF"/>
          <w:lang w:val="en-HK"/>
        </w:rPr>
        <w:t>IMF Economic Review</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66</w:t>
      </w:r>
      <w:r w:rsidRPr="00716F6D">
        <w:rPr>
          <w:rFonts w:eastAsia="Times New Roman" w:cs="Times New Roman"/>
          <w:szCs w:val="24"/>
          <w:shd w:val="clear" w:color="auto" w:fill="FFFFFF"/>
          <w:lang w:val="en-HK"/>
        </w:rPr>
        <w:t>(1), pp. 189-222.</w:t>
      </w:r>
    </w:p>
    <w:p w14:paraId="3D376904" w14:textId="77777777" w:rsidR="00562A20" w:rsidRDefault="00562A20" w:rsidP="00897BF4">
      <w:pPr>
        <w:spacing w:after="0" w:line="240" w:lineRule="auto"/>
        <w:ind w:left="540" w:hanging="540"/>
        <w:rPr>
          <w:rFonts w:eastAsia="Times New Roman" w:cs="Times New Roman"/>
          <w:szCs w:val="24"/>
          <w:lang w:val="en-HK"/>
        </w:rPr>
      </w:pPr>
    </w:p>
    <w:p w14:paraId="294BAA65" w14:textId="0DE249D7"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Le, N.H. and </w:t>
      </w:r>
      <w:proofErr w:type="spellStart"/>
      <w:r w:rsidRPr="00716F6D">
        <w:rPr>
          <w:rFonts w:eastAsia="Times New Roman" w:cs="Times New Roman"/>
          <w:szCs w:val="24"/>
          <w:lang w:val="en-HK"/>
        </w:rPr>
        <w:t>Nhu</w:t>
      </w:r>
      <w:proofErr w:type="spellEnd"/>
      <w:r w:rsidRPr="00716F6D">
        <w:rPr>
          <w:rFonts w:eastAsia="Times New Roman" w:cs="Times New Roman"/>
          <w:szCs w:val="24"/>
          <w:lang w:val="en-HK"/>
        </w:rPr>
        <w:t xml:space="preserve">, D. (2009) ‘Food Retail Competitive Strategy in Recession Economy: a case of successful foreign discount stores in Finland’, </w:t>
      </w:r>
      <w:r w:rsidRPr="00716F6D">
        <w:rPr>
          <w:rFonts w:eastAsia="Times New Roman" w:cs="Times New Roman"/>
          <w:i/>
          <w:szCs w:val="24"/>
          <w:lang w:val="en-HK"/>
        </w:rPr>
        <w:t>International Journal of Business and Management</w:t>
      </w:r>
      <w:r w:rsidRPr="00716F6D">
        <w:rPr>
          <w:rFonts w:eastAsia="Times New Roman" w:cs="Times New Roman"/>
          <w:szCs w:val="24"/>
          <w:lang w:val="en-HK"/>
        </w:rPr>
        <w:t>, 4(6), pp. 44-50.</w:t>
      </w:r>
    </w:p>
    <w:p w14:paraId="60320502" w14:textId="77777777" w:rsidR="00562A20" w:rsidRDefault="00562A20" w:rsidP="00897BF4">
      <w:pPr>
        <w:spacing w:after="0" w:line="240" w:lineRule="auto"/>
        <w:ind w:left="540" w:hanging="540"/>
        <w:rPr>
          <w:rFonts w:eastAsia="Times New Roman" w:cs="Times New Roman"/>
          <w:szCs w:val="24"/>
          <w:lang w:eastAsia="en-US" w:bidi="en-US"/>
        </w:rPr>
      </w:pPr>
    </w:p>
    <w:p w14:paraId="56D49C23" w14:textId="3999E6A4" w:rsidR="00562A20" w:rsidRPr="00716F6D" w:rsidRDefault="00562A20" w:rsidP="00897BF4">
      <w:pPr>
        <w:spacing w:after="0" w:line="240" w:lineRule="auto"/>
        <w:ind w:left="540" w:hanging="540"/>
        <w:rPr>
          <w:rFonts w:eastAsia="Times New Roman" w:cs="Times New Roman"/>
          <w:szCs w:val="24"/>
          <w:lang w:eastAsia="en-US" w:bidi="en-US"/>
        </w:rPr>
      </w:pPr>
      <w:proofErr w:type="spellStart"/>
      <w:r w:rsidRPr="00716F6D">
        <w:rPr>
          <w:rFonts w:eastAsia="Times New Roman" w:cs="Times New Roman"/>
          <w:szCs w:val="24"/>
          <w:lang w:eastAsia="en-US" w:bidi="en-US"/>
        </w:rPr>
        <w:t>Maurya</w:t>
      </w:r>
      <w:proofErr w:type="spellEnd"/>
      <w:r w:rsidRPr="00716F6D">
        <w:rPr>
          <w:rFonts w:eastAsia="Times New Roman" w:cs="Times New Roman"/>
          <w:szCs w:val="24"/>
          <w:lang w:eastAsia="en-US" w:bidi="en-US"/>
        </w:rPr>
        <w:t xml:space="preserve">, A. (2019) ‘A case study on Rural Marketing Strategies of MNCs using 6E framework in India and Indonesia’, </w:t>
      </w:r>
      <w:r w:rsidRPr="00716F6D">
        <w:rPr>
          <w:rFonts w:eastAsia="Times New Roman" w:cs="Times New Roman"/>
          <w:i/>
          <w:szCs w:val="24"/>
          <w:lang w:eastAsia="en-US" w:bidi="en-US"/>
        </w:rPr>
        <w:t>International Journal of Applied Business and International Management</w:t>
      </w:r>
      <w:r w:rsidRPr="00716F6D">
        <w:rPr>
          <w:rFonts w:eastAsia="Times New Roman" w:cs="Times New Roman"/>
          <w:szCs w:val="24"/>
          <w:lang w:eastAsia="en-US" w:bidi="en-US"/>
        </w:rPr>
        <w:t>, 4(1), pp. 13-18.</w:t>
      </w:r>
    </w:p>
    <w:p w14:paraId="04A2E8B1" w14:textId="77777777" w:rsidR="00562A20" w:rsidRDefault="00562A20" w:rsidP="00897BF4">
      <w:pPr>
        <w:spacing w:after="0" w:line="240" w:lineRule="auto"/>
        <w:ind w:left="540" w:hanging="540"/>
        <w:rPr>
          <w:rFonts w:eastAsia="Times New Roman" w:cs="Times New Roman"/>
          <w:szCs w:val="24"/>
          <w:lang w:eastAsia="en-US" w:bidi="en-US"/>
        </w:rPr>
      </w:pPr>
    </w:p>
    <w:p w14:paraId="3576D471" w14:textId="42AD1246" w:rsidR="00562A20" w:rsidRPr="00716F6D" w:rsidRDefault="00562A20" w:rsidP="00897BF4">
      <w:pPr>
        <w:spacing w:after="0" w:line="240" w:lineRule="auto"/>
        <w:ind w:left="540" w:hanging="540"/>
        <w:rPr>
          <w:rFonts w:eastAsia="Times New Roman" w:cs="Times New Roman"/>
          <w:szCs w:val="24"/>
          <w:lang w:eastAsia="en-US" w:bidi="en-US"/>
        </w:rPr>
      </w:pPr>
      <w:proofErr w:type="spellStart"/>
      <w:r w:rsidRPr="00716F6D">
        <w:rPr>
          <w:rFonts w:eastAsia="Times New Roman" w:cs="Times New Roman"/>
          <w:szCs w:val="24"/>
          <w:lang w:eastAsia="en-US" w:bidi="en-US"/>
        </w:rPr>
        <w:t>Mehra</w:t>
      </w:r>
      <w:proofErr w:type="spellEnd"/>
      <w:r w:rsidRPr="00716F6D">
        <w:rPr>
          <w:rFonts w:eastAsia="Times New Roman" w:cs="Times New Roman"/>
          <w:szCs w:val="24"/>
          <w:lang w:eastAsia="en-US" w:bidi="en-US"/>
        </w:rPr>
        <w:t xml:space="preserve">, S. (2017) ‘Entry Strategy of Global Corporations on The Markets of Non-EU Countries (India)’, </w:t>
      </w:r>
      <w:r w:rsidRPr="00716F6D">
        <w:rPr>
          <w:rFonts w:eastAsia="Times New Roman" w:cs="Times New Roman"/>
          <w:i/>
          <w:szCs w:val="24"/>
          <w:lang w:eastAsia="en-US" w:bidi="en-US"/>
        </w:rPr>
        <w:t>Scholar</w:t>
      </w:r>
      <w:r w:rsidRPr="00716F6D">
        <w:rPr>
          <w:rFonts w:eastAsia="Times New Roman" w:cs="Times New Roman"/>
          <w:szCs w:val="24"/>
          <w:lang w:eastAsia="en-US" w:bidi="en-US"/>
        </w:rPr>
        <w:t>, 2019.</w:t>
      </w:r>
    </w:p>
    <w:p w14:paraId="6E0CC744" w14:textId="77777777" w:rsidR="00562A20" w:rsidRDefault="00562A20" w:rsidP="00897BF4">
      <w:pPr>
        <w:spacing w:after="0" w:line="240" w:lineRule="auto"/>
        <w:ind w:left="540" w:hanging="540"/>
        <w:rPr>
          <w:rFonts w:eastAsia="Times New Roman" w:cs="Times New Roman"/>
          <w:szCs w:val="24"/>
          <w:lang w:val="en-HK"/>
        </w:rPr>
      </w:pPr>
    </w:p>
    <w:p w14:paraId="2AC0B1D8" w14:textId="177B3E2B"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HK"/>
        </w:rPr>
        <w:t xml:space="preserve">Ministry of Textiles (2019) </w:t>
      </w:r>
      <w:r w:rsidRPr="00716F6D">
        <w:rPr>
          <w:rFonts w:eastAsia="Times New Roman" w:cs="Times New Roman"/>
          <w:i/>
          <w:szCs w:val="24"/>
          <w:lang w:val="en-HK"/>
        </w:rPr>
        <w:t>Government of India Cotton Sector.</w:t>
      </w:r>
      <w:r w:rsidRPr="00716F6D">
        <w:rPr>
          <w:rFonts w:eastAsia="Times New Roman" w:cs="Times New Roman"/>
          <w:szCs w:val="24"/>
          <w:lang w:val="en-HK"/>
        </w:rPr>
        <w:t xml:space="preserve"> Available at: http://ministryoftextiles.gov.in/sites/default/files/Textiles-Sector-Cotton-Sep19.pdf (Accessed: 29</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January 2020)</w:t>
      </w:r>
    </w:p>
    <w:p w14:paraId="058E009E" w14:textId="77777777" w:rsidR="00562A20" w:rsidRDefault="00562A20" w:rsidP="00562A20">
      <w:pPr>
        <w:spacing w:after="0" w:line="240" w:lineRule="auto"/>
        <w:ind w:left="540" w:hanging="540"/>
        <w:rPr>
          <w:rFonts w:eastAsia="Times New Roman" w:cs="Times New Roman"/>
          <w:szCs w:val="24"/>
          <w:lang w:val="en-HK" w:eastAsia="en-US" w:bidi="en-US"/>
        </w:rPr>
      </w:pPr>
    </w:p>
    <w:p w14:paraId="3D736730" w14:textId="28A3AE3F" w:rsidR="00562A20" w:rsidRPr="00562A20" w:rsidRDefault="00562A20" w:rsidP="00562A20">
      <w:pPr>
        <w:spacing w:after="0" w:line="240" w:lineRule="auto"/>
        <w:ind w:left="540" w:hanging="540"/>
        <w:rPr>
          <w:rFonts w:eastAsia="Times New Roman" w:cs="Times New Roman"/>
          <w:szCs w:val="24"/>
          <w:lang w:val="en-HK" w:eastAsia="en-US" w:bidi="en-US"/>
        </w:rPr>
      </w:pPr>
      <w:proofErr w:type="spellStart"/>
      <w:r w:rsidRPr="00562A20">
        <w:rPr>
          <w:rFonts w:eastAsia="Times New Roman" w:cs="Times New Roman"/>
          <w:szCs w:val="24"/>
          <w:lang w:val="en-HK" w:eastAsia="en-US" w:bidi="en-US"/>
        </w:rPr>
        <w:t>Moretto</w:t>
      </w:r>
      <w:proofErr w:type="spellEnd"/>
      <w:r w:rsidRPr="00562A20">
        <w:rPr>
          <w:rFonts w:eastAsia="Times New Roman" w:cs="Times New Roman"/>
          <w:szCs w:val="24"/>
          <w:lang w:val="en-HK" w:eastAsia="en-US" w:bidi="en-US"/>
        </w:rPr>
        <w:t xml:space="preserve">, A., </w:t>
      </w:r>
      <w:proofErr w:type="spellStart"/>
      <w:r w:rsidRPr="00562A20">
        <w:rPr>
          <w:rFonts w:eastAsia="Times New Roman" w:cs="Times New Roman"/>
          <w:szCs w:val="24"/>
          <w:lang w:val="en-HK" w:eastAsia="en-US" w:bidi="en-US"/>
        </w:rPr>
        <w:t>Macchion</w:t>
      </w:r>
      <w:proofErr w:type="spellEnd"/>
      <w:r w:rsidRPr="00562A20">
        <w:rPr>
          <w:rFonts w:eastAsia="Times New Roman" w:cs="Times New Roman"/>
          <w:szCs w:val="24"/>
          <w:lang w:val="en-HK" w:eastAsia="en-US" w:bidi="en-US"/>
        </w:rPr>
        <w:t xml:space="preserve">, L., Lion, A., </w:t>
      </w:r>
      <w:proofErr w:type="spellStart"/>
      <w:r w:rsidRPr="00562A20">
        <w:rPr>
          <w:rFonts w:eastAsia="Times New Roman" w:cs="Times New Roman"/>
          <w:szCs w:val="24"/>
          <w:lang w:val="en-HK" w:eastAsia="en-US" w:bidi="en-US"/>
        </w:rPr>
        <w:t>Caniato</w:t>
      </w:r>
      <w:proofErr w:type="spellEnd"/>
      <w:r w:rsidRPr="00562A20">
        <w:rPr>
          <w:rFonts w:eastAsia="Times New Roman" w:cs="Times New Roman"/>
          <w:szCs w:val="24"/>
          <w:lang w:val="en-HK" w:eastAsia="en-US" w:bidi="en-US"/>
        </w:rPr>
        <w:t xml:space="preserve">, F., </w:t>
      </w:r>
      <w:proofErr w:type="spellStart"/>
      <w:r w:rsidRPr="00562A20">
        <w:rPr>
          <w:rFonts w:eastAsia="Times New Roman" w:cs="Times New Roman"/>
          <w:szCs w:val="24"/>
          <w:lang w:val="en-HK" w:eastAsia="en-US" w:bidi="en-US"/>
        </w:rPr>
        <w:t>Da</w:t>
      </w:r>
      <w:r w:rsidR="00254E39">
        <w:rPr>
          <w:rFonts w:eastAsia="Times New Roman" w:cs="Times New Roman"/>
          <w:szCs w:val="24"/>
          <w:lang w:val="en-HK" w:eastAsia="en-US" w:bidi="en-US"/>
        </w:rPr>
        <w:t>nese</w:t>
      </w:r>
      <w:proofErr w:type="spellEnd"/>
      <w:r w:rsidR="00254E39">
        <w:rPr>
          <w:rFonts w:eastAsia="Times New Roman" w:cs="Times New Roman"/>
          <w:szCs w:val="24"/>
          <w:lang w:val="en-HK" w:eastAsia="en-US" w:bidi="en-US"/>
        </w:rPr>
        <w:t xml:space="preserve">, P. and </w:t>
      </w:r>
      <w:proofErr w:type="spellStart"/>
      <w:r w:rsidR="00254E39">
        <w:rPr>
          <w:rFonts w:eastAsia="Times New Roman" w:cs="Times New Roman"/>
          <w:szCs w:val="24"/>
          <w:lang w:val="en-HK" w:eastAsia="en-US" w:bidi="en-US"/>
        </w:rPr>
        <w:t>Vinelli</w:t>
      </w:r>
      <w:proofErr w:type="spellEnd"/>
      <w:r w:rsidR="00254E39">
        <w:rPr>
          <w:rFonts w:eastAsia="Times New Roman" w:cs="Times New Roman"/>
          <w:szCs w:val="24"/>
          <w:lang w:val="en-HK" w:eastAsia="en-US" w:bidi="en-US"/>
        </w:rPr>
        <w:t>, A. (2018) ‘</w:t>
      </w:r>
      <w:r w:rsidRPr="00562A20">
        <w:rPr>
          <w:rFonts w:eastAsia="Times New Roman" w:cs="Times New Roman"/>
          <w:szCs w:val="24"/>
          <w:lang w:val="en-HK" w:eastAsia="en-US" w:bidi="en-US"/>
        </w:rPr>
        <w:t>Designing a roadmap towards a sustainable supply chain: A focus on the fashion industry</w:t>
      </w:r>
      <w:r w:rsidR="00254E39">
        <w:rPr>
          <w:rFonts w:eastAsia="Times New Roman" w:cs="Times New Roman"/>
          <w:szCs w:val="24"/>
          <w:lang w:val="en-HK" w:eastAsia="en-US" w:bidi="en-US"/>
        </w:rPr>
        <w:t>’,</w:t>
      </w:r>
      <w:r w:rsidRPr="00562A20">
        <w:rPr>
          <w:rFonts w:eastAsia="Times New Roman" w:cs="Times New Roman"/>
          <w:szCs w:val="24"/>
          <w:lang w:val="en-HK" w:eastAsia="en-US" w:bidi="en-US"/>
        </w:rPr>
        <w:t xml:space="preserve"> </w:t>
      </w:r>
      <w:r w:rsidRPr="00254E39">
        <w:rPr>
          <w:rFonts w:eastAsia="Times New Roman" w:cs="Times New Roman"/>
          <w:i/>
          <w:szCs w:val="24"/>
          <w:lang w:val="en-HK" w:eastAsia="en-US" w:bidi="en-US"/>
        </w:rPr>
        <w:t>Journal of cleaner production,</w:t>
      </w:r>
      <w:r w:rsidRPr="00562A20">
        <w:rPr>
          <w:rFonts w:eastAsia="Times New Roman" w:cs="Times New Roman"/>
          <w:szCs w:val="24"/>
          <w:lang w:val="en-HK" w:eastAsia="en-US" w:bidi="en-US"/>
        </w:rPr>
        <w:t xml:space="preserve"> 193, 169-184.</w:t>
      </w:r>
    </w:p>
    <w:p w14:paraId="461B64A1"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0F4A6D5D" w14:textId="608414B6" w:rsidR="00562A20" w:rsidRPr="00716F6D" w:rsidRDefault="00562A20" w:rsidP="00897BF4">
      <w:pPr>
        <w:spacing w:after="0" w:line="240" w:lineRule="auto"/>
        <w:ind w:left="540" w:hanging="540"/>
        <w:rPr>
          <w:rFonts w:eastAsia="Times New Roman" w:cs="Times New Roman"/>
          <w:szCs w:val="24"/>
          <w:shd w:val="clear" w:color="auto" w:fill="FFFFFF"/>
          <w:lang w:val="en-HK"/>
        </w:rPr>
      </w:pPr>
      <w:proofErr w:type="spellStart"/>
      <w:r w:rsidRPr="00716F6D">
        <w:rPr>
          <w:rFonts w:eastAsia="Times New Roman" w:cs="Times New Roman"/>
          <w:szCs w:val="24"/>
          <w:shd w:val="clear" w:color="auto" w:fill="FFFFFF"/>
          <w:lang w:val="en-HK"/>
        </w:rPr>
        <w:t>Nasscom</w:t>
      </w:r>
      <w:proofErr w:type="spellEnd"/>
      <w:r w:rsidRPr="00716F6D">
        <w:rPr>
          <w:rFonts w:eastAsia="Times New Roman" w:cs="Times New Roman"/>
          <w:szCs w:val="24"/>
          <w:shd w:val="clear" w:color="auto" w:fill="FFFFFF"/>
          <w:lang w:val="en-HK"/>
        </w:rPr>
        <w:t xml:space="preserve"> (2019) </w:t>
      </w:r>
      <w:r w:rsidRPr="00716F6D">
        <w:rPr>
          <w:rFonts w:eastAsia="Times New Roman" w:cs="Times New Roman"/>
          <w:i/>
          <w:szCs w:val="24"/>
          <w:shd w:val="clear" w:color="auto" w:fill="FFFFFF"/>
          <w:lang w:val="en-HK"/>
        </w:rPr>
        <w:t xml:space="preserve">Indian Tech Start-Up Ecosystem: Leading Tech </w:t>
      </w:r>
      <w:proofErr w:type="gramStart"/>
      <w:r w:rsidRPr="00716F6D">
        <w:rPr>
          <w:rFonts w:eastAsia="Times New Roman" w:cs="Times New Roman"/>
          <w:i/>
          <w:szCs w:val="24"/>
          <w:shd w:val="clear" w:color="auto" w:fill="FFFFFF"/>
          <w:lang w:val="en-HK"/>
        </w:rPr>
        <w:t>In</w:t>
      </w:r>
      <w:proofErr w:type="gramEnd"/>
      <w:r w:rsidRPr="00716F6D">
        <w:rPr>
          <w:rFonts w:eastAsia="Times New Roman" w:cs="Times New Roman"/>
          <w:i/>
          <w:szCs w:val="24"/>
          <w:shd w:val="clear" w:color="auto" w:fill="FFFFFF"/>
          <w:lang w:val="en-HK"/>
        </w:rPr>
        <w:t xml:space="preserve"> The 20s. </w:t>
      </w:r>
      <w:r w:rsidRPr="00716F6D">
        <w:rPr>
          <w:rFonts w:eastAsia="Times New Roman" w:cs="Times New Roman"/>
          <w:szCs w:val="24"/>
          <w:shd w:val="clear" w:color="auto" w:fill="FFFFFF"/>
          <w:lang w:val="en-HK"/>
        </w:rPr>
        <w:t>Available at: https://www.nasscom.in/knowledge-center/publications/indian-tech-start-ecosystem-leading-tech-20s (Accessed: 25</w:t>
      </w:r>
      <w:r w:rsidRPr="00716F6D">
        <w:rPr>
          <w:rFonts w:eastAsia="Times New Roman" w:cs="Times New Roman"/>
          <w:szCs w:val="24"/>
          <w:shd w:val="clear" w:color="auto" w:fill="FFFFFF"/>
          <w:vertAlign w:val="superscript"/>
          <w:lang w:val="en-HK"/>
        </w:rPr>
        <w:t>th</w:t>
      </w:r>
      <w:r w:rsidRPr="00716F6D">
        <w:rPr>
          <w:rFonts w:eastAsia="Times New Roman" w:cs="Times New Roman"/>
          <w:szCs w:val="24"/>
          <w:shd w:val="clear" w:color="auto" w:fill="FFFFFF"/>
          <w:lang w:val="en-HK"/>
        </w:rPr>
        <w:t xml:space="preserve"> January 2020).</w:t>
      </w:r>
    </w:p>
    <w:p w14:paraId="7AA49A47"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355242DB" w14:textId="748038AE"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 xml:space="preserve">OECD (2002) </w:t>
      </w:r>
      <w:r w:rsidRPr="00716F6D">
        <w:rPr>
          <w:rFonts w:eastAsia="Times New Roman" w:cs="Times New Roman"/>
          <w:i/>
          <w:szCs w:val="24"/>
          <w:shd w:val="clear" w:color="auto" w:fill="FFFFFF"/>
          <w:lang w:val="en-HK"/>
        </w:rPr>
        <w:t xml:space="preserve">Glossary of statistical terms: Economies of Scale. </w:t>
      </w:r>
      <w:r w:rsidRPr="00716F6D">
        <w:rPr>
          <w:rFonts w:eastAsia="Times New Roman" w:cs="Times New Roman"/>
          <w:szCs w:val="24"/>
          <w:shd w:val="clear" w:color="auto" w:fill="FFFFFF"/>
          <w:lang w:val="en-HK"/>
        </w:rPr>
        <w:t>Available at: https://stats.oecd.org/glossary/detail.asp?ID=3203 (Accessed: 5</w:t>
      </w:r>
      <w:r w:rsidRPr="00716F6D">
        <w:rPr>
          <w:rFonts w:eastAsia="Times New Roman" w:cs="Times New Roman"/>
          <w:szCs w:val="24"/>
          <w:shd w:val="clear" w:color="auto" w:fill="FFFFFF"/>
          <w:vertAlign w:val="superscript"/>
          <w:lang w:val="en-HK"/>
        </w:rPr>
        <w:t>th</w:t>
      </w:r>
      <w:r w:rsidRPr="00716F6D">
        <w:rPr>
          <w:rFonts w:eastAsia="Times New Roman" w:cs="Times New Roman"/>
          <w:szCs w:val="24"/>
          <w:shd w:val="clear" w:color="auto" w:fill="FFFFFF"/>
          <w:lang w:val="en-HK"/>
        </w:rPr>
        <w:t xml:space="preserve"> February 2020)</w:t>
      </w:r>
      <w:r w:rsidR="00254E39">
        <w:rPr>
          <w:rFonts w:eastAsia="Times New Roman" w:cs="Times New Roman"/>
          <w:szCs w:val="24"/>
          <w:shd w:val="clear" w:color="auto" w:fill="FFFFFF"/>
          <w:lang w:val="en-HK"/>
        </w:rPr>
        <w:t>.</w:t>
      </w:r>
    </w:p>
    <w:p w14:paraId="274A1141"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2FDB9CA2" w14:textId="5B4C7779" w:rsidR="00562A20" w:rsidRPr="00716F6D" w:rsidRDefault="00254E39" w:rsidP="00897BF4">
      <w:pPr>
        <w:spacing w:after="0" w:line="240" w:lineRule="auto"/>
        <w:ind w:left="540" w:hanging="540"/>
        <w:rPr>
          <w:rFonts w:eastAsia="Times New Roman" w:cs="Times New Roman"/>
          <w:szCs w:val="24"/>
          <w:shd w:val="clear" w:color="auto" w:fill="FFFFFF"/>
          <w:lang w:val="en-HK"/>
        </w:rPr>
      </w:pPr>
      <w:r>
        <w:rPr>
          <w:rFonts w:eastAsia="Times New Roman" w:cs="Times New Roman"/>
          <w:szCs w:val="24"/>
          <w:shd w:val="clear" w:color="auto" w:fill="FFFFFF"/>
          <w:lang w:val="en-HK"/>
        </w:rPr>
        <w:lastRenderedPageBreak/>
        <w:t>Paul Gregory, F.</w:t>
      </w:r>
      <w:r w:rsidR="00562A20" w:rsidRPr="00716F6D">
        <w:rPr>
          <w:rFonts w:eastAsia="Times New Roman" w:cs="Times New Roman"/>
          <w:szCs w:val="24"/>
          <w:shd w:val="clear" w:color="auto" w:fill="FFFFFF"/>
          <w:lang w:val="en-HK"/>
        </w:rPr>
        <w:t xml:space="preserve"> and </w:t>
      </w:r>
      <w:proofErr w:type="spellStart"/>
      <w:r w:rsidR="00562A20" w:rsidRPr="00716F6D">
        <w:rPr>
          <w:rFonts w:eastAsia="Times New Roman" w:cs="Times New Roman"/>
          <w:szCs w:val="24"/>
          <w:shd w:val="clear" w:color="auto" w:fill="FFFFFF"/>
          <w:lang w:val="en-HK"/>
        </w:rPr>
        <w:t>Gokul</w:t>
      </w:r>
      <w:proofErr w:type="spellEnd"/>
      <w:r w:rsidR="00562A20" w:rsidRPr="00716F6D">
        <w:rPr>
          <w:rFonts w:eastAsia="Times New Roman" w:cs="Times New Roman"/>
          <w:szCs w:val="24"/>
          <w:shd w:val="clear" w:color="auto" w:fill="FFFFFF"/>
          <w:lang w:val="en-HK"/>
        </w:rPr>
        <w:t>, R. (2019) ‘Potential Strategies to prepare a unique RFQ–The Indian Valve Sourcing and Expediting Series’, </w:t>
      </w:r>
      <w:r w:rsidR="00562A20" w:rsidRPr="00716F6D">
        <w:rPr>
          <w:rFonts w:eastAsia="Times New Roman" w:cs="Times New Roman"/>
          <w:i/>
          <w:iCs/>
          <w:szCs w:val="24"/>
          <w:shd w:val="clear" w:color="auto" w:fill="FFFFFF"/>
          <w:lang w:val="en-HK"/>
        </w:rPr>
        <w:t>International Journal</w:t>
      </w:r>
      <w:r w:rsidR="00562A20" w:rsidRPr="00716F6D">
        <w:rPr>
          <w:rFonts w:eastAsia="Times New Roman" w:cs="Times New Roman"/>
          <w:szCs w:val="24"/>
          <w:shd w:val="clear" w:color="auto" w:fill="FFFFFF"/>
          <w:lang w:val="en-HK"/>
        </w:rPr>
        <w:t>, </w:t>
      </w:r>
      <w:r w:rsidR="00562A20" w:rsidRPr="00716F6D">
        <w:rPr>
          <w:rFonts w:eastAsia="Times New Roman" w:cs="Times New Roman"/>
          <w:i/>
          <w:iCs/>
          <w:szCs w:val="24"/>
          <w:shd w:val="clear" w:color="auto" w:fill="FFFFFF"/>
          <w:lang w:val="en-HK"/>
        </w:rPr>
        <w:t>7</w:t>
      </w:r>
      <w:r w:rsidR="00562A20" w:rsidRPr="00716F6D">
        <w:rPr>
          <w:rFonts w:eastAsia="Times New Roman" w:cs="Times New Roman"/>
          <w:szCs w:val="24"/>
          <w:shd w:val="clear" w:color="auto" w:fill="FFFFFF"/>
          <w:lang w:val="en-HK"/>
        </w:rPr>
        <w:t>(3), pp. 270-273.</w:t>
      </w:r>
    </w:p>
    <w:p w14:paraId="47B97B0E"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1714BADC" w14:textId="76236A7F" w:rsidR="00562A20"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shd w:val="clear" w:color="auto" w:fill="FFFFFF"/>
          <w:lang w:val="en-HK"/>
        </w:rPr>
        <w:t xml:space="preserve">Reddy, J. (2015) </w:t>
      </w:r>
      <w:r w:rsidRPr="00716F6D">
        <w:rPr>
          <w:rFonts w:eastAsia="Times New Roman" w:cs="Times New Roman"/>
          <w:i/>
          <w:szCs w:val="24"/>
          <w:shd w:val="clear" w:color="auto" w:fill="FFFFFF"/>
          <w:lang w:val="en-HK"/>
        </w:rPr>
        <w:t>Cotton Farming Guide; Planting; Care; Yield; Harvesting</w:t>
      </w:r>
      <w:r w:rsidRPr="00716F6D">
        <w:rPr>
          <w:rFonts w:eastAsia="Times New Roman" w:cs="Times New Roman"/>
          <w:szCs w:val="24"/>
          <w:shd w:val="clear" w:color="auto" w:fill="FFFFFF"/>
          <w:lang w:val="en-HK"/>
        </w:rPr>
        <w:t xml:space="preserve">. </w:t>
      </w:r>
      <w:proofErr w:type="spellStart"/>
      <w:r w:rsidRPr="00716F6D">
        <w:rPr>
          <w:rFonts w:eastAsia="Times New Roman" w:cs="Times New Roman"/>
          <w:szCs w:val="24"/>
          <w:shd w:val="clear" w:color="auto" w:fill="FFFFFF"/>
          <w:lang w:val="en-HK"/>
        </w:rPr>
        <w:t>ArgiFarming</w:t>
      </w:r>
      <w:proofErr w:type="spellEnd"/>
      <w:r w:rsidRPr="00716F6D">
        <w:rPr>
          <w:rFonts w:eastAsia="Times New Roman" w:cs="Times New Roman"/>
          <w:szCs w:val="24"/>
          <w:shd w:val="clear" w:color="auto" w:fill="FFFFFF"/>
          <w:lang w:val="en-HK"/>
        </w:rPr>
        <w:t xml:space="preserve">. Available at </w:t>
      </w:r>
      <w:r w:rsidRPr="00716F6D">
        <w:rPr>
          <w:rFonts w:eastAsia="Times New Roman" w:cs="Times New Roman"/>
          <w:szCs w:val="24"/>
          <w:lang w:val="en-HK"/>
        </w:rPr>
        <w:t>https://www.agrifarming.in/cotton-farming-guide (Accessed: 5</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49E7743B" w14:textId="77777777" w:rsidR="00562A20" w:rsidRDefault="00562A20" w:rsidP="00897BF4">
      <w:pPr>
        <w:spacing w:after="0" w:line="240" w:lineRule="auto"/>
        <w:ind w:left="540" w:hanging="540"/>
        <w:rPr>
          <w:rFonts w:eastAsia="Times New Roman" w:cs="Times New Roman"/>
          <w:szCs w:val="24"/>
          <w:lang w:val="en-HK"/>
        </w:rPr>
      </w:pPr>
    </w:p>
    <w:p w14:paraId="115152C1" w14:textId="48218B3D" w:rsidR="00562A20" w:rsidRPr="00716F6D" w:rsidRDefault="00562A20" w:rsidP="00897BF4">
      <w:pPr>
        <w:spacing w:after="0" w:line="240" w:lineRule="auto"/>
        <w:ind w:left="540" w:hanging="540"/>
        <w:rPr>
          <w:rFonts w:eastAsia="Times New Roman" w:cs="Times New Roman"/>
          <w:szCs w:val="24"/>
          <w:lang w:val="en-HK"/>
        </w:rPr>
      </w:pPr>
      <w:r>
        <w:rPr>
          <w:rFonts w:eastAsia="Times New Roman" w:cs="Times New Roman"/>
          <w:szCs w:val="24"/>
          <w:lang w:val="en-HK"/>
        </w:rPr>
        <w:t xml:space="preserve">Reuters (2020) </w:t>
      </w:r>
      <w:r w:rsidRPr="00254E39">
        <w:rPr>
          <w:rFonts w:eastAsia="Times New Roman" w:cs="Times New Roman"/>
          <w:i/>
          <w:szCs w:val="24"/>
          <w:lang w:val="en-HK"/>
        </w:rPr>
        <w:t>China’s Hubei, epicentre of coronavirus, extends work suspension to March 11</w:t>
      </w:r>
      <w:r>
        <w:rPr>
          <w:rFonts w:eastAsia="Times New Roman" w:cs="Times New Roman"/>
          <w:szCs w:val="24"/>
          <w:lang w:val="en-HK"/>
        </w:rPr>
        <w:t>. Available at:</w:t>
      </w:r>
      <w:r w:rsidRPr="00DC1849">
        <w:t xml:space="preserve"> https://www.reuters.com/article/us-china-health-hubei/chinas-hubei-epicentre-of-coronavirus-extends-work-suspension-to-march-11-idUSKBN20E16E</w:t>
      </w:r>
      <w:r>
        <w:t xml:space="preserve"> (Accessed: 22</w:t>
      </w:r>
      <w:r w:rsidRPr="00DC1849">
        <w:rPr>
          <w:vertAlign w:val="superscript"/>
        </w:rPr>
        <w:t>nd</w:t>
      </w:r>
      <w:r>
        <w:t xml:space="preserve"> February 2020).</w:t>
      </w:r>
    </w:p>
    <w:p w14:paraId="6E73302A" w14:textId="77777777" w:rsidR="00562A20" w:rsidRDefault="00562A20" w:rsidP="00897BF4">
      <w:pPr>
        <w:spacing w:after="0" w:line="240" w:lineRule="auto"/>
        <w:ind w:left="540" w:hanging="540"/>
        <w:rPr>
          <w:rFonts w:eastAsia="Times New Roman" w:cs="Times New Roman"/>
          <w:szCs w:val="24"/>
          <w:lang w:eastAsia="en-US" w:bidi="en-US"/>
        </w:rPr>
      </w:pPr>
    </w:p>
    <w:p w14:paraId="77E07EDE" w14:textId="6CDF8333" w:rsidR="00562A20" w:rsidRPr="00716F6D" w:rsidRDefault="00254E39" w:rsidP="00897BF4">
      <w:pPr>
        <w:spacing w:after="0" w:line="240" w:lineRule="auto"/>
        <w:ind w:left="540" w:hanging="540"/>
        <w:rPr>
          <w:rFonts w:eastAsia="Times New Roman" w:cs="Times New Roman"/>
          <w:szCs w:val="24"/>
          <w:lang w:eastAsia="en-US" w:bidi="en-US"/>
        </w:rPr>
      </w:pPr>
      <w:proofErr w:type="spellStart"/>
      <w:r>
        <w:rPr>
          <w:rFonts w:eastAsia="Times New Roman" w:cs="Times New Roman"/>
          <w:szCs w:val="24"/>
          <w:lang w:eastAsia="en-US" w:bidi="en-US"/>
        </w:rPr>
        <w:t>Schiele</w:t>
      </w:r>
      <w:proofErr w:type="spellEnd"/>
      <w:r>
        <w:rPr>
          <w:rFonts w:eastAsia="Times New Roman" w:cs="Times New Roman"/>
          <w:szCs w:val="24"/>
          <w:lang w:eastAsia="en-US" w:bidi="en-US"/>
        </w:rPr>
        <w:t>, H. (2019)</w:t>
      </w:r>
      <w:r w:rsidR="00562A20" w:rsidRPr="00716F6D">
        <w:rPr>
          <w:rFonts w:eastAsia="Times New Roman" w:cs="Times New Roman"/>
          <w:szCs w:val="24"/>
          <w:lang w:eastAsia="en-US" w:bidi="en-US"/>
        </w:rPr>
        <w:t xml:space="preserve"> </w:t>
      </w:r>
      <w:r w:rsidR="00562A20" w:rsidRPr="00716F6D">
        <w:rPr>
          <w:rFonts w:eastAsia="Times New Roman" w:cs="Times New Roman"/>
          <w:i/>
          <w:szCs w:val="24"/>
          <w:lang w:eastAsia="en-US" w:bidi="en-US"/>
        </w:rPr>
        <w:t>Purchasing and Supply Management. In Operations, Logistics and Supply Chain Management</w:t>
      </w:r>
      <w:r w:rsidR="00562A20" w:rsidRPr="00716F6D">
        <w:rPr>
          <w:rFonts w:eastAsia="Times New Roman" w:cs="Times New Roman"/>
          <w:szCs w:val="24"/>
          <w:lang w:eastAsia="en-US" w:bidi="en-US"/>
        </w:rPr>
        <w:t>. Springer, Cham.</w:t>
      </w:r>
    </w:p>
    <w:p w14:paraId="49132AEF" w14:textId="77777777" w:rsidR="00562A20" w:rsidRDefault="00562A20" w:rsidP="00897BF4">
      <w:pPr>
        <w:spacing w:after="0" w:line="240" w:lineRule="auto"/>
        <w:ind w:left="540" w:hanging="540"/>
        <w:rPr>
          <w:rFonts w:eastAsia="Times New Roman" w:cs="Times New Roman"/>
          <w:szCs w:val="24"/>
          <w:lang w:val="en-HK"/>
        </w:rPr>
      </w:pPr>
    </w:p>
    <w:p w14:paraId="7A6FF2CC" w14:textId="6792B01A" w:rsidR="00562A20" w:rsidRPr="00716F6D" w:rsidRDefault="00562A20" w:rsidP="00897BF4">
      <w:pPr>
        <w:spacing w:after="0" w:line="240" w:lineRule="auto"/>
        <w:ind w:left="540" w:hanging="540"/>
        <w:rPr>
          <w:rFonts w:eastAsia="Times New Roman" w:cs="Times New Roman"/>
          <w:szCs w:val="24"/>
          <w:lang w:val="en-HK"/>
        </w:rPr>
      </w:pPr>
      <w:proofErr w:type="spellStart"/>
      <w:r w:rsidRPr="00716F6D">
        <w:rPr>
          <w:rFonts w:eastAsia="Times New Roman" w:cs="Times New Roman"/>
          <w:szCs w:val="24"/>
          <w:lang w:val="en-HK"/>
        </w:rPr>
        <w:t>Schuh</w:t>
      </w:r>
      <w:proofErr w:type="spellEnd"/>
      <w:r w:rsidRPr="00716F6D">
        <w:rPr>
          <w:rFonts w:eastAsia="Times New Roman" w:cs="Times New Roman"/>
          <w:szCs w:val="24"/>
          <w:lang w:val="en-HK"/>
        </w:rPr>
        <w:t xml:space="preserve">, C., </w:t>
      </w:r>
      <w:proofErr w:type="spellStart"/>
      <w:r w:rsidRPr="00716F6D">
        <w:rPr>
          <w:rFonts w:eastAsia="Times New Roman" w:cs="Times New Roman"/>
          <w:szCs w:val="24"/>
          <w:lang w:val="en-HK"/>
        </w:rPr>
        <w:t>Raudabaugh</w:t>
      </w:r>
      <w:proofErr w:type="spellEnd"/>
      <w:r w:rsidRPr="00716F6D">
        <w:rPr>
          <w:rFonts w:eastAsia="Times New Roman" w:cs="Times New Roman"/>
          <w:szCs w:val="24"/>
          <w:lang w:val="en-HK"/>
        </w:rPr>
        <w:t xml:space="preserve">, J. L., </w:t>
      </w:r>
      <w:proofErr w:type="spellStart"/>
      <w:r w:rsidRPr="00716F6D">
        <w:rPr>
          <w:rFonts w:eastAsia="Times New Roman" w:cs="Times New Roman"/>
          <w:szCs w:val="24"/>
          <w:lang w:val="en-HK"/>
        </w:rPr>
        <w:t>Kromoser</w:t>
      </w:r>
      <w:proofErr w:type="spellEnd"/>
      <w:r w:rsidRPr="00716F6D">
        <w:rPr>
          <w:rFonts w:eastAsia="Times New Roman" w:cs="Times New Roman"/>
          <w:szCs w:val="24"/>
          <w:lang w:val="en-HK"/>
        </w:rPr>
        <w:t xml:space="preserve">, R., </w:t>
      </w:r>
      <w:proofErr w:type="spellStart"/>
      <w:r w:rsidR="00254E39">
        <w:rPr>
          <w:rFonts w:eastAsia="Times New Roman" w:cs="Times New Roman"/>
          <w:szCs w:val="24"/>
          <w:lang w:val="en-HK"/>
        </w:rPr>
        <w:t>Strohmer</w:t>
      </w:r>
      <w:proofErr w:type="spellEnd"/>
      <w:r w:rsidR="00254E39">
        <w:rPr>
          <w:rFonts w:eastAsia="Times New Roman" w:cs="Times New Roman"/>
          <w:szCs w:val="24"/>
          <w:lang w:val="en-HK"/>
        </w:rPr>
        <w:t xml:space="preserve">, M. F., </w:t>
      </w:r>
      <w:proofErr w:type="spellStart"/>
      <w:r w:rsidR="00254E39">
        <w:rPr>
          <w:rFonts w:eastAsia="Times New Roman" w:cs="Times New Roman"/>
          <w:szCs w:val="24"/>
          <w:lang w:val="en-HK"/>
        </w:rPr>
        <w:t>Triplat</w:t>
      </w:r>
      <w:proofErr w:type="spellEnd"/>
      <w:r w:rsidR="00254E39">
        <w:rPr>
          <w:rFonts w:eastAsia="Times New Roman" w:cs="Times New Roman"/>
          <w:szCs w:val="24"/>
          <w:lang w:val="en-HK"/>
        </w:rPr>
        <w:t xml:space="preserve">, A. and </w:t>
      </w:r>
      <w:r w:rsidRPr="00716F6D">
        <w:rPr>
          <w:rFonts w:eastAsia="Times New Roman" w:cs="Times New Roman"/>
          <w:szCs w:val="24"/>
          <w:lang w:val="en-HK"/>
        </w:rPr>
        <w:t xml:space="preserve">Pearce, J. (2017) </w:t>
      </w:r>
      <w:r w:rsidRPr="00716F6D">
        <w:rPr>
          <w:rFonts w:eastAsia="Times New Roman" w:cs="Times New Roman"/>
          <w:i/>
          <w:szCs w:val="24"/>
          <w:lang w:val="en-HK"/>
        </w:rPr>
        <w:t>The Purchasing Chessboard. In The Purchasing Chessboard.</w:t>
      </w:r>
      <w:r w:rsidRPr="00716F6D">
        <w:rPr>
          <w:rFonts w:eastAsia="Times New Roman" w:cs="Times New Roman"/>
          <w:szCs w:val="24"/>
          <w:lang w:val="en-HK"/>
        </w:rPr>
        <w:t> Springer, New York, NY.</w:t>
      </w:r>
    </w:p>
    <w:p w14:paraId="692E1D07" w14:textId="77777777" w:rsidR="00562A20" w:rsidRDefault="00562A20" w:rsidP="00897BF4">
      <w:pPr>
        <w:spacing w:after="0" w:line="240" w:lineRule="auto"/>
        <w:ind w:left="540" w:hanging="540"/>
        <w:rPr>
          <w:rFonts w:eastAsia="Times New Roman" w:cs="Times New Roman"/>
          <w:szCs w:val="24"/>
          <w:lang w:val="en-HK"/>
        </w:rPr>
      </w:pPr>
    </w:p>
    <w:p w14:paraId="33C26888" w14:textId="12C9F7A4" w:rsidR="00562A20" w:rsidRPr="00716F6D" w:rsidRDefault="00562A20" w:rsidP="00897BF4">
      <w:pPr>
        <w:spacing w:after="0" w:line="240" w:lineRule="auto"/>
        <w:ind w:left="540" w:hanging="540"/>
        <w:rPr>
          <w:rFonts w:eastAsia="Times New Roman" w:cs="Times New Roman"/>
          <w:szCs w:val="24"/>
          <w:lang w:val="en-HK"/>
        </w:rPr>
      </w:pPr>
      <w:proofErr w:type="spellStart"/>
      <w:r w:rsidRPr="00716F6D">
        <w:rPr>
          <w:rFonts w:eastAsia="Times New Roman" w:cs="Times New Roman"/>
          <w:szCs w:val="24"/>
          <w:lang w:val="en-HK"/>
        </w:rPr>
        <w:t>Shama</w:t>
      </w:r>
      <w:proofErr w:type="spellEnd"/>
      <w:r w:rsidRPr="00716F6D">
        <w:rPr>
          <w:rFonts w:eastAsia="Times New Roman" w:cs="Times New Roman"/>
          <w:szCs w:val="24"/>
          <w:lang w:val="en-HK"/>
        </w:rPr>
        <w:t xml:space="preserve">, A. (1981) ‘Coping with Stagflation: Voluntary Simplicity’, </w:t>
      </w:r>
      <w:r w:rsidRPr="00716F6D">
        <w:rPr>
          <w:rFonts w:eastAsia="Times New Roman" w:cs="Times New Roman"/>
          <w:i/>
          <w:szCs w:val="24"/>
          <w:lang w:val="en-HK"/>
        </w:rPr>
        <w:t>Journal of Marketing</w:t>
      </w:r>
      <w:r w:rsidRPr="00716F6D">
        <w:rPr>
          <w:rFonts w:eastAsia="Times New Roman" w:cs="Times New Roman"/>
          <w:szCs w:val="24"/>
          <w:lang w:val="en-HK"/>
        </w:rPr>
        <w:t>, 45, pp. 120-134.</w:t>
      </w:r>
    </w:p>
    <w:p w14:paraId="49DFC2E9"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4430FCF4" w14:textId="7DCD5917"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Singh, R. (2020) ‘Economic Viability of Cotton Crops in India’, </w:t>
      </w:r>
      <w:r w:rsidRPr="00716F6D">
        <w:rPr>
          <w:rFonts w:eastAsia="Times New Roman" w:cs="Times New Roman"/>
          <w:i/>
          <w:iCs/>
          <w:szCs w:val="24"/>
          <w:shd w:val="clear" w:color="auto" w:fill="FFFFFF"/>
          <w:lang w:val="en-HK"/>
        </w:rPr>
        <w:t>Our Heritage</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68</w:t>
      </w:r>
      <w:r w:rsidRPr="00716F6D">
        <w:rPr>
          <w:rFonts w:eastAsia="Times New Roman" w:cs="Times New Roman"/>
          <w:szCs w:val="24"/>
          <w:shd w:val="clear" w:color="auto" w:fill="FFFFFF"/>
          <w:lang w:val="en-HK"/>
        </w:rPr>
        <w:t>(1), pp. 278-280.</w:t>
      </w:r>
    </w:p>
    <w:p w14:paraId="00C8B669" w14:textId="77777777" w:rsidR="00562A20" w:rsidRDefault="00562A20" w:rsidP="00562A20">
      <w:pPr>
        <w:spacing w:after="0" w:line="240" w:lineRule="auto"/>
        <w:ind w:left="540" w:hanging="540"/>
        <w:rPr>
          <w:rFonts w:eastAsia="Times New Roman" w:cs="Times New Roman"/>
          <w:szCs w:val="24"/>
          <w:lang w:val="en-HK" w:eastAsia="en-US" w:bidi="en-US"/>
        </w:rPr>
      </w:pPr>
    </w:p>
    <w:p w14:paraId="2664E46C" w14:textId="5B115CB9"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The World Bank (2019) </w:t>
      </w:r>
      <w:r w:rsidRPr="00254E39">
        <w:rPr>
          <w:rFonts w:eastAsia="Times New Roman" w:cs="Times New Roman"/>
          <w:i/>
          <w:szCs w:val="24"/>
          <w:lang w:val="en-HK" w:eastAsia="en-US" w:bidi="en-US"/>
        </w:rPr>
        <w:t>Gini Index (World Bank estimate) – India.</w:t>
      </w:r>
      <w:r w:rsidRPr="00562A20">
        <w:rPr>
          <w:rFonts w:eastAsia="Times New Roman" w:cs="Times New Roman"/>
          <w:szCs w:val="24"/>
          <w:lang w:val="en-HK" w:eastAsia="en-US" w:bidi="en-US"/>
        </w:rPr>
        <w:t xml:space="preserve"> Available at: https://data.worldbank.org/indicator/SI.POV.GINI?locations=IN (Accessed</w:t>
      </w:r>
      <w:r w:rsidR="00254E39">
        <w:rPr>
          <w:rFonts w:eastAsia="Times New Roman" w:cs="Times New Roman"/>
          <w:szCs w:val="24"/>
          <w:lang w:val="en-HK" w:eastAsia="en-US" w:bidi="en-US"/>
        </w:rPr>
        <w:t>: 24</w:t>
      </w:r>
      <w:r w:rsidR="00254E39" w:rsidRPr="00254E39">
        <w:rPr>
          <w:rFonts w:eastAsia="Times New Roman" w:cs="Times New Roman"/>
          <w:szCs w:val="24"/>
          <w:vertAlign w:val="superscript"/>
          <w:lang w:val="en-HK" w:eastAsia="en-US" w:bidi="en-US"/>
        </w:rPr>
        <w:t>th</w:t>
      </w:r>
      <w:r w:rsidRPr="00562A20">
        <w:rPr>
          <w:rFonts w:eastAsia="Times New Roman" w:cs="Times New Roman"/>
          <w:szCs w:val="24"/>
          <w:lang w:val="en-HK" w:eastAsia="en-US" w:bidi="en-US"/>
        </w:rPr>
        <w:t xml:space="preserve"> February 2020)</w:t>
      </w:r>
      <w:r>
        <w:rPr>
          <w:rFonts w:eastAsia="Times New Roman" w:cs="Times New Roman"/>
          <w:szCs w:val="24"/>
          <w:lang w:val="en-HK" w:eastAsia="en-US" w:bidi="en-US"/>
        </w:rPr>
        <w:t>.</w:t>
      </w:r>
    </w:p>
    <w:p w14:paraId="7EEB2E03" w14:textId="77777777" w:rsidR="00562A20" w:rsidRDefault="00562A20" w:rsidP="00897BF4">
      <w:pPr>
        <w:spacing w:after="0" w:line="240" w:lineRule="auto"/>
        <w:ind w:left="540" w:hanging="540"/>
        <w:rPr>
          <w:rFonts w:eastAsia="Times New Roman" w:cs="Times New Roman"/>
          <w:szCs w:val="24"/>
          <w:lang w:val="en-HK" w:eastAsia="en-US" w:bidi="en-US"/>
        </w:rPr>
      </w:pPr>
    </w:p>
    <w:p w14:paraId="079BDD87" w14:textId="589C4AB7" w:rsidR="00562A20" w:rsidRPr="00716F6D" w:rsidRDefault="00562A20" w:rsidP="00897BF4">
      <w:pPr>
        <w:spacing w:after="0" w:line="240" w:lineRule="auto"/>
        <w:ind w:left="540" w:hanging="540"/>
        <w:rPr>
          <w:rFonts w:eastAsia="Times New Roman" w:cs="Times New Roman"/>
          <w:szCs w:val="24"/>
          <w:lang w:val="en-HK" w:eastAsia="en-US" w:bidi="en-US"/>
        </w:rPr>
      </w:pPr>
      <w:r w:rsidRPr="00716F6D">
        <w:rPr>
          <w:rFonts w:eastAsia="Times New Roman" w:cs="Times New Roman"/>
          <w:szCs w:val="24"/>
          <w:lang w:val="en-HK" w:eastAsia="en-US" w:bidi="en-US"/>
        </w:rPr>
        <w:t xml:space="preserve">Trading Economics (2020) </w:t>
      </w:r>
      <w:r w:rsidRPr="00254E39">
        <w:rPr>
          <w:rFonts w:eastAsia="Times New Roman" w:cs="Times New Roman"/>
          <w:i/>
          <w:szCs w:val="24"/>
          <w:lang w:val="en-HK" w:eastAsia="en-US" w:bidi="en-US"/>
        </w:rPr>
        <w:t>India Unemployment Rate.</w:t>
      </w:r>
      <w:r w:rsidRPr="00716F6D">
        <w:rPr>
          <w:rFonts w:eastAsia="Times New Roman" w:cs="Times New Roman"/>
          <w:szCs w:val="24"/>
          <w:lang w:val="en-HK" w:eastAsia="en-US" w:bidi="en-US"/>
        </w:rPr>
        <w:t xml:space="preserve"> Available at:  https://tradingeconomics.com/india/unemployment-rate (Accessed: 29</w:t>
      </w:r>
      <w:r w:rsidRPr="00716F6D">
        <w:rPr>
          <w:rFonts w:eastAsia="Times New Roman" w:cs="Times New Roman"/>
          <w:szCs w:val="24"/>
          <w:vertAlign w:val="superscript"/>
          <w:lang w:val="en-HK" w:eastAsia="en-US" w:bidi="en-US"/>
        </w:rPr>
        <w:t>th</w:t>
      </w:r>
      <w:r w:rsidRPr="00716F6D">
        <w:rPr>
          <w:rFonts w:eastAsia="Times New Roman" w:cs="Times New Roman"/>
          <w:szCs w:val="24"/>
          <w:lang w:val="en-HK" w:eastAsia="en-US" w:bidi="en-US"/>
        </w:rPr>
        <w:t xml:space="preserve"> January 2020).</w:t>
      </w:r>
    </w:p>
    <w:p w14:paraId="52292362" w14:textId="77777777" w:rsidR="00562A20" w:rsidRDefault="00562A20" w:rsidP="00897BF4">
      <w:pPr>
        <w:spacing w:after="0" w:line="240" w:lineRule="auto"/>
        <w:ind w:left="540" w:hanging="540"/>
        <w:rPr>
          <w:rFonts w:eastAsia="Times New Roman" w:cs="Times New Roman"/>
          <w:szCs w:val="24"/>
          <w:lang w:val="en-HK" w:eastAsia="en-US" w:bidi="en-US"/>
        </w:rPr>
      </w:pPr>
    </w:p>
    <w:p w14:paraId="018E32CD" w14:textId="7AD4D62B" w:rsidR="00562A20" w:rsidRPr="00716F6D" w:rsidRDefault="00562A20" w:rsidP="00897BF4">
      <w:pPr>
        <w:spacing w:after="0" w:line="240" w:lineRule="auto"/>
        <w:ind w:left="540" w:hanging="540"/>
        <w:rPr>
          <w:rFonts w:eastAsia="Times New Roman" w:cs="Times New Roman"/>
          <w:szCs w:val="24"/>
          <w:lang w:val="en-HK" w:eastAsia="en-US" w:bidi="en-US"/>
        </w:rPr>
      </w:pPr>
      <w:proofErr w:type="spellStart"/>
      <w:r w:rsidRPr="00716F6D">
        <w:rPr>
          <w:rFonts w:eastAsia="Times New Roman" w:cs="Times New Roman"/>
          <w:szCs w:val="24"/>
          <w:lang w:val="en-HK" w:eastAsia="en-US" w:bidi="en-US"/>
        </w:rPr>
        <w:t>Unicef</w:t>
      </w:r>
      <w:proofErr w:type="spellEnd"/>
      <w:r w:rsidRPr="00716F6D">
        <w:rPr>
          <w:rFonts w:eastAsia="Times New Roman" w:cs="Times New Roman"/>
          <w:szCs w:val="24"/>
          <w:lang w:val="en-HK" w:eastAsia="en-US" w:bidi="en-US"/>
        </w:rPr>
        <w:t xml:space="preserve"> (2019) </w:t>
      </w:r>
      <w:r w:rsidRPr="00716F6D">
        <w:rPr>
          <w:rFonts w:eastAsia="Times New Roman" w:cs="Times New Roman"/>
          <w:i/>
          <w:szCs w:val="24"/>
          <w:lang w:val="en-HK" w:eastAsia="en-US" w:bidi="en-US"/>
        </w:rPr>
        <w:t>India Statistics</w:t>
      </w:r>
      <w:r w:rsidRPr="00716F6D">
        <w:rPr>
          <w:rFonts w:eastAsia="Times New Roman" w:cs="Times New Roman"/>
          <w:szCs w:val="24"/>
          <w:lang w:val="en-HK" w:eastAsia="en-US" w:bidi="en-US"/>
        </w:rPr>
        <w:t>. Available at: https://www.unicef.org/infobycountry/india_statistics.html (Accessed: 28</w:t>
      </w:r>
      <w:r w:rsidRPr="00716F6D">
        <w:rPr>
          <w:rFonts w:eastAsia="Times New Roman" w:cs="Times New Roman"/>
          <w:szCs w:val="24"/>
          <w:vertAlign w:val="superscript"/>
          <w:lang w:val="en-HK" w:eastAsia="en-US" w:bidi="en-US"/>
        </w:rPr>
        <w:t>th</w:t>
      </w:r>
      <w:r w:rsidRPr="00716F6D">
        <w:rPr>
          <w:rFonts w:eastAsia="Times New Roman" w:cs="Times New Roman"/>
          <w:szCs w:val="24"/>
          <w:lang w:val="en-HK" w:eastAsia="en-US" w:bidi="en-US"/>
        </w:rPr>
        <w:t xml:space="preserve"> January 2020).</w:t>
      </w:r>
    </w:p>
    <w:p w14:paraId="59EC63C9"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473FA323" w14:textId="5EF436EF"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 xml:space="preserve">United Nations (2019) </w:t>
      </w:r>
      <w:r w:rsidRPr="007919E4">
        <w:rPr>
          <w:rFonts w:eastAsia="Times New Roman" w:cs="Times New Roman"/>
          <w:i/>
          <w:szCs w:val="24"/>
          <w:shd w:val="clear" w:color="auto" w:fill="FFFFFF"/>
          <w:lang w:val="en-HK"/>
        </w:rPr>
        <w:t>World Population Prospects 2019</w:t>
      </w:r>
      <w:r w:rsidRPr="00716F6D">
        <w:rPr>
          <w:rFonts w:eastAsia="Times New Roman" w:cs="Times New Roman"/>
          <w:szCs w:val="24"/>
          <w:shd w:val="clear" w:color="auto" w:fill="FFFFFF"/>
          <w:lang w:val="en-HK"/>
        </w:rPr>
        <w:t>. Available at: https://population.un.org/wpp/Publications/Files/WPP2019_Highlights.pdf (Accessed 28th January 2020).</w:t>
      </w:r>
    </w:p>
    <w:p w14:paraId="6A089D7D"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6F624630" w14:textId="558F003A"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shd w:val="clear" w:color="auto" w:fill="FFFFFF"/>
          <w:lang w:val="en-HK"/>
        </w:rPr>
        <w:t xml:space="preserve">United States Department of Agriculture (2020) </w:t>
      </w:r>
      <w:r w:rsidRPr="00716F6D">
        <w:rPr>
          <w:rFonts w:eastAsia="Times New Roman" w:cs="Times New Roman"/>
          <w:i/>
          <w:szCs w:val="24"/>
          <w:shd w:val="clear" w:color="auto" w:fill="FFFFFF"/>
          <w:lang w:val="en-HK"/>
        </w:rPr>
        <w:t>Cotton: World Markets and Trade</w:t>
      </w:r>
      <w:r w:rsidRPr="00716F6D">
        <w:rPr>
          <w:rFonts w:eastAsia="Times New Roman" w:cs="Times New Roman"/>
          <w:szCs w:val="24"/>
          <w:shd w:val="clear" w:color="auto" w:fill="FFFFFF"/>
          <w:lang w:val="en-HK"/>
        </w:rPr>
        <w:t>. Available at: https://usda.library.cornell.edu/concern/publications/kp78gg36g?locale=en</w:t>
      </w:r>
      <w:r w:rsidRPr="00716F6D">
        <w:rPr>
          <w:rFonts w:eastAsia="Times New Roman" w:cs="Times New Roman"/>
          <w:szCs w:val="24"/>
          <w:lang w:val="en-HK"/>
        </w:rPr>
        <w:t xml:space="preserve"> (Accessed: 29</w:t>
      </w:r>
      <w:r w:rsidRPr="00716F6D">
        <w:rPr>
          <w:rFonts w:eastAsia="Times New Roman" w:cs="Times New Roman"/>
          <w:szCs w:val="24"/>
          <w:vertAlign w:val="superscript"/>
          <w:lang w:val="en-HK"/>
        </w:rPr>
        <w:t>th</w:t>
      </w:r>
      <w:r w:rsidRPr="00716F6D">
        <w:rPr>
          <w:rFonts w:eastAsia="Times New Roman" w:cs="Times New Roman"/>
          <w:szCs w:val="24"/>
          <w:lang w:val="en-HK"/>
        </w:rPr>
        <w:t xml:space="preserve"> January 2020).</w:t>
      </w:r>
    </w:p>
    <w:p w14:paraId="35EE8AB7" w14:textId="77777777" w:rsidR="00562A20" w:rsidRDefault="00562A20" w:rsidP="00562A20">
      <w:pPr>
        <w:spacing w:after="0" w:line="240" w:lineRule="auto"/>
        <w:ind w:left="540" w:hanging="540"/>
        <w:rPr>
          <w:rFonts w:eastAsia="Times New Roman" w:cs="Times New Roman"/>
          <w:szCs w:val="24"/>
          <w:lang w:val="en-HK" w:eastAsia="en-US" w:bidi="en-US"/>
        </w:rPr>
      </w:pPr>
    </w:p>
    <w:p w14:paraId="2908F166" w14:textId="77777777" w:rsidR="00562A20" w:rsidRPr="00716F6D" w:rsidRDefault="00562A20" w:rsidP="00897BF4">
      <w:pPr>
        <w:spacing w:after="0" w:line="240" w:lineRule="auto"/>
        <w:ind w:left="540" w:hanging="540"/>
        <w:rPr>
          <w:rFonts w:eastAsia="Times New Roman" w:cs="Times New Roman"/>
          <w:szCs w:val="24"/>
          <w:lang w:val="en-HK" w:eastAsia="en-US" w:bidi="en-US"/>
        </w:rPr>
      </w:pPr>
      <w:proofErr w:type="spellStart"/>
      <w:r w:rsidRPr="00716F6D">
        <w:rPr>
          <w:rFonts w:eastAsia="Times New Roman" w:cs="Times New Roman"/>
          <w:szCs w:val="24"/>
          <w:lang w:val="en-HK" w:eastAsia="en-US" w:bidi="en-US"/>
        </w:rPr>
        <w:t>Vittal</w:t>
      </w:r>
      <w:proofErr w:type="spellEnd"/>
      <w:r w:rsidRPr="00716F6D">
        <w:rPr>
          <w:rFonts w:eastAsia="Times New Roman" w:cs="Times New Roman"/>
          <w:szCs w:val="24"/>
          <w:lang w:val="en-HK" w:eastAsia="en-US" w:bidi="en-US"/>
        </w:rPr>
        <w:t>, B. and Reddy, M. K. (2019) ‘Comparative study of literacy rate in Telangana state and India using holt’s double exponential smoothing approach’</w:t>
      </w:r>
    </w:p>
    <w:p w14:paraId="1A9B3377" w14:textId="77777777" w:rsidR="00562A20" w:rsidRDefault="00562A20" w:rsidP="00897BF4">
      <w:pPr>
        <w:spacing w:after="0" w:line="240" w:lineRule="auto"/>
        <w:ind w:left="540" w:hanging="540"/>
        <w:rPr>
          <w:rFonts w:eastAsia="Times New Roman" w:cs="Times New Roman"/>
          <w:szCs w:val="24"/>
          <w:shd w:val="clear" w:color="auto" w:fill="FFFFFF"/>
          <w:lang w:val="en-HK"/>
        </w:rPr>
      </w:pPr>
    </w:p>
    <w:p w14:paraId="5721990A" w14:textId="62EC3431" w:rsidR="00562A20" w:rsidRPr="00716F6D" w:rsidRDefault="00562A20" w:rsidP="00897BF4">
      <w:pPr>
        <w:spacing w:after="0" w:line="240" w:lineRule="auto"/>
        <w:ind w:left="540" w:hanging="540"/>
        <w:rPr>
          <w:rFonts w:eastAsia="Times New Roman" w:cs="Times New Roman"/>
          <w:szCs w:val="24"/>
          <w:shd w:val="clear" w:color="auto" w:fill="FFFFFF"/>
          <w:lang w:val="en-HK"/>
        </w:rPr>
      </w:pPr>
      <w:r w:rsidRPr="00716F6D">
        <w:rPr>
          <w:rFonts w:eastAsia="Times New Roman" w:cs="Times New Roman"/>
          <w:szCs w:val="24"/>
          <w:shd w:val="clear" w:color="auto" w:fill="FFFFFF"/>
          <w:lang w:val="en-HK"/>
        </w:rPr>
        <w:t>Wen, X., Choi, T. M. and Chung, S. H. (2019) ‘Fashion retail supply chain management: A review of operational models’, </w:t>
      </w:r>
      <w:r w:rsidRPr="00716F6D">
        <w:rPr>
          <w:rFonts w:eastAsia="Times New Roman" w:cs="Times New Roman"/>
          <w:i/>
          <w:iCs/>
          <w:szCs w:val="24"/>
          <w:shd w:val="clear" w:color="auto" w:fill="FFFFFF"/>
          <w:lang w:val="en-HK"/>
        </w:rPr>
        <w:t>International Journal of Production Economics</w:t>
      </w:r>
      <w:r w:rsidRPr="00716F6D">
        <w:rPr>
          <w:rFonts w:eastAsia="Times New Roman" w:cs="Times New Roman"/>
          <w:szCs w:val="24"/>
          <w:shd w:val="clear" w:color="auto" w:fill="FFFFFF"/>
          <w:lang w:val="en-HK"/>
        </w:rPr>
        <w:t>, </w:t>
      </w:r>
      <w:r w:rsidRPr="00716F6D">
        <w:rPr>
          <w:rFonts w:eastAsia="Times New Roman" w:cs="Times New Roman"/>
          <w:i/>
          <w:iCs/>
          <w:szCs w:val="24"/>
          <w:shd w:val="clear" w:color="auto" w:fill="FFFFFF"/>
          <w:lang w:val="en-HK"/>
        </w:rPr>
        <w:t>207</w:t>
      </w:r>
      <w:r w:rsidRPr="00716F6D">
        <w:rPr>
          <w:rFonts w:eastAsia="Times New Roman" w:cs="Times New Roman"/>
          <w:szCs w:val="24"/>
          <w:shd w:val="clear" w:color="auto" w:fill="FFFFFF"/>
          <w:lang w:val="en-HK"/>
        </w:rPr>
        <w:t>, pp. 34-55.</w:t>
      </w:r>
    </w:p>
    <w:p w14:paraId="3F5CE363" w14:textId="77777777" w:rsidR="00562A20" w:rsidRDefault="00562A20" w:rsidP="00897BF4">
      <w:pPr>
        <w:spacing w:after="0" w:line="240" w:lineRule="auto"/>
        <w:ind w:left="540" w:hanging="540"/>
        <w:rPr>
          <w:rFonts w:eastAsia="Times New Roman" w:cs="Times New Roman"/>
          <w:szCs w:val="24"/>
          <w:lang w:val="en"/>
        </w:rPr>
      </w:pPr>
    </w:p>
    <w:p w14:paraId="3EF8FD4F" w14:textId="41BC4BD1" w:rsidR="00562A20" w:rsidRPr="00716F6D" w:rsidRDefault="00562A20" w:rsidP="00897BF4">
      <w:pPr>
        <w:spacing w:after="0" w:line="240" w:lineRule="auto"/>
        <w:ind w:left="540" w:hanging="540"/>
        <w:rPr>
          <w:rFonts w:eastAsia="Times New Roman" w:cs="Times New Roman"/>
          <w:szCs w:val="24"/>
          <w:lang w:val="en-HK"/>
        </w:rPr>
      </w:pPr>
      <w:r w:rsidRPr="00716F6D">
        <w:rPr>
          <w:rFonts w:eastAsia="Times New Roman" w:cs="Times New Roman"/>
          <w:szCs w:val="24"/>
          <w:lang w:val="en"/>
        </w:rPr>
        <w:t xml:space="preserve">World Health Organization (2020) </w:t>
      </w:r>
      <w:r w:rsidRPr="00716F6D">
        <w:rPr>
          <w:rFonts w:eastAsia="Times New Roman" w:cs="Times New Roman"/>
          <w:i/>
          <w:szCs w:val="24"/>
          <w:lang w:val="en"/>
        </w:rPr>
        <w:t>2019-nCoV outbreak is an emergency of international concern</w:t>
      </w:r>
      <w:r w:rsidRPr="00716F6D">
        <w:rPr>
          <w:rFonts w:eastAsia="Times New Roman" w:cs="Times New Roman"/>
          <w:szCs w:val="24"/>
          <w:lang w:val="en"/>
        </w:rPr>
        <w:t>. Available at:</w:t>
      </w:r>
      <w:r w:rsidRPr="00716F6D">
        <w:rPr>
          <w:rFonts w:eastAsia="Times New Roman" w:cs="Times New Roman"/>
          <w:szCs w:val="24"/>
          <w:lang w:val="en-HK"/>
        </w:rPr>
        <w:t xml:space="preserve"> http://www.euro.who.int/en/health-topics/emergencies/pages/news/news/2020/01/2019-ncov-outbreak-is-an-emergency-of-international-concern (Accessed: 7</w:t>
      </w:r>
      <w:r w:rsidR="007919E4" w:rsidRPr="007919E4">
        <w:rPr>
          <w:rFonts w:eastAsia="Times New Roman" w:cs="Times New Roman"/>
          <w:szCs w:val="24"/>
          <w:vertAlign w:val="superscript"/>
          <w:lang w:val="en-HK"/>
        </w:rPr>
        <w:t>th</w:t>
      </w:r>
      <w:r w:rsidRPr="00716F6D">
        <w:rPr>
          <w:rFonts w:eastAsia="Times New Roman" w:cs="Times New Roman"/>
          <w:szCs w:val="24"/>
          <w:lang w:val="en-HK"/>
        </w:rPr>
        <w:t xml:space="preserve"> February 2020).</w:t>
      </w:r>
    </w:p>
    <w:p w14:paraId="146BA938" w14:textId="77777777" w:rsidR="00562A20" w:rsidRDefault="00562A20" w:rsidP="00562A20">
      <w:pPr>
        <w:spacing w:after="0" w:line="240" w:lineRule="auto"/>
        <w:ind w:left="540" w:hanging="540"/>
        <w:rPr>
          <w:rFonts w:eastAsia="Times New Roman" w:cs="Times New Roman"/>
          <w:szCs w:val="24"/>
          <w:lang w:val="en-HK" w:eastAsia="en-US" w:bidi="en-US"/>
        </w:rPr>
      </w:pPr>
    </w:p>
    <w:p w14:paraId="711A9005" w14:textId="4713FAFD"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Wo</w:t>
      </w:r>
      <w:r>
        <w:rPr>
          <w:rFonts w:eastAsia="Times New Roman" w:cs="Times New Roman"/>
          <w:szCs w:val="24"/>
          <w:lang w:val="en-HK" w:eastAsia="en-US" w:bidi="en-US"/>
        </w:rPr>
        <w:t>rld Health Organization. (2017)</w:t>
      </w:r>
      <w:r w:rsidRPr="00562A20">
        <w:rPr>
          <w:rFonts w:eastAsia="Times New Roman" w:cs="Times New Roman"/>
          <w:szCs w:val="24"/>
          <w:lang w:val="en-HK" w:eastAsia="en-US" w:bidi="en-US"/>
        </w:rPr>
        <w:t xml:space="preserve"> UN-Water global analysis and assessment of sanitation and drinking-water (GLAAS) 2017 report: financing universal water, sanitation and hygiene under the sustainable development goals.</w:t>
      </w:r>
    </w:p>
    <w:p w14:paraId="4FF8A710" w14:textId="77777777" w:rsidR="00562A20" w:rsidRDefault="00562A20" w:rsidP="00897BF4">
      <w:pPr>
        <w:spacing w:after="0" w:line="240" w:lineRule="auto"/>
        <w:ind w:left="540" w:hanging="540"/>
        <w:rPr>
          <w:rFonts w:eastAsia="Times New Roman" w:cs="Times New Roman"/>
          <w:szCs w:val="24"/>
          <w:lang w:val="en-HK" w:eastAsia="en-US" w:bidi="en-US"/>
        </w:rPr>
      </w:pPr>
    </w:p>
    <w:p w14:paraId="2314053B" w14:textId="4DDA6F9D" w:rsidR="00562A20" w:rsidRPr="00716F6D" w:rsidRDefault="00562A20" w:rsidP="00897BF4">
      <w:pPr>
        <w:spacing w:after="0" w:line="240" w:lineRule="auto"/>
        <w:ind w:left="540" w:hanging="540"/>
        <w:rPr>
          <w:rFonts w:eastAsia="Times New Roman" w:cs="Times New Roman"/>
          <w:szCs w:val="24"/>
          <w:lang w:val="en-HK" w:eastAsia="en-US" w:bidi="en-US"/>
        </w:rPr>
      </w:pPr>
      <w:r w:rsidRPr="00716F6D">
        <w:rPr>
          <w:rFonts w:eastAsia="Times New Roman" w:cs="Times New Roman"/>
          <w:szCs w:val="24"/>
          <w:lang w:val="en-HK" w:eastAsia="en-US" w:bidi="en-US"/>
        </w:rPr>
        <w:t xml:space="preserve">World Population Review (2019) </w:t>
      </w:r>
      <w:r w:rsidRPr="00716F6D">
        <w:rPr>
          <w:rFonts w:eastAsia="Times New Roman" w:cs="Times New Roman"/>
          <w:i/>
          <w:szCs w:val="24"/>
          <w:lang w:val="en-HK" w:eastAsia="en-US" w:bidi="en-US"/>
        </w:rPr>
        <w:t>Mumbai Population</w:t>
      </w:r>
      <w:r w:rsidRPr="00716F6D">
        <w:rPr>
          <w:rFonts w:eastAsia="Times New Roman" w:cs="Times New Roman"/>
          <w:szCs w:val="24"/>
          <w:lang w:val="en-HK" w:eastAsia="en-US" w:bidi="en-US"/>
        </w:rPr>
        <w:t>. Available at http://worldpopulationreview.com/world-cities/mumbai-population/ (Accessed: 28</w:t>
      </w:r>
      <w:r w:rsidRPr="00716F6D">
        <w:rPr>
          <w:rFonts w:eastAsia="Times New Roman" w:cs="Times New Roman"/>
          <w:szCs w:val="24"/>
          <w:vertAlign w:val="superscript"/>
          <w:lang w:val="en-HK" w:eastAsia="en-US" w:bidi="en-US"/>
        </w:rPr>
        <w:t>th</w:t>
      </w:r>
      <w:r w:rsidRPr="00716F6D">
        <w:rPr>
          <w:rFonts w:eastAsia="Times New Roman" w:cs="Times New Roman"/>
          <w:szCs w:val="24"/>
          <w:lang w:val="en-HK" w:eastAsia="en-US" w:bidi="en-US"/>
        </w:rPr>
        <w:t xml:space="preserve"> January 2020).</w:t>
      </w:r>
    </w:p>
    <w:p w14:paraId="692A0DE1" w14:textId="77777777" w:rsidR="00562A20" w:rsidRDefault="00562A20" w:rsidP="00562A20">
      <w:pPr>
        <w:spacing w:after="0" w:line="240" w:lineRule="auto"/>
        <w:ind w:left="540" w:hanging="540"/>
        <w:rPr>
          <w:rFonts w:eastAsia="Times New Roman" w:cs="Times New Roman"/>
          <w:szCs w:val="24"/>
          <w:lang w:val="en-HK" w:eastAsia="en-US" w:bidi="en-US"/>
        </w:rPr>
      </w:pPr>
    </w:p>
    <w:p w14:paraId="5219742F" w14:textId="3D7EDA6E" w:rsidR="00562A20" w:rsidRPr="00562A20" w:rsidRDefault="00562A20" w:rsidP="00562A20">
      <w:pPr>
        <w:spacing w:after="0" w:line="240" w:lineRule="auto"/>
        <w:ind w:left="540" w:hanging="540"/>
        <w:rPr>
          <w:rFonts w:eastAsia="Times New Roman" w:cs="Times New Roman"/>
          <w:szCs w:val="24"/>
          <w:lang w:val="en-HK" w:eastAsia="en-US" w:bidi="en-US"/>
        </w:rPr>
      </w:pPr>
      <w:r w:rsidRPr="00562A20">
        <w:rPr>
          <w:rFonts w:eastAsia="Times New Roman" w:cs="Times New Roman"/>
          <w:szCs w:val="24"/>
          <w:lang w:val="en-HK" w:eastAsia="en-US" w:bidi="en-US"/>
        </w:rPr>
        <w:t xml:space="preserve">World Population Review (2020) </w:t>
      </w:r>
      <w:r w:rsidRPr="007919E4">
        <w:rPr>
          <w:rFonts w:eastAsia="Times New Roman" w:cs="Times New Roman"/>
          <w:i/>
          <w:szCs w:val="24"/>
          <w:lang w:val="en-HK" w:eastAsia="en-US" w:bidi="en-US"/>
        </w:rPr>
        <w:t xml:space="preserve">Gini Coefficient </w:t>
      </w:r>
      <w:proofErr w:type="gramStart"/>
      <w:r w:rsidRPr="007919E4">
        <w:rPr>
          <w:rFonts w:eastAsia="Times New Roman" w:cs="Times New Roman"/>
          <w:i/>
          <w:szCs w:val="24"/>
          <w:lang w:val="en-HK" w:eastAsia="en-US" w:bidi="en-US"/>
        </w:rPr>
        <w:t>By</w:t>
      </w:r>
      <w:proofErr w:type="gramEnd"/>
      <w:r w:rsidRPr="007919E4">
        <w:rPr>
          <w:rFonts w:eastAsia="Times New Roman" w:cs="Times New Roman"/>
          <w:i/>
          <w:szCs w:val="24"/>
          <w:lang w:val="en-HK" w:eastAsia="en-US" w:bidi="en-US"/>
        </w:rPr>
        <w:t xml:space="preserve"> Country 2020.</w:t>
      </w:r>
      <w:r w:rsidRPr="00562A20">
        <w:rPr>
          <w:rFonts w:eastAsia="Times New Roman" w:cs="Times New Roman"/>
          <w:szCs w:val="24"/>
          <w:lang w:val="en-HK" w:eastAsia="en-US" w:bidi="en-US"/>
        </w:rPr>
        <w:t xml:space="preserve"> Available at: http://worldpopulationreview.com/countries/gini-coefficient-by-country/ (Accessed</w:t>
      </w:r>
      <w:r w:rsidR="007919E4">
        <w:rPr>
          <w:rFonts w:eastAsia="Times New Roman" w:cs="Times New Roman"/>
          <w:szCs w:val="24"/>
          <w:lang w:val="en-HK" w:eastAsia="en-US" w:bidi="en-US"/>
        </w:rPr>
        <w:t>: 24</w:t>
      </w:r>
      <w:r w:rsidR="007919E4" w:rsidRPr="007919E4">
        <w:rPr>
          <w:rFonts w:eastAsia="Times New Roman" w:cs="Times New Roman"/>
          <w:szCs w:val="24"/>
          <w:vertAlign w:val="superscript"/>
          <w:lang w:val="en-HK" w:eastAsia="en-US" w:bidi="en-US"/>
        </w:rPr>
        <w:t>th</w:t>
      </w:r>
      <w:r w:rsidRPr="00562A20">
        <w:rPr>
          <w:rFonts w:eastAsia="Times New Roman" w:cs="Times New Roman"/>
          <w:szCs w:val="24"/>
          <w:lang w:val="en-HK" w:eastAsia="en-US" w:bidi="en-US"/>
        </w:rPr>
        <w:t xml:space="preserve"> February 2020).</w:t>
      </w:r>
    </w:p>
    <w:sectPr w:rsidR="00562A20" w:rsidRPr="00562A20" w:rsidSect="00101939">
      <w:pgSz w:w="11900" w:h="16840" w:code="9"/>
      <w:pgMar w:top="1418" w:right="1418" w:bottom="1418" w:left="1418"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B6E322" w14:textId="77777777" w:rsidR="008642BF" w:rsidRDefault="008642BF" w:rsidP="000210A4">
      <w:r>
        <w:separator/>
      </w:r>
    </w:p>
    <w:p w14:paraId="153466CC" w14:textId="77777777" w:rsidR="008642BF" w:rsidRDefault="008642BF"/>
  </w:endnote>
  <w:endnote w:type="continuationSeparator" w:id="0">
    <w:p w14:paraId="556614D8" w14:textId="77777777" w:rsidR="008642BF" w:rsidRDefault="008642BF" w:rsidP="000210A4">
      <w:r>
        <w:continuationSeparator/>
      </w:r>
    </w:p>
    <w:p w14:paraId="483A8B12" w14:textId="77777777" w:rsidR="008642BF" w:rsidRDefault="008642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D792A" w14:textId="04782BC3" w:rsidR="00254E39" w:rsidRPr="000C7FBF" w:rsidRDefault="00254E39" w:rsidP="000C7FBF">
    <w:pPr>
      <w:jc w:val="center"/>
      <w:rPr>
        <w:noProof/>
      </w:rPr>
    </w:pPr>
    <w:r w:rsidRPr="000C7FBF">
      <w:fldChar w:fldCharType="begin"/>
    </w:r>
    <w:r w:rsidRPr="000C7FBF">
      <w:instrText xml:space="preserve"> PAGE   \* MERGEFORMAT </w:instrText>
    </w:r>
    <w:r w:rsidRPr="000C7FBF">
      <w:fldChar w:fldCharType="separate"/>
    </w:r>
    <w:r w:rsidR="001B75D5">
      <w:rPr>
        <w:noProof/>
      </w:rPr>
      <w:t>21</w:t>
    </w:r>
    <w:r w:rsidRPr="000C7FBF">
      <w:rPr>
        <w:noProof/>
      </w:rPr>
      <w:fldChar w:fldCharType="end"/>
    </w:r>
  </w:p>
  <w:p w14:paraId="702A7ECB" w14:textId="77777777" w:rsidR="00254E39" w:rsidRDefault="00254E39" w:rsidP="000210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ECD91" w14:textId="77777777" w:rsidR="008642BF" w:rsidRDefault="008642BF" w:rsidP="000210A4">
      <w:r>
        <w:separator/>
      </w:r>
    </w:p>
    <w:p w14:paraId="7021275D" w14:textId="77777777" w:rsidR="008642BF" w:rsidRDefault="008642BF"/>
  </w:footnote>
  <w:footnote w:type="continuationSeparator" w:id="0">
    <w:p w14:paraId="0D2351DF" w14:textId="77777777" w:rsidR="008642BF" w:rsidRDefault="008642BF" w:rsidP="000210A4">
      <w:r>
        <w:continuationSeparator/>
      </w:r>
    </w:p>
    <w:p w14:paraId="1F089501" w14:textId="77777777" w:rsidR="008642BF" w:rsidRDefault="008642BF"/>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36804033"/>
      <w:docPartObj>
        <w:docPartGallery w:val="Page Numbers (Top of Page)"/>
        <w:docPartUnique/>
      </w:docPartObj>
    </w:sdtPr>
    <w:sdtEndPr>
      <w:rPr>
        <w:rStyle w:val="PageNumber"/>
      </w:rPr>
    </w:sdtEndPr>
    <w:sdtContent>
      <w:p w14:paraId="0959BCB9" w14:textId="77777777" w:rsidR="00254E39" w:rsidRDefault="00254E39" w:rsidP="000210A4">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A9B2B0" w14:textId="77777777" w:rsidR="00254E39" w:rsidRDefault="00254E39" w:rsidP="000210A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81BAA"/>
    <w:multiLevelType w:val="hybridMultilevel"/>
    <w:tmpl w:val="60028586"/>
    <w:lvl w:ilvl="0" w:tplc="2B84B500">
      <w:start w:val="1"/>
      <w:numFmt w:val="decimal"/>
      <w:lvlText w:val="%1."/>
      <w:lvlJc w:val="left"/>
      <w:pPr>
        <w:ind w:left="1080" w:hanging="720"/>
      </w:pPr>
      <w:rPr>
        <w:rFonts w:cstheme="majorBid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A43962"/>
    <w:multiLevelType w:val="hybridMultilevel"/>
    <w:tmpl w:val="DA56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I0MDM1tTQzMTY2MjZW0lEKTi0uzszPAykwM6oFAHco1h8tAAAA"/>
  </w:docVars>
  <w:rsids>
    <w:rsidRoot w:val="00C11B05"/>
    <w:rsid w:val="00002251"/>
    <w:rsid w:val="00013BF7"/>
    <w:rsid w:val="0001458C"/>
    <w:rsid w:val="000210A4"/>
    <w:rsid w:val="00022DD8"/>
    <w:rsid w:val="00024014"/>
    <w:rsid w:val="000263D7"/>
    <w:rsid w:val="000268B6"/>
    <w:rsid w:val="0002701F"/>
    <w:rsid w:val="000314DB"/>
    <w:rsid w:val="000320D2"/>
    <w:rsid w:val="00034096"/>
    <w:rsid w:val="00044D23"/>
    <w:rsid w:val="00047ED0"/>
    <w:rsid w:val="0005042A"/>
    <w:rsid w:val="00050EC2"/>
    <w:rsid w:val="000534E8"/>
    <w:rsid w:val="000576FE"/>
    <w:rsid w:val="00060A3D"/>
    <w:rsid w:val="000635A0"/>
    <w:rsid w:val="00070D51"/>
    <w:rsid w:val="000712AB"/>
    <w:rsid w:val="0007177B"/>
    <w:rsid w:val="000741D6"/>
    <w:rsid w:val="00076F56"/>
    <w:rsid w:val="00077F79"/>
    <w:rsid w:val="000815E2"/>
    <w:rsid w:val="0008344E"/>
    <w:rsid w:val="0008365E"/>
    <w:rsid w:val="00083E11"/>
    <w:rsid w:val="0008648E"/>
    <w:rsid w:val="00087EAB"/>
    <w:rsid w:val="00094AC4"/>
    <w:rsid w:val="000A23F8"/>
    <w:rsid w:val="000A2C76"/>
    <w:rsid w:val="000A5D0C"/>
    <w:rsid w:val="000A6CFB"/>
    <w:rsid w:val="000A7009"/>
    <w:rsid w:val="000A752B"/>
    <w:rsid w:val="000B0565"/>
    <w:rsid w:val="000B0BC5"/>
    <w:rsid w:val="000B2E3F"/>
    <w:rsid w:val="000B5CE0"/>
    <w:rsid w:val="000B6966"/>
    <w:rsid w:val="000C0C09"/>
    <w:rsid w:val="000C2835"/>
    <w:rsid w:val="000C5895"/>
    <w:rsid w:val="000C7F0A"/>
    <w:rsid w:val="000C7FBF"/>
    <w:rsid w:val="000D114A"/>
    <w:rsid w:val="000D4CFE"/>
    <w:rsid w:val="000D5833"/>
    <w:rsid w:val="000D6D24"/>
    <w:rsid w:val="000E0D1E"/>
    <w:rsid w:val="000E106E"/>
    <w:rsid w:val="000E1385"/>
    <w:rsid w:val="000E18E5"/>
    <w:rsid w:val="000E6F24"/>
    <w:rsid w:val="000E72DA"/>
    <w:rsid w:val="000F1D33"/>
    <w:rsid w:val="00101939"/>
    <w:rsid w:val="00103E81"/>
    <w:rsid w:val="001067F9"/>
    <w:rsid w:val="00112245"/>
    <w:rsid w:val="001126B0"/>
    <w:rsid w:val="00114C9F"/>
    <w:rsid w:val="0012261F"/>
    <w:rsid w:val="00122ACD"/>
    <w:rsid w:val="001235C2"/>
    <w:rsid w:val="001236BC"/>
    <w:rsid w:val="00127274"/>
    <w:rsid w:val="001333F7"/>
    <w:rsid w:val="001335B8"/>
    <w:rsid w:val="00133ED5"/>
    <w:rsid w:val="001455DE"/>
    <w:rsid w:val="00147067"/>
    <w:rsid w:val="00150684"/>
    <w:rsid w:val="001529ED"/>
    <w:rsid w:val="00152AF0"/>
    <w:rsid w:val="00157CF0"/>
    <w:rsid w:val="00164128"/>
    <w:rsid w:val="001706A4"/>
    <w:rsid w:val="001732B8"/>
    <w:rsid w:val="00173CE0"/>
    <w:rsid w:val="00174F9C"/>
    <w:rsid w:val="0017662B"/>
    <w:rsid w:val="00182F23"/>
    <w:rsid w:val="0018318A"/>
    <w:rsid w:val="0018347C"/>
    <w:rsid w:val="00187E7B"/>
    <w:rsid w:val="0019048B"/>
    <w:rsid w:val="00190893"/>
    <w:rsid w:val="00195526"/>
    <w:rsid w:val="001A2232"/>
    <w:rsid w:val="001A418A"/>
    <w:rsid w:val="001A4CBD"/>
    <w:rsid w:val="001A5C61"/>
    <w:rsid w:val="001A6311"/>
    <w:rsid w:val="001B4C27"/>
    <w:rsid w:val="001B4D2E"/>
    <w:rsid w:val="001B59E6"/>
    <w:rsid w:val="001B75D5"/>
    <w:rsid w:val="001C3D8D"/>
    <w:rsid w:val="001C638F"/>
    <w:rsid w:val="001C7D22"/>
    <w:rsid w:val="001D3FEF"/>
    <w:rsid w:val="001D51EB"/>
    <w:rsid w:val="001E0927"/>
    <w:rsid w:val="001E190D"/>
    <w:rsid w:val="001E2E3D"/>
    <w:rsid w:val="001F2290"/>
    <w:rsid w:val="00202B67"/>
    <w:rsid w:val="0020374E"/>
    <w:rsid w:val="00205713"/>
    <w:rsid w:val="0020652D"/>
    <w:rsid w:val="00207C0B"/>
    <w:rsid w:val="00213E5B"/>
    <w:rsid w:val="00214ADC"/>
    <w:rsid w:val="002156F3"/>
    <w:rsid w:val="00215885"/>
    <w:rsid w:val="00217D4F"/>
    <w:rsid w:val="00217E4F"/>
    <w:rsid w:val="00224342"/>
    <w:rsid w:val="00225D0D"/>
    <w:rsid w:val="002317D3"/>
    <w:rsid w:val="00243C63"/>
    <w:rsid w:val="002447A0"/>
    <w:rsid w:val="00253130"/>
    <w:rsid w:val="00254E39"/>
    <w:rsid w:val="002606DB"/>
    <w:rsid w:val="002904A1"/>
    <w:rsid w:val="00290738"/>
    <w:rsid w:val="002A34EE"/>
    <w:rsid w:val="002B1256"/>
    <w:rsid w:val="002B3F5D"/>
    <w:rsid w:val="002B495D"/>
    <w:rsid w:val="002C21D8"/>
    <w:rsid w:val="002C5B7E"/>
    <w:rsid w:val="002D7EAC"/>
    <w:rsid w:val="002E2BBC"/>
    <w:rsid w:val="002E4C21"/>
    <w:rsid w:val="002E7B28"/>
    <w:rsid w:val="002E7E27"/>
    <w:rsid w:val="002F16F3"/>
    <w:rsid w:val="002F17EC"/>
    <w:rsid w:val="002F2848"/>
    <w:rsid w:val="0030103E"/>
    <w:rsid w:val="00312C43"/>
    <w:rsid w:val="00315057"/>
    <w:rsid w:val="0031659B"/>
    <w:rsid w:val="0032062E"/>
    <w:rsid w:val="00322ED1"/>
    <w:rsid w:val="00325ED4"/>
    <w:rsid w:val="00331221"/>
    <w:rsid w:val="00334108"/>
    <w:rsid w:val="00335ABA"/>
    <w:rsid w:val="003402E4"/>
    <w:rsid w:val="00340390"/>
    <w:rsid w:val="00352FF2"/>
    <w:rsid w:val="00355131"/>
    <w:rsid w:val="00355AE8"/>
    <w:rsid w:val="00364A13"/>
    <w:rsid w:val="00365F34"/>
    <w:rsid w:val="00366CEE"/>
    <w:rsid w:val="0037128C"/>
    <w:rsid w:val="00373545"/>
    <w:rsid w:val="00374A27"/>
    <w:rsid w:val="0037528C"/>
    <w:rsid w:val="00383CBA"/>
    <w:rsid w:val="003841AA"/>
    <w:rsid w:val="00384471"/>
    <w:rsid w:val="00390276"/>
    <w:rsid w:val="00390ABA"/>
    <w:rsid w:val="00390E5D"/>
    <w:rsid w:val="00391DB5"/>
    <w:rsid w:val="00392C5A"/>
    <w:rsid w:val="0039713C"/>
    <w:rsid w:val="003A044D"/>
    <w:rsid w:val="003A1D39"/>
    <w:rsid w:val="003A32F5"/>
    <w:rsid w:val="003A3A18"/>
    <w:rsid w:val="003A44CE"/>
    <w:rsid w:val="003A716A"/>
    <w:rsid w:val="003B08D8"/>
    <w:rsid w:val="003C391F"/>
    <w:rsid w:val="003C61FC"/>
    <w:rsid w:val="003C68D1"/>
    <w:rsid w:val="003C7C80"/>
    <w:rsid w:val="003D0BCA"/>
    <w:rsid w:val="003D1ED8"/>
    <w:rsid w:val="003D2444"/>
    <w:rsid w:val="003D46A5"/>
    <w:rsid w:val="003F5EF7"/>
    <w:rsid w:val="003F6123"/>
    <w:rsid w:val="003F6BF9"/>
    <w:rsid w:val="003F77AB"/>
    <w:rsid w:val="00404B9B"/>
    <w:rsid w:val="00405EF4"/>
    <w:rsid w:val="0040676A"/>
    <w:rsid w:val="00406DB2"/>
    <w:rsid w:val="00407E2C"/>
    <w:rsid w:val="004123D4"/>
    <w:rsid w:val="00413F92"/>
    <w:rsid w:val="00414094"/>
    <w:rsid w:val="00414254"/>
    <w:rsid w:val="004156A7"/>
    <w:rsid w:val="00416954"/>
    <w:rsid w:val="00417875"/>
    <w:rsid w:val="0042223A"/>
    <w:rsid w:val="00440127"/>
    <w:rsid w:val="00440702"/>
    <w:rsid w:val="00442E10"/>
    <w:rsid w:val="00445DDC"/>
    <w:rsid w:val="0044741A"/>
    <w:rsid w:val="004566A8"/>
    <w:rsid w:val="00456AE2"/>
    <w:rsid w:val="00463B37"/>
    <w:rsid w:val="00467060"/>
    <w:rsid w:val="00472B3C"/>
    <w:rsid w:val="00474C76"/>
    <w:rsid w:val="00475FAC"/>
    <w:rsid w:val="0047753C"/>
    <w:rsid w:val="00480FF9"/>
    <w:rsid w:val="004814A1"/>
    <w:rsid w:val="004945E7"/>
    <w:rsid w:val="00494A3C"/>
    <w:rsid w:val="004A6C9D"/>
    <w:rsid w:val="004B1DD4"/>
    <w:rsid w:val="004B2A04"/>
    <w:rsid w:val="004B68CC"/>
    <w:rsid w:val="004B6DBC"/>
    <w:rsid w:val="004C2554"/>
    <w:rsid w:val="004C7358"/>
    <w:rsid w:val="004D3976"/>
    <w:rsid w:val="004D4C2E"/>
    <w:rsid w:val="004E27A8"/>
    <w:rsid w:val="004E4D55"/>
    <w:rsid w:val="004E7BF1"/>
    <w:rsid w:val="004F0593"/>
    <w:rsid w:val="004F1EE4"/>
    <w:rsid w:val="004F3E2B"/>
    <w:rsid w:val="004F6021"/>
    <w:rsid w:val="004F7380"/>
    <w:rsid w:val="004F7EB2"/>
    <w:rsid w:val="0050392E"/>
    <w:rsid w:val="005050FC"/>
    <w:rsid w:val="005169F1"/>
    <w:rsid w:val="00523E8C"/>
    <w:rsid w:val="00525824"/>
    <w:rsid w:val="00546BC2"/>
    <w:rsid w:val="005477D7"/>
    <w:rsid w:val="0055049C"/>
    <w:rsid w:val="00550F9A"/>
    <w:rsid w:val="0055200B"/>
    <w:rsid w:val="0055378B"/>
    <w:rsid w:val="0055580F"/>
    <w:rsid w:val="00561292"/>
    <w:rsid w:val="00561464"/>
    <w:rsid w:val="00562A20"/>
    <w:rsid w:val="00562A72"/>
    <w:rsid w:val="00563292"/>
    <w:rsid w:val="00563F17"/>
    <w:rsid w:val="00564494"/>
    <w:rsid w:val="0056498F"/>
    <w:rsid w:val="00564C6A"/>
    <w:rsid w:val="00567573"/>
    <w:rsid w:val="0057298C"/>
    <w:rsid w:val="00572FB1"/>
    <w:rsid w:val="0057374F"/>
    <w:rsid w:val="0057628E"/>
    <w:rsid w:val="00576717"/>
    <w:rsid w:val="0057698A"/>
    <w:rsid w:val="0058118B"/>
    <w:rsid w:val="00585F01"/>
    <w:rsid w:val="00585F62"/>
    <w:rsid w:val="00590E64"/>
    <w:rsid w:val="005915A1"/>
    <w:rsid w:val="0059439A"/>
    <w:rsid w:val="005B136E"/>
    <w:rsid w:val="005B2110"/>
    <w:rsid w:val="005B2C71"/>
    <w:rsid w:val="005B675B"/>
    <w:rsid w:val="005B6A6B"/>
    <w:rsid w:val="005C5699"/>
    <w:rsid w:val="005C5ABD"/>
    <w:rsid w:val="005D0D0B"/>
    <w:rsid w:val="005D2297"/>
    <w:rsid w:val="005D48D5"/>
    <w:rsid w:val="005D5D90"/>
    <w:rsid w:val="005D7FEC"/>
    <w:rsid w:val="005E2A90"/>
    <w:rsid w:val="005E327A"/>
    <w:rsid w:val="005E7985"/>
    <w:rsid w:val="006007D8"/>
    <w:rsid w:val="0060127F"/>
    <w:rsid w:val="00602DF8"/>
    <w:rsid w:val="00602EE8"/>
    <w:rsid w:val="006173F1"/>
    <w:rsid w:val="00620C4C"/>
    <w:rsid w:val="00623238"/>
    <w:rsid w:val="006240EC"/>
    <w:rsid w:val="00625411"/>
    <w:rsid w:val="00626371"/>
    <w:rsid w:val="00626E5A"/>
    <w:rsid w:val="00634D12"/>
    <w:rsid w:val="0064243E"/>
    <w:rsid w:val="006434C1"/>
    <w:rsid w:val="00645DDE"/>
    <w:rsid w:val="00650EAC"/>
    <w:rsid w:val="0065388E"/>
    <w:rsid w:val="00654AA1"/>
    <w:rsid w:val="0065724C"/>
    <w:rsid w:val="00662E86"/>
    <w:rsid w:val="006649A7"/>
    <w:rsid w:val="00674144"/>
    <w:rsid w:val="0067436B"/>
    <w:rsid w:val="0067484D"/>
    <w:rsid w:val="00675A99"/>
    <w:rsid w:val="00676EC2"/>
    <w:rsid w:val="0067771D"/>
    <w:rsid w:val="00681D17"/>
    <w:rsid w:val="006879A5"/>
    <w:rsid w:val="0069126E"/>
    <w:rsid w:val="006922B3"/>
    <w:rsid w:val="00696631"/>
    <w:rsid w:val="006A086D"/>
    <w:rsid w:val="006A0908"/>
    <w:rsid w:val="006A66DF"/>
    <w:rsid w:val="006A6BBC"/>
    <w:rsid w:val="006B268A"/>
    <w:rsid w:val="006B2921"/>
    <w:rsid w:val="006C017F"/>
    <w:rsid w:val="006C5C79"/>
    <w:rsid w:val="006C5D89"/>
    <w:rsid w:val="006D2D70"/>
    <w:rsid w:val="006D3026"/>
    <w:rsid w:val="006D476E"/>
    <w:rsid w:val="006D67DB"/>
    <w:rsid w:val="006D6A60"/>
    <w:rsid w:val="006D7D6B"/>
    <w:rsid w:val="006E2B3A"/>
    <w:rsid w:val="006E361E"/>
    <w:rsid w:val="006F38B9"/>
    <w:rsid w:val="006F519C"/>
    <w:rsid w:val="006F6706"/>
    <w:rsid w:val="0070014F"/>
    <w:rsid w:val="007020C5"/>
    <w:rsid w:val="007039E8"/>
    <w:rsid w:val="00706A2E"/>
    <w:rsid w:val="00710C6F"/>
    <w:rsid w:val="007135C7"/>
    <w:rsid w:val="00715B75"/>
    <w:rsid w:val="00716F6D"/>
    <w:rsid w:val="007201B3"/>
    <w:rsid w:val="00720CC2"/>
    <w:rsid w:val="0072144A"/>
    <w:rsid w:val="007246D3"/>
    <w:rsid w:val="00730E8C"/>
    <w:rsid w:val="007320DF"/>
    <w:rsid w:val="00735529"/>
    <w:rsid w:val="0074055A"/>
    <w:rsid w:val="00740562"/>
    <w:rsid w:val="00742DCB"/>
    <w:rsid w:val="00742ECC"/>
    <w:rsid w:val="0074329B"/>
    <w:rsid w:val="00743C20"/>
    <w:rsid w:val="007448DC"/>
    <w:rsid w:val="00745D43"/>
    <w:rsid w:val="00747438"/>
    <w:rsid w:val="00747464"/>
    <w:rsid w:val="00757FDB"/>
    <w:rsid w:val="00760B3D"/>
    <w:rsid w:val="00764253"/>
    <w:rsid w:val="00765E1B"/>
    <w:rsid w:val="00770413"/>
    <w:rsid w:val="007744D2"/>
    <w:rsid w:val="00774948"/>
    <w:rsid w:val="007759C3"/>
    <w:rsid w:val="0078709C"/>
    <w:rsid w:val="007878B1"/>
    <w:rsid w:val="00787CBF"/>
    <w:rsid w:val="0079024E"/>
    <w:rsid w:val="007919E4"/>
    <w:rsid w:val="007A07F8"/>
    <w:rsid w:val="007A116C"/>
    <w:rsid w:val="007A44D0"/>
    <w:rsid w:val="007A5B0E"/>
    <w:rsid w:val="007A701C"/>
    <w:rsid w:val="007B292A"/>
    <w:rsid w:val="007B4024"/>
    <w:rsid w:val="007B54EB"/>
    <w:rsid w:val="007B6699"/>
    <w:rsid w:val="007C1C30"/>
    <w:rsid w:val="007C2244"/>
    <w:rsid w:val="007C6083"/>
    <w:rsid w:val="007C7841"/>
    <w:rsid w:val="007C7C0B"/>
    <w:rsid w:val="007D1C42"/>
    <w:rsid w:val="007D79B6"/>
    <w:rsid w:val="007E2CD2"/>
    <w:rsid w:val="007F14B4"/>
    <w:rsid w:val="00805917"/>
    <w:rsid w:val="0080599F"/>
    <w:rsid w:val="00805E78"/>
    <w:rsid w:val="0080701F"/>
    <w:rsid w:val="00807F4E"/>
    <w:rsid w:val="00810882"/>
    <w:rsid w:val="008148DE"/>
    <w:rsid w:val="008169B6"/>
    <w:rsid w:val="0081741B"/>
    <w:rsid w:val="0081775C"/>
    <w:rsid w:val="00820770"/>
    <w:rsid w:val="00821590"/>
    <w:rsid w:val="00822432"/>
    <w:rsid w:val="00822517"/>
    <w:rsid w:val="00822F9A"/>
    <w:rsid w:val="00827AEF"/>
    <w:rsid w:val="00832825"/>
    <w:rsid w:val="00835818"/>
    <w:rsid w:val="008358F2"/>
    <w:rsid w:val="008426CF"/>
    <w:rsid w:val="00842D59"/>
    <w:rsid w:val="00843725"/>
    <w:rsid w:val="00844D4F"/>
    <w:rsid w:val="00846E90"/>
    <w:rsid w:val="00846F39"/>
    <w:rsid w:val="00847668"/>
    <w:rsid w:val="008530E6"/>
    <w:rsid w:val="00853BE1"/>
    <w:rsid w:val="00863A64"/>
    <w:rsid w:val="008642BF"/>
    <w:rsid w:val="00864863"/>
    <w:rsid w:val="008650BF"/>
    <w:rsid w:val="00865817"/>
    <w:rsid w:val="00867D42"/>
    <w:rsid w:val="00881344"/>
    <w:rsid w:val="00882418"/>
    <w:rsid w:val="008900A7"/>
    <w:rsid w:val="00892C6E"/>
    <w:rsid w:val="008944BD"/>
    <w:rsid w:val="0089604A"/>
    <w:rsid w:val="00897BF4"/>
    <w:rsid w:val="008A1328"/>
    <w:rsid w:val="008A25AB"/>
    <w:rsid w:val="008B265F"/>
    <w:rsid w:val="008B3F78"/>
    <w:rsid w:val="008B7F79"/>
    <w:rsid w:val="008C09B1"/>
    <w:rsid w:val="008C2066"/>
    <w:rsid w:val="008C3001"/>
    <w:rsid w:val="008C3B5F"/>
    <w:rsid w:val="008C5FCE"/>
    <w:rsid w:val="008D0054"/>
    <w:rsid w:val="008D0800"/>
    <w:rsid w:val="008E2515"/>
    <w:rsid w:val="008E7AF4"/>
    <w:rsid w:val="008F0EE3"/>
    <w:rsid w:val="008F1002"/>
    <w:rsid w:val="008F217B"/>
    <w:rsid w:val="008F3B37"/>
    <w:rsid w:val="008F7B3A"/>
    <w:rsid w:val="008F7F26"/>
    <w:rsid w:val="00901E38"/>
    <w:rsid w:val="009045BF"/>
    <w:rsid w:val="00904664"/>
    <w:rsid w:val="009071C9"/>
    <w:rsid w:val="009077F2"/>
    <w:rsid w:val="00907CEC"/>
    <w:rsid w:val="00911290"/>
    <w:rsid w:val="00916726"/>
    <w:rsid w:val="00917BDA"/>
    <w:rsid w:val="009258CF"/>
    <w:rsid w:val="00932AD7"/>
    <w:rsid w:val="00940EAE"/>
    <w:rsid w:val="009455E0"/>
    <w:rsid w:val="00946D59"/>
    <w:rsid w:val="00947522"/>
    <w:rsid w:val="00951BB5"/>
    <w:rsid w:val="00952F59"/>
    <w:rsid w:val="00957CBD"/>
    <w:rsid w:val="00960242"/>
    <w:rsid w:val="00970DC7"/>
    <w:rsid w:val="0097529F"/>
    <w:rsid w:val="00975D8B"/>
    <w:rsid w:val="009803AF"/>
    <w:rsid w:val="0098060D"/>
    <w:rsid w:val="009852DE"/>
    <w:rsid w:val="00985AE0"/>
    <w:rsid w:val="0098633D"/>
    <w:rsid w:val="009872AB"/>
    <w:rsid w:val="00987B0E"/>
    <w:rsid w:val="00995510"/>
    <w:rsid w:val="009964F3"/>
    <w:rsid w:val="009A273B"/>
    <w:rsid w:val="009A3FEE"/>
    <w:rsid w:val="009A6D9D"/>
    <w:rsid w:val="009B045B"/>
    <w:rsid w:val="009B0819"/>
    <w:rsid w:val="009B3726"/>
    <w:rsid w:val="009B3EED"/>
    <w:rsid w:val="009C1F17"/>
    <w:rsid w:val="009C55BE"/>
    <w:rsid w:val="009C5E66"/>
    <w:rsid w:val="009C65B0"/>
    <w:rsid w:val="009C69CB"/>
    <w:rsid w:val="009D2181"/>
    <w:rsid w:val="009D5514"/>
    <w:rsid w:val="009E13C8"/>
    <w:rsid w:val="009E5475"/>
    <w:rsid w:val="009E5FAE"/>
    <w:rsid w:val="009F00DC"/>
    <w:rsid w:val="009F2CD1"/>
    <w:rsid w:val="009F35CF"/>
    <w:rsid w:val="009F6E08"/>
    <w:rsid w:val="00A04153"/>
    <w:rsid w:val="00A066F9"/>
    <w:rsid w:val="00A073F9"/>
    <w:rsid w:val="00A07DF7"/>
    <w:rsid w:val="00A10F6D"/>
    <w:rsid w:val="00A12DB0"/>
    <w:rsid w:val="00A15F6F"/>
    <w:rsid w:val="00A20940"/>
    <w:rsid w:val="00A22386"/>
    <w:rsid w:val="00A237D2"/>
    <w:rsid w:val="00A257B1"/>
    <w:rsid w:val="00A32ADA"/>
    <w:rsid w:val="00A36E69"/>
    <w:rsid w:val="00A37160"/>
    <w:rsid w:val="00A509F8"/>
    <w:rsid w:val="00A51191"/>
    <w:rsid w:val="00A5184A"/>
    <w:rsid w:val="00A52BA8"/>
    <w:rsid w:val="00A539DE"/>
    <w:rsid w:val="00A53E25"/>
    <w:rsid w:val="00A65A94"/>
    <w:rsid w:val="00A74892"/>
    <w:rsid w:val="00A75F36"/>
    <w:rsid w:val="00A76801"/>
    <w:rsid w:val="00A866DB"/>
    <w:rsid w:val="00A95F5D"/>
    <w:rsid w:val="00A96237"/>
    <w:rsid w:val="00A967B7"/>
    <w:rsid w:val="00AA237D"/>
    <w:rsid w:val="00AA3DDA"/>
    <w:rsid w:val="00AA4713"/>
    <w:rsid w:val="00AA516D"/>
    <w:rsid w:val="00AA6474"/>
    <w:rsid w:val="00AB1322"/>
    <w:rsid w:val="00AB7AE2"/>
    <w:rsid w:val="00AC1008"/>
    <w:rsid w:val="00AC1CDC"/>
    <w:rsid w:val="00AD0585"/>
    <w:rsid w:val="00AD2989"/>
    <w:rsid w:val="00AD39E0"/>
    <w:rsid w:val="00AD3B26"/>
    <w:rsid w:val="00AD3FF4"/>
    <w:rsid w:val="00AE133C"/>
    <w:rsid w:val="00AE2640"/>
    <w:rsid w:val="00AE5EF1"/>
    <w:rsid w:val="00AE7F51"/>
    <w:rsid w:val="00AF05BC"/>
    <w:rsid w:val="00AF1AB8"/>
    <w:rsid w:val="00AF1C96"/>
    <w:rsid w:val="00AF3BC3"/>
    <w:rsid w:val="00AF680B"/>
    <w:rsid w:val="00B02F3F"/>
    <w:rsid w:val="00B129D4"/>
    <w:rsid w:val="00B13E4D"/>
    <w:rsid w:val="00B1596C"/>
    <w:rsid w:val="00B27E02"/>
    <w:rsid w:val="00B30396"/>
    <w:rsid w:val="00B30845"/>
    <w:rsid w:val="00B3316B"/>
    <w:rsid w:val="00B340C1"/>
    <w:rsid w:val="00B34BCE"/>
    <w:rsid w:val="00B35113"/>
    <w:rsid w:val="00B3777C"/>
    <w:rsid w:val="00B46462"/>
    <w:rsid w:val="00B50CF1"/>
    <w:rsid w:val="00B518D3"/>
    <w:rsid w:val="00B534AB"/>
    <w:rsid w:val="00B548BE"/>
    <w:rsid w:val="00B553C5"/>
    <w:rsid w:val="00B55DD7"/>
    <w:rsid w:val="00B62A1B"/>
    <w:rsid w:val="00B64493"/>
    <w:rsid w:val="00B65ECB"/>
    <w:rsid w:val="00B66896"/>
    <w:rsid w:val="00B707C4"/>
    <w:rsid w:val="00B71C71"/>
    <w:rsid w:val="00B72195"/>
    <w:rsid w:val="00B8324B"/>
    <w:rsid w:val="00B84CCF"/>
    <w:rsid w:val="00B9089D"/>
    <w:rsid w:val="00B91F8D"/>
    <w:rsid w:val="00B95CFF"/>
    <w:rsid w:val="00B968EE"/>
    <w:rsid w:val="00B9745D"/>
    <w:rsid w:val="00BA2835"/>
    <w:rsid w:val="00BA417D"/>
    <w:rsid w:val="00BA4263"/>
    <w:rsid w:val="00BA6537"/>
    <w:rsid w:val="00BA73D4"/>
    <w:rsid w:val="00BB1877"/>
    <w:rsid w:val="00BB1E91"/>
    <w:rsid w:val="00BB59CD"/>
    <w:rsid w:val="00BB5E9A"/>
    <w:rsid w:val="00BB6AC0"/>
    <w:rsid w:val="00BB7500"/>
    <w:rsid w:val="00BC2877"/>
    <w:rsid w:val="00BC5C0E"/>
    <w:rsid w:val="00BC7973"/>
    <w:rsid w:val="00BD4507"/>
    <w:rsid w:val="00BD6E4C"/>
    <w:rsid w:val="00BE175D"/>
    <w:rsid w:val="00BE213E"/>
    <w:rsid w:val="00BE5D7E"/>
    <w:rsid w:val="00BE63B7"/>
    <w:rsid w:val="00BE6BDB"/>
    <w:rsid w:val="00BF2C6A"/>
    <w:rsid w:val="00BF2D8F"/>
    <w:rsid w:val="00BF3A1D"/>
    <w:rsid w:val="00BF436B"/>
    <w:rsid w:val="00BF58DF"/>
    <w:rsid w:val="00BF615F"/>
    <w:rsid w:val="00C024A2"/>
    <w:rsid w:val="00C02C99"/>
    <w:rsid w:val="00C05F80"/>
    <w:rsid w:val="00C11B05"/>
    <w:rsid w:val="00C12027"/>
    <w:rsid w:val="00C17B3D"/>
    <w:rsid w:val="00C204DD"/>
    <w:rsid w:val="00C233E3"/>
    <w:rsid w:val="00C269B5"/>
    <w:rsid w:val="00C27570"/>
    <w:rsid w:val="00C329E2"/>
    <w:rsid w:val="00C32D70"/>
    <w:rsid w:val="00C42F5E"/>
    <w:rsid w:val="00C44AFC"/>
    <w:rsid w:val="00C45494"/>
    <w:rsid w:val="00C50E85"/>
    <w:rsid w:val="00C53140"/>
    <w:rsid w:val="00C60E1A"/>
    <w:rsid w:val="00C62513"/>
    <w:rsid w:val="00C77D83"/>
    <w:rsid w:val="00C8157E"/>
    <w:rsid w:val="00C84F36"/>
    <w:rsid w:val="00C85421"/>
    <w:rsid w:val="00C87A54"/>
    <w:rsid w:val="00C93635"/>
    <w:rsid w:val="00C93C66"/>
    <w:rsid w:val="00C96CF7"/>
    <w:rsid w:val="00CA16A2"/>
    <w:rsid w:val="00CA5B4E"/>
    <w:rsid w:val="00CB0B04"/>
    <w:rsid w:val="00CB2239"/>
    <w:rsid w:val="00CC2D6A"/>
    <w:rsid w:val="00CC3D74"/>
    <w:rsid w:val="00CC579D"/>
    <w:rsid w:val="00CC79B6"/>
    <w:rsid w:val="00CD0047"/>
    <w:rsid w:val="00CD0911"/>
    <w:rsid w:val="00CD2FA8"/>
    <w:rsid w:val="00CD3AFF"/>
    <w:rsid w:val="00CD3B8D"/>
    <w:rsid w:val="00CD4155"/>
    <w:rsid w:val="00CE1AE2"/>
    <w:rsid w:val="00CE3F7F"/>
    <w:rsid w:val="00CE5669"/>
    <w:rsid w:val="00CF251C"/>
    <w:rsid w:val="00CF50FF"/>
    <w:rsid w:val="00CF7B4E"/>
    <w:rsid w:val="00D00653"/>
    <w:rsid w:val="00D019E3"/>
    <w:rsid w:val="00D03BB4"/>
    <w:rsid w:val="00D156B6"/>
    <w:rsid w:val="00D16B12"/>
    <w:rsid w:val="00D244C8"/>
    <w:rsid w:val="00D30456"/>
    <w:rsid w:val="00D31097"/>
    <w:rsid w:val="00D31237"/>
    <w:rsid w:val="00D3511F"/>
    <w:rsid w:val="00D373B1"/>
    <w:rsid w:val="00D37FE8"/>
    <w:rsid w:val="00D457AC"/>
    <w:rsid w:val="00D47E74"/>
    <w:rsid w:val="00D536AC"/>
    <w:rsid w:val="00D548E0"/>
    <w:rsid w:val="00D564B2"/>
    <w:rsid w:val="00D63AFA"/>
    <w:rsid w:val="00D64B74"/>
    <w:rsid w:val="00D65539"/>
    <w:rsid w:val="00D67431"/>
    <w:rsid w:val="00D72C99"/>
    <w:rsid w:val="00D803EA"/>
    <w:rsid w:val="00D81E71"/>
    <w:rsid w:val="00D846C6"/>
    <w:rsid w:val="00D85F48"/>
    <w:rsid w:val="00D900E2"/>
    <w:rsid w:val="00D926FC"/>
    <w:rsid w:val="00D95E2D"/>
    <w:rsid w:val="00D961F9"/>
    <w:rsid w:val="00D96375"/>
    <w:rsid w:val="00DA14D5"/>
    <w:rsid w:val="00DA68D4"/>
    <w:rsid w:val="00DA6BA4"/>
    <w:rsid w:val="00DB0BC8"/>
    <w:rsid w:val="00DB3EEC"/>
    <w:rsid w:val="00DB444F"/>
    <w:rsid w:val="00DB7B9C"/>
    <w:rsid w:val="00DC1849"/>
    <w:rsid w:val="00DC368F"/>
    <w:rsid w:val="00DC4BA9"/>
    <w:rsid w:val="00DC6999"/>
    <w:rsid w:val="00DC6A4B"/>
    <w:rsid w:val="00DD341B"/>
    <w:rsid w:val="00DD3DE7"/>
    <w:rsid w:val="00DE299F"/>
    <w:rsid w:val="00DE3434"/>
    <w:rsid w:val="00DE734F"/>
    <w:rsid w:val="00DF0AFB"/>
    <w:rsid w:val="00DF3EDF"/>
    <w:rsid w:val="00DF4541"/>
    <w:rsid w:val="00DF7068"/>
    <w:rsid w:val="00E036EB"/>
    <w:rsid w:val="00E04C0F"/>
    <w:rsid w:val="00E04D4B"/>
    <w:rsid w:val="00E169C6"/>
    <w:rsid w:val="00E202B2"/>
    <w:rsid w:val="00E2507C"/>
    <w:rsid w:val="00E3119E"/>
    <w:rsid w:val="00E31CE7"/>
    <w:rsid w:val="00E32757"/>
    <w:rsid w:val="00E337A4"/>
    <w:rsid w:val="00E40447"/>
    <w:rsid w:val="00E40DB7"/>
    <w:rsid w:val="00E505D7"/>
    <w:rsid w:val="00E51A24"/>
    <w:rsid w:val="00E53C60"/>
    <w:rsid w:val="00E5776E"/>
    <w:rsid w:val="00E60778"/>
    <w:rsid w:val="00E6600D"/>
    <w:rsid w:val="00E665FE"/>
    <w:rsid w:val="00E67E64"/>
    <w:rsid w:val="00E704B5"/>
    <w:rsid w:val="00E73CAC"/>
    <w:rsid w:val="00E75C83"/>
    <w:rsid w:val="00E80CBA"/>
    <w:rsid w:val="00E832D4"/>
    <w:rsid w:val="00E86F84"/>
    <w:rsid w:val="00E93AB7"/>
    <w:rsid w:val="00E95CE3"/>
    <w:rsid w:val="00E97059"/>
    <w:rsid w:val="00EA1CA4"/>
    <w:rsid w:val="00EA1FF5"/>
    <w:rsid w:val="00EA2143"/>
    <w:rsid w:val="00EB006F"/>
    <w:rsid w:val="00EB1DC0"/>
    <w:rsid w:val="00EB7AD2"/>
    <w:rsid w:val="00EC1334"/>
    <w:rsid w:val="00EC37A1"/>
    <w:rsid w:val="00EC5282"/>
    <w:rsid w:val="00EC5E9D"/>
    <w:rsid w:val="00EC7C90"/>
    <w:rsid w:val="00ED2735"/>
    <w:rsid w:val="00ED2BCB"/>
    <w:rsid w:val="00ED3F78"/>
    <w:rsid w:val="00ED4355"/>
    <w:rsid w:val="00ED501E"/>
    <w:rsid w:val="00ED62D5"/>
    <w:rsid w:val="00EE4A53"/>
    <w:rsid w:val="00EE5216"/>
    <w:rsid w:val="00EE5D37"/>
    <w:rsid w:val="00EE65A9"/>
    <w:rsid w:val="00EE7890"/>
    <w:rsid w:val="00EF659A"/>
    <w:rsid w:val="00EF6681"/>
    <w:rsid w:val="00F004EF"/>
    <w:rsid w:val="00F04F08"/>
    <w:rsid w:val="00F0585E"/>
    <w:rsid w:val="00F060F0"/>
    <w:rsid w:val="00F1344F"/>
    <w:rsid w:val="00F16385"/>
    <w:rsid w:val="00F16DCD"/>
    <w:rsid w:val="00F17C30"/>
    <w:rsid w:val="00F31042"/>
    <w:rsid w:val="00F36ECD"/>
    <w:rsid w:val="00F37245"/>
    <w:rsid w:val="00F410DE"/>
    <w:rsid w:val="00F46C19"/>
    <w:rsid w:val="00F4778A"/>
    <w:rsid w:val="00F50D55"/>
    <w:rsid w:val="00F56355"/>
    <w:rsid w:val="00F571A1"/>
    <w:rsid w:val="00F57DEA"/>
    <w:rsid w:val="00F6069D"/>
    <w:rsid w:val="00F635C5"/>
    <w:rsid w:val="00F63B72"/>
    <w:rsid w:val="00F65426"/>
    <w:rsid w:val="00F66D18"/>
    <w:rsid w:val="00F73832"/>
    <w:rsid w:val="00F818DC"/>
    <w:rsid w:val="00F85AF0"/>
    <w:rsid w:val="00F8783D"/>
    <w:rsid w:val="00F958F9"/>
    <w:rsid w:val="00FA33E5"/>
    <w:rsid w:val="00FA5CCE"/>
    <w:rsid w:val="00FA6647"/>
    <w:rsid w:val="00FB298C"/>
    <w:rsid w:val="00FB3DFE"/>
    <w:rsid w:val="00FB45A0"/>
    <w:rsid w:val="00FB6097"/>
    <w:rsid w:val="00FB6574"/>
    <w:rsid w:val="00FC2260"/>
    <w:rsid w:val="00FD4567"/>
    <w:rsid w:val="00FD70B1"/>
    <w:rsid w:val="00FF37AA"/>
    <w:rsid w:val="00FF45C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BAB4CD"/>
  <w15:chartTrackingRefBased/>
  <w15:docId w15:val="{D38E6173-A8EF-47F0-91F8-D4418195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10A4"/>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E95CE3"/>
    <w:pPr>
      <w:keepNext/>
      <w:keepLines/>
      <w:spacing w:before="480" w:after="0"/>
      <w:outlineLvl w:val="0"/>
    </w:pPr>
    <w:rPr>
      <w:rFonts w:eastAsiaTheme="majorEastAsia" w:cstheme="majorBidi"/>
      <w:bCs/>
      <w:szCs w:val="28"/>
      <w:lang w:eastAsia="en-US" w:bidi="en-US"/>
    </w:rPr>
  </w:style>
  <w:style w:type="paragraph" w:styleId="Heading2">
    <w:name w:val="heading 2"/>
    <w:basedOn w:val="Normal"/>
    <w:next w:val="Normal"/>
    <w:link w:val="Heading2Char"/>
    <w:uiPriority w:val="9"/>
    <w:unhideWhenUsed/>
    <w:qFormat/>
    <w:rsid w:val="006007D8"/>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C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C83"/>
  </w:style>
  <w:style w:type="paragraph" w:styleId="Footer">
    <w:name w:val="footer"/>
    <w:basedOn w:val="Normal"/>
    <w:link w:val="FooterChar"/>
    <w:uiPriority w:val="99"/>
    <w:unhideWhenUsed/>
    <w:rsid w:val="00E75C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C83"/>
  </w:style>
  <w:style w:type="character" w:styleId="PageNumber">
    <w:name w:val="page number"/>
    <w:basedOn w:val="DefaultParagraphFont"/>
    <w:uiPriority w:val="99"/>
    <w:semiHidden/>
    <w:unhideWhenUsed/>
    <w:rsid w:val="00E75C83"/>
  </w:style>
  <w:style w:type="paragraph" w:styleId="NormalWeb">
    <w:name w:val="Normal (Web)"/>
    <w:basedOn w:val="Normal"/>
    <w:uiPriority w:val="99"/>
    <w:semiHidden/>
    <w:unhideWhenUsed/>
    <w:rsid w:val="00F4778A"/>
    <w:pPr>
      <w:spacing w:before="100" w:beforeAutospacing="1" w:after="100" w:afterAutospacing="1" w:line="240" w:lineRule="auto"/>
    </w:pPr>
    <w:rPr>
      <w:rFonts w:eastAsia="Times New Roman" w:cs="Times New Roman"/>
      <w:szCs w:val="24"/>
    </w:rPr>
  </w:style>
  <w:style w:type="character" w:customStyle="1" w:styleId="hit">
    <w:name w:val="hit"/>
    <w:basedOn w:val="DefaultParagraphFont"/>
    <w:rsid w:val="00F4778A"/>
  </w:style>
  <w:style w:type="paragraph" w:styleId="BalloonText">
    <w:name w:val="Balloon Text"/>
    <w:basedOn w:val="Normal"/>
    <w:link w:val="BalloonTextChar"/>
    <w:uiPriority w:val="99"/>
    <w:semiHidden/>
    <w:unhideWhenUsed/>
    <w:rsid w:val="00AA237D"/>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AA237D"/>
    <w:rPr>
      <w:rFonts w:ascii="Times New Roman" w:hAnsi="Times New Roman" w:cs="Times New Roman"/>
      <w:sz w:val="18"/>
      <w:szCs w:val="18"/>
    </w:rPr>
  </w:style>
  <w:style w:type="character" w:customStyle="1" w:styleId="Heading1Char">
    <w:name w:val="Heading 1 Char"/>
    <w:basedOn w:val="DefaultParagraphFont"/>
    <w:link w:val="Heading1"/>
    <w:uiPriority w:val="9"/>
    <w:rsid w:val="00E95CE3"/>
    <w:rPr>
      <w:rFonts w:ascii="Times New Roman" w:eastAsiaTheme="majorEastAsia" w:hAnsi="Times New Roman" w:cstheme="majorBidi"/>
      <w:bCs/>
      <w:sz w:val="24"/>
      <w:szCs w:val="28"/>
      <w:lang w:eastAsia="en-US" w:bidi="en-US"/>
    </w:rPr>
  </w:style>
  <w:style w:type="paragraph" w:styleId="Bibliography">
    <w:name w:val="Bibliography"/>
    <w:basedOn w:val="Normal"/>
    <w:next w:val="Normal"/>
    <w:uiPriority w:val="37"/>
    <w:unhideWhenUsed/>
    <w:rsid w:val="00564494"/>
  </w:style>
  <w:style w:type="paragraph" w:styleId="Caption">
    <w:name w:val="caption"/>
    <w:basedOn w:val="Normal"/>
    <w:next w:val="Normal"/>
    <w:uiPriority w:val="35"/>
    <w:semiHidden/>
    <w:unhideWhenUsed/>
    <w:qFormat/>
    <w:rsid w:val="00ED3F78"/>
    <w:pPr>
      <w:spacing w:after="200" w:line="240" w:lineRule="auto"/>
    </w:pPr>
    <w:rPr>
      <w:i/>
      <w:iCs/>
      <w:color w:val="44546A" w:themeColor="text2"/>
      <w:sz w:val="18"/>
      <w:szCs w:val="18"/>
    </w:rPr>
  </w:style>
  <w:style w:type="table" w:styleId="TableGrid">
    <w:name w:val="Table Grid"/>
    <w:basedOn w:val="TableNormal"/>
    <w:uiPriority w:val="39"/>
    <w:rsid w:val="00B3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58C"/>
    <w:pPr>
      <w:ind w:left="720"/>
      <w:contextualSpacing/>
    </w:pPr>
  </w:style>
  <w:style w:type="paragraph" w:styleId="TOCHeading">
    <w:name w:val="TOC Heading"/>
    <w:basedOn w:val="Heading1"/>
    <w:next w:val="Normal"/>
    <w:uiPriority w:val="39"/>
    <w:unhideWhenUsed/>
    <w:qFormat/>
    <w:rsid w:val="009C55BE"/>
    <w:pPr>
      <w:spacing w:before="240" w:line="259" w:lineRule="auto"/>
      <w:outlineLvl w:val="9"/>
    </w:pPr>
    <w:rPr>
      <w:b/>
      <w:bCs w:val="0"/>
      <w:sz w:val="32"/>
      <w:szCs w:val="32"/>
      <w:lang w:bidi="ar-SA"/>
    </w:rPr>
  </w:style>
  <w:style w:type="paragraph" w:styleId="TOC2">
    <w:name w:val="toc 2"/>
    <w:basedOn w:val="Normal"/>
    <w:next w:val="Normal"/>
    <w:autoRedefine/>
    <w:uiPriority w:val="39"/>
    <w:unhideWhenUsed/>
    <w:rsid w:val="00C53140"/>
    <w:pPr>
      <w:tabs>
        <w:tab w:val="right" w:leader="dot" w:pos="9622"/>
      </w:tabs>
      <w:spacing w:after="100"/>
      <w:ind w:left="220" w:hanging="220"/>
    </w:pPr>
    <w:rPr>
      <w:rFonts w:cs="Times New Roman"/>
      <w:lang w:eastAsia="en-US"/>
    </w:rPr>
  </w:style>
  <w:style w:type="paragraph" w:styleId="TOC1">
    <w:name w:val="toc 1"/>
    <w:basedOn w:val="Normal"/>
    <w:next w:val="Normal"/>
    <w:autoRedefine/>
    <w:uiPriority w:val="39"/>
    <w:unhideWhenUsed/>
    <w:rsid w:val="00DE3434"/>
    <w:pPr>
      <w:tabs>
        <w:tab w:val="left" w:pos="660"/>
        <w:tab w:val="right" w:leader="dot" w:pos="9622"/>
      </w:tabs>
      <w:spacing w:after="100"/>
    </w:pPr>
    <w:rPr>
      <w:rFonts w:cs="Times New Roman"/>
      <w:noProof/>
      <w:lang w:eastAsia="en-US" w:bidi="en-US"/>
    </w:rPr>
  </w:style>
  <w:style w:type="paragraph" w:styleId="TOC3">
    <w:name w:val="toc 3"/>
    <w:basedOn w:val="Normal"/>
    <w:next w:val="Normal"/>
    <w:autoRedefine/>
    <w:uiPriority w:val="39"/>
    <w:unhideWhenUsed/>
    <w:rsid w:val="009C55BE"/>
    <w:pPr>
      <w:spacing w:after="100"/>
      <w:ind w:left="440"/>
    </w:pPr>
    <w:rPr>
      <w:rFonts w:cs="Times New Roman"/>
      <w:lang w:eastAsia="en-US"/>
    </w:rPr>
  </w:style>
  <w:style w:type="character" w:styleId="Hyperlink">
    <w:name w:val="Hyperlink"/>
    <w:basedOn w:val="DefaultParagraphFont"/>
    <w:uiPriority w:val="99"/>
    <w:unhideWhenUsed/>
    <w:rsid w:val="0067771D"/>
    <w:rPr>
      <w:color w:val="0563C1" w:themeColor="hyperlink"/>
      <w:u w:val="single"/>
    </w:rPr>
  </w:style>
  <w:style w:type="character" w:customStyle="1" w:styleId="Heading2Char">
    <w:name w:val="Heading 2 Char"/>
    <w:basedOn w:val="DefaultParagraphFont"/>
    <w:link w:val="Heading2"/>
    <w:uiPriority w:val="9"/>
    <w:rsid w:val="006007D8"/>
    <w:rPr>
      <w:rFonts w:ascii="Times New Roman" w:hAnsi="Times New Roman"/>
      <w:sz w:val="24"/>
    </w:rPr>
  </w:style>
  <w:style w:type="paragraph" w:styleId="Title">
    <w:name w:val="Title"/>
    <w:basedOn w:val="Normal"/>
    <w:next w:val="Normal"/>
    <w:link w:val="TitleChar"/>
    <w:uiPriority w:val="10"/>
    <w:qFormat/>
    <w:rsid w:val="000C28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835"/>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1C638F"/>
    <w:rPr>
      <w:color w:val="605E5C"/>
      <w:shd w:val="clear" w:color="auto" w:fill="E1DFDD"/>
    </w:rPr>
  </w:style>
  <w:style w:type="character" w:styleId="FollowedHyperlink">
    <w:name w:val="FollowedHyperlink"/>
    <w:basedOn w:val="DefaultParagraphFont"/>
    <w:uiPriority w:val="99"/>
    <w:semiHidden/>
    <w:unhideWhenUsed/>
    <w:rsid w:val="00EC1334"/>
    <w:rPr>
      <w:color w:val="954F72" w:themeColor="followedHyperlink"/>
      <w:u w:val="single"/>
    </w:rPr>
  </w:style>
  <w:style w:type="character" w:customStyle="1" w:styleId="UnresolvedMention2">
    <w:name w:val="Unresolved Mention2"/>
    <w:basedOn w:val="DefaultParagraphFont"/>
    <w:uiPriority w:val="99"/>
    <w:semiHidden/>
    <w:unhideWhenUsed/>
    <w:rsid w:val="007201B3"/>
    <w:rPr>
      <w:color w:val="605E5C"/>
      <w:shd w:val="clear" w:color="auto" w:fill="E1DFDD"/>
    </w:rPr>
  </w:style>
  <w:style w:type="paragraph" w:styleId="NoSpacing">
    <w:name w:val="No Spacing"/>
    <w:uiPriority w:val="1"/>
    <w:qFormat/>
    <w:rsid w:val="00366CEE"/>
    <w:pPr>
      <w:spacing w:after="0" w:line="240" w:lineRule="auto"/>
    </w:pPr>
    <w:rPr>
      <w:rFonts w:ascii="Times New Roman" w:hAnsi="Times New Roman"/>
      <w:sz w:val="24"/>
    </w:rPr>
  </w:style>
  <w:style w:type="table" w:customStyle="1" w:styleId="TableGrid1">
    <w:name w:val="Table Grid1"/>
    <w:basedOn w:val="TableNormal"/>
    <w:next w:val="TableGrid"/>
    <w:uiPriority w:val="39"/>
    <w:rsid w:val="006A6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C22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2022">
      <w:bodyDiv w:val="1"/>
      <w:marLeft w:val="0"/>
      <w:marRight w:val="0"/>
      <w:marTop w:val="0"/>
      <w:marBottom w:val="0"/>
      <w:divBdr>
        <w:top w:val="none" w:sz="0" w:space="0" w:color="auto"/>
        <w:left w:val="none" w:sz="0" w:space="0" w:color="auto"/>
        <w:bottom w:val="none" w:sz="0" w:space="0" w:color="auto"/>
        <w:right w:val="none" w:sz="0" w:space="0" w:color="auto"/>
      </w:divBdr>
    </w:div>
    <w:div w:id="67462686">
      <w:bodyDiv w:val="1"/>
      <w:marLeft w:val="0"/>
      <w:marRight w:val="0"/>
      <w:marTop w:val="0"/>
      <w:marBottom w:val="0"/>
      <w:divBdr>
        <w:top w:val="none" w:sz="0" w:space="0" w:color="auto"/>
        <w:left w:val="none" w:sz="0" w:space="0" w:color="auto"/>
        <w:bottom w:val="none" w:sz="0" w:space="0" w:color="auto"/>
        <w:right w:val="none" w:sz="0" w:space="0" w:color="auto"/>
      </w:divBdr>
    </w:div>
    <w:div w:id="75828157">
      <w:bodyDiv w:val="1"/>
      <w:marLeft w:val="0"/>
      <w:marRight w:val="0"/>
      <w:marTop w:val="0"/>
      <w:marBottom w:val="0"/>
      <w:divBdr>
        <w:top w:val="none" w:sz="0" w:space="0" w:color="auto"/>
        <w:left w:val="none" w:sz="0" w:space="0" w:color="auto"/>
        <w:bottom w:val="none" w:sz="0" w:space="0" w:color="auto"/>
        <w:right w:val="none" w:sz="0" w:space="0" w:color="auto"/>
      </w:divBdr>
      <w:divsChild>
        <w:div w:id="1243680162">
          <w:marLeft w:val="0"/>
          <w:marRight w:val="0"/>
          <w:marTop w:val="0"/>
          <w:marBottom w:val="0"/>
          <w:divBdr>
            <w:top w:val="none" w:sz="0" w:space="0" w:color="auto"/>
            <w:left w:val="none" w:sz="0" w:space="0" w:color="auto"/>
            <w:bottom w:val="none" w:sz="0" w:space="0" w:color="auto"/>
            <w:right w:val="none" w:sz="0" w:space="0" w:color="auto"/>
          </w:divBdr>
          <w:divsChild>
            <w:div w:id="1034773032">
              <w:marLeft w:val="0"/>
              <w:marRight w:val="0"/>
              <w:marTop w:val="0"/>
              <w:marBottom w:val="0"/>
              <w:divBdr>
                <w:top w:val="none" w:sz="0" w:space="0" w:color="auto"/>
                <w:left w:val="none" w:sz="0" w:space="0" w:color="auto"/>
                <w:bottom w:val="none" w:sz="0" w:space="0" w:color="auto"/>
                <w:right w:val="none" w:sz="0" w:space="0" w:color="auto"/>
              </w:divBdr>
              <w:divsChild>
                <w:div w:id="148689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86951">
      <w:bodyDiv w:val="1"/>
      <w:marLeft w:val="0"/>
      <w:marRight w:val="0"/>
      <w:marTop w:val="0"/>
      <w:marBottom w:val="0"/>
      <w:divBdr>
        <w:top w:val="none" w:sz="0" w:space="0" w:color="auto"/>
        <w:left w:val="none" w:sz="0" w:space="0" w:color="auto"/>
        <w:bottom w:val="none" w:sz="0" w:space="0" w:color="auto"/>
        <w:right w:val="none" w:sz="0" w:space="0" w:color="auto"/>
      </w:divBdr>
    </w:div>
    <w:div w:id="124125937">
      <w:bodyDiv w:val="1"/>
      <w:marLeft w:val="0"/>
      <w:marRight w:val="0"/>
      <w:marTop w:val="0"/>
      <w:marBottom w:val="0"/>
      <w:divBdr>
        <w:top w:val="none" w:sz="0" w:space="0" w:color="auto"/>
        <w:left w:val="none" w:sz="0" w:space="0" w:color="auto"/>
        <w:bottom w:val="none" w:sz="0" w:space="0" w:color="auto"/>
        <w:right w:val="none" w:sz="0" w:space="0" w:color="auto"/>
      </w:divBdr>
    </w:div>
    <w:div w:id="155343878">
      <w:bodyDiv w:val="1"/>
      <w:marLeft w:val="0"/>
      <w:marRight w:val="0"/>
      <w:marTop w:val="0"/>
      <w:marBottom w:val="0"/>
      <w:divBdr>
        <w:top w:val="none" w:sz="0" w:space="0" w:color="auto"/>
        <w:left w:val="none" w:sz="0" w:space="0" w:color="auto"/>
        <w:bottom w:val="none" w:sz="0" w:space="0" w:color="auto"/>
        <w:right w:val="none" w:sz="0" w:space="0" w:color="auto"/>
      </w:divBdr>
    </w:div>
    <w:div w:id="174657757">
      <w:bodyDiv w:val="1"/>
      <w:marLeft w:val="0"/>
      <w:marRight w:val="0"/>
      <w:marTop w:val="0"/>
      <w:marBottom w:val="0"/>
      <w:divBdr>
        <w:top w:val="none" w:sz="0" w:space="0" w:color="auto"/>
        <w:left w:val="none" w:sz="0" w:space="0" w:color="auto"/>
        <w:bottom w:val="none" w:sz="0" w:space="0" w:color="auto"/>
        <w:right w:val="none" w:sz="0" w:space="0" w:color="auto"/>
      </w:divBdr>
    </w:div>
    <w:div w:id="175313186">
      <w:bodyDiv w:val="1"/>
      <w:marLeft w:val="0"/>
      <w:marRight w:val="0"/>
      <w:marTop w:val="0"/>
      <w:marBottom w:val="0"/>
      <w:divBdr>
        <w:top w:val="none" w:sz="0" w:space="0" w:color="auto"/>
        <w:left w:val="none" w:sz="0" w:space="0" w:color="auto"/>
        <w:bottom w:val="none" w:sz="0" w:space="0" w:color="auto"/>
        <w:right w:val="none" w:sz="0" w:space="0" w:color="auto"/>
      </w:divBdr>
    </w:div>
    <w:div w:id="306059885">
      <w:bodyDiv w:val="1"/>
      <w:marLeft w:val="0"/>
      <w:marRight w:val="0"/>
      <w:marTop w:val="0"/>
      <w:marBottom w:val="0"/>
      <w:divBdr>
        <w:top w:val="none" w:sz="0" w:space="0" w:color="auto"/>
        <w:left w:val="none" w:sz="0" w:space="0" w:color="auto"/>
        <w:bottom w:val="none" w:sz="0" w:space="0" w:color="auto"/>
        <w:right w:val="none" w:sz="0" w:space="0" w:color="auto"/>
      </w:divBdr>
      <w:divsChild>
        <w:div w:id="1836148176">
          <w:marLeft w:val="0"/>
          <w:marRight w:val="0"/>
          <w:marTop w:val="0"/>
          <w:marBottom w:val="0"/>
          <w:divBdr>
            <w:top w:val="none" w:sz="0" w:space="0" w:color="auto"/>
            <w:left w:val="none" w:sz="0" w:space="0" w:color="auto"/>
            <w:bottom w:val="none" w:sz="0" w:space="0" w:color="auto"/>
            <w:right w:val="none" w:sz="0" w:space="0" w:color="auto"/>
          </w:divBdr>
          <w:divsChild>
            <w:div w:id="494684745">
              <w:marLeft w:val="0"/>
              <w:marRight w:val="0"/>
              <w:marTop w:val="0"/>
              <w:marBottom w:val="0"/>
              <w:divBdr>
                <w:top w:val="none" w:sz="0" w:space="0" w:color="auto"/>
                <w:left w:val="none" w:sz="0" w:space="0" w:color="auto"/>
                <w:bottom w:val="none" w:sz="0" w:space="0" w:color="auto"/>
                <w:right w:val="none" w:sz="0" w:space="0" w:color="auto"/>
              </w:divBdr>
              <w:divsChild>
                <w:div w:id="7389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392854546">
      <w:bodyDiv w:val="1"/>
      <w:marLeft w:val="0"/>
      <w:marRight w:val="0"/>
      <w:marTop w:val="0"/>
      <w:marBottom w:val="0"/>
      <w:divBdr>
        <w:top w:val="none" w:sz="0" w:space="0" w:color="auto"/>
        <w:left w:val="none" w:sz="0" w:space="0" w:color="auto"/>
        <w:bottom w:val="none" w:sz="0" w:space="0" w:color="auto"/>
        <w:right w:val="none" w:sz="0" w:space="0" w:color="auto"/>
      </w:divBdr>
    </w:div>
    <w:div w:id="461381883">
      <w:bodyDiv w:val="1"/>
      <w:marLeft w:val="0"/>
      <w:marRight w:val="0"/>
      <w:marTop w:val="0"/>
      <w:marBottom w:val="0"/>
      <w:divBdr>
        <w:top w:val="none" w:sz="0" w:space="0" w:color="auto"/>
        <w:left w:val="none" w:sz="0" w:space="0" w:color="auto"/>
        <w:bottom w:val="none" w:sz="0" w:space="0" w:color="auto"/>
        <w:right w:val="none" w:sz="0" w:space="0" w:color="auto"/>
      </w:divBdr>
    </w:div>
    <w:div w:id="462963917">
      <w:bodyDiv w:val="1"/>
      <w:marLeft w:val="0"/>
      <w:marRight w:val="0"/>
      <w:marTop w:val="0"/>
      <w:marBottom w:val="0"/>
      <w:divBdr>
        <w:top w:val="none" w:sz="0" w:space="0" w:color="auto"/>
        <w:left w:val="none" w:sz="0" w:space="0" w:color="auto"/>
        <w:bottom w:val="none" w:sz="0" w:space="0" w:color="auto"/>
        <w:right w:val="none" w:sz="0" w:space="0" w:color="auto"/>
      </w:divBdr>
    </w:div>
    <w:div w:id="481235530">
      <w:bodyDiv w:val="1"/>
      <w:marLeft w:val="0"/>
      <w:marRight w:val="0"/>
      <w:marTop w:val="0"/>
      <w:marBottom w:val="0"/>
      <w:divBdr>
        <w:top w:val="none" w:sz="0" w:space="0" w:color="auto"/>
        <w:left w:val="none" w:sz="0" w:space="0" w:color="auto"/>
        <w:bottom w:val="none" w:sz="0" w:space="0" w:color="auto"/>
        <w:right w:val="none" w:sz="0" w:space="0" w:color="auto"/>
      </w:divBdr>
    </w:div>
    <w:div w:id="493300564">
      <w:bodyDiv w:val="1"/>
      <w:marLeft w:val="0"/>
      <w:marRight w:val="0"/>
      <w:marTop w:val="0"/>
      <w:marBottom w:val="0"/>
      <w:divBdr>
        <w:top w:val="none" w:sz="0" w:space="0" w:color="auto"/>
        <w:left w:val="none" w:sz="0" w:space="0" w:color="auto"/>
        <w:bottom w:val="none" w:sz="0" w:space="0" w:color="auto"/>
        <w:right w:val="none" w:sz="0" w:space="0" w:color="auto"/>
      </w:divBdr>
    </w:div>
    <w:div w:id="538126579">
      <w:bodyDiv w:val="1"/>
      <w:marLeft w:val="0"/>
      <w:marRight w:val="0"/>
      <w:marTop w:val="0"/>
      <w:marBottom w:val="0"/>
      <w:divBdr>
        <w:top w:val="none" w:sz="0" w:space="0" w:color="auto"/>
        <w:left w:val="none" w:sz="0" w:space="0" w:color="auto"/>
        <w:bottom w:val="none" w:sz="0" w:space="0" w:color="auto"/>
        <w:right w:val="none" w:sz="0" w:space="0" w:color="auto"/>
      </w:divBdr>
    </w:div>
    <w:div w:id="654837903">
      <w:bodyDiv w:val="1"/>
      <w:marLeft w:val="0"/>
      <w:marRight w:val="0"/>
      <w:marTop w:val="0"/>
      <w:marBottom w:val="0"/>
      <w:divBdr>
        <w:top w:val="none" w:sz="0" w:space="0" w:color="auto"/>
        <w:left w:val="none" w:sz="0" w:space="0" w:color="auto"/>
        <w:bottom w:val="none" w:sz="0" w:space="0" w:color="auto"/>
        <w:right w:val="none" w:sz="0" w:space="0" w:color="auto"/>
      </w:divBdr>
    </w:div>
    <w:div w:id="711883601">
      <w:bodyDiv w:val="1"/>
      <w:marLeft w:val="0"/>
      <w:marRight w:val="0"/>
      <w:marTop w:val="0"/>
      <w:marBottom w:val="0"/>
      <w:divBdr>
        <w:top w:val="none" w:sz="0" w:space="0" w:color="auto"/>
        <w:left w:val="none" w:sz="0" w:space="0" w:color="auto"/>
        <w:bottom w:val="none" w:sz="0" w:space="0" w:color="auto"/>
        <w:right w:val="none" w:sz="0" w:space="0" w:color="auto"/>
      </w:divBdr>
    </w:div>
    <w:div w:id="737290451">
      <w:bodyDiv w:val="1"/>
      <w:marLeft w:val="0"/>
      <w:marRight w:val="0"/>
      <w:marTop w:val="0"/>
      <w:marBottom w:val="0"/>
      <w:divBdr>
        <w:top w:val="none" w:sz="0" w:space="0" w:color="auto"/>
        <w:left w:val="none" w:sz="0" w:space="0" w:color="auto"/>
        <w:bottom w:val="none" w:sz="0" w:space="0" w:color="auto"/>
        <w:right w:val="none" w:sz="0" w:space="0" w:color="auto"/>
      </w:divBdr>
    </w:div>
    <w:div w:id="846822697">
      <w:bodyDiv w:val="1"/>
      <w:marLeft w:val="0"/>
      <w:marRight w:val="0"/>
      <w:marTop w:val="0"/>
      <w:marBottom w:val="0"/>
      <w:divBdr>
        <w:top w:val="none" w:sz="0" w:space="0" w:color="auto"/>
        <w:left w:val="none" w:sz="0" w:space="0" w:color="auto"/>
        <w:bottom w:val="none" w:sz="0" w:space="0" w:color="auto"/>
        <w:right w:val="none" w:sz="0" w:space="0" w:color="auto"/>
      </w:divBdr>
    </w:div>
    <w:div w:id="883834966">
      <w:bodyDiv w:val="1"/>
      <w:marLeft w:val="0"/>
      <w:marRight w:val="0"/>
      <w:marTop w:val="0"/>
      <w:marBottom w:val="0"/>
      <w:divBdr>
        <w:top w:val="none" w:sz="0" w:space="0" w:color="auto"/>
        <w:left w:val="none" w:sz="0" w:space="0" w:color="auto"/>
        <w:bottom w:val="none" w:sz="0" w:space="0" w:color="auto"/>
        <w:right w:val="none" w:sz="0" w:space="0" w:color="auto"/>
      </w:divBdr>
    </w:div>
    <w:div w:id="886186312">
      <w:bodyDiv w:val="1"/>
      <w:marLeft w:val="0"/>
      <w:marRight w:val="0"/>
      <w:marTop w:val="0"/>
      <w:marBottom w:val="0"/>
      <w:divBdr>
        <w:top w:val="none" w:sz="0" w:space="0" w:color="auto"/>
        <w:left w:val="none" w:sz="0" w:space="0" w:color="auto"/>
        <w:bottom w:val="none" w:sz="0" w:space="0" w:color="auto"/>
        <w:right w:val="none" w:sz="0" w:space="0" w:color="auto"/>
      </w:divBdr>
    </w:div>
    <w:div w:id="893077329">
      <w:bodyDiv w:val="1"/>
      <w:marLeft w:val="0"/>
      <w:marRight w:val="0"/>
      <w:marTop w:val="0"/>
      <w:marBottom w:val="0"/>
      <w:divBdr>
        <w:top w:val="none" w:sz="0" w:space="0" w:color="auto"/>
        <w:left w:val="none" w:sz="0" w:space="0" w:color="auto"/>
        <w:bottom w:val="none" w:sz="0" w:space="0" w:color="auto"/>
        <w:right w:val="none" w:sz="0" w:space="0" w:color="auto"/>
      </w:divBdr>
    </w:div>
    <w:div w:id="937951553">
      <w:bodyDiv w:val="1"/>
      <w:marLeft w:val="0"/>
      <w:marRight w:val="0"/>
      <w:marTop w:val="0"/>
      <w:marBottom w:val="0"/>
      <w:divBdr>
        <w:top w:val="none" w:sz="0" w:space="0" w:color="auto"/>
        <w:left w:val="none" w:sz="0" w:space="0" w:color="auto"/>
        <w:bottom w:val="none" w:sz="0" w:space="0" w:color="auto"/>
        <w:right w:val="none" w:sz="0" w:space="0" w:color="auto"/>
      </w:divBdr>
      <w:divsChild>
        <w:div w:id="1202287048">
          <w:marLeft w:val="0"/>
          <w:marRight w:val="0"/>
          <w:marTop w:val="0"/>
          <w:marBottom w:val="0"/>
          <w:divBdr>
            <w:top w:val="none" w:sz="0" w:space="0" w:color="auto"/>
            <w:left w:val="none" w:sz="0" w:space="0" w:color="auto"/>
            <w:bottom w:val="none" w:sz="0" w:space="0" w:color="auto"/>
            <w:right w:val="none" w:sz="0" w:space="0" w:color="auto"/>
          </w:divBdr>
          <w:divsChild>
            <w:div w:id="327513922">
              <w:marLeft w:val="0"/>
              <w:marRight w:val="0"/>
              <w:marTop w:val="0"/>
              <w:marBottom w:val="0"/>
              <w:divBdr>
                <w:top w:val="none" w:sz="0" w:space="0" w:color="auto"/>
                <w:left w:val="none" w:sz="0" w:space="0" w:color="auto"/>
                <w:bottom w:val="none" w:sz="0" w:space="0" w:color="auto"/>
                <w:right w:val="none" w:sz="0" w:space="0" w:color="auto"/>
              </w:divBdr>
              <w:divsChild>
                <w:div w:id="14157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763990">
      <w:bodyDiv w:val="1"/>
      <w:marLeft w:val="0"/>
      <w:marRight w:val="0"/>
      <w:marTop w:val="0"/>
      <w:marBottom w:val="0"/>
      <w:divBdr>
        <w:top w:val="none" w:sz="0" w:space="0" w:color="auto"/>
        <w:left w:val="none" w:sz="0" w:space="0" w:color="auto"/>
        <w:bottom w:val="none" w:sz="0" w:space="0" w:color="auto"/>
        <w:right w:val="none" w:sz="0" w:space="0" w:color="auto"/>
      </w:divBdr>
    </w:div>
    <w:div w:id="1012954726">
      <w:bodyDiv w:val="1"/>
      <w:marLeft w:val="0"/>
      <w:marRight w:val="0"/>
      <w:marTop w:val="0"/>
      <w:marBottom w:val="0"/>
      <w:divBdr>
        <w:top w:val="none" w:sz="0" w:space="0" w:color="auto"/>
        <w:left w:val="none" w:sz="0" w:space="0" w:color="auto"/>
        <w:bottom w:val="none" w:sz="0" w:space="0" w:color="auto"/>
        <w:right w:val="none" w:sz="0" w:space="0" w:color="auto"/>
      </w:divBdr>
    </w:div>
    <w:div w:id="1017005668">
      <w:bodyDiv w:val="1"/>
      <w:marLeft w:val="0"/>
      <w:marRight w:val="0"/>
      <w:marTop w:val="0"/>
      <w:marBottom w:val="0"/>
      <w:divBdr>
        <w:top w:val="none" w:sz="0" w:space="0" w:color="auto"/>
        <w:left w:val="none" w:sz="0" w:space="0" w:color="auto"/>
        <w:bottom w:val="none" w:sz="0" w:space="0" w:color="auto"/>
        <w:right w:val="none" w:sz="0" w:space="0" w:color="auto"/>
      </w:divBdr>
    </w:div>
    <w:div w:id="1052463980">
      <w:bodyDiv w:val="1"/>
      <w:marLeft w:val="0"/>
      <w:marRight w:val="0"/>
      <w:marTop w:val="0"/>
      <w:marBottom w:val="0"/>
      <w:divBdr>
        <w:top w:val="none" w:sz="0" w:space="0" w:color="auto"/>
        <w:left w:val="none" w:sz="0" w:space="0" w:color="auto"/>
        <w:bottom w:val="none" w:sz="0" w:space="0" w:color="auto"/>
        <w:right w:val="none" w:sz="0" w:space="0" w:color="auto"/>
      </w:divBdr>
    </w:div>
    <w:div w:id="1068923269">
      <w:bodyDiv w:val="1"/>
      <w:marLeft w:val="0"/>
      <w:marRight w:val="0"/>
      <w:marTop w:val="0"/>
      <w:marBottom w:val="0"/>
      <w:divBdr>
        <w:top w:val="none" w:sz="0" w:space="0" w:color="auto"/>
        <w:left w:val="none" w:sz="0" w:space="0" w:color="auto"/>
        <w:bottom w:val="none" w:sz="0" w:space="0" w:color="auto"/>
        <w:right w:val="none" w:sz="0" w:space="0" w:color="auto"/>
      </w:divBdr>
    </w:div>
    <w:div w:id="1078673535">
      <w:bodyDiv w:val="1"/>
      <w:marLeft w:val="0"/>
      <w:marRight w:val="0"/>
      <w:marTop w:val="0"/>
      <w:marBottom w:val="0"/>
      <w:divBdr>
        <w:top w:val="none" w:sz="0" w:space="0" w:color="auto"/>
        <w:left w:val="none" w:sz="0" w:space="0" w:color="auto"/>
        <w:bottom w:val="none" w:sz="0" w:space="0" w:color="auto"/>
        <w:right w:val="none" w:sz="0" w:space="0" w:color="auto"/>
      </w:divBdr>
    </w:div>
    <w:div w:id="1103378807">
      <w:bodyDiv w:val="1"/>
      <w:marLeft w:val="0"/>
      <w:marRight w:val="0"/>
      <w:marTop w:val="0"/>
      <w:marBottom w:val="0"/>
      <w:divBdr>
        <w:top w:val="none" w:sz="0" w:space="0" w:color="auto"/>
        <w:left w:val="none" w:sz="0" w:space="0" w:color="auto"/>
        <w:bottom w:val="none" w:sz="0" w:space="0" w:color="auto"/>
        <w:right w:val="none" w:sz="0" w:space="0" w:color="auto"/>
      </w:divBdr>
    </w:div>
    <w:div w:id="1114254114">
      <w:bodyDiv w:val="1"/>
      <w:marLeft w:val="0"/>
      <w:marRight w:val="0"/>
      <w:marTop w:val="0"/>
      <w:marBottom w:val="0"/>
      <w:divBdr>
        <w:top w:val="none" w:sz="0" w:space="0" w:color="auto"/>
        <w:left w:val="none" w:sz="0" w:space="0" w:color="auto"/>
        <w:bottom w:val="none" w:sz="0" w:space="0" w:color="auto"/>
        <w:right w:val="none" w:sz="0" w:space="0" w:color="auto"/>
      </w:divBdr>
    </w:div>
    <w:div w:id="1128621567">
      <w:bodyDiv w:val="1"/>
      <w:marLeft w:val="0"/>
      <w:marRight w:val="0"/>
      <w:marTop w:val="0"/>
      <w:marBottom w:val="0"/>
      <w:divBdr>
        <w:top w:val="none" w:sz="0" w:space="0" w:color="auto"/>
        <w:left w:val="none" w:sz="0" w:space="0" w:color="auto"/>
        <w:bottom w:val="none" w:sz="0" w:space="0" w:color="auto"/>
        <w:right w:val="none" w:sz="0" w:space="0" w:color="auto"/>
      </w:divBdr>
    </w:div>
    <w:div w:id="1172768063">
      <w:bodyDiv w:val="1"/>
      <w:marLeft w:val="0"/>
      <w:marRight w:val="0"/>
      <w:marTop w:val="0"/>
      <w:marBottom w:val="0"/>
      <w:divBdr>
        <w:top w:val="none" w:sz="0" w:space="0" w:color="auto"/>
        <w:left w:val="none" w:sz="0" w:space="0" w:color="auto"/>
        <w:bottom w:val="none" w:sz="0" w:space="0" w:color="auto"/>
        <w:right w:val="none" w:sz="0" w:space="0" w:color="auto"/>
      </w:divBdr>
    </w:div>
    <w:div w:id="1233153256">
      <w:bodyDiv w:val="1"/>
      <w:marLeft w:val="0"/>
      <w:marRight w:val="0"/>
      <w:marTop w:val="0"/>
      <w:marBottom w:val="0"/>
      <w:divBdr>
        <w:top w:val="none" w:sz="0" w:space="0" w:color="auto"/>
        <w:left w:val="none" w:sz="0" w:space="0" w:color="auto"/>
        <w:bottom w:val="none" w:sz="0" w:space="0" w:color="auto"/>
        <w:right w:val="none" w:sz="0" w:space="0" w:color="auto"/>
      </w:divBdr>
    </w:div>
    <w:div w:id="1308898375">
      <w:bodyDiv w:val="1"/>
      <w:marLeft w:val="0"/>
      <w:marRight w:val="0"/>
      <w:marTop w:val="0"/>
      <w:marBottom w:val="0"/>
      <w:divBdr>
        <w:top w:val="none" w:sz="0" w:space="0" w:color="auto"/>
        <w:left w:val="none" w:sz="0" w:space="0" w:color="auto"/>
        <w:bottom w:val="none" w:sz="0" w:space="0" w:color="auto"/>
        <w:right w:val="none" w:sz="0" w:space="0" w:color="auto"/>
      </w:divBdr>
    </w:div>
    <w:div w:id="1361542308">
      <w:bodyDiv w:val="1"/>
      <w:marLeft w:val="0"/>
      <w:marRight w:val="0"/>
      <w:marTop w:val="0"/>
      <w:marBottom w:val="0"/>
      <w:divBdr>
        <w:top w:val="none" w:sz="0" w:space="0" w:color="auto"/>
        <w:left w:val="none" w:sz="0" w:space="0" w:color="auto"/>
        <w:bottom w:val="none" w:sz="0" w:space="0" w:color="auto"/>
        <w:right w:val="none" w:sz="0" w:space="0" w:color="auto"/>
      </w:divBdr>
    </w:div>
    <w:div w:id="1370034867">
      <w:bodyDiv w:val="1"/>
      <w:marLeft w:val="0"/>
      <w:marRight w:val="0"/>
      <w:marTop w:val="0"/>
      <w:marBottom w:val="0"/>
      <w:divBdr>
        <w:top w:val="none" w:sz="0" w:space="0" w:color="auto"/>
        <w:left w:val="none" w:sz="0" w:space="0" w:color="auto"/>
        <w:bottom w:val="none" w:sz="0" w:space="0" w:color="auto"/>
        <w:right w:val="none" w:sz="0" w:space="0" w:color="auto"/>
      </w:divBdr>
    </w:div>
    <w:div w:id="1444424433">
      <w:bodyDiv w:val="1"/>
      <w:marLeft w:val="0"/>
      <w:marRight w:val="0"/>
      <w:marTop w:val="0"/>
      <w:marBottom w:val="0"/>
      <w:divBdr>
        <w:top w:val="none" w:sz="0" w:space="0" w:color="auto"/>
        <w:left w:val="none" w:sz="0" w:space="0" w:color="auto"/>
        <w:bottom w:val="none" w:sz="0" w:space="0" w:color="auto"/>
        <w:right w:val="none" w:sz="0" w:space="0" w:color="auto"/>
      </w:divBdr>
    </w:div>
    <w:div w:id="1444768081">
      <w:bodyDiv w:val="1"/>
      <w:marLeft w:val="0"/>
      <w:marRight w:val="0"/>
      <w:marTop w:val="0"/>
      <w:marBottom w:val="0"/>
      <w:divBdr>
        <w:top w:val="none" w:sz="0" w:space="0" w:color="auto"/>
        <w:left w:val="none" w:sz="0" w:space="0" w:color="auto"/>
        <w:bottom w:val="none" w:sz="0" w:space="0" w:color="auto"/>
        <w:right w:val="none" w:sz="0" w:space="0" w:color="auto"/>
      </w:divBdr>
    </w:div>
    <w:div w:id="1444878866">
      <w:bodyDiv w:val="1"/>
      <w:marLeft w:val="0"/>
      <w:marRight w:val="0"/>
      <w:marTop w:val="0"/>
      <w:marBottom w:val="0"/>
      <w:divBdr>
        <w:top w:val="none" w:sz="0" w:space="0" w:color="auto"/>
        <w:left w:val="none" w:sz="0" w:space="0" w:color="auto"/>
        <w:bottom w:val="none" w:sz="0" w:space="0" w:color="auto"/>
        <w:right w:val="none" w:sz="0" w:space="0" w:color="auto"/>
      </w:divBdr>
    </w:div>
    <w:div w:id="1446778374">
      <w:bodyDiv w:val="1"/>
      <w:marLeft w:val="0"/>
      <w:marRight w:val="0"/>
      <w:marTop w:val="0"/>
      <w:marBottom w:val="0"/>
      <w:divBdr>
        <w:top w:val="none" w:sz="0" w:space="0" w:color="auto"/>
        <w:left w:val="none" w:sz="0" w:space="0" w:color="auto"/>
        <w:bottom w:val="none" w:sz="0" w:space="0" w:color="auto"/>
        <w:right w:val="none" w:sz="0" w:space="0" w:color="auto"/>
      </w:divBdr>
    </w:div>
    <w:div w:id="1468550678">
      <w:bodyDiv w:val="1"/>
      <w:marLeft w:val="0"/>
      <w:marRight w:val="0"/>
      <w:marTop w:val="0"/>
      <w:marBottom w:val="0"/>
      <w:divBdr>
        <w:top w:val="none" w:sz="0" w:space="0" w:color="auto"/>
        <w:left w:val="none" w:sz="0" w:space="0" w:color="auto"/>
        <w:bottom w:val="none" w:sz="0" w:space="0" w:color="auto"/>
        <w:right w:val="none" w:sz="0" w:space="0" w:color="auto"/>
      </w:divBdr>
    </w:div>
    <w:div w:id="1506359896">
      <w:bodyDiv w:val="1"/>
      <w:marLeft w:val="0"/>
      <w:marRight w:val="0"/>
      <w:marTop w:val="0"/>
      <w:marBottom w:val="0"/>
      <w:divBdr>
        <w:top w:val="none" w:sz="0" w:space="0" w:color="auto"/>
        <w:left w:val="none" w:sz="0" w:space="0" w:color="auto"/>
        <w:bottom w:val="none" w:sz="0" w:space="0" w:color="auto"/>
        <w:right w:val="none" w:sz="0" w:space="0" w:color="auto"/>
      </w:divBdr>
    </w:div>
    <w:div w:id="1590233460">
      <w:bodyDiv w:val="1"/>
      <w:marLeft w:val="0"/>
      <w:marRight w:val="0"/>
      <w:marTop w:val="0"/>
      <w:marBottom w:val="0"/>
      <w:divBdr>
        <w:top w:val="none" w:sz="0" w:space="0" w:color="auto"/>
        <w:left w:val="none" w:sz="0" w:space="0" w:color="auto"/>
        <w:bottom w:val="none" w:sz="0" w:space="0" w:color="auto"/>
        <w:right w:val="none" w:sz="0" w:space="0" w:color="auto"/>
      </w:divBdr>
    </w:div>
    <w:div w:id="1620381253">
      <w:bodyDiv w:val="1"/>
      <w:marLeft w:val="0"/>
      <w:marRight w:val="0"/>
      <w:marTop w:val="0"/>
      <w:marBottom w:val="0"/>
      <w:divBdr>
        <w:top w:val="none" w:sz="0" w:space="0" w:color="auto"/>
        <w:left w:val="none" w:sz="0" w:space="0" w:color="auto"/>
        <w:bottom w:val="none" w:sz="0" w:space="0" w:color="auto"/>
        <w:right w:val="none" w:sz="0" w:space="0" w:color="auto"/>
      </w:divBdr>
    </w:div>
    <w:div w:id="1635258278">
      <w:bodyDiv w:val="1"/>
      <w:marLeft w:val="0"/>
      <w:marRight w:val="0"/>
      <w:marTop w:val="0"/>
      <w:marBottom w:val="0"/>
      <w:divBdr>
        <w:top w:val="none" w:sz="0" w:space="0" w:color="auto"/>
        <w:left w:val="none" w:sz="0" w:space="0" w:color="auto"/>
        <w:bottom w:val="none" w:sz="0" w:space="0" w:color="auto"/>
        <w:right w:val="none" w:sz="0" w:space="0" w:color="auto"/>
      </w:divBdr>
    </w:div>
    <w:div w:id="1659653370">
      <w:bodyDiv w:val="1"/>
      <w:marLeft w:val="0"/>
      <w:marRight w:val="0"/>
      <w:marTop w:val="0"/>
      <w:marBottom w:val="0"/>
      <w:divBdr>
        <w:top w:val="none" w:sz="0" w:space="0" w:color="auto"/>
        <w:left w:val="none" w:sz="0" w:space="0" w:color="auto"/>
        <w:bottom w:val="none" w:sz="0" w:space="0" w:color="auto"/>
        <w:right w:val="none" w:sz="0" w:space="0" w:color="auto"/>
      </w:divBdr>
    </w:div>
    <w:div w:id="1695419354">
      <w:bodyDiv w:val="1"/>
      <w:marLeft w:val="0"/>
      <w:marRight w:val="0"/>
      <w:marTop w:val="0"/>
      <w:marBottom w:val="0"/>
      <w:divBdr>
        <w:top w:val="none" w:sz="0" w:space="0" w:color="auto"/>
        <w:left w:val="none" w:sz="0" w:space="0" w:color="auto"/>
        <w:bottom w:val="none" w:sz="0" w:space="0" w:color="auto"/>
        <w:right w:val="none" w:sz="0" w:space="0" w:color="auto"/>
      </w:divBdr>
    </w:div>
    <w:div w:id="1799176035">
      <w:bodyDiv w:val="1"/>
      <w:marLeft w:val="0"/>
      <w:marRight w:val="0"/>
      <w:marTop w:val="0"/>
      <w:marBottom w:val="0"/>
      <w:divBdr>
        <w:top w:val="none" w:sz="0" w:space="0" w:color="auto"/>
        <w:left w:val="none" w:sz="0" w:space="0" w:color="auto"/>
        <w:bottom w:val="none" w:sz="0" w:space="0" w:color="auto"/>
        <w:right w:val="none" w:sz="0" w:space="0" w:color="auto"/>
      </w:divBdr>
    </w:div>
    <w:div w:id="1876963444">
      <w:bodyDiv w:val="1"/>
      <w:marLeft w:val="0"/>
      <w:marRight w:val="0"/>
      <w:marTop w:val="0"/>
      <w:marBottom w:val="0"/>
      <w:divBdr>
        <w:top w:val="none" w:sz="0" w:space="0" w:color="auto"/>
        <w:left w:val="none" w:sz="0" w:space="0" w:color="auto"/>
        <w:bottom w:val="none" w:sz="0" w:space="0" w:color="auto"/>
        <w:right w:val="none" w:sz="0" w:space="0" w:color="auto"/>
      </w:divBdr>
    </w:div>
    <w:div w:id="1880046005">
      <w:bodyDiv w:val="1"/>
      <w:marLeft w:val="0"/>
      <w:marRight w:val="0"/>
      <w:marTop w:val="0"/>
      <w:marBottom w:val="0"/>
      <w:divBdr>
        <w:top w:val="none" w:sz="0" w:space="0" w:color="auto"/>
        <w:left w:val="none" w:sz="0" w:space="0" w:color="auto"/>
        <w:bottom w:val="none" w:sz="0" w:space="0" w:color="auto"/>
        <w:right w:val="none" w:sz="0" w:space="0" w:color="auto"/>
      </w:divBdr>
    </w:div>
    <w:div w:id="1933077811">
      <w:bodyDiv w:val="1"/>
      <w:marLeft w:val="0"/>
      <w:marRight w:val="0"/>
      <w:marTop w:val="0"/>
      <w:marBottom w:val="0"/>
      <w:divBdr>
        <w:top w:val="none" w:sz="0" w:space="0" w:color="auto"/>
        <w:left w:val="none" w:sz="0" w:space="0" w:color="auto"/>
        <w:bottom w:val="none" w:sz="0" w:space="0" w:color="auto"/>
        <w:right w:val="none" w:sz="0" w:space="0" w:color="auto"/>
      </w:divBdr>
    </w:div>
    <w:div w:id="1944536276">
      <w:bodyDiv w:val="1"/>
      <w:marLeft w:val="0"/>
      <w:marRight w:val="0"/>
      <w:marTop w:val="0"/>
      <w:marBottom w:val="0"/>
      <w:divBdr>
        <w:top w:val="none" w:sz="0" w:space="0" w:color="auto"/>
        <w:left w:val="none" w:sz="0" w:space="0" w:color="auto"/>
        <w:bottom w:val="none" w:sz="0" w:space="0" w:color="auto"/>
        <w:right w:val="none" w:sz="0" w:space="0" w:color="auto"/>
      </w:divBdr>
    </w:div>
    <w:div w:id="1948778587">
      <w:bodyDiv w:val="1"/>
      <w:marLeft w:val="0"/>
      <w:marRight w:val="0"/>
      <w:marTop w:val="0"/>
      <w:marBottom w:val="0"/>
      <w:divBdr>
        <w:top w:val="none" w:sz="0" w:space="0" w:color="auto"/>
        <w:left w:val="none" w:sz="0" w:space="0" w:color="auto"/>
        <w:bottom w:val="none" w:sz="0" w:space="0" w:color="auto"/>
        <w:right w:val="none" w:sz="0" w:space="0" w:color="auto"/>
      </w:divBdr>
    </w:div>
    <w:div w:id="1955674683">
      <w:bodyDiv w:val="1"/>
      <w:marLeft w:val="0"/>
      <w:marRight w:val="0"/>
      <w:marTop w:val="0"/>
      <w:marBottom w:val="0"/>
      <w:divBdr>
        <w:top w:val="none" w:sz="0" w:space="0" w:color="auto"/>
        <w:left w:val="none" w:sz="0" w:space="0" w:color="auto"/>
        <w:bottom w:val="none" w:sz="0" w:space="0" w:color="auto"/>
        <w:right w:val="none" w:sz="0" w:space="0" w:color="auto"/>
      </w:divBdr>
    </w:div>
    <w:div w:id="1957757461">
      <w:bodyDiv w:val="1"/>
      <w:marLeft w:val="0"/>
      <w:marRight w:val="0"/>
      <w:marTop w:val="0"/>
      <w:marBottom w:val="0"/>
      <w:divBdr>
        <w:top w:val="none" w:sz="0" w:space="0" w:color="auto"/>
        <w:left w:val="none" w:sz="0" w:space="0" w:color="auto"/>
        <w:bottom w:val="none" w:sz="0" w:space="0" w:color="auto"/>
        <w:right w:val="none" w:sz="0" w:space="0" w:color="auto"/>
      </w:divBdr>
    </w:div>
    <w:div w:id="1966764744">
      <w:bodyDiv w:val="1"/>
      <w:marLeft w:val="0"/>
      <w:marRight w:val="0"/>
      <w:marTop w:val="0"/>
      <w:marBottom w:val="0"/>
      <w:divBdr>
        <w:top w:val="none" w:sz="0" w:space="0" w:color="auto"/>
        <w:left w:val="none" w:sz="0" w:space="0" w:color="auto"/>
        <w:bottom w:val="none" w:sz="0" w:space="0" w:color="auto"/>
        <w:right w:val="none" w:sz="0" w:space="0" w:color="auto"/>
      </w:divBdr>
    </w:div>
    <w:div w:id="1987276253">
      <w:bodyDiv w:val="1"/>
      <w:marLeft w:val="0"/>
      <w:marRight w:val="0"/>
      <w:marTop w:val="0"/>
      <w:marBottom w:val="0"/>
      <w:divBdr>
        <w:top w:val="none" w:sz="0" w:space="0" w:color="auto"/>
        <w:left w:val="none" w:sz="0" w:space="0" w:color="auto"/>
        <w:bottom w:val="none" w:sz="0" w:space="0" w:color="auto"/>
        <w:right w:val="none" w:sz="0" w:space="0" w:color="auto"/>
      </w:divBdr>
    </w:div>
    <w:div w:id="2013871503">
      <w:bodyDiv w:val="1"/>
      <w:marLeft w:val="0"/>
      <w:marRight w:val="0"/>
      <w:marTop w:val="0"/>
      <w:marBottom w:val="0"/>
      <w:divBdr>
        <w:top w:val="none" w:sz="0" w:space="0" w:color="auto"/>
        <w:left w:val="none" w:sz="0" w:space="0" w:color="auto"/>
        <w:bottom w:val="none" w:sz="0" w:space="0" w:color="auto"/>
        <w:right w:val="none" w:sz="0" w:space="0" w:color="auto"/>
      </w:divBdr>
    </w:div>
    <w:div w:id="2023125672">
      <w:bodyDiv w:val="1"/>
      <w:marLeft w:val="0"/>
      <w:marRight w:val="0"/>
      <w:marTop w:val="0"/>
      <w:marBottom w:val="0"/>
      <w:divBdr>
        <w:top w:val="none" w:sz="0" w:space="0" w:color="auto"/>
        <w:left w:val="none" w:sz="0" w:space="0" w:color="auto"/>
        <w:bottom w:val="none" w:sz="0" w:space="0" w:color="auto"/>
        <w:right w:val="none" w:sz="0" w:space="0" w:color="auto"/>
      </w:divBdr>
    </w:div>
    <w:div w:id="2030983416">
      <w:bodyDiv w:val="1"/>
      <w:marLeft w:val="0"/>
      <w:marRight w:val="0"/>
      <w:marTop w:val="0"/>
      <w:marBottom w:val="0"/>
      <w:divBdr>
        <w:top w:val="none" w:sz="0" w:space="0" w:color="auto"/>
        <w:left w:val="none" w:sz="0" w:space="0" w:color="auto"/>
        <w:bottom w:val="none" w:sz="0" w:space="0" w:color="auto"/>
        <w:right w:val="none" w:sz="0" w:space="0" w:color="auto"/>
      </w:divBdr>
    </w:div>
    <w:div w:id="2062318563">
      <w:bodyDiv w:val="1"/>
      <w:marLeft w:val="0"/>
      <w:marRight w:val="0"/>
      <w:marTop w:val="0"/>
      <w:marBottom w:val="0"/>
      <w:divBdr>
        <w:top w:val="none" w:sz="0" w:space="0" w:color="auto"/>
        <w:left w:val="none" w:sz="0" w:space="0" w:color="auto"/>
        <w:bottom w:val="none" w:sz="0" w:space="0" w:color="auto"/>
        <w:right w:val="none" w:sz="0" w:space="0" w:color="auto"/>
      </w:divBdr>
    </w:div>
    <w:div w:id="209226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Bag14</b:Tag>
    <b:SourceType>JournalArticle</b:SourceType>
    <b:Guid>{31EEC67B-243E-2E46-B1E2-66382698DD31}</b:Guid>
    <b:Author>
      <b:Author>
        <b:NameList xmlns:msxsl="urn:schemas-microsoft-com:xslt" xmlns:b="http://schemas.openxmlformats.org/officeDocument/2006/bibliography">
          <b:Person>
            <b:Last>Baghfalaki</b:Last>
            <b:First>Taban</b:First>
            <b:Middle/>
          </b:Person>
          <b:Person>
            <b:Last>Ganjali</b:Last>
            <b:First>Mojtaba</b:First>
            <b:Middle/>
          </b:Person>
        </b:NameList>
      </b:Author>
    </b:Author>
    <b:Title>A Fast Algorithm for Using Semi-Parametric Random Effects Model for Analyzing Longitudinal Data</b:Title>
    <b:JournalName>Statistics, Optimization and Information Computing</b:JournalName>
    <b:Publisher/>
    <b:City/>
    <b:Year>2014</b:Year>
    <b:Month/>
    <b:Day/>
    <b:Volume>2</b:Volume>
    <b:Issue>4</b:Issue>
    <b:Pages>339-351</b:Pages>
    <b:ShortTitle/>
    <b:StandardNumber/>
    <b:Comments/>
    <b:RefOrder>2</b:RefOrder>
  </b:Source>
  <b:Source>
    <b:Tag>Har10</b:Tag>
    <b:SourceType>JournalArticle</b:SourceType>
    <b:Guid>{F3660EA2-E2EC-014E-9F5B-5B3B4117BF91}</b:Guid>
    <b:Author>
      <b:Author>
        <b:NameList xmlns:msxsl="urn:schemas-microsoft-com:xslt" xmlns:b="http://schemas.openxmlformats.org/officeDocument/2006/bibliography">
          <b:Person>
            <b:Last>Harris</b:Last>
            <b:First>Lisa</b:First>
            <b:Middle/>
          </b:Person>
          <b:Person>
            <b:Last>Rae</b:Last>
            <b:First>Alan</b:First>
            <b:Middle/>
          </b:Person>
        </b:NameList>
      </b:Author>
    </b:Author>
    <b:Title>The online connection: transforming marketing strategy for small businesses</b:Title>
    <b:JournalName>Journal of Business Strategy</b:JournalName>
    <b:Publisher/>
    <b:City/>
    <b:Year>2010</b:Year>
    <b:Month/>
    <b:Day/>
    <b:Volume>31</b:Volume>
    <b:Issue>2</b:Issue>
    <b:Pages>4-12</b:Pages>
    <b:ShortTitle/>
    <b:StandardNumber/>
    <b:Comments/>
    <b:RefOrder>3</b:RefOrder>
  </b:Source>
  <b:Source>
    <b:Tag>Shi15</b:Tag>
    <b:SourceType>JournalArticle</b:SourceType>
    <b:Guid>{37167DBF-6BCB-964C-BEBC-492D4CE62525}</b:Guid>
    <b:Author>
      <b:Author>
        <b:NameList xmlns:msxsl="urn:schemas-microsoft-com:xslt" xmlns:b="http://schemas.openxmlformats.org/officeDocument/2006/bibliography">
          <b:Person>
            <b:Last>Shi</b:Last>
            <b:First>Donghui</b:First>
            <b:Middle/>
          </b:Person>
          <b:Person>
            <b:Last>Guan</b:Last>
            <b:First>Jian</b:First>
            <b:Middle/>
          </b:Person>
          <b:Person>
            <b:Last>Zurada</b:Last>
            <b:First>Jozef</b:First>
            <b:Middle/>
          </b:Person>
          <b:Person>
            <b:Last>Levitan</b:Last>
            <b:First>Alan</b:First>
            <b:Middle>S.</b:Middle>
          </b:Person>
        </b:NameList>
      </b:Author>
    </b:Author>
    <b:Title>An Innovative Clustering Approach to Market Segmentation for Improved Price Prediction</b:Title>
    <b:JournalName>Journal of International Technology and Information Management</b:JournalName>
    <b:Publisher/>
    <b:City/>
    <b:Year>2015</b:Year>
    <b:Month/>
    <b:Day/>
    <b:Volume>24</b:Volume>
    <b:Issue>1</b:Issue>
    <b:Pages>2</b:Pages>
    <b:ShortTitle/>
    <b:StandardNumber/>
    <b:Comments/>
    <b:RefOrder>4</b:RefOrder>
  </b:Source>
  <b:Source>
    <b:Tag>Gol11</b:Tag>
    <b:SourceType>JournalArticle</b:SourceType>
    <b:Guid>{3992D807-0CFB-1A46-BA2F-6B07A122E7EA}</b:Guid>
    <b:Author>
      <b:Author>
        <b:NameList xmlns:msxsl="urn:schemas-microsoft-com:xslt" xmlns:b="http://schemas.openxmlformats.org/officeDocument/2006/bibliography">
          <b:Person>
            <b:Last>Goldfarb</b:Last>
            <b:First>Avi</b:First>
            <b:Middle/>
          </b:Person>
          <b:Person>
            <b:Last>Tucker</b:Last>
            <b:First>Catherine</b:First>
            <b:Middle>E.</b:Middle>
          </b:Person>
        </b:NameList>
      </b:Author>
    </b:Author>
    <b:Title>Online Display Advertising: Targeting and Obtrusiveness</b:Title>
    <b:JournalName>Marketing Science</b:JournalName>
    <b:Publisher/>
    <b:City/>
    <b:Year>2011</b:Year>
    <b:Month/>
    <b:Day/>
    <b:Volume>30</b:Volume>
    <b:Issue>3</b:Issue>
    <b:Pages>389-404</b:Pages>
    <b:ShortTitle/>
    <b:StandardNumber/>
    <b:Comments/>
    <b:RefOrder>5</b:RefOrder>
  </b:Source>
  <b:Source>
    <b:Tag>Gua19</b:Tag>
    <b:SourceType>JournalArticle</b:SourceType>
    <b:Guid>{C2CAF1C0-0E23-1E43-95C7-F2B53BD01E83}</b:Guid>
    <b:Author>
      <b:Author>
        <b:NameList xmlns:msxsl="urn:schemas-microsoft-com:xslt" xmlns:b="http://schemas.openxmlformats.org/officeDocument/2006/bibliography">
          <b:Person>
            <b:Last>Guasoni</b:Last>
            <b:First>Paolo</b:First>
            <b:Middle/>
          </b:Person>
          <b:Person>
            <b:Last>Guasoni</b:Last>
            <b:First>Paolo</b:First>
            <b:Middle/>
          </b:Person>
          <b:Person>
            <b:Last>Mayerhofer</b:Last>
            <b:First>Eberhard</b:First>
            <b:Middle/>
          </b:Person>
        </b:NameList>
      </b:Author>
    </b:Author>
    <b:Title>The Limits of Leverage</b:Title>
    <b:JournalName>Mathematical Finance</b:JournalName>
    <b:Publisher/>
    <b:City/>
    <b:Year>2019</b:Year>
    <b:Month/>
    <b:Day/>
    <b:Volume>29</b:Volume>
    <b:Issue>1</b:Issue>
    <b:Pages>249-284</b:Pages>
    <b:ShortTitle/>
    <b:StandardNumber/>
    <b:Comments/>
    <b:RefOrder>1</b:RefOrder>
  </b:Source>
</b:Sources>
</file>

<file path=customXml/itemProps1.xml><?xml version="1.0" encoding="utf-8"?>
<ds:datastoreItem xmlns:ds="http://schemas.openxmlformats.org/officeDocument/2006/customXml" ds:itemID="{FBC4F901-ED61-4EFF-9E7A-B1F3F4A019FC}">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29</Pages>
  <Words>6757</Words>
  <Characters>38519</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Timothy Liu</cp:lastModifiedBy>
  <cp:revision>4</cp:revision>
  <cp:lastPrinted>2020-02-28T10:06:00Z</cp:lastPrinted>
  <dcterms:created xsi:type="dcterms:W3CDTF">2020-03-02T00:34:00Z</dcterms:created>
  <dcterms:modified xsi:type="dcterms:W3CDTF">2020-03-02T00:59:00Z</dcterms:modified>
</cp:coreProperties>
</file>