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1106B" w14:textId="2C00CB53" w:rsidR="000013A5" w:rsidRDefault="000013A5" w:rsidP="00C90C80">
      <w:pPr>
        <w:spacing w:line="360" w:lineRule="auto"/>
        <w:rPr>
          <w:rFonts w:cstheme="minorHAnsi"/>
        </w:rPr>
      </w:pPr>
      <w:r>
        <w:rPr>
          <w:rFonts w:cstheme="minorHAnsi"/>
        </w:rPr>
        <w:t xml:space="preserve">Ellie Bowen (2200584) </w:t>
      </w:r>
    </w:p>
    <w:p w14:paraId="3584EB8C" w14:textId="4D0257DE" w:rsidR="000013A5" w:rsidRPr="000013A5" w:rsidRDefault="00C90C80" w:rsidP="00C90C80">
      <w:pPr>
        <w:spacing w:line="360" w:lineRule="auto"/>
        <w:rPr>
          <w:rFonts w:cstheme="minorHAnsi"/>
        </w:rPr>
      </w:pPr>
      <w:r>
        <w:rPr>
          <w:rFonts w:cstheme="minorHAnsi"/>
        </w:rPr>
        <w:t xml:space="preserve">BMPL4001 </w:t>
      </w:r>
    </w:p>
    <w:p w14:paraId="6ABE62BE" w14:textId="7764FFE0" w:rsidR="004C5E6C" w:rsidRDefault="00C90C80" w:rsidP="008B1251">
      <w:pPr>
        <w:spacing w:line="360" w:lineRule="auto"/>
        <w:rPr>
          <w:rFonts w:cstheme="minorHAnsi"/>
        </w:rPr>
      </w:pPr>
      <w:r w:rsidRPr="00C90C80">
        <w:rPr>
          <w:rFonts w:cstheme="minorHAnsi"/>
          <w:b/>
          <w:bCs/>
        </w:rPr>
        <w:t>Question</w:t>
      </w:r>
      <w:r>
        <w:rPr>
          <w:rFonts w:cstheme="minorHAnsi"/>
        </w:rPr>
        <w:t xml:space="preserve">: </w:t>
      </w:r>
      <w:r w:rsidR="00344D09" w:rsidRPr="00C90C80">
        <w:rPr>
          <w:rFonts w:cstheme="minorHAnsi"/>
        </w:rPr>
        <w:t>Using a crime activity of your choice, describe and discuss how classical criminology informs evidence-based policing</w:t>
      </w:r>
    </w:p>
    <w:p w14:paraId="2372E081" w14:textId="77777777" w:rsidR="00BC0A90" w:rsidRDefault="00BC0A90" w:rsidP="008B1251">
      <w:pPr>
        <w:spacing w:line="360" w:lineRule="auto"/>
        <w:rPr>
          <w:rFonts w:cstheme="minorHAnsi"/>
        </w:rPr>
      </w:pPr>
    </w:p>
    <w:p w14:paraId="78B93EEA" w14:textId="551861F5" w:rsidR="0061685C" w:rsidRPr="008B1251" w:rsidRDefault="0061685C" w:rsidP="008B1251">
      <w:pPr>
        <w:spacing w:line="360" w:lineRule="auto"/>
        <w:rPr>
          <w:rFonts w:cstheme="minorHAnsi"/>
        </w:rPr>
      </w:pPr>
      <w:r w:rsidRPr="0061685C">
        <w:rPr>
          <w:rFonts w:cstheme="minorHAnsi"/>
        </w:rPr>
        <w:t>It is evident that classical criminology has been used to inform evidence-based policing to create suitable strategies for maintaining law and order in today’s society. The classical perception of criminology can be defined as the choice an individual has to commit or participate in a criminal act (Cesare Beccaria, 1764). Following the emergence of classical criminology, there have been numerous theories developed that have informed evidence-based policing. Evidence-based policing can be defined as a collaboration of high-quality evidence that is used to challenge policing policies, practices, and decisions gathered by multiple academic agencies (Lawrence Sherman, 1998). An example of classical criminological theories used to inform evidence-based policing includes the Routine Activity Theory (1979) and Rational Choice Theory (1998). These theories have helped deter criminal activities through developing and enforcing methods such as surveillance, target removal, and designing out of crime. This essay will address violent crimes and how classical criminology informs evidence-based policing of this offence. Violent crimes are those where an individual physically injures or threatens to inflict harm upon another, which can include the use of a weapon. The definition is used to describe a vast assortment of crimes including assault, robberies, murder, and manslaughter (The Crown Prosecution Service, 2022).</w:t>
      </w:r>
    </w:p>
    <w:p w14:paraId="0E822E6A" w14:textId="77777777" w:rsidR="00E17481" w:rsidRDefault="00E17481" w:rsidP="0085288A">
      <w:pPr>
        <w:spacing w:line="360" w:lineRule="auto"/>
      </w:pPr>
    </w:p>
    <w:p w14:paraId="75AE7C36" w14:textId="420854A2" w:rsidR="00276BCD" w:rsidRDefault="00135CA7" w:rsidP="0085288A">
      <w:pPr>
        <w:spacing w:line="360" w:lineRule="auto"/>
      </w:pPr>
      <w:r w:rsidRPr="00135CA7">
        <w:t xml:space="preserve">Classical criminology includes numerous theories which contribute to evidence-based policing and the development of deterrence methods. The development of theories demonstrates different aspects of criminality and provides explanations as to why an individual may commit a crime. Beccaria and other associates’ focal point is the crime and the perpetrator themselves rather than the social environment (Christian Wickert, 2022). This idea originated from the belief that individuals are all equal and that the social aspects can be rectified which divides the criminals from the non-criminals. Alongside this, Beccaria (1764) imposed that the repercussions of a crime should not be used to extensively punish the perpetrator but to discourage them from committing another offence. This concept has been applied in modern-day society to create consequences such as cautions, fines, and </w:t>
      </w:r>
      <w:r w:rsidRPr="00135CA7">
        <w:lastRenderedPageBreak/>
        <w:t>rehabilitation. However, classical criminology notes the importance of increasing the extent of the punishment an individual shall receive depending on the severity of their crime and this applies also applies today (SAGE, 2020). As a result of the concept of Classical Criminology, there have been numerous theories developed to further explain criminal activity. However, they all provide different explanations which provide us with a better understanding of crime.</w:t>
      </w:r>
    </w:p>
    <w:p w14:paraId="1A33D521" w14:textId="77777777" w:rsidR="00703E30" w:rsidRDefault="00703E30" w:rsidP="0085288A">
      <w:pPr>
        <w:spacing w:line="360" w:lineRule="auto"/>
      </w:pPr>
    </w:p>
    <w:p w14:paraId="4CE479F2" w14:textId="51840EA1" w:rsidR="00166538" w:rsidRDefault="00703E30" w:rsidP="0085288A">
      <w:pPr>
        <w:spacing w:line="360" w:lineRule="auto"/>
      </w:pPr>
      <w:r w:rsidRPr="00703E30">
        <w:t xml:space="preserve">An example of a classical criminological perspective that informs evidence-based policing of violent crime is the Routine Activity theory. This theory was developed by Cohen and Felson (1979) to focus on crime from the offender’s perspective and the elements which make a suitable target. The theory was established with the idea that crime can be committed by an individual if they are given the opportunity. According to this theory, to commit a crime there must be three factors present including a motivated offender, a target, and the absence of a capable guardian (Martin A. Andresen and Olivia K. Ha, 2017). There are no specific characteristics of an offender nor reasons as to why they would commit a crime written under this theory, it simply assumes that an offender is present. However, it is highly focused on the victimisation aspect of crime. A target is more likely to be identified if it is of substantial value, visible, accessible, and can be moved about easily (New South Wales Government, 2011). The presence of a capable guardian can be interpreted in numerous ways, but it typically refers to the presence of ordinary people. The Routine Activity theory (1979) has provided evidence-based policing with knowledge of criminal activities such as robberies and residential burglaries. It has helped the police implement relevant deterrence methods such as the increased presence of police, installing surveillance, and carrying out stop and search investigations. The effective use of stop-and-search checks has helped deter violent crimes such as knife-related crime by confiscating over 50,000 offensive articles since 2019 (Government UK, 2022).  </w:t>
      </w:r>
    </w:p>
    <w:p w14:paraId="523226CE" w14:textId="77777777" w:rsidR="00703E30" w:rsidRDefault="00703E30" w:rsidP="0085288A">
      <w:pPr>
        <w:spacing w:line="360" w:lineRule="auto"/>
      </w:pPr>
    </w:p>
    <w:p w14:paraId="6C532A3D" w14:textId="2F0E30B5" w:rsidR="00A666ED" w:rsidRDefault="00977E98" w:rsidP="00DC44BC">
      <w:pPr>
        <w:spacing w:line="360" w:lineRule="auto"/>
        <w:rPr>
          <w:rFonts w:cstheme="minorHAnsi"/>
        </w:rPr>
      </w:pPr>
      <w:r w:rsidRPr="00977E98">
        <w:rPr>
          <w:rFonts w:cstheme="minorHAnsi"/>
        </w:rPr>
        <w:t xml:space="preserve">The Rational Choice Theory is another theory that informs evidence-based policing of violent crime. It was developed by Cornish and Clarke (1998) in an attempt to demonstrate that individuals will consider the advantages and disadvantages of making a rational decision.  It can be argued that this theory applies to certain violent crimes such as rape and murder as it is quite often an act of an irrational decision (Newman and Freilich, 2017). </w:t>
      </w:r>
      <w:r w:rsidRPr="00977E98">
        <w:rPr>
          <w:rFonts w:cstheme="minorHAnsi"/>
        </w:rPr>
        <w:lastRenderedPageBreak/>
        <w:t>Similar to Routine Activity, there are no specific characteristics that define a criminal only that a motive needs to be present. This theory has helped develop a variety of deterrence methods including increasing the use of surveillance, designing out of crime, and removing possible targets. All of which has been proven successful in the attempt of reducing violent crime. The use of surveillance was proven to be effective across a wide variety of locations with it reducing crime by 13% in comparison to places without (College of Policing, 2015). Although it has been successful in its attempt to inform evidence-based policing of crimes, it assumes that all offenders make a rational decision to commit an offence. This is not often the case when considering violent crimes, as they tend to have a complex nature.</w:t>
      </w:r>
    </w:p>
    <w:p w14:paraId="6E001633" w14:textId="77777777" w:rsidR="0040019A" w:rsidRDefault="0040019A" w:rsidP="00B160F8">
      <w:pPr>
        <w:spacing w:line="360" w:lineRule="auto"/>
      </w:pPr>
    </w:p>
    <w:p w14:paraId="30F963F8" w14:textId="43389D87" w:rsidR="00B160F8" w:rsidRDefault="009D1508" w:rsidP="00B160F8">
      <w:pPr>
        <w:spacing w:line="360" w:lineRule="auto"/>
      </w:pPr>
      <w:r w:rsidRPr="009D1508">
        <w:t>Another explanation as to why an individual may commit a violent crime is the Strain theory developed by Robert K. Merton (1938). This theory addresses complications associated with societal structures and the effect they may have on individuals who cannot achieve these expectations. It is believed that those who are unsuccessful in achieving these goals driven by societal structures often commit a crime to achieve a sense of status and power. Merton’s strain theory was typically directed at those from the working class, as they had experienced material and cultural deprivation (John Braithwaite, 1980). Therefore, the individual illustrated by this theory’s concept is more likely to commit violent crimes to fulfil their power needs. It is evident that Merton’s theory has been heavily applied in policing which has resulted in police misusing their stop and search powers based on social class, race, age, and appearance (Rashid Minhas, Dave Walsh, 2021).</w:t>
      </w:r>
    </w:p>
    <w:p w14:paraId="2C11D582" w14:textId="77777777" w:rsidR="0040019A" w:rsidRDefault="0040019A" w:rsidP="00B160F8">
      <w:pPr>
        <w:spacing w:line="360" w:lineRule="auto"/>
      </w:pPr>
    </w:p>
    <w:p w14:paraId="2A49E471" w14:textId="7579BBF4" w:rsidR="00CC3C2F" w:rsidRDefault="00CC3C2F" w:rsidP="00DC44BC">
      <w:pPr>
        <w:spacing w:line="360" w:lineRule="auto"/>
      </w:pPr>
      <w:r>
        <w:t xml:space="preserve">These theories have helped inform </w:t>
      </w:r>
      <w:r w:rsidR="00982746">
        <w:t>evidence-based</w:t>
      </w:r>
      <w:r>
        <w:t xml:space="preserve"> policing in a variety of ways</w:t>
      </w:r>
      <w:r w:rsidR="0025320E">
        <w:t>, like helping them develop deterrence methods and</w:t>
      </w:r>
      <w:r w:rsidR="00982746">
        <w:t xml:space="preserve"> to understand why an individual may commit a crime. </w:t>
      </w:r>
      <w:r w:rsidR="0031676B">
        <w:t>As a result of classical crim</w:t>
      </w:r>
      <w:r w:rsidR="00112FFA">
        <w:t xml:space="preserve">inology theories being in place, </w:t>
      </w:r>
      <w:r w:rsidR="001D0E66">
        <w:t>models of evidence-based policing have been developed. An example</w:t>
      </w:r>
      <w:r w:rsidR="005D7868">
        <w:t xml:space="preserve"> of </w:t>
      </w:r>
      <w:r w:rsidR="00BB01AD">
        <w:t xml:space="preserve">a </w:t>
      </w:r>
      <w:r w:rsidR="008B7AC8">
        <w:t xml:space="preserve">deterrence method implemented by </w:t>
      </w:r>
      <w:r w:rsidR="005C6AED">
        <w:t>evidence-based</w:t>
      </w:r>
      <w:r w:rsidR="008B7AC8">
        <w:t xml:space="preserve"> policing</w:t>
      </w:r>
      <w:r w:rsidR="005D7868">
        <w:t xml:space="preserve"> is </w:t>
      </w:r>
      <w:r w:rsidR="00BB01AD">
        <w:t>Hotspot policing</w:t>
      </w:r>
      <w:r w:rsidR="008B7AC8">
        <w:t xml:space="preserve">. </w:t>
      </w:r>
      <w:r w:rsidR="005C6AED">
        <w:t>The definition of hotspot policing is</w:t>
      </w:r>
      <w:r w:rsidR="00C86A72">
        <w:t xml:space="preserve"> essentially increasing</w:t>
      </w:r>
      <w:r w:rsidR="00612177">
        <w:t xml:space="preserve"> the amount of police presence </w:t>
      </w:r>
      <w:r w:rsidR="00364D76">
        <w:t>in</w:t>
      </w:r>
      <w:r w:rsidR="0097332E">
        <w:t xml:space="preserve"> </w:t>
      </w:r>
      <w:r w:rsidR="00C9597F">
        <w:t>a c</w:t>
      </w:r>
      <w:r w:rsidR="0097332E">
        <w:t>ertain area where crime typically occurs</w:t>
      </w:r>
      <w:r w:rsidR="00C9597F">
        <w:t xml:space="preserve"> </w:t>
      </w:r>
      <w:r w:rsidR="004E7ED5">
        <w:t>the most including</w:t>
      </w:r>
      <w:r w:rsidR="00CC1D9E">
        <w:t xml:space="preserve"> buildings, </w:t>
      </w:r>
      <w:r w:rsidR="00211DA2">
        <w:t>streets,</w:t>
      </w:r>
      <w:r w:rsidR="00066265">
        <w:t xml:space="preserve"> and specific ad</w:t>
      </w:r>
      <w:r w:rsidR="00505780">
        <w:t xml:space="preserve">dresses (College of Policing, 2022). </w:t>
      </w:r>
      <w:r w:rsidR="00C777F8">
        <w:t xml:space="preserve">It has mainly been developed to </w:t>
      </w:r>
      <w:r w:rsidR="00CF7830">
        <w:t xml:space="preserve">provide a </w:t>
      </w:r>
      <w:r w:rsidR="003F3914">
        <w:t xml:space="preserve">solution for criminal activities that are </w:t>
      </w:r>
      <w:r w:rsidR="00237CED">
        <w:t>established by the Routine Activity Theory by C</w:t>
      </w:r>
      <w:r w:rsidR="00D11426">
        <w:t xml:space="preserve">ohen and Felson (1979). </w:t>
      </w:r>
      <w:r w:rsidR="00F10C16">
        <w:t xml:space="preserve">The theory requests </w:t>
      </w:r>
      <w:r w:rsidR="00313E02">
        <w:t>t</w:t>
      </w:r>
      <w:r w:rsidR="00516BE7">
        <w:t>o</w:t>
      </w:r>
      <w:r w:rsidR="00313E02">
        <w:t xml:space="preserve"> </w:t>
      </w:r>
      <w:r w:rsidR="003D130C">
        <w:t>prevent</w:t>
      </w:r>
      <w:r w:rsidR="00516BE7">
        <w:t xml:space="preserve"> crime</w:t>
      </w:r>
      <w:r w:rsidR="003D130C">
        <w:t xml:space="preserve"> by </w:t>
      </w:r>
      <w:r w:rsidR="002A512C">
        <w:t>reduc</w:t>
      </w:r>
      <w:r w:rsidR="007E3F38">
        <w:t xml:space="preserve">ing </w:t>
      </w:r>
      <w:r w:rsidR="002A512C">
        <w:t>vulnerability</w:t>
      </w:r>
      <w:r w:rsidR="003463FC">
        <w:t xml:space="preserve"> and remov</w:t>
      </w:r>
      <w:r w:rsidR="00290A81">
        <w:t xml:space="preserve">ing </w:t>
      </w:r>
      <w:r w:rsidR="007E3F38">
        <w:t>targets</w:t>
      </w:r>
      <w:r w:rsidR="00025DE9">
        <w:t xml:space="preserve">. This can be done </w:t>
      </w:r>
      <w:r w:rsidR="007E3F38">
        <w:t>by studying a</w:t>
      </w:r>
      <w:r w:rsidR="00977B77">
        <w:t xml:space="preserve">reas </w:t>
      </w:r>
      <w:r w:rsidR="00977B77">
        <w:lastRenderedPageBreak/>
        <w:t>where violent crime</w:t>
      </w:r>
      <w:r w:rsidR="005E530E">
        <w:t xml:space="preserve"> is at its highest</w:t>
      </w:r>
      <w:r w:rsidR="00025DE9">
        <w:t xml:space="preserve">, </w:t>
      </w:r>
      <w:r w:rsidR="004E4AC0">
        <w:t>which c</w:t>
      </w:r>
      <w:r w:rsidR="005E530E">
        <w:t xml:space="preserve">an significantly </w:t>
      </w:r>
      <w:r w:rsidR="00E8269A">
        <w:t xml:space="preserve">counteract </w:t>
      </w:r>
      <w:r w:rsidR="00AF283F">
        <w:t>offences from taking place (</w:t>
      </w:r>
      <w:r w:rsidR="002E67D8">
        <w:t xml:space="preserve">Merigan, 2013). </w:t>
      </w:r>
      <w:r w:rsidR="001D7F0C">
        <w:t xml:space="preserve">The </w:t>
      </w:r>
      <w:r w:rsidR="00A35789">
        <w:t xml:space="preserve">College of Policing (2021) </w:t>
      </w:r>
      <w:r w:rsidR="004E4AC0">
        <w:t xml:space="preserve">has established </w:t>
      </w:r>
      <w:r w:rsidR="00EE439B">
        <w:t>that hotspot policing has proven to be</w:t>
      </w:r>
      <w:r w:rsidR="004E4AC0">
        <w:t xml:space="preserve"> </w:t>
      </w:r>
      <w:r w:rsidR="009B7194">
        <w:t xml:space="preserve">an effective method of reducing violent crimes as </w:t>
      </w:r>
      <w:r w:rsidR="00183D5D">
        <w:t>statistics suggest</w:t>
      </w:r>
      <w:r w:rsidR="009B7194">
        <w:t xml:space="preserve"> there is a significant difference </w:t>
      </w:r>
      <w:r w:rsidR="0060728F">
        <w:t xml:space="preserve">between crime rates </w:t>
      </w:r>
      <w:r w:rsidR="00455226">
        <w:t xml:space="preserve">in areas </w:t>
      </w:r>
      <w:r w:rsidR="0060728F">
        <w:t xml:space="preserve">where it is applied compared to those without. </w:t>
      </w:r>
    </w:p>
    <w:p w14:paraId="008FC0D5" w14:textId="25E56035" w:rsidR="003C346E" w:rsidRDefault="003C346E" w:rsidP="00DC44BC">
      <w:pPr>
        <w:spacing w:line="360" w:lineRule="auto"/>
      </w:pPr>
    </w:p>
    <w:p w14:paraId="7F7E72FA" w14:textId="097B2EA7" w:rsidR="00BF4D72" w:rsidRDefault="002A3669" w:rsidP="00DC44BC">
      <w:pPr>
        <w:spacing w:line="360" w:lineRule="auto"/>
      </w:pPr>
      <w:r w:rsidRPr="002A3669">
        <w:t>The second example of a deterrence method implemented by evidence-based policing in an attempt to reduce crime is the Problem-Oriented Policing model. It was developed by Goldstein (1979) to provide the police with knowledge of how to identify specific problems by analysing them accordingly and customising an appropriate response. An example of ways evidence-based policing has used problem-oriented policing to deter crime is by introducing measures like improving street lighting and implementing speed bumps (South Cambridgeshire District Council, ‘no date’). It can be applied to a variety of offences including violent crimes, although the nature of the solution is much more complex. Overall, the effectiveness of problem-oriented policing is satisfactory but it appears to be challenging to enforce and maintain (Bullock et al., 2022).</w:t>
      </w:r>
    </w:p>
    <w:p w14:paraId="55B9679A" w14:textId="44C85BDB" w:rsidR="006146F2" w:rsidRDefault="006146F2" w:rsidP="00DC44BC">
      <w:pPr>
        <w:spacing w:line="360" w:lineRule="auto"/>
      </w:pPr>
    </w:p>
    <w:p w14:paraId="5578C363" w14:textId="6CC82EBD" w:rsidR="006146F2" w:rsidRDefault="006146F2" w:rsidP="00DC44BC">
      <w:pPr>
        <w:spacing w:line="360" w:lineRule="auto"/>
      </w:pPr>
      <w:r w:rsidRPr="006146F2">
        <w:t>The third example of a deterrence method used by evidence-based policing is the SARA model created by Eck and Spelman (1987). This model was developed to scan, analyse, respond, and assess all aspects of criminality along with solutions to deter it. It was combined with Goldstein’s (1979) POP model in an attempt to produce a more effective strategy for addressing and solving criminal activities (Burton and McGregor, 2018). The module has been applied to a variety of crimes including violent crimes, ensuring that there are relevant measures in place to prevent such offences from happening. It has been used in policing practice for over three decades, it is proven to be a successful method of understanding the cause of criminal activity, identifying solutions, and assessing the efficiency of response methods (South Cambridgeshire District Council, ‘no date’).</w:t>
      </w:r>
    </w:p>
    <w:p w14:paraId="284BC388" w14:textId="77777777" w:rsidR="004A5773" w:rsidRDefault="004A5773" w:rsidP="00DC44BC">
      <w:pPr>
        <w:spacing w:line="360" w:lineRule="auto"/>
      </w:pPr>
    </w:p>
    <w:p w14:paraId="1AF5C824" w14:textId="3F46E935" w:rsidR="00890133" w:rsidRDefault="00E706ED" w:rsidP="00DF3554">
      <w:pPr>
        <w:spacing w:line="360" w:lineRule="auto"/>
      </w:pPr>
      <w:r w:rsidRPr="00E706ED">
        <w:t xml:space="preserve">Classical criminology theories have informed evidence-based policing of multiple crimes, which has provided agencies with great evidence to produce suitable and effective deterrence strategies. The term ‘violent crime’ includes a wide variety of offences such as rape, knife-related crime, and robbery (Victim Support, 2022). There is no argument in </w:t>
      </w:r>
      <w:r w:rsidRPr="00E706ED">
        <w:lastRenderedPageBreak/>
        <w:t>saying that violent crimes are not a regular occurrence in modern-day society, but fewer offences are being reported today. Violent crime offences are recorded by the police and independent surveys such as the Crime Survey for England and Wales. Neither of these is reliable nor consistent, but they provide a better understanding of violent crime rates. According to the Crime Survey for England and Wales (2022), there were 1.1 million violent offences reported (Office for National Statistics, 2023). It also notes that there had been 72% fewer incidents recorded as of March 2020 in comparison to the year 1995 (Office for National Statistics, 2021). This suggests that the implementation of effective deterrence strategies formed as a result of research submitted to evidence-based policing has significantly helped reduce crime. However, there are certain implications surrounding statistics produced by the Crime Survey for England and Wales which affect the reliability of the information.</w:t>
      </w:r>
    </w:p>
    <w:p w14:paraId="1E6D6262" w14:textId="77777777" w:rsidR="00E706ED" w:rsidRDefault="00E706ED" w:rsidP="00DF3554">
      <w:pPr>
        <w:spacing w:line="360" w:lineRule="auto"/>
      </w:pPr>
    </w:p>
    <w:p w14:paraId="47F3F407" w14:textId="584219CE" w:rsidR="002E4CC8" w:rsidRPr="001D342E" w:rsidRDefault="00766C93" w:rsidP="00766C93">
      <w:pPr>
        <w:spacing w:line="360" w:lineRule="auto"/>
      </w:pPr>
      <w:r>
        <w:t xml:space="preserve">The classical perception of criminology has proven to be an effective source of informing evidence-based policing of numerous offences including violent crimes. Its theories have produced relevant information to provide explanations as to why violent offences happen and how successful deterrence methods can be enforced. However, a defect of classical criminology is that it assumes an individual has the choice to commit a crime which is not often true. It has become more evident in recent years that there are biological factors that contribute to crime and it cannot be dismissed in most cases. Several elements can influence a person to commit a crime, for example, addiction or a mental health issue. According to research, individuals who suffer from mental illness are more likely to commit a violent offence if they do not receive suitable treatment (Ghiasi et al., 2022). It is extremely difficult to prove that the offender was suffering from an abnormality of mental functioning due to a medical condition to establish a reasonable defence. In extremely violent crime cases such as murder, an offender can attempt to prove that they are liable for the defence of diminished responsibility. Under Section 2 of the Homicide Act (1957) if the individual can provide sufficient evidence of a recognised medical condition that caused an abnormality of mental functioning at the time the offence occurred then it is possible for them to qualify for diminished responsibility. Although, it is a lengthy process and there is an average wait of six weeks for a diagnostic test to be administered (NHS England, 2020). Due to classical criminology informing evidence-based policing extensive knowledge of a </w:t>
      </w:r>
      <w:r>
        <w:lastRenderedPageBreak/>
        <w:t xml:space="preserve">violent crime, police officers can use their discretion based on effective methods of investigation (College of Policing, ‘no date’). However, classical criminological theories of crime are not necessarily applicable to modern-day society. There have been many developments within society, which does </w:t>
      </w:r>
      <w:r w:rsidR="009A41DD">
        <w:t>raise</w:t>
      </w:r>
      <w:r>
        <w:t xml:space="preserve"> suspicions of their reliability. To ensure that it is a reliable source that produces effective information regarding violent crime, there should be new and relevant explanations provided to explain criminality.</w:t>
      </w:r>
    </w:p>
    <w:p w14:paraId="799B0398" w14:textId="4AE5CDC9" w:rsidR="002659FB" w:rsidRDefault="002659FB" w:rsidP="005620E5">
      <w:pPr>
        <w:spacing w:line="360" w:lineRule="auto"/>
        <w:rPr>
          <w:rFonts w:cstheme="minorHAnsi"/>
        </w:rPr>
      </w:pPr>
    </w:p>
    <w:p w14:paraId="6D1483B0" w14:textId="77777777" w:rsidR="002659FB" w:rsidRDefault="002659FB" w:rsidP="005620E5">
      <w:pPr>
        <w:spacing w:line="360" w:lineRule="auto"/>
        <w:rPr>
          <w:rFonts w:cstheme="minorHAnsi"/>
        </w:rPr>
      </w:pPr>
    </w:p>
    <w:p w14:paraId="2E509C30" w14:textId="65849FAC" w:rsidR="003A30A8" w:rsidRDefault="003A30A8" w:rsidP="005620E5">
      <w:pPr>
        <w:spacing w:line="360" w:lineRule="auto"/>
        <w:rPr>
          <w:rFonts w:cstheme="minorHAnsi"/>
        </w:rPr>
      </w:pPr>
    </w:p>
    <w:p w14:paraId="2BEE7934" w14:textId="77777777" w:rsidR="003A30A8" w:rsidRDefault="003A30A8" w:rsidP="005620E5">
      <w:pPr>
        <w:spacing w:line="360" w:lineRule="auto"/>
        <w:rPr>
          <w:rFonts w:cstheme="minorHAnsi"/>
        </w:rPr>
      </w:pPr>
    </w:p>
    <w:p w14:paraId="3C7719BF" w14:textId="2B834874" w:rsidR="00B659F3" w:rsidRDefault="00B659F3" w:rsidP="00A66983">
      <w:pPr>
        <w:spacing w:line="360" w:lineRule="auto"/>
      </w:pPr>
    </w:p>
    <w:p w14:paraId="56E38A9D" w14:textId="72497E9A" w:rsidR="0018584D" w:rsidRDefault="0018584D" w:rsidP="00A66983">
      <w:pPr>
        <w:spacing w:line="360" w:lineRule="auto"/>
      </w:pPr>
    </w:p>
    <w:p w14:paraId="088AC46C" w14:textId="77777777" w:rsidR="0018584D" w:rsidRDefault="0018584D" w:rsidP="00A66983">
      <w:pPr>
        <w:spacing w:line="360" w:lineRule="auto"/>
      </w:pPr>
    </w:p>
    <w:p w14:paraId="39A11FBB" w14:textId="754B2518" w:rsidR="00A02D5C" w:rsidRDefault="00A02D5C" w:rsidP="00A66983">
      <w:pPr>
        <w:spacing w:line="360" w:lineRule="auto"/>
      </w:pPr>
    </w:p>
    <w:p w14:paraId="7521A936" w14:textId="328180E6" w:rsidR="00D50A2F" w:rsidRPr="00B35EB3" w:rsidRDefault="00D50A2F" w:rsidP="00D50A2F">
      <w:pPr>
        <w:spacing w:line="360" w:lineRule="auto"/>
        <w:rPr>
          <w:rFonts w:cstheme="minorHAnsi"/>
        </w:rPr>
      </w:pPr>
    </w:p>
    <w:p w14:paraId="079D63AC" w14:textId="1934379F" w:rsidR="00E61652" w:rsidRDefault="00E61652" w:rsidP="00E61652">
      <w:pPr>
        <w:rPr>
          <w:rFonts w:ascii="Arial" w:eastAsia="Arial" w:hAnsi="Arial" w:cs="Arial"/>
          <w:b/>
          <w:bCs/>
        </w:rPr>
      </w:pPr>
    </w:p>
    <w:p w14:paraId="0346A0AA" w14:textId="77777777" w:rsidR="00E61652" w:rsidRPr="00E61652" w:rsidRDefault="00E61652" w:rsidP="00E61652">
      <w:pPr>
        <w:rPr>
          <w:rFonts w:ascii="Arial" w:eastAsia="Arial" w:hAnsi="Arial" w:cs="Arial"/>
          <w:b/>
          <w:bCs/>
        </w:rPr>
      </w:pPr>
    </w:p>
    <w:p w14:paraId="0968194E" w14:textId="77777777" w:rsidR="00C80920" w:rsidRDefault="00C80920" w:rsidP="00C90C80">
      <w:pPr>
        <w:spacing w:line="360" w:lineRule="auto"/>
      </w:pPr>
    </w:p>
    <w:p w14:paraId="13045D79" w14:textId="77777777" w:rsidR="00BD3CF1" w:rsidRDefault="00BD3CF1" w:rsidP="00C90C80">
      <w:pPr>
        <w:spacing w:line="360" w:lineRule="auto"/>
      </w:pPr>
    </w:p>
    <w:p w14:paraId="6F0822CE" w14:textId="091F2BC3" w:rsidR="000073FA" w:rsidRDefault="000073FA" w:rsidP="00C90C80">
      <w:pPr>
        <w:spacing w:line="360" w:lineRule="auto"/>
      </w:pPr>
    </w:p>
    <w:p w14:paraId="762D4098" w14:textId="690C25BE" w:rsidR="00747C4B" w:rsidRDefault="00747C4B" w:rsidP="00C90C80">
      <w:pPr>
        <w:spacing w:line="360" w:lineRule="auto"/>
      </w:pPr>
    </w:p>
    <w:p w14:paraId="444A52E6" w14:textId="77777777" w:rsidR="002A526F" w:rsidRDefault="002A526F" w:rsidP="00C90C80">
      <w:pPr>
        <w:spacing w:line="360" w:lineRule="auto"/>
        <w:rPr>
          <w:rFonts w:cstheme="minorHAnsi"/>
          <w:shd w:val="clear" w:color="auto" w:fill="FBFBFB"/>
        </w:rPr>
      </w:pPr>
    </w:p>
    <w:p w14:paraId="2B454E3A" w14:textId="77777777" w:rsidR="002A526F" w:rsidRDefault="002A526F" w:rsidP="00C90C80">
      <w:pPr>
        <w:spacing w:line="360" w:lineRule="auto"/>
        <w:rPr>
          <w:rFonts w:cstheme="minorHAnsi"/>
          <w:shd w:val="clear" w:color="auto" w:fill="FBFBFB"/>
        </w:rPr>
      </w:pPr>
    </w:p>
    <w:p w14:paraId="7A961B47" w14:textId="77777777" w:rsidR="002A526F" w:rsidRDefault="002A526F" w:rsidP="00C90C80">
      <w:pPr>
        <w:spacing w:line="360" w:lineRule="auto"/>
        <w:rPr>
          <w:rFonts w:cstheme="minorHAnsi"/>
          <w:shd w:val="clear" w:color="auto" w:fill="FBFBFB"/>
        </w:rPr>
      </w:pPr>
    </w:p>
    <w:p w14:paraId="2C8329D9" w14:textId="77777777" w:rsidR="002A526F" w:rsidRDefault="002A526F" w:rsidP="00C90C80">
      <w:pPr>
        <w:spacing w:line="360" w:lineRule="auto"/>
        <w:rPr>
          <w:rFonts w:cstheme="minorHAnsi"/>
          <w:shd w:val="clear" w:color="auto" w:fill="FBFBFB"/>
        </w:rPr>
      </w:pPr>
    </w:p>
    <w:p w14:paraId="164EA9BA" w14:textId="77777777" w:rsidR="002A526F" w:rsidRDefault="002A526F" w:rsidP="00C90C80">
      <w:pPr>
        <w:spacing w:line="360" w:lineRule="auto"/>
        <w:rPr>
          <w:rFonts w:cstheme="minorHAnsi"/>
          <w:shd w:val="clear" w:color="auto" w:fill="FBFBFB"/>
        </w:rPr>
      </w:pPr>
    </w:p>
    <w:p w14:paraId="2EE3167A" w14:textId="77777777" w:rsidR="002A526F" w:rsidRDefault="002A526F" w:rsidP="00C90C80">
      <w:pPr>
        <w:spacing w:line="360" w:lineRule="auto"/>
        <w:rPr>
          <w:rFonts w:cstheme="minorHAnsi"/>
          <w:shd w:val="clear" w:color="auto" w:fill="FBFBFB"/>
        </w:rPr>
      </w:pPr>
    </w:p>
    <w:p w14:paraId="74B0E54E" w14:textId="77777777" w:rsidR="002A526F" w:rsidRDefault="002A526F" w:rsidP="00C90C80">
      <w:pPr>
        <w:spacing w:line="360" w:lineRule="auto"/>
        <w:rPr>
          <w:rFonts w:cstheme="minorHAnsi"/>
          <w:shd w:val="clear" w:color="auto" w:fill="FBFBFB"/>
        </w:rPr>
      </w:pPr>
    </w:p>
    <w:p w14:paraId="31872D5D" w14:textId="77777777" w:rsidR="002A526F" w:rsidRDefault="002A526F" w:rsidP="00C90C80">
      <w:pPr>
        <w:spacing w:line="360" w:lineRule="auto"/>
        <w:rPr>
          <w:rFonts w:cstheme="minorHAnsi"/>
          <w:shd w:val="clear" w:color="auto" w:fill="FBFBFB"/>
        </w:rPr>
      </w:pPr>
    </w:p>
    <w:p w14:paraId="2BEC7585" w14:textId="77777777" w:rsidR="002A526F" w:rsidRDefault="002A526F" w:rsidP="00C90C80">
      <w:pPr>
        <w:spacing w:line="360" w:lineRule="auto"/>
        <w:rPr>
          <w:rFonts w:cstheme="minorHAnsi"/>
          <w:shd w:val="clear" w:color="auto" w:fill="FBFBFB"/>
        </w:rPr>
      </w:pPr>
    </w:p>
    <w:p w14:paraId="2B8F4DE8" w14:textId="77777777" w:rsidR="002A526F" w:rsidRDefault="002A526F" w:rsidP="00C90C80">
      <w:pPr>
        <w:spacing w:line="360" w:lineRule="auto"/>
        <w:rPr>
          <w:rFonts w:cstheme="minorHAnsi"/>
          <w:shd w:val="clear" w:color="auto" w:fill="FBFBFB"/>
        </w:rPr>
      </w:pPr>
    </w:p>
    <w:p w14:paraId="7C5712A6" w14:textId="0D8FD0F2" w:rsidR="002A526F" w:rsidRDefault="00C125CA" w:rsidP="00C125CA">
      <w:pPr>
        <w:pStyle w:val="Heading1"/>
        <w:rPr>
          <w:shd w:val="clear" w:color="auto" w:fill="FBFBFB"/>
        </w:rPr>
      </w:pPr>
      <w:r>
        <w:rPr>
          <w:shd w:val="clear" w:color="auto" w:fill="FBFBFB"/>
        </w:rPr>
        <w:lastRenderedPageBreak/>
        <w:t xml:space="preserve">References </w:t>
      </w:r>
    </w:p>
    <w:p w14:paraId="6EBE23E7" w14:textId="77777777" w:rsidR="002A526F" w:rsidRDefault="002A526F" w:rsidP="00C90C80">
      <w:pPr>
        <w:spacing w:line="360" w:lineRule="auto"/>
        <w:rPr>
          <w:rFonts w:cstheme="minorHAnsi"/>
          <w:shd w:val="clear" w:color="auto" w:fill="FBFBFB"/>
        </w:rPr>
      </w:pPr>
    </w:p>
    <w:p w14:paraId="40438540" w14:textId="32AB2681" w:rsidR="00D45285" w:rsidRDefault="00D45285" w:rsidP="00C90C80">
      <w:pPr>
        <w:spacing w:line="360" w:lineRule="auto"/>
        <w:rPr>
          <w:rFonts w:cstheme="minorHAnsi"/>
          <w:shd w:val="clear" w:color="auto" w:fill="FFFFFF"/>
        </w:rPr>
      </w:pPr>
      <w:r>
        <w:rPr>
          <w:rFonts w:cstheme="minorHAnsi"/>
          <w:shd w:val="clear" w:color="auto" w:fill="FFFFFF"/>
        </w:rPr>
        <w:t xml:space="preserve">Andresen, A.M. and Ha, K. O. (2017) </w:t>
      </w:r>
      <w:r>
        <w:rPr>
          <w:rFonts w:cstheme="minorHAnsi"/>
          <w:i/>
          <w:iCs/>
          <w:shd w:val="clear" w:color="auto" w:fill="FFFFFF"/>
        </w:rPr>
        <w:t xml:space="preserve">Routine activity theory. </w:t>
      </w:r>
      <w:r>
        <w:rPr>
          <w:rFonts w:cstheme="minorHAnsi"/>
          <w:shd w:val="clear" w:color="auto" w:fill="FFFFFF"/>
        </w:rPr>
        <w:t xml:space="preserve">Routledge companion to criminological theory and concept, pp. 536- 539. New York, NY: Routledge. (Accessed: 8 March 2023). </w:t>
      </w:r>
    </w:p>
    <w:p w14:paraId="6AF101CC" w14:textId="77777777" w:rsidR="00D45285" w:rsidRDefault="00D45285" w:rsidP="00C90C80">
      <w:pPr>
        <w:spacing w:line="360" w:lineRule="auto"/>
        <w:rPr>
          <w:rFonts w:cstheme="minorHAnsi"/>
          <w:shd w:val="clear" w:color="auto" w:fill="FFFFFF"/>
        </w:rPr>
      </w:pPr>
    </w:p>
    <w:p w14:paraId="795BCEAC" w14:textId="0F1242BE" w:rsidR="00D45285" w:rsidRDefault="00D45285" w:rsidP="00161F29">
      <w:pPr>
        <w:spacing w:line="360" w:lineRule="auto"/>
        <w:rPr>
          <w:rFonts w:cstheme="minorHAnsi"/>
        </w:rPr>
      </w:pPr>
      <w:r>
        <w:rPr>
          <w:rFonts w:cstheme="minorHAnsi"/>
        </w:rPr>
        <w:t xml:space="preserve">Beccaria, C., &amp; Voltaire, V. (1764) </w:t>
      </w:r>
      <w:r w:rsidRPr="00D8559D">
        <w:rPr>
          <w:rFonts w:cstheme="minorHAnsi"/>
          <w:i/>
          <w:iCs/>
        </w:rPr>
        <w:t xml:space="preserve">An Essay on Crimes and Punishments. </w:t>
      </w:r>
      <w:r>
        <w:rPr>
          <w:rFonts w:cstheme="minorHAnsi"/>
        </w:rPr>
        <w:t xml:space="preserve">W.C. Little and Company. Available at: </w:t>
      </w:r>
      <w:hyperlink r:id="rId5" w:history="1">
        <w:r w:rsidRPr="00A857AB">
          <w:rPr>
            <w:rStyle w:val="Hyperlink"/>
            <w:rFonts w:cstheme="minorHAnsi"/>
          </w:rPr>
          <w:t>https://oll.libertyfund.org/title/voltaire-an-essay-on-crimes-and-punishments</w:t>
        </w:r>
      </w:hyperlink>
      <w:r>
        <w:rPr>
          <w:rFonts w:cstheme="minorHAnsi"/>
        </w:rPr>
        <w:t xml:space="preserve"> (Accessed: 22 February 2023). </w:t>
      </w:r>
    </w:p>
    <w:p w14:paraId="4A973CAD" w14:textId="77777777" w:rsidR="00D45285" w:rsidRDefault="00D45285" w:rsidP="00161F29">
      <w:pPr>
        <w:spacing w:line="360" w:lineRule="auto"/>
        <w:rPr>
          <w:rFonts w:cstheme="minorHAnsi"/>
        </w:rPr>
      </w:pPr>
    </w:p>
    <w:p w14:paraId="5214A84D" w14:textId="26FFA7E5" w:rsidR="00D45285" w:rsidRDefault="00D45285" w:rsidP="00C90C80">
      <w:pPr>
        <w:spacing w:line="360" w:lineRule="auto"/>
        <w:rPr>
          <w:rStyle w:val="journal-information"/>
          <w:rFonts w:cstheme="minorHAnsi"/>
        </w:rPr>
      </w:pPr>
      <w:r w:rsidRPr="000E51ED">
        <w:rPr>
          <w:rFonts w:cstheme="minorHAnsi"/>
          <w:shd w:val="clear" w:color="auto" w:fill="FBFBFB"/>
        </w:rPr>
        <w:t>Braithwaite, J. (1980) '</w:t>
      </w:r>
      <w:r w:rsidRPr="000E51ED">
        <w:rPr>
          <w:rFonts w:cstheme="minorHAnsi"/>
          <w:i/>
          <w:iCs/>
          <w:shd w:val="clear" w:color="auto" w:fill="FBFBFB"/>
        </w:rPr>
        <w:t>Merton's Theory of Crime and Differential Class Symbols of Success'</w:t>
      </w:r>
      <w:r w:rsidRPr="000E51ED">
        <w:rPr>
          <w:rFonts w:cstheme="minorHAnsi"/>
          <w:shd w:val="clear" w:color="auto" w:fill="FBFBFB"/>
        </w:rPr>
        <w:t>, </w:t>
      </w:r>
      <w:r w:rsidRPr="000E51ED">
        <w:rPr>
          <w:rStyle w:val="Emphasis"/>
          <w:rFonts w:cstheme="minorHAnsi"/>
          <w:i w:val="0"/>
          <w:iCs w:val="0"/>
        </w:rPr>
        <w:t>CRIME ET/AND JUSTICE</w:t>
      </w:r>
      <w:r w:rsidRPr="000E51ED">
        <w:rPr>
          <w:rFonts w:cstheme="minorHAnsi"/>
          <w:i/>
          <w:iCs/>
          <w:shd w:val="clear" w:color="auto" w:fill="FFFFFF"/>
        </w:rPr>
        <w:t> </w:t>
      </w:r>
      <w:r w:rsidRPr="000E51ED">
        <w:rPr>
          <w:rStyle w:val="journal-information"/>
          <w:rFonts w:cstheme="minorHAnsi"/>
          <w:i/>
          <w:iCs/>
        </w:rPr>
        <w:t>Volume</w:t>
      </w:r>
      <w:r w:rsidRPr="000E51ED">
        <w:rPr>
          <w:rStyle w:val="journal-information"/>
          <w:rFonts w:cstheme="minorHAnsi"/>
        </w:rPr>
        <w:t>: 7-8</w:t>
      </w:r>
      <w:r w:rsidRPr="000E51ED">
        <w:rPr>
          <w:rFonts w:cstheme="minorHAnsi"/>
          <w:shd w:val="clear" w:color="auto" w:fill="FFFFFF"/>
        </w:rPr>
        <w:t> </w:t>
      </w:r>
      <w:r w:rsidRPr="000E51ED">
        <w:rPr>
          <w:rStyle w:val="journal-information"/>
          <w:rFonts w:cstheme="minorHAnsi"/>
        </w:rPr>
        <w:t>Issue: 2</w:t>
      </w:r>
      <w:r w:rsidRPr="000E51ED">
        <w:rPr>
          <w:rFonts w:cstheme="minorHAnsi"/>
          <w:shd w:val="clear" w:color="auto" w:fill="FFFFFF"/>
        </w:rPr>
        <w:t> </w:t>
      </w:r>
      <w:r w:rsidRPr="000E51ED">
        <w:rPr>
          <w:rStyle w:val="journal-information"/>
          <w:rFonts w:cstheme="minorHAnsi"/>
        </w:rPr>
        <w:t>Dated: (1979</w:t>
      </w:r>
      <w:r w:rsidRPr="00EA2201">
        <w:rPr>
          <w:rStyle w:val="journal-information"/>
          <w:rFonts w:cstheme="minorHAnsi"/>
        </w:rPr>
        <w:t>-80)</w:t>
      </w:r>
      <w:r w:rsidRPr="00EA2201">
        <w:rPr>
          <w:rFonts w:cstheme="minorHAnsi"/>
          <w:shd w:val="clear" w:color="auto" w:fill="FFFFFF"/>
        </w:rPr>
        <w:t> </w:t>
      </w:r>
      <w:r w:rsidRPr="00EA2201">
        <w:rPr>
          <w:rStyle w:val="journal-information"/>
          <w:rFonts w:cstheme="minorHAnsi"/>
        </w:rPr>
        <w:t>Pages: 90-94</w:t>
      </w:r>
      <w:r>
        <w:rPr>
          <w:rStyle w:val="journal-information"/>
          <w:rFonts w:cstheme="minorHAnsi"/>
        </w:rPr>
        <w:t xml:space="preserve">. (Accessed: 19 February 2023). </w:t>
      </w:r>
    </w:p>
    <w:p w14:paraId="38D8B703" w14:textId="77777777" w:rsidR="00D45285" w:rsidRDefault="00D45285" w:rsidP="00C90C80">
      <w:pPr>
        <w:spacing w:line="360" w:lineRule="auto"/>
        <w:rPr>
          <w:rStyle w:val="journal-information"/>
          <w:rFonts w:cstheme="minorHAnsi"/>
        </w:rPr>
      </w:pPr>
    </w:p>
    <w:p w14:paraId="7D8969B6" w14:textId="77777777" w:rsidR="00D45285" w:rsidRDefault="00D45285" w:rsidP="00ED21B4">
      <w:pPr>
        <w:spacing w:after="570" w:line="276" w:lineRule="auto"/>
        <w:rPr>
          <w:rFonts w:cstheme="minorHAnsi"/>
        </w:rPr>
      </w:pPr>
      <w:r w:rsidRPr="00ED21B4">
        <w:rPr>
          <w:rFonts w:cstheme="minorHAnsi"/>
        </w:rPr>
        <w:t xml:space="preserve">Bullock, K., Sidebottom, A., Armitage, R., Ashby, M., Clemmow, C., Kirby, S., Laycock, G. and Tilley, N. (2022) </w:t>
      </w:r>
      <w:r w:rsidRPr="00ED21B4">
        <w:rPr>
          <w:rFonts w:cstheme="minorHAnsi"/>
          <w:i/>
          <w:iCs/>
        </w:rPr>
        <w:t xml:space="preserve">Problem-oriented policing in England and Wales: barriers and facilitators. </w:t>
      </w:r>
      <w:r w:rsidRPr="00ED21B4">
        <w:rPr>
          <w:rFonts w:cstheme="minorHAnsi"/>
        </w:rPr>
        <w:t xml:space="preserve">Policing and Society, vol 32(9), pp. 1087-1102. Available at: </w:t>
      </w:r>
      <w:r w:rsidRPr="00ED21B4">
        <w:rPr>
          <w:rStyle w:val="apple-converted-space"/>
          <w:rFonts w:cstheme="minorHAnsi"/>
          <w:color w:val="333333"/>
        </w:rPr>
        <w:t> </w:t>
      </w:r>
      <w:hyperlink r:id="rId6" w:history="1">
        <w:r w:rsidRPr="00ED21B4">
          <w:rPr>
            <w:rStyle w:val="Hyperlink"/>
            <w:rFonts w:cstheme="minorHAnsi"/>
          </w:rPr>
          <w:t>https://doi.org/10.1080/10439463.2021.2003361</w:t>
        </w:r>
      </w:hyperlink>
      <w:r>
        <w:rPr>
          <w:rFonts w:cstheme="minorHAnsi"/>
          <w:color w:val="333333"/>
        </w:rPr>
        <w:t xml:space="preserve"> </w:t>
      </w:r>
      <w:r w:rsidRPr="00F63A3C">
        <w:rPr>
          <w:rFonts w:cstheme="minorHAnsi"/>
        </w:rPr>
        <w:t xml:space="preserve">(Accessed: 9 March 2023). </w:t>
      </w:r>
    </w:p>
    <w:p w14:paraId="1BA95FDC" w14:textId="77777777" w:rsidR="00D45285" w:rsidRDefault="00D45285" w:rsidP="00ED21B4">
      <w:pPr>
        <w:spacing w:after="570" w:line="276" w:lineRule="auto"/>
        <w:rPr>
          <w:rFonts w:cstheme="minorHAnsi"/>
          <w:color w:val="333333"/>
          <w:shd w:val="clear" w:color="auto" w:fill="FFFFFF"/>
        </w:rPr>
      </w:pPr>
      <w:r>
        <w:rPr>
          <w:rFonts w:cstheme="minorHAnsi"/>
        </w:rPr>
        <w:t xml:space="preserve">Burton, S. and McGregor, M. (2018) </w:t>
      </w:r>
      <w:r>
        <w:rPr>
          <w:rFonts w:cstheme="minorHAnsi"/>
          <w:i/>
          <w:iCs/>
        </w:rPr>
        <w:t xml:space="preserve">Enhancing SARA: a new approach in an increasingly complex world. </w:t>
      </w:r>
      <w:r>
        <w:rPr>
          <w:rFonts w:cstheme="minorHAnsi"/>
        </w:rPr>
        <w:t xml:space="preserve">Crime Science, 7, 4. Available at: </w:t>
      </w:r>
      <w:hyperlink r:id="rId7" w:history="1">
        <w:r w:rsidRPr="00911377">
          <w:rPr>
            <w:rStyle w:val="Hyperlink"/>
            <w:rFonts w:cstheme="minorHAnsi"/>
            <w:shd w:val="clear" w:color="auto" w:fill="FFFFFF"/>
          </w:rPr>
          <w:t>https://doi.org/10.1186/s40163-018-0078-4</w:t>
        </w:r>
      </w:hyperlink>
      <w:r w:rsidRPr="00911377">
        <w:rPr>
          <w:rFonts w:cstheme="minorHAnsi"/>
          <w:color w:val="333333"/>
          <w:shd w:val="clear" w:color="auto" w:fill="FFFFFF"/>
        </w:rPr>
        <w:t xml:space="preserve"> </w:t>
      </w:r>
      <w:r w:rsidRPr="00D45285">
        <w:rPr>
          <w:rFonts w:cstheme="minorHAnsi"/>
          <w:shd w:val="clear" w:color="auto" w:fill="FFFFFF"/>
        </w:rPr>
        <w:t>(Accessed: 9 March 2023)</w:t>
      </w:r>
    </w:p>
    <w:p w14:paraId="4BCF2E66" w14:textId="6CF1B81E" w:rsidR="00D45285" w:rsidRDefault="00D45285" w:rsidP="00C90C80">
      <w:pPr>
        <w:spacing w:line="360" w:lineRule="auto"/>
        <w:rPr>
          <w:rFonts w:cstheme="minorHAnsi"/>
          <w:shd w:val="clear" w:color="auto" w:fill="FFFFFF"/>
        </w:rPr>
      </w:pPr>
      <w:r>
        <w:rPr>
          <w:rFonts w:cstheme="minorHAnsi"/>
          <w:shd w:val="clear" w:color="auto" w:fill="FFFFFF"/>
        </w:rPr>
        <w:t xml:space="preserve">Cohen, E.L., Felson, M. (1979) </w:t>
      </w:r>
      <w:r>
        <w:rPr>
          <w:rFonts w:cstheme="minorHAnsi"/>
          <w:i/>
          <w:iCs/>
          <w:shd w:val="clear" w:color="auto" w:fill="FFFFFF"/>
        </w:rPr>
        <w:t>Social Change and Crime Rate Trends: A Routine Activity Approach.</w:t>
      </w:r>
      <w:r>
        <w:rPr>
          <w:rFonts w:cstheme="minorHAnsi"/>
          <w:shd w:val="clear" w:color="auto" w:fill="FFFFFF"/>
        </w:rPr>
        <w:t xml:space="preserve"> American Sociological Review. Vol.44(August), pp.588-608. (Accessed: 21 February 2023). </w:t>
      </w:r>
    </w:p>
    <w:p w14:paraId="1031426C" w14:textId="77777777" w:rsidR="00D45285" w:rsidRPr="0065010C" w:rsidRDefault="00D45285" w:rsidP="00C90C80">
      <w:pPr>
        <w:spacing w:line="360" w:lineRule="auto"/>
        <w:rPr>
          <w:rFonts w:cstheme="minorHAnsi"/>
          <w:shd w:val="clear" w:color="auto" w:fill="FFFFFF"/>
        </w:rPr>
      </w:pPr>
    </w:p>
    <w:p w14:paraId="6633D0B9" w14:textId="4CCDF5E3" w:rsidR="00D45285" w:rsidRDefault="00D45285" w:rsidP="005F6B8D">
      <w:pPr>
        <w:spacing w:line="360" w:lineRule="auto"/>
        <w:rPr>
          <w:rFonts w:cstheme="minorHAnsi"/>
        </w:rPr>
      </w:pPr>
      <w:r>
        <w:rPr>
          <w:rFonts w:cstheme="minorHAnsi"/>
        </w:rPr>
        <w:t xml:space="preserve">College of Policing (‘no date’) </w:t>
      </w:r>
      <w:r>
        <w:rPr>
          <w:rFonts w:cstheme="minorHAnsi"/>
          <w:i/>
          <w:iCs/>
        </w:rPr>
        <w:t xml:space="preserve">Evidence based policing. </w:t>
      </w:r>
      <w:r>
        <w:rPr>
          <w:rFonts w:cstheme="minorHAnsi"/>
        </w:rPr>
        <w:t xml:space="preserve">Available at: </w:t>
      </w:r>
      <w:hyperlink r:id="rId8" w:history="1">
        <w:r w:rsidRPr="00C9385D">
          <w:rPr>
            <w:rStyle w:val="Hyperlink"/>
            <w:rFonts w:cstheme="minorHAnsi"/>
          </w:rPr>
          <w:t>https://www.college.police.uk/research/evidence-based-policing-EBP</w:t>
        </w:r>
      </w:hyperlink>
      <w:r>
        <w:rPr>
          <w:rFonts w:cstheme="minorHAnsi"/>
        </w:rPr>
        <w:t xml:space="preserve"> (Accessed: 10 March 2023). </w:t>
      </w:r>
    </w:p>
    <w:p w14:paraId="145ED857" w14:textId="77777777" w:rsidR="00D45285" w:rsidRPr="005D5E59" w:rsidRDefault="00D45285" w:rsidP="005F6B8D">
      <w:pPr>
        <w:spacing w:line="360" w:lineRule="auto"/>
        <w:rPr>
          <w:rFonts w:cstheme="minorHAnsi"/>
        </w:rPr>
      </w:pPr>
    </w:p>
    <w:p w14:paraId="6CDB48F5" w14:textId="77777777" w:rsidR="00D45285" w:rsidRDefault="00D45285" w:rsidP="00C90C80">
      <w:pPr>
        <w:spacing w:line="360" w:lineRule="auto"/>
        <w:rPr>
          <w:rFonts w:cstheme="minorHAnsi"/>
        </w:rPr>
      </w:pPr>
      <w:r>
        <w:rPr>
          <w:rFonts w:cstheme="minorHAnsi"/>
        </w:rPr>
        <w:lastRenderedPageBreak/>
        <w:t xml:space="preserve">College of Policing (2015) </w:t>
      </w:r>
      <w:r>
        <w:rPr>
          <w:rFonts w:cstheme="minorHAnsi"/>
          <w:i/>
          <w:iCs/>
        </w:rPr>
        <w:t>Closed-circuit television (CCTV).</w:t>
      </w:r>
      <w:r>
        <w:rPr>
          <w:rFonts w:cstheme="minorHAnsi"/>
        </w:rPr>
        <w:t xml:space="preserve"> </w:t>
      </w:r>
      <w:r w:rsidRPr="00FE1FDA">
        <w:rPr>
          <w:rFonts w:cstheme="minorHAnsi"/>
        </w:rPr>
        <w:t xml:space="preserve">Available at:  </w:t>
      </w:r>
      <w:hyperlink r:id="rId9" w:history="1">
        <w:r w:rsidRPr="00FE1FDA">
          <w:rPr>
            <w:rStyle w:val="Hyperlink"/>
            <w:rFonts w:cstheme="minorHAnsi"/>
          </w:rPr>
          <w:t>https://www.college.police.uk/research/crime-reduction-toolkit/cctv</w:t>
        </w:r>
      </w:hyperlink>
      <w:r>
        <w:rPr>
          <w:rFonts w:cstheme="minorHAnsi"/>
          <w:i/>
          <w:iCs/>
        </w:rPr>
        <w:t xml:space="preserve"> </w:t>
      </w:r>
      <w:r>
        <w:rPr>
          <w:rFonts w:cstheme="minorHAnsi"/>
        </w:rPr>
        <w:t xml:space="preserve">(Accessed: 9 March 2023). </w:t>
      </w:r>
    </w:p>
    <w:p w14:paraId="338AD398" w14:textId="77777777" w:rsidR="00D45285" w:rsidRDefault="00D45285" w:rsidP="00106EAE">
      <w:pPr>
        <w:pStyle w:val="NormalWeb"/>
        <w:spacing w:line="360" w:lineRule="auto"/>
        <w:rPr>
          <w:rFonts w:asciiTheme="minorHAnsi" w:hAnsiTheme="minorHAnsi" w:cstheme="minorHAnsi"/>
        </w:rPr>
      </w:pPr>
      <w:r>
        <w:rPr>
          <w:rFonts w:asciiTheme="minorHAnsi" w:hAnsiTheme="minorHAnsi" w:cstheme="minorHAnsi"/>
        </w:rPr>
        <w:t xml:space="preserve">College of Policing (2021) </w:t>
      </w:r>
      <w:r w:rsidRPr="008F5CDD">
        <w:rPr>
          <w:rFonts w:asciiTheme="minorHAnsi" w:hAnsiTheme="minorHAnsi" w:cstheme="minorHAnsi"/>
          <w:i/>
          <w:iCs/>
        </w:rPr>
        <w:t>Hot spots policing</w:t>
      </w:r>
      <w:r>
        <w:rPr>
          <w:rFonts w:asciiTheme="minorHAnsi" w:hAnsiTheme="minorHAnsi" w:cstheme="minorHAnsi"/>
        </w:rPr>
        <w:t xml:space="preserve">. Available at: </w:t>
      </w:r>
      <w:hyperlink r:id="rId10" w:history="1">
        <w:r w:rsidRPr="00C9385D">
          <w:rPr>
            <w:rStyle w:val="Hyperlink"/>
            <w:rFonts w:asciiTheme="minorHAnsi" w:hAnsiTheme="minorHAnsi" w:cstheme="minorHAnsi"/>
          </w:rPr>
          <w:t>https://www.college.police.uk/research/crime-reduction-toolkit/hot-spots-policing</w:t>
        </w:r>
      </w:hyperlink>
      <w:r>
        <w:rPr>
          <w:rFonts w:asciiTheme="minorHAnsi" w:hAnsiTheme="minorHAnsi" w:cstheme="minorHAnsi"/>
        </w:rPr>
        <w:t xml:space="preserve"> (Accessed: 9 March 2023). </w:t>
      </w:r>
    </w:p>
    <w:p w14:paraId="6FE439F8" w14:textId="159E310A" w:rsidR="00D45285" w:rsidRDefault="00D45285" w:rsidP="00C90C80">
      <w:pPr>
        <w:spacing w:line="360" w:lineRule="auto"/>
        <w:rPr>
          <w:rFonts w:cstheme="minorHAnsi"/>
        </w:rPr>
      </w:pPr>
      <w:r>
        <w:rPr>
          <w:rFonts w:cstheme="minorHAnsi"/>
        </w:rPr>
        <w:t xml:space="preserve">College of Policing (2022) </w:t>
      </w:r>
      <w:r>
        <w:rPr>
          <w:rFonts w:cstheme="minorHAnsi"/>
          <w:i/>
          <w:iCs/>
        </w:rPr>
        <w:t xml:space="preserve">Hot spots policing. </w:t>
      </w:r>
      <w:r>
        <w:rPr>
          <w:rFonts w:cstheme="minorHAnsi"/>
        </w:rPr>
        <w:t xml:space="preserve">Available at: </w:t>
      </w:r>
      <w:hyperlink r:id="rId11" w:history="1">
        <w:r w:rsidRPr="00C9385D">
          <w:rPr>
            <w:rStyle w:val="Hyperlink"/>
            <w:rFonts w:cstheme="minorHAnsi"/>
          </w:rPr>
          <w:t>https://www.college.police.uk/guidance/hot-spots-policing</w:t>
        </w:r>
      </w:hyperlink>
      <w:r>
        <w:rPr>
          <w:rFonts w:cstheme="minorHAnsi"/>
        </w:rPr>
        <w:t xml:space="preserve"> (Accessed: 9 March 2023). </w:t>
      </w:r>
    </w:p>
    <w:p w14:paraId="70CBFF48" w14:textId="77777777" w:rsidR="00D45285" w:rsidRDefault="00D45285" w:rsidP="00C90C80">
      <w:pPr>
        <w:spacing w:line="360" w:lineRule="auto"/>
        <w:rPr>
          <w:rFonts w:cstheme="minorHAnsi"/>
        </w:rPr>
      </w:pPr>
    </w:p>
    <w:p w14:paraId="2190D170" w14:textId="5D0D6544" w:rsidR="00D45285" w:rsidRDefault="00D45285" w:rsidP="00C90C80">
      <w:pPr>
        <w:spacing w:line="360" w:lineRule="auto"/>
        <w:rPr>
          <w:rFonts w:cstheme="minorHAnsi"/>
        </w:rPr>
      </w:pPr>
      <w:r>
        <w:rPr>
          <w:rFonts w:cstheme="minorHAnsi"/>
        </w:rPr>
        <w:t>Freilich, D.J. and Newman, R.</w:t>
      </w:r>
      <w:r>
        <w:rPr>
          <w:rFonts w:cstheme="minorHAnsi"/>
        </w:rPr>
        <w:tab/>
        <w:t xml:space="preserve">G. (2017) </w:t>
      </w:r>
      <w:r>
        <w:rPr>
          <w:rFonts w:cstheme="minorHAnsi"/>
          <w:i/>
          <w:iCs/>
        </w:rPr>
        <w:t xml:space="preserve">Situational Crime Prevention. </w:t>
      </w:r>
      <w:r>
        <w:rPr>
          <w:rFonts w:cstheme="minorHAnsi"/>
        </w:rPr>
        <w:t xml:space="preserve">Oxford Research Encyclopaedias. Available at: </w:t>
      </w:r>
      <w:hyperlink r:id="rId12" w:history="1">
        <w:r w:rsidRPr="00C9385D">
          <w:rPr>
            <w:rStyle w:val="Hyperlink"/>
            <w:rFonts w:cstheme="minorHAnsi"/>
          </w:rPr>
          <w:t>https://oxfordre.com/criminology/criminology/view/10.1093/acrefore/9780190264079.001.0001/acrefore-9780190264079-e-3</w:t>
        </w:r>
      </w:hyperlink>
      <w:r>
        <w:rPr>
          <w:rFonts w:cstheme="minorHAnsi"/>
        </w:rPr>
        <w:t xml:space="preserve"> (Accessed: 9 March 2023). </w:t>
      </w:r>
    </w:p>
    <w:p w14:paraId="65F2C222" w14:textId="77777777" w:rsidR="00D45285" w:rsidRDefault="00D45285" w:rsidP="00C90C80">
      <w:pPr>
        <w:spacing w:line="360" w:lineRule="auto"/>
        <w:rPr>
          <w:rFonts w:cstheme="minorHAnsi"/>
        </w:rPr>
      </w:pPr>
    </w:p>
    <w:p w14:paraId="4BBF705B" w14:textId="77777777" w:rsidR="00D45285" w:rsidRPr="00430FF5" w:rsidRDefault="00D45285" w:rsidP="00ED21B4">
      <w:pPr>
        <w:spacing w:after="570" w:line="276" w:lineRule="auto"/>
        <w:rPr>
          <w:rFonts w:cstheme="minorHAnsi"/>
          <w:shd w:val="clear" w:color="auto" w:fill="FFFFFF"/>
        </w:rPr>
      </w:pPr>
      <w:r w:rsidRPr="00D45285">
        <w:rPr>
          <w:rFonts w:cstheme="minorHAnsi"/>
          <w:shd w:val="clear" w:color="auto" w:fill="FFFFFF"/>
        </w:rPr>
        <w:t xml:space="preserve">Ghiasi, N., Azhar, Y. and Singh, J (2022) </w:t>
      </w:r>
      <w:r w:rsidRPr="00D45285">
        <w:rPr>
          <w:rFonts w:cstheme="minorHAnsi"/>
          <w:i/>
          <w:iCs/>
          <w:shd w:val="clear" w:color="auto" w:fill="FFFFFF"/>
        </w:rPr>
        <w:t xml:space="preserve">Psychiatric Illness and Criminality. </w:t>
      </w:r>
      <w:proofErr w:type="spellStart"/>
      <w:r w:rsidRPr="00D45285">
        <w:rPr>
          <w:rFonts w:cstheme="minorHAnsi"/>
          <w:shd w:val="clear" w:color="auto" w:fill="FFFFFF"/>
        </w:rPr>
        <w:t>StatPearls</w:t>
      </w:r>
      <w:proofErr w:type="spellEnd"/>
      <w:r w:rsidRPr="00D45285">
        <w:rPr>
          <w:rFonts w:cstheme="minorHAnsi"/>
          <w:shd w:val="clear" w:color="auto" w:fill="FFFFFF"/>
        </w:rPr>
        <w:t>. Available at</w:t>
      </w:r>
      <w:r>
        <w:rPr>
          <w:rFonts w:cstheme="minorHAnsi"/>
          <w:color w:val="333333"/>
          <w:shd w:val="clear" w:color="auto" w:fill="FFFFFF"/>
        </w:rPr>
        <w:t xml:space="preserve">: </w:t>
      </w:r>
      <w:hyperlink r:id="rId13" w:history="1">
        <w:r w:rsidRPr="00C9385D">
          <w:rPr>
            <w:rStyle w:val="Hyperlink"/>
            <w:rFonts w:cstheme="minorHAnsi"/>
            <w:shd w:val="clear" w:color="auto" w:fill="FFFFFF"/>
          </w:rPr>
          <w:t>https://www.ncbi.nlm.nih.gov/books/NBK537064/</w:t>
        </w:r>
      </w:hyperlink>
      <w:r>
        <w:rPr>
          <w:rFonts w:cstheme="minorHAnsi"/>
          <w:color w:val="0070C0"/>
          <w:u w:val="single"/>
          <w:shd w:val="clear" w:color="auto" w:fill="FFFFFF"/>
        </w:rPr>
        <w:t xml:space="preserve"> </w:t>
      </w:r>
      <w:r>
        <w:rPr>
          <w:rFonts w:cstheme="minorHAnsi"/>
          <w:color w:val="0070C0"/>
          <w:shd w:val="clear" w:color="auto" w:fill="FFFFFF"/>
        </w:rPr>
        <w:t xml:space="preserve"> </w:t>
      </w:r>
      <w:r>
        <w:rPr>
          <w:rFonts w:cstheme="minorHAnsi"/>
          <w:shd w:val="clear" w:color="auto" w:fill="FFFFFF"/>
        </w:rPr>
        <w:t xml:space="preserve">(Accessed: 10 March 2023). </w:t>
      </w:r>
    </w:p>
    <w:p w14:paraId="0A463585" w14:textId="77777777" w:rsidR="00D45285" w:rsidRPr="0027420A" w:rsidRDefault="00D45285" w:rsidP="00C90C80">
      <w:pPr>
        <w:spacing w:line="360" w:lineRule="auto"/>
        <w:rPr>
          <w:rFonts w:cstheme="minorHAnsi"/>
          <w:shd w:val="clear" w:color="auto" w:fill="FFFFFF"/>
        </w:rPr>
      </w:pPr>
      <w:r>
        <w:rPr>
          <w:rFonts w:cstheme="minorHAnsi"/>
          <w:shd w:val="clear" w:color="auto" w:fill="FFFFFF"/>
        </w:rPr>
        <w:t xml:space="preserve">Government UK (2022) </w:t>
      </w:r>
      <w:r>
        <w:rPr>
          <w:rFonts w:cstheme="minorHAnsi"/>
          <w:i/>
          <w:iCs/>
          <w:shd w:val="clear" w:color="auto" w:fill="FFFFFF"/>
        </w:rPr>
        <w:t xml:space="preserve">Home Secretary backs police to increase stop and search. </w:t>
      </w:r>
      <w:r>
        <w:rPr>
          <w:rFonts w:cstheme="minorHAnsi"/>
          <w:shd w:val="clear" w:color="auto" w:fill="FFFFFF"/>
        </w:rPr>
        <w:t xml:space="preserve">Available at: </w:t>
      </w:r>
      <w:hyperlink r:id="rId14" w:history="1">
        <w:r w:rsidRPr="0084187E">
          <w:rPr>
            <w:rStyle w:val="Hyperlink"/>
            <w:rFonts w:cstheme="minorHAnsi"/>
            <w:shd w:val="clear" w:color="auto" w:fill="FFFFFF"/>
          </w:rPr>
          <w:t>https://www.gov.uk/government/news/home-secretary-backs-police-to-increase-stop-and-search</w:t>
        </w:r>
      </w:hyperlink>
      <w:r>
        <w:rPr>
          <w:rFonts w:cstheme="minorHAnsi"/>
          <w:shd w:val="clear" w:color="auto" w:fill="FFFFFF"/>
        </w:rPr>
        <w:t xml:space="preserve"> (Accessed: 8 March 2023). </w:t>
      </w:r>
    </w:p>
    <w:p w14:paraId="427FD65B" w14:textId="77777777" w:rsidR="00D45285" w:rsidRDefault="00D45285" w:rsidP="00106EAE">
      <w:pPr>
        <w:pStyle w:val="NormalWeb"/>
        <w:spacing w:line="360" w:lineRule="auto"/>
        <w:rPr>
          <w:rFonts w:asciiTheme="minorHAnsi" w:hAnsiTheme="minorHAnsi" w:cstheme="minorHAnsi"/>
        </w:rPr>
      </w:pPr>
      <w:r w:rsidRPr="00106EAE">
        <w:rPr>
          <w:rFonts w:asciiTheme="minorHAnsi" w:hAnsiTheme="minorHAnsi" w:cstheme="minorHAnsi"/>
        </w:rPr>
        <w:t xml:space="preserve">Merigan, L. H. (2013) </w:t>
      </w:r>
      <w:r w:rsidRPr="00106EAE">
        <w:rPr>
          <w:rFonts w:asciiTheme="minorHAnsi" w:hAnsiTheme="minorHAnsi" w:cstheme="minorHAnsi"/>
          <w:i/>
          <w:iCs/>
        </w:rPr>
        <w:t xml:space="preserve">Hot-Spot Policing and the Use of Crime Prevention Through Environmental Design. </w:t>
      </w:r>
      <w:r w:rsidRPr="00106EAE">
        <w:rPr>
          <w:rFonts w:asciiTheme="minorHAnsi" w:hAnsiTheme="minorHAnsi" w:cstheme="minorHAnsi"/>
        </w:rPr>
        <w:t xml:space="preserve">All Regis University. Theses. 225. Available at: </w:t>
      </w:r>
      <w:hyperlink r:id="rId15" w:history="1">
        <w:r w:rsidRPr="00C9385D">
          <w:rPr>
            <w:rStyle w:val="Hyperlink"/>
            <w:rFonts w:asciiTheme="minorHAnsi" w:hAnsiTheme="minorHAnsi" w:cstheme="minorHAnsi"/>
          </w:rPr>
          <w:t>https://epublications.regis.edu/theses/225</w:t>
        </w:r>
      </w:hyperlink>
      <w:r>
        <w:rPr>
          <w:rFonts w:asciiTheme="minorHAnsi" w:hAnsiTheme="minorHAnsi" w:cstheme="minorHAnsi"/>
          <w:color w:val="30608E"/>
        </w:rPr>
        <w:t xml:space="preserve">. </w:t>
      </w:r>
      <w:r>
        <w:rPr>
          <w:rFonts w:asciiTheme="minorHAnsi" w:hAnsiTheme="minorHAnsi" w:cstheme="minorHAnsi"/>
        </w:rPr>
        <w:t xml:space="preserve">(Accessed: 9 March 2023). </w:t>
      </w:r>
    </w:p>
    <w:p w14:paraId="3D4F2CE3" w14:textId="36D8ED40" w:rsidR="00D45285" w:rsidRDefault="00D45285" w:rsidP="00C90C80">
      <w:pPr>
        <w:spacing w:line="360" w:lineRule="auto"/>
        <w:rPr>
          <w:rFonts w:cstheme="minorHAnsi"/>
          <w:shd w:val="clear" w:color="auto" w:fill="FFFFFF"/>
        </w:rPr>
      </w:pPr>
      <w:r w:rsidRPr="000E51ED">
        <w:rPr>
          <w:rFonts w:cstheme="minorHAnsi"/>
          <w:shd w:val="clear" w:color="auto" w:fill="FBFBFB"/>
        </w:rPr>
        <w:t>Merton, R.K. (1938)</w:t>
      </w:r>
      <w:r w:rsidRPr="000E51ED">
        <w:rPr>
          <w:rFonts w:cstheme="minorHAnsi"/>
          <w:i/>
          <w:iCs/>
        </w:rPr>
        <w:t> Social Structure and Anomie. American Sociological Review</w:t>
      </w:r>
      <w:r w:rsidRPr="000E51ED">
        <w:rPr>
          <w:rFonts w:cstheme="minorHAnsi"/>
          <w:shd w:val="clear" w:color="auto" w:fill="FBFBFB"/>
        </w:rPr>
        <w:t>. </w:t>
      </w:r>
      <w:r w:rsidRPr="000E51ED">
        <w:rPr>
          <w:rFonts w:cstheme="minorHAnsi"/>
          <w:shd w:val="clear" w:color="auto" w:fill="FFFFFF"/>
        </w:rPr>
        <w:t>Vol. 3, No. 5(Oct. 1938), pp. 672-682. (Accesssed:19 February 2023)</w:t>
      </w:r>
    </w:p>
    <w:p w14:paraId="3B1291F5" w14:textId="77777777" w:rsidR="00C54668" w:rsidRDefault="00C54668" w:rsidP="00C90C80">
      <w:pPr>
        <w:spacing w:line="360" w:lineRule="auto"/>
        <w:rPr>
          <w:rFonts w:cstheme="minorHAnsi"/>
          <w:shd w:val="clear" w:color="auto" w:fill="FFFFFF"/>
        </w:rPr>
      </w:pPr>
    </w:p>
    <w:p w14:paraId="2179D36A" w14:textId="52763873" w:rsidR="00D45285" w:rsidRDefault="00D45285" w:rsidP="00C90C80">
      <w:pPr>
        <w:spacing w:line="360" w:lineRule="auto"/>
        <w:rPr>
          <w:rFonts w:cstheme="minorHAnsi"/>
          <w:shd w:val="clear" w:color="auto" w:fill="FBFBFB"/>
        </w:rPr>
      </w:pPr>
      <w:r w:rsidRPr="00C44021">
        <w:rPr>
          <w:rFonts w:cstheme="minorHAnsi"/>
          <w:shd w:val="clear" w:color="auto" w:fill="FBFBFB"/>
        </w:rPr>
        <w:t xml:space="preserve">Minhas, R., Walsh, D. (2021) </w:t>
      </w:r>
      <w:r w:rsidRPr="00C44021">
        <w:rPr>
          <w:rFonts w:cstheme="minorHAnsi"/>
          <w:i/>
          <w:iCs/>
          <w:shd w:val="clear" w:color="auto" w:fill="FBFBFB"/>
        </w:rPr>
        <w:t>'The role of prejudicial stereotypes in the formation of suspicion: An examination of operational procedures in stop and search practices’</w:t>
      </w:r>
      <w:r w:rsidRPr="00C44021">
        <w:rPr>
          <w:rFonts w:cstheme="minorHAnsi"/>
          <w:shd w:val="clear" w:color="auto" w:fill="FBFBFB"/>
        </w:rPr>
        <w:t xml:space="preserve">, </w:t>
      </w:r>
      <w:r w:rsidRPr="00C44021">
        <w:rPr>
          <w:rFonts w:cstheme="minorHAnsi"/>
          <w:shd w:val="clear" w:color="auto" w:fill="FBFBFB"/>
        </w:rPr>
        <w:lastRenderedPageBreak/>
        <w:t>International Journal of Police Science &amp; Management, Volume 23</w:t>
      </w:r>
      <w:r>
        <w:rPr>
          <w:rFonts w:cstheme="minorHAnsi"/>
          <w:shd w:val="clear" w:color="auto" w:fill="FBFBFB"/>
        </w:rPr>
        <w:t xml:space="preserve"> (3), pp. 293-305. (Accessed: 21 February 2023). </w:t>
      </w:r>
    </w:p>
    <w:p w14:paraId="1C606274" w14:textId="77777777" w:rsidR="00C54668" w:rsidRDefault="00C54668" w:rsidP="00C90C80">
      <w:pPr>
        <w:spacing w:line="360" w:lineRule="auto"/>
        <w:rPr>
          <w:rFonts w:cstheme="minorHAnsi"/>
          <w:shd w:val="clear" w:color="auto" w:fill="FBFBFB"/>
        </w:rPr>
      </w:pPr>
    </w:p>
    <w:p w14:paraId="59B03FE8" w14:textId="38ADCB57" w:rsidR="00D45285" w:rsidRDefault="00D45285" w:rsidP="00C90C80">
      <w:pPr>
        <w:spacing w:line="360" w:lineRule="auto"/>
        <w:rPr>
          <w:rFonts w:cstheme="minorHAnsi"/>
          <w:shd w:val="clear" w:color="auto" w:fill="FFFFFF"/>
        </w:rPr>
      </w:pPr>
      <w:r>
        <w:rPr>
          <w:rFonts w:cstheme="minorHAnsi"/>
          <w:shd w:val="clear" w:color="auto" w:fill="FFFFFF"/>
        </w:rPr>
        <w:t xml:space="preserve">New South Wales Government (2011) </w:t>
      </w:r>
      <w:r>
        <w:rPr>
          <w:rFonts w:cstheme="minorHAnsi"/>
          <w:i/>
          <w:iCs/>
          <w:shd w:val="clear" w:color="auto" w:fill="FFFFFF"/>
        </w:rPr>
        <w:t xml:space="preserve">Routine Activity Theory. </w:t>
      </w:r>
      <w:r>
        <w:rPr>
          <w:rFonts w:cstheme="minorHAnsi"/>
          <w:shd w:val="clear" w:color="auto" w:fill="FFFFFF"/>
        </w:rPr>
        <w:t xml:space="preserve">Available at: </w:t>
      </w:r>
      <w:hyperlink r:id="rId16" w:history="1">
        <w:r w:rsidRPr="0084187E">
          <w:rPr>
            <w:rStyle w:val="Hyperlink"/>
            <w:rFonts w:cstheme="minorHAnsi"/>
            <w:shd w:val="clear" w:color="auto" w:fill="FFFFFF"/>
          </w:rPr>
          <w:t>https://www.crimeprevention.nsw.gov.au/Documents/routine_activity_factsheet_nov2014.pdf</w:t>
        </w:r>
      </w:hyperlink>
      <w:r>
        <w:rPr>
          <w:rFonts w:cstheme="minorHAnsi"/>
          <w:shd w:val="clear" w:color="auto" w:fill="FFFFFF"/>
        </w:rPr>
        <w:t xml:space="preserve"> (Accessed: 8 March 2023). </w:t>
      </w:r>
    </w:p>
    <w:p w14:paraId="7E5EA237" w14:textId="77777777" w:rsidR="00C54668" w:rsidRDefault="00C54668" w:rsidP="00C90C80">
      <w:pPr>
        <w:spacing w:line="360" w:lineRule="auto"/>
        <w:rPr>
          <w:rFonts w:cstheme="minorHAnsi"/>
          <w:shd w:val="clear" w:color="auto" w:fill="FFFFFF"/>
        </w:rPr>
      </w:pPr>
    </w:p>
    <w:p w14:paraId="59907C2C" w14:textId="0F82217A" w:rsidR="00D45285" w:rsidRDefault="00D45285" w:rsidP="005F6B8D">
      <w:pPr>
        <w:spacing w:line="360" w:lineRule="auto"/>
        <w:rPr>
          <w:rFonts w:cstheme="minorHAnsi"/>
        </w:rPr>
      </w:pPr>
      <w:r>
        <w:rPr>
          <w:rFonts w:cstheme="minorHAnsi"/>
        </w:rPr>
        <w:t xml:space="preserve">NHS England (2020) </w:t>
      </w:r>
      <w:r>
        <w:rPr>
          <w:rFonts w:cstheme="minorHAnsi"/>
          <w:i/>
          <w:iCs/>
        </w:rPr>
        <w:t xml:space="preserve">Report of the Independent Review of Diagnostic Services for NHS England. </w:t>
      </w:r>
      <w:r>
        <w:rPr>
          <w:rFonts w:cstheme="minorHAnsi"/>
        </w:rPr>
        <w:t xml:space="preserve">Available at: </w:t>
      </w:r>
      <w:hyperlink r:id="rId17" w:history="1">
        <w:r w:rsidRPr="0084187E">
          <w:rPr>
            <w:rStyle w:val="Hyperlink"/>
            <w:rFonts w:cstheme="minorHAnsi"/>
          </w:rPr>
          <w:t>https://www.england.nhs.uk/wp-content/uploads/2020/11/diagnostics-recovery-and-renewal-independent-review-of-diagnostic-services-for-nhs-england-2.pdf</w:t>
        </w:r>
      </w:hyperlink>
      <w:r>
        <w:rPr>
          <w:rFonts w:cstheme="minorHAnsi"/>
        </w:rPr>
        <w:t xml:space="preserve"> (Accessed: 10 March 2023). </w:t>
      </w:r>
    </w:p>
    <w:p w14:paraId="0E4B04CA" w14:textId="77777777" w:rsidR="00C54668" w:rsidRDefault="00C54668" w:rsidP="005F6B8D">
      <w:pPr>
        <w:spacing w:line="360" w:lineRule="auto"/>
        <w:rPr>
          <w:rFonts w:cstheme="minorHAnsi"/>
        </w:rPr>
      </w:pPr>
    </w:p>
    <w:p w14:paraId="16F89C79" w14:textId="77777777" w:rsidR="00D45285" w:rsidRDefault="00D45285" w:rsidP="00ED21B4">
      <w:pPr>
        <w:spacing w:after="570" w:line="276" w:lineRule="auto"/>
        <w:rPr>
          <w:rFonts w:cstheme="minorHAnsi"/>
          <w:color w:val="333333"/>
          <w:shd w:val="clear" w:color="auto" w:fill="FFFFFF"/>
        </w:rPr>
      </w:pPr>
      <w:r w:rsidRPr="00C54668">
        <w:rPr>
          <w:rFonts w:cstheme="minorHAnsi"/>
          <w:shd w:val="clear" w:color="auto" w:fill="FFFFFF"/>
        </w:rPr>
        <w:t xml:space="preserve">Office for National Statistics (2021) </w:t>
      </w:r>
      <w:r w:rsidRPr="00C54668">
        <w:rPr>
          <w:rFonts w:cstheme="minorHAnsi"/>
          <w:i/>
          <w:iCs/>
          <w:shd w:val="clear" w:color="auto" w:fill="FFFFFF"/>
        </w:rPr>
        <w:t xml:space="preserve">The nature of violent crime in England and Wale: Year ending March 2020. </w:t>
      </w:r>
      <w:r w:rsidRPr="00C54668">
        <w:rPr>
          <w:rFonts w:cstheme="minorHAnsi"/>
          <w:shd w:val="clear" w:color="auto" w:fill="FFFFFF"/>
        </w:rPr>
        <w:t xml:space="preserve">Available at: </w:t>
      </w:r>
      <w:hyperlink r:id="rId18" w:history="1">
        <w:r w:rsidRPr="00C9385D">
          <w:rPr>
            <w:rStyle w:val="Hyperlink"/>
            <w:rFonts w:cstheme="minorHAnsi"/>
            <w:shd w:val="clear" w:color="auto" w:fill="FFFFFF"/>
          </w:rPr>
          <w:t>https://www.ons.gov.uk/peoplepopulationandcommunity/crimeandjustice/articles/thenatureofviolentcrimeinenglandandwales/yearendingmarch2020</w:t>
        </w:r>
      </w:hyperlink>
      <w:r>
        <w:rPr>
          <w:rFonts w:cstheme="minorHAnsi"/>
          <w:color w:val="333333"/>
          <w:shd w:val="clear" w:color="auto" w:fill="FFFFFF"/>
        </w:rPr>
        <w:t xml:space="preserve"> (Accessed: 10 March 2023). </w:t>
      </w:r>
    </w:p>
    <w:p w14:paraId="5A97846E" w14:textId="6F036716" w:rsidR="00D45285" w:rsidRDefault="00D45285" w:rsidP="005A5C66">
      <w:pPr>
        <w:spacing w:line="360" w:lineRule="auto"/>
      </w:pPr>
      <w:r>
        <w:t xml:space="preserve">SAGE Publications (2020) </w:t>
      </w:r>
      <w:r>
        <w:rPr>
          <w:i/>
          <w:iCs/>
        </w:rPr>
        <w:t xml:space="preserve">Early and Classical Criminological Theories. </w:t>
      </w:r>
      <w:r>
        <w:t xml:space="preserve">Available at: </w:t>
      </w:r>
      <w:hyperlink r:id="rId19" w:history="1">
        <w:r w:rsidRPr="004D2523">
          <w:rPr>
            <w:rStyle w:val="Hyperlink"/>
          </w:rPr>
          <w:t>https://www.sagepub.com/sites/default/files/upm-assets/97953_book_item_97953.pdf</w:t>
        </w:r>
      </w:hyperlink>
      <w:r>
        <w:t xml:space="preserve"> (Accessed:27 February 2023). </w:t>
      </w:r>
    </w:p>
    <w:p w14:paraId="7096AF8D" w14:textId="77777777" w:rsidR="00C54668" w:rsidRPr="001C0D17" w:rsidRDefault="00C54668" w:rsidP="005A5C66">
      <w:pPr>
        <w:spacing w:line="360" w:lineRule="auto"/>
      </w:pPr>
    </w:p>
    <w:p w14:paraId="01C04BD4" w14:textId="77777777" w:rsidR="00D45285" w:rsidRDefault="00D45285" w:rsidP="005A5C66">
      <w:pPr>
        <w:spacing w:line="360" w:lineRule="auto"/>
      </w:pPr>
      <w:r>
        <w:t xml:space="preserve">Sherman, L. (1998) </w:t>
      </w:r>
      <w:r>
        <w:rPr>
          <w:i/>
          <w:iCs/>
        </w:rPr>
        <w:t xml:space="preserve">Evidence-based policing. </w:t>
      </w:r>
      <w:r>
        <w:t xml:space="preserve">Washington, DC: National Policing Institute. Available at: </w:t>
      </w:r>
      <w:hyperlink r:id="rId20" w:history="1">
        <w:r w:rsidRPr="00A857AB">
          <w:rPr>
            <w:rStyle w:val="Hyperlink"/>
          </w:rPr>
          <w:t>https://www.policinginstitute.org/wp-content/uploads/2015/06/Sherman-1998-Evidence-Based-Policing.pdf</w:t>
        </w:r>
      </w:hyperlink>
      <w:r>
        <w:t xml:space="preserve"> (Accessed:22 February 2023) </w:t>
      </w:r>
    </w:p>
    <w:p w14:paraId="4929ABA7" w14:textId="77777777" w:rsidR="00D45285" w:rsidRPr="004421DB" w:rsidRDefault="00D45285" w:rsidP="00106EAE">
      <w:pPr>
        <w:pStyle w:val="NormalWeb"/>
        <w:spacing w:line="360" w:lineRule="auto"/>
        <w:rPr>
          <w:rFonts w:asciiTheme="minorHAnsi" w:hAnsiTheme="minorHAnsi" w:cstheme="minorHAnsi"/>
        </w:rPr>
      </w:pPr>
      <w:r>
        <w:rPr>
          <w:rFonts w:asciiTheme="minorHAnsi" w:hAnsiTheme="minorHAnsi" w:cstheme="minorHAnsi"/>
        </w:rPr>
        <w:t xml:space="preserve">South Cambridgeshire District Council (‘no date’) </w:t>
      </w:r>
      <w:r>
        <w:rPr>
          <w:rFonts w:asciiTheme="minorHAnsi" w:hAnsiTheme="minorHAnsi" w:cstheme="minorHAnsi"/>
          <w:i/>
          <w:iCs/>
        </w:rPr>
        <w:t xml:space="preserve">Problem Solving. </w:t>
      </w:r>
      <w:r>
        <w:rPr>
          <w:rFonts w:asciiTheme="minorHAnsi" w:hAnsiTheme="minorHAnsi" w:cstheme="minorHAnsi"/>
        </w:rPr>
        <w:t xml:space="preserve">Available at: </w:t>
      </w:r>
      <w:hyperlink r:id="rId21" w:history="1">
        <w:r w:rsidRPr="00C9385D">
          <w:rPr>
            <w:rStyle w:val="Hyperlink"/>
            <w:rFonts w:asciiTheme="minorHAnsi" w:hAnsiTheme="minorHAnsi" w:cstheme="minorHAnsi"/>
          </w:rPr>
          <w:t>https://www.scambs.gov.uk/community-safety-and-health/community-action/community-safety-toolkit/crime-prevention-in-your-community/problem-solving/</w:t>
        </w:r>
      </w:hyperlink>
      <w:r>
        <w:rPr>
          <w:rFonts w:asciiTheme="minorHAnsi" w:hAnsiTheme="minorHAnsi" w:cstheme="minorHAnsi"/>
        </w:rPr>
        <w:t xml:space="preserve"> (Accessed: 9 March 2023). </w:t>
      </w:r>
    </w:p>
    <w:p w14:paraId="5EAB02E1" w14:textId="77777777" w:rsidR="00D45285" w:rsidRDefault="00D45285" w:rsidP="00161F29">
      <w:pPr>
        <w:spacing w:line="360" w:lineRule="auto"/>
      </w:pPr>
      <w:r w:rsidRPr="00C1618D">
        <w:t xml:space="preserve">The Crown Prosecution Service (2022) </w:t>
      </w:r>
      <w:r w:rsidRPr="00C1618D">
        <w:rPr>
          <w:i/>
          <w:iCs/>
        </w:rPr>
        <w:t xml:space="preserve">Violent Crime. </w:t>
      </w:r>
      <w:r w:rsidRPr="00C1618D">
        <w:t xml:space="preserve">Available at: </w:t>
      </w:r>
      <w:hyperlink r:id="rId22" w:history="1">
        <w:r w:rsidRPr="00C1618D">
          <w:rPr>
            <w:rStyle w:val="Hyperlink"/>
          </w:rPr>
          <w:t>https://www.cps.gov.uk/crime-info/violent-crime</w:t>
        </w:r>
      </w:hyperlink>
      <w:r>
        <w:t xml:space="preserve"> (Accessed: 19 February 2023). </w:t>
      </w:r>
    </w:p>
    <w:p w14:paraId="619A6114" w14:textId="77777777" w:rsidR="00D45285" w:rsidRDefault="00D45285" w:rsidP="00ED21B4">
      <w:pPr>
        <w:spacing w:after="570" w:line="276" w:lineRule="auto"/>
        <w:rPr>
          <w:rFonts w:cstheme="minorHAnsi"/>
          <w:color w:val="333333"/>
          <w:shd w:val="clear" w:color="auto" w:fill="FFFFFF"/>
        </w:rPr>
      </w:pPr>
      <w:r>
        <w:rPr>
          <w:rFonts w:cstheme="minorHAnsi"/>
          <w:color w:val="333333"/>
          <w:shd w:val="clear" w:color="auto" w:fill="FFFFFF"/>
        </w:rPr>
        <w:lastRenderedPageBreak/>
        <w:t xml:space="preserve">Victim Support (2022) </w:t>
      </w:r>
      <w:r>
        <w:rPr>
          <w:rFonts w:cstheme="minorHAnsi"/>
          <w:i/>
          <w:iCs/>
          <w:color w:val="333333"/>
          <w:shd w:val="clear" w:color="auto" w:fill="FFFFFF"/>
        </w:rPr>
        <w:t xml:space="preserve">Violent Crime. </w:t>
      </w:r>
      <w:r>
        <w:rPr>
          <w:rFonts w:cstheme="minorHAnsi"/>
          <w:color w:val="333333"/>
          <w:shd w:val="clear" w:color="auto" w:fill="FFFFFF"/>
        </w:rPr>
        <w:t xml:space="preserve">Available at: </w:t>
      </w:r>
      <w:hyperlink r:id="rId23" w:history="1">
        <w:r w:rsidRPr="00C9385D">
          <w:rPr>
            <w:rStyle w:val="Hyperlink"/>
            <w:rFonts w:cstheme="minorHAnsi"/>
            <w:shd w:val="clear" w:color="auto" w:fill="FFFFFF"/>
          </w:rPr>
          <w:t>https://www.victimsupport.org.uk/crime-info/types-crime/violent-crime/</w:t>
        </w:r>
      </w:hyperlink>
      <w:r>
        <w:rPr>
          <w:rFonts w:cstheme="minorHAnsi"/>
          <w:color w:val="333333"/>
          <w:shd w:val="clear" w:color="auto" w:fill="FFFFFF"/>
        </w:rPr>
        <w:t xml:space="preserve"> (Accessed: 9 March 2023). </w:t>
      </w:r>
    </w:p>
    <w:p w14:paraId="7A8B3951" w14:textId="77777777" w:rsidR="00D45285" w:rsidRDefault="00D45285" w:rsidP="005A5C66">
      <w:pPr>
        <w:spacing w:line="360" w:lineRule="auto"/>
      </w:pPr>
      <w:r>
        <w:t xml:space="preserve">Wickert, C. (2022) </w:t>
      </w:r>
      <w:r>
        <w:rPr>
          <w:i/>
          <w:iCs/>
        </w:rPr>
        <w:t xml:space="preserve">Classical Criminology. </w:t>
      </w:r>
      <w:r>
        <w:t xml:space="preserve">Available at: </w:t>
      </w:r>
      <w:hyperlink r:id="rId24" w:history="1">
        <w:r w:rsidRPr="004D2523">
          <w:rPr>
            <w:rStyle w:val="Hyperlink"/>
          </w:rPr>
          <w:t>https://soztheo.de/theories-of-crime/rational-choice/classical-criminology/?lang=en</w:t>
        </w:r>
      </w:hyperlink>
      <w:r>
        <w:t xml:space="preserve"> (Accessed: 23 February 2023) </w:t>
      </w:r>
    </w:p>
    <w:sectPr w:rsidR="00D452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2" w15:restartNumberingAfterBreak="0">
    <w:nsid w:val="665C2722"/>
    <w:multiLevelType w:val="multilevel"/>
    <w:tmpl w:val="0164C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2778252">
    <w:abstractNumId w:val="1"/>
  </w:num>
  <w:num w:numId="2" w16cid:durableId="432021401">
    <w:abstractNumId w:val="0"/>
  </w:num>
  <w:num w:numId="3" w16cid:durableId="286357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D09"/>
    <w:rsid w:val="000013A5"/>
    <w:rsid w:val="00003EED"/>
    <w:rsid w:val="000052E5"/>
    <w:rsid w:val="000065CE"/>
    <w:rsid w:val="00006900"/>
    <w:rsid w:val="000073FA"/>
    <w:rsid w:val="00010206"/>
    <w:rsid w:val="00010282"/>
    <w:rsid w:val="00012287"/>
    <w:rsid w:val="00015201"/>
    <w:rsid w:val="00017A9E"/>
    <w:rsid w:val="000201CA"/>
    <w:rsid w:val="00022059"/>
    <w:rsid w:val="00023A54"/>
    <w:rsid w:val="0002484B"/>
    <w:rsid w:val="00024D24"/>
    <w:rsid w:val="00025DE9"/>
    <w:rsid w:val="000262D9"/>
    <w:rsid w:val="000275EA"/>
    <w:rsid w:val="00030E30"/>
    <w:rsid w:val="0003314F"/>
    <w:rsid w:val="00034885"/>
    <w:rsid w:val="00034A5D"/>
    <w:rsid w:val="000350AF"/>
    <w:rsid w:val="00035E75"/>
    <w:rsid w:val="000424D3"/>
    <w:rsid w:val="00042D8A"/>
    <w:rsid w:val="00042FE3"/>
    <w:rsid w:val="00043C2E"/>
    <w:rsid w:val="00047AC5"/>
    <w:rsid w:val="00047FF8"/>
    <w:rsid w:val="000526ED"/>
    <w:rsid w:val="00052D12"/>
    <w:rsid w:val="00057293"/>
    <w:rsid w:val="00057A5F"/>
    <w:rsid w:val="000601BC"/>
    <w:rsid w:val="0006298C"/>
    <w:rsid w:val="00066265"/>
    <w:rsid w:val="00071EC8"/>
    <w:rsid w:val="00071F7A"/>
    <w:rsid w:val="0007247A"/>
    <w:rsid w:val="0007583B"/>
    <w:rsid w:val="00081AA8"/>
    <w:rsid w:val="00083AF6"/>
    <w:rsid w:val="0009701D"/>
    <w:rsid w:val="000A03DA"/>
    <w:rsid w:val="000A3E8B"/>
    <w:rsid w:val="000A7B65"/>
    <w:rsid w:val="000B20F5"/>
    <w:rsid w:val="000B34A4"/>
    <w:rsid w:val="000B46DA"/>
    <w:rsid w:val="000B5D37"/>
    <w:rsid w:val="000C5149"/>
    <w:rsid w:val="000C6B62"/>
    <w:rsid w:val="000D0D16"/>
    <w:rsid w:val="000D0DB9"/>
    <w:rsid w:val="000D3340"/>
    <w:rsid w:val="000D65DD"/>
    <w:rsid w:val="000E017D"/>
    <w:rsid w:val="000E3D22"/>
    <w:rsid w:val="000E5118"/>
    <w:rsid w:val="000E51ED"/>
    <w:rsid w:val="000E61A3"/>
    <w:rsid w:val="000F0F9F"/>
    <w:rsid w:val="000F12C7"/>
    <w:rsid w:val="000F156A"/>
    <w:rsid w:val="000F474F"/>
    <w:rsid w:val="000F52E1"/>
    <w:rsid w:val="00100F11"/>
    <w:rsid w:val="001043C4"/>
    <w:rsid w:val="00106EAE"/>
    <w:rsid w:val="001070A2"/>
    <w:rsid w:val="0011271B"/>
    <w:rsid w:val="00112FFA"/>
    <w:rsid w:val="00115686"/>
    <w:rsid w:val="00115A50"/>
    <w:rsid w:val="00115B29"/>
    <w:rsid w:val="001225C5"/>
    <w:rsid w:val="00123A29"/>
    <w:rsid w:val="00125050"/>
    <w:rsid w:val="00125142"/>
    <w:rsid w:val="00134F0E"/>
    <w:rsid w:val="00135CA7"/>
    <w:rsid w:val="00136DF9"/>
    <w:rsid w:val="001404C0"/>
    <w:rsid w:val="00141C38"/>
    <w:rsid w:val="0014228D"/>
    <w:rsid w:val="00145778"/>
    <w:rsid w:val="001524AE"/>
    <w:rsid w:val="00152803"/>
    <w:rsid w:val="00154024"/>
    <w:rsid w:val="001559A6"/>
    <w:rsid w:val="00160B9C"/>
    <w:rsid w:val="00161F29"/>
    <w:rsid w:val="00163AA9"/>
    <w:rsid w:val="00165631"/>
    <w:rsid w:val="00166538"/>
    <w:rsid w:val="0016782F"/>
    <w:rsid w:val="001727CE"/>
    <w:rsid w:val="00172EBC"/>
    <w:rsid w:val="00175854"/>
    <w:rsid w:val="00175EFB"/>
    <w:rsid w:val="001765AA"/>
    <w:rsid w:val="00183D5D"/>
    <w:rsid w:val="00185666"/>
    <w:rsid w:val="0018584D"/>
    <w:rsid w:val="00192E23"/>
    <w:rsid w:val="001958FD"/>
    <w:rsid w:val="0019708C"/>
    <w:rsid w:val="00197B6A"/>
    <w:rsid w:val="001A0E6F"/>
    <w:rsid w:val="001A41A0"/>
    <w:rsid w:val="001A4AB5"/>
    <w:rsid w:val="001B38DD"/>
    <w:rsid w:val="001B57F7"/>
    <w:rsid w:val="001C0D17"/>
    <w:rsid w:val="001C5192"/>
    <w:rsid w:val="001C68A1"/>
    <w:rsid w:val="001C7006"/>
    <w:rsid w:val="001D0E66"/>
    <w:rsid w:val="001D2A0B"/>
    <w:rsid w:val="001D2B40"/>
    <w:rsid w:val="001D342E"/>
    <w:rsid w:val="001D7F0C"/>
    <w:rsid w:val="001E70CA"/>
    <w:rsid w:val="001F30CF"/>
    <w:rsid w:val="002012B0"/>
    <w:rsid w:val="0020545A"/>
    <w:rsid w:val="00205730"/>
    <w:rsid w:val="00206527"/>
    <w:rsid w:val="002072D9"/>
    <w:rsid w:val="00211DA2"/>
    <w:rsid w:val="00215C51"/>
    <w:rsid w:val="00217A73"/>
    <w:rsid w:val="00220035"/>
    <w:rsid w:val="0022119E"/>
    <w:rsid w:val="0022245C"/>
    <w:rsid w:val="00224B1A"/>
    <w:rsid w:val="00224E65"/>
    <w:rsid w:val="002258B7"/>
    <w:rsid w:val="00227483"/>
    <w:rsid w:val="002277C4"/>
    <w:rsid w:val="0023304D"/>
    <w:rsid w:val="002333F2"/>
    <w:rsid w:val="00235AC8"/>
    <w:rsid w:val="00237CED"/>
    <w:rsid w:val="00241113"/>
    <w:rsid w:val="002436BB"/>
    <w:rsid w:val="00243F1E"/>
    <w:rsid w:val="00244744"/>
    <w:rsid w:val="0025320E"/>
    <w:rsid w:val="0025337E"/>
    <w:rsid w:val="00256BC5"/>
    <w:rsid w:val="002605FE"/>
    <w:rsid w:val="0026066D"/>
    <w:rsid w:val="0026277F"/>
    <w:rsid w:val="002659FB"/>
    <w:rsid w:val="00265B2F"/>
    <w:rsid w:val="00267EB3"/>
    <w:rsid w:val="00270064"/>
    <w:rsid w:val="00271FCC"/>
    <w:rsid w:val="00272645"/>
    <w:rsid w:val="002730D1"/>
    <w:rsid w:val="0027420A"/>
    <w:rsid w:val="00276BCD"/>
    <w:rsid w:val="00282D9B"/>
    <w:rsid w:val="00286947"/>
    <w:rsid w:val="00290301"/>
    <w:rsid w:val="00290A81"/>
    <w:rsid w:val="00293CA6"/>
    <w:rsid w:val="0029480F"/>
    <w:rsid w:val="00297DAB"/>
    <w:rsid w:val="00297ED9"/>
    <w:rsid w:val="002A311E"/>
    <w:rsid w:val="002A3669"/>
    <w:rsid w:val="002A512C"/>
    <w:rsid w:val="002A526F"/>
    <w:rsid w:val="002A7E66"/>
    <w:rsid w:val="002B0000"/>
    <w:rsid w:val="002B1169"/>
    <w:rsid w:val="002B1A28"/>
    <w:rsid w:val="002B4545"/>
    <w:rsid w:val="002B5727"/>
    <w:rsid w:val="002C7BB3"/>
    <w:rsid w:val="002D1054"/>
    <w:rsid w:val="002D3149"/>
    <w:rsid w:val="002D33DC"/>
    <w:rsid w:val="002D3896"/>
    <w:rsid w:val="002D575D"/>
    <w:rsid w:val="002D7D05"/>
    <w:rsid w:val="002E2818"/>
    <w:rsid w:val="002E3408"/>
    <w:rsid w:val="002E4B5B"/>
    <w:rsid w:val="002E4CC8"/>
    <w:rsid w:val="002E67D8"/>
    <w:rsid w:val="002F4D6C"/>
    <w:rsid w:val="002F5365"/>
    <w:rsid w:val="002F5FA4"/>
    <w:rsid w:val="002F7029"/>
    <w:rsid w:val="00301118"/>
    <w:rsid w:val="00301F6D"/>
    <w:rsid w:val="00307354"/>
    <w:rsid w:val="003125D1"/>
    <w:rsid w:val="00312906"/>
    <w:rsid w:val="00312A6B"/>
    <w:rsid w:val="00313E02"/>
    <w:rsid w:val="0031676B"/>
    <w:rsid w:val="00317249"/>
    <w:rsid w:val="003225E7"/>
    <w:rsid w:val="0032312B"/>
    <w:rsid w:val="00325BAD"/>
    <w:rsid w:val="00332A17"/>
    <w:rsid w:val="003348B5"/>
    <w:rsid w:val="00336FAA"/>
    <w:rsid w:val="00341F1D"/>
    <w:rsid w:val="0034335B"/>
    <w:rsid w:val="003446E8"/>
    <w:rsid w:val="003447A7"/>
    <w:rsid w:val="00344D09"/>
    <w:rsid w:val="003463FC"/>
    <w:rsid w:val="00351A8B"/>
    <w:rsid w:val="00351ADD"/>
    <w:rsid w:val="0035779E"/>
    <w:rsid w:val="00363738"/>
    <w:rsid w:val="00363F5E"/>
    <w:rsid w:val="00364D76"/>
    <w:rsid w:val="00364E18"/>
    <w:rsid w:val="00365C35"/>
    <w:rsid w:val="003665DB"/>
    <w:rsid w:val="00370FEA"/>
    <w:rsid w:val="00374DA0"/>
    <w:rsid w:val="00374EEC"/>
    <w:rsid w:val="0037553A"/>
    <w:rsid w:val="00375987"/>
    <w:rsid w:val="00381D6D"/>
    <w:rsid w:val="003826A2"/>
    <w:rsid w:val="00382A8B"/>
    <w:rsid w:val="00390672"/>
    <w:rsid w:val="003936E8"/>
    <w:rsid w:val="003956E9"/>
    <w:rsid w:val="00396DDF"/>
    <w:rsid w:val="00396E0C"/>
    <w:rsid w:val="00397A30"/>
    <w:rsid w:val="00397FCE"/>
    <w:rsid w:val="003A0AD1"/>
    <w:rsid w:val="003A283E"/>
    <w:rsid w:val="003A2996"/>
    <w:rsid w:val="003A30A8"/>
    <w:rsid w:val="003A6335"/>
    <w:rsid w:val="003A6D27"/>
    <w:rsid w:val="003A7C39"/>
    <w:rsid w:val="003B0451"/>
    <w:rsid w:val="003B3ABD"/>
    <w:rsid w:val="003B73E9"/>
    <w:rsid w:val="003C0B4E"/>
    <w:rsid w:val="003C20B3"/>
    <w:rsid w:val="003C346E"/>
    <w:rsid w:val="003C3983"/>
    <w:rsid w:val="003C3C2A"/>
    <w:rsid w:val="003C404E"/>
    <w:rsid w:val="003C50B1"/>
    <w:rsid w:val="003C65F8"/>
    <w:rsid w:val="003D0511"/>
    <w:rsid w:val="003D06A2"/>
    <w:rsid w:val="003D0DD8"/>
    <w:rsid w:val="003D130C"/>
    <w:rsid w:val="003D4386"/>
    <w:rsid w:val="003D5807"/>
    <w:rsid w:val="003E02CF"/>
    <w:rsid w:val="003E0747"/>
    <w:rsid w:val="003E5B8A"/>
    <w:rsid w:val="003E6586"/>
    <w:rsid w:val="003E6C2A"/>
    <w:rsid w:val="003F096D"/>
    <w:rsid w:val="003F1244"/>
    <w:rsid w:val="003F2CEE"/>
    <w:rsid w:val="003F3914"/>
    <w:rsid w:val="003F5FBB"/>
    <w:rsid w:val="003F77D0"/>
    <w:rsid w:val="0040019A"/>
    <w:rsid w:val="00400AB0"/>
    <w:rsid w:val="004039EC"/>
    <w:rsid w:val="00404A4D"/>
    <w:rsid w:val="00404DAF"/>
    <w:rsid w:val="0040543D"/>
    <w:rsid w:val="00406775"/>
    <w:rsid w:val="0041242F"/>
    <w:rsid w:val="00416E40"/>
    <w:rsid w:val="00420747"/>
    <w:rsid w:val="004211AE"/>
    <w:rsid w:val="004219BE"/>
    <w:rsid w:val="00430FF5"/>
    <w:rsid w:val="00435BC8"/>
    <w:rsid w:val="004372A5"/>
    <w:rsid w:val="00440708"/>
    <w:rsid w:val="004421DB"/>
    <w:rsid w:val="004451BB"/>
    <w:rsid w:val="00447247"/>
    <w:rsid w:val="00447C71"/>
    <w:rsid w:val="004500A8"/>
    <w:rsid w:val="00455226"/>
    <w:rsid w:val="004554F6"/>
    <w:rsid w:val="0046053D"/>
    <w:rsid w:val="00461255"/>
    <w:rsid w:val="00462B48"/>
    <w:rsid w:val="00463883"/>
    <w:rsid w:val="00467A04"/>
    <w:rsid w:val="004755C4"/>
    <w:rsid w:val="00480CFA"/>
    <w:rsid w:val="0048207D"/>
    <w:rsid w:val="00483845"/>
    <w:rsid w:val="00493C9E"/>
    <w:rsid w:val="00495730"/>
    <w:rsid w:val="004A29A4"/>
    <w:rsid w:val="004A39CB"/>
    <w:rsid w:val="004A3B51"/>
    <w:rsid w:val="004A4454"/>
    <w:rsid w:val="004A44DA"/>
    <w:rsid w:val="004A4A35"/>
    <w:rsid w:val="004A5773"/>
    <w:rsid w:val="004A6330"/>
    <w:rsid w:val="004A74C1"/>
    <w:rsid w:val="004B1B4D"/>
    <w:rsid w:val="004B4418"/>
    <w:rsid w:val="004B52CA"/>
    <w:rsid w:val="004B586B"/>
    <w:rsid w:val="004C39A2"/>
    <w:rsid w:val="004C527C"/>
    <w:rsid w:val="004C5E6C"/>
    <w:rsid w:val="004C7DE4"/>
    <w:rsid w:val="004D03A1"/>
    <w:rsid w:val="004D22BE"/>
    <w:rsid w:val="004D55F6"/>
    <w:rsid w:val="004D68CC"/>
    <w:rsid w:val="004D6C51"/>
    <w:rsid w:val="004D78A7"/>
    <w:rsid w:val="004D7DBD"/>
    <w:rsid w:val="004E1AF1"/>
    <w:rsid w:val="004E4AC0"/>
    <w:rsid w:val="004E5F05"/>
    <w:rsid w:val="004E7ED5"/>
    <w:rsid w:val="004F360A"/>
    <w:rsid w:val="004F3BE7"/>
    <w:rsid w:val="004F6D30"/>
    <w:rsid w:val="005024B3"/>
    <w:rsid w:val="00505780"/>
    <w:rsid w:val="005101A7"/>
    <w:rsid w:val="00512D6E"/>
    <w:rsid w:val="00513A41"/>
    <w:rsid w:val="005158BC"/>
    <w:rsid w:val="00516BE7"/>
    <w:rsid w:val="00520233"/>
    <w:rsid w:val="00520818"/>
    <w:rsid w:val="0052159A"/>
    <w:rsid w:val="00522223"/>
    <w:rsid w:val="005234B6"/>
    <w:rsid w:val="005271FF"/>
    <w:rsid w:val="005317AF"/>
    <w:rsid w:val="005327D4"/>
    <w:rsid w:val="005359E2"/>
    <w:rsid w:val="005366E1"/>
    <w:rsid w:val="00537655"/>
    <w:rsid w:val="00537DA2"/>
    <w:rsid w:val="00544BE7"/>
    <w:rsid w:val="00545278"/>
    <w:rsid w:val="005459B6"/>
    <w:rsid w:val="005500E9"/>
    <w:rsid w:val="00550E31"/>
    <w:rsid w:val="00552849"/>
    <w:rsid w:val="00553B4B"/>
    <w:rsid w:val="00554023"/>
    <w:rsid w:val="00554844"/>
    <w:rsid w:val="00555499"/>
    <w:rsid w:val="0055750A"/>
    <w:rsid w:val="00557AE9"/>
    <w:rsid w:val="00560003"/>
    <w:rsid w:val="00560082"/>
    <w:rsid w:val="005606E9"/>
    <w:rsid w:val="0056071F"/>
    <w:rsid w:val="005620E5"/>
    <w:rsid w:val="00567858"/>
    <w:rsid w:val="00571248"/>
    <w:rsid w:val="00573D2C"/>
    <w:rsid w:val="00575673"/>
    <w:rsid w:val="005776A0"/>
    <w:rsid w:val="00581ADD"/>
    <w:rsid w:val="00581EB2"/>
    <w:rsid w:val="005829A2"/>
    <w:rsid w:val="00583019"/>
    <w:rsid w:val="00586689"/>
    <w:rsid w:val="0059086B"/>
    <w:rsid w:val="00591286"/>
    <w:rsid w:val="00597799"/>
    <w:rsid w:val="005A5C66"/>
    <w:rsid w:val="005A6813"/>
    <w:rsid w:val="005A75BB"/>
    <w:rsid w:val="005B0931"/>
    <w:rsid w:val="005B2357"/>
    <w:rsid w:val="005B3F26"/>
    <w:rsid w:val="005B5F8A"/>
    <w:rsid w:val="005B6B7E"/>
    <w:rsid w:val="005C4A0F"/>
    <w:rsid w:val="005C5D62"/>
    <w:rsid w:val="005C6AED"/>
    <w:rsid w:val="005D0040"/>
    <w:rsid w:val="005D0E0E"/>
    <w:rsid w:val="005D5B5C"/>
    <w:rsid w:val="005D5E59"/>
    <w:rsid w:val="005D7868"/>
    <w:rsid w:val="005E0082"/>
    <w:rsid w:val="005E03C2"/>
    <w:rsid w:val="005E2631"/>
    <w:rsid w:val="005E3D74"/>
    <w:rsid w:val="005E4C22"/>
    <w:rsid w:val="005E530E"/>
    <w:rsid w:val="005E6677"/>
    <w:rsid w:val="005E696B"/>
    <w:rsid w:val="005E7195"/>
    <w:rsid w:val="005E7344"/>
    <w:rsid w:val="005F3DCF"/>
    <w:rsid w:val="005F5BFD"/>
    <w:rsid w:val="005F6462"/>
    <w:rsid w:val="005F6B8D"/>
    <w:rsid w:val="00602742"/>
    <w:rsid w:val="006062AF"/>
    <w:rsid w:val="006065D7"/>
    <w:rsid w:val="0060728F"/>
    <w:rsid w:val="00612177"/>
    <w:rsid w:val="00613D6E"/>
    <w:rsid w:val="006146F2"/>
    <w:rsid w:val="0061685C"/>
    <w:rsid w:val="00621273"/>
    <w:rsid w:val="0062356E"/>
    <w:rsid w:val="00623B41"/>
    <w:rsid w:val="00623CE8"/>
    <w:rsid w:val="00623ED3"/>
    <w:rsid w:val="00625E94"/>
    <w:rsid w:val="006264EF"/>
    <w:rsid w:val="0063400C"/>
    <w:rsid w:val="00634B03"/>
    <w:rsid w:val="00640753"/>
    <w:rsid w:val="00641561"/>
    <w:rsid w:val="0064182B"/>
    <w:rsid w:val="00644504"/>
    <w:rsid w:val="00645F32"/>
    <w:rsid w:val="0065010C"/>
    <w:rsid w:val="00651375"/>
    <w:rsid w:val="00655640"/>
    <w:rsid w:val="00657C71"/>
    <w:rsid w:val="00661044"/>
    <w:rsid w:val="00661D39"/>
    <w:rsid w:val="00661F2F"/>
    <w:rsid w:val="00665F95"/>
    <w:rsid w:val="006700B3"/>
    <w:rsid w:val="0067523E"/>
    <w:rsid w:val="00675988"/>
    <w:rsid w:val="00675D5C"/>
    <w:rsid w:val="00677657"/>
    <w:rsid w:val="0068438A"/>
    <w:rsid w:val="0069086E"/>
    <w:rsid w:val="0069131A"/>
    <w:rsid w:val="00692708"/>
    <w:rsid w:val="006931F7"/>
    <w:rsid w:val="00694930"/>
    <w:rsid w:val="006A2E46"/>
    <w:rsid w:val="006B2E6D"/>
    <w:rsid w:val="006B3139"/>
    <w:rsid w:val="006C5F95"/>
    <w:rsid w:val="006C657C"/>
    <w:rsid w:val="006D3010"/>
    <w:rsid w:val="006D36E2"/>
    <w:rsid w:val="006D4208"/>
    <w:rsid w:val="006D5227"/>
    <w:rsid w:val="006D72F2"/>
    <w:rsid w:val="006E3D74"/>
    <w:rsid w:val="006E4AB7"/>
    <w:rsid w:val="006E4B0F"/>
    <w:rsid w:val="006E5FFC"/>
    <w:rsid w:val="006F3039"/>
    <w:rsid w:val="006F3E95"/>
    <w:rsid w:val="006F73D1"/>
    <w:rsid w:val="00703652"/>
    <w:rsid w:val="00703E30"/>
    <w:rsid w:val="00705060"/>
    <w:rsid w:val="00706264"/>
    <w:rsid w:val="00707BAE"/>
    <w:rsid w:val="007116F0"/>
    <w:rsid w:val="00714185"/>
    <w:rsid w:val="00715A76"/>
    <w:rsid w:val="00717114"/>
    <w:rsid w:val="00722167"/>
    <w:rsid w:val="00726873"/>
    <w:rsid w:val="007305BD"/>
    <w:rsid w:val="0073388E"/>
    <w:rsid w:val="0073438C"/>
    <w:rsid w:val="007420B7"/>
    <w:rsid w:val="00747C4B"/>
    <w:rsid w:val="0075022E"/>
    <w:rsid w:val="0075444F"/>
    <w:rsid w:val="00757784"/>
    <w:rsid w:val="00760AC9"/>
    <w:rsid w:val="0076171C"/>
    <w:rsid w:val="00766C93"/>
    <w:rsid w:val="00770269"/>
    <w:rsid w:val="00776CD1"/>
    <w:rsid w:val="00781ED9"/>
    <w:rsid w:val="00782D14"/>
    <w:rsid w:val="00782F05"/>
    <w:rsid w:val="0078790F"/>
    <w:rsid w:val="00794699"/>
    <w:rsid w:val="00795F5A"/>
    <w:rsid w:val="00795FC8"/>
    <w:rsid w:val="00796652"/>
    <w:rsid w:val="00797507"/>
    <w:rsid w:val="007A0FCB"/>
    <w:rsid w:val="007A15E8"/>
    <w:rsid w:val="007A3666"/>
    <w:rsid w:val="007A460B"/>
    <w:rsid w:val="007B10BB"/>
    <w:rsid w:val="007B1D04"/>
    <w:rsid w:val="007B1EB6"/>
    <w:rsid w:val="007B21D8"/>
    <w:rsid w:val="007B35B5"/>
    <w:rsid w:val="007B43C8"/>
    <w:rsid w:val="007C1876"/>
    <w:rsid w:val="007C40FF"/>
    <w:rsid w:val="007C4593"/>
    <w:rsid w:val="007D3041"/>
    <w:rsid w:val="007D5910"/>
    <w:rsid w:val="007D5970"/>
    <w:rsid w:val="007E0342"/>
    <w:rsid w:val="007E043F"/>
    <w:rsid w:val="007E3814"/>
    <w:rsid w:val="007E3F38"/>
    <w:rsid w:val="007F1D4B"/>
    <w:rsid w:val="007F42B0"/>
    <w:rsid w:val="007F436A"/>
    <w:rsid w:val="007F49F1"/>
    <w:rsid w:val="007F6686"/>
    <w:rsid w:val="00801685"/>
    <w:rsid w:val="00802958"/>
    <w:rsid w:val="00803D47"/>
    <w:rsid w:val="0080663B"/>
    <w:rsid w:val="008075B0"/>
    <w:rsid w:val="0081163A"/>
    <w:rsid w:val="00817F01"/>
    <w:rsid w:val="0082114A"/>
    <w:rsid w:val="00821C69"/>
    <w:rsid w:val="00823B19"/>
    <w:rsid w:val="00830EAD"/>
    <w:rsid w:val="00832FC2"/>
    <w:rsid w:val="0083404A"/>
    <w:rsid w:val="008401D4"/>
    <w:rsid w:val="00841EA9"/>
    <w:rsid w:val="00843C47"/>
    <w:rsid w:val="00844B63"/>
    <w:rsid w:val="00845D92"/>
    <w:rsid w:val="00850CCF"/>
    <w:rsid w:val="0085288A"/>
    <w:rsid w:val="00857DE6"/>
    <w:rsid w:val="00861662"/>
    <w:rsid w:val="00862A53"/>
    <w:rsid w:val="00862F86"/>
    <w:rsid w:val="00864F93"/>
    <w:rsid w:val="0086533A"/>
    <w:rsid w:val="008674D4"/>
    <w:rsid w:val="00874911"/>
    <w:rsid w:val="00880AE6"/>
    <w:rsid w:val="00880BB5"/>
    <w:rsid w:val="008830E2"/>
    <w:rsid w:val="008852E2"/>
    <w:rsid w:val="00887166"/>
    <w:rsid w:val="00890133"/>
    <w:rsid w:val="00892A49"/>
    <w:rsid w:val="008A03A2"/>
    <w:rsid w:val="008A3B2A"/>
    <w:rsid w:val="008A400E"/>
    <w:rsid w:val="008B04D2"/>
    <w:rsid w:val="008B05A1"/>
    <w:rsid w:val="008B0DD7"/>
    <w:rsid w:val="008B1251"/>
    <w:rsid w:val="008B12C6"/>
    <w:rsid w:val="008B272E"/>
    <w:rsid w:val="008B290A"/>
    <w:rsid w:val="008B36EA"/>
    <w:rsid w:val="008B4DED"/>
    <w:rsid w:val="008B54CE"/>
    <w:rsid w:val="008B7538"/>
    <w:rsid w:val="008B7986"/>
    <w:rsid w:val="008B7AC8"/>
    <w:rsid w:val="008B7E44"/>
    <w:rsid w:val="008C008E"/>
    <w:rsid w:val="008C7F7F"/>
    <w:rsid w:val="008D04CD"/>
    <w:rsid w:val="008D1F9D"/>
    <w:rsid w:val="008E061A"/>
    <w:rsid w:val="008E79C5"/>
    <w:rsid w:val="008E7CAC"/>
    <w:rsid w:val="008E7DC2"/>
    <w:rsid w:val="008F09D5"/>
    <w:rsid w:val="008F2A2E"/>
    <w:rsid w:val="008F4CB3"/>
    <w:rsid w:val="008F50A0"/>
    <w:rsid w:val="008F5CDD"/>
    <w:rsid w:val="008F6FAE"/>
    <w:rsid w:val="00900EBA"/>
    <w:rsid w:val="00905639"/>
    <w:rsid w:val="0090580A"/>
    <w:rsid w:val="00906C56"/>
    <w:rsid w:val="00911377"/>
    <w:rsid w:val="00915DC0"/>
    <w:rsid w:val="00922DAB"/>
    <w:rsid w:val="00925FB8"/>
    <w:rsid w:val="0092621A"/>
    <w:rsid w:val="00932C5E"/>
    <w:rsid w:val="00933D2A"/>
    <w:rsid w:val="00935535"/>
    <w:rsid w:val="009364DE"/>
    <w:rsid w:val="00937A09"/>
    <w:rsid w:val="00937CE2"/>
    <w:rsid w:val="00942B83"/>
    <w:rsid w:val="00944F72"/>
    <w:rsid w:val="00950016"/>
    <w:rsid w:val="009516AF"/>
    <w:rsid w:val="00951EC4"/>
    <w:rsid w:val="0095291F"/>
    <w:rsid w:val="009558DE"/>
    <w:rsid w:val="00967004"/>
    <w:rsid w:val="0096784D"/>
    <w:rsid w:val="0097332E"/>
    <w:rsid w:val="00973989"/>
    <w:rsid w:val="00974BD5"/>
    <w:rsid w:val="00977B77"/>
    <w:rsid w:val="00977E98"/>
    <w:rsid w:val="00982746"/>
    <w:rsid w:val="00982865"/>
    <w:rsid w:val="009919AF"/>
    <w:rsid w:val="0099463D"/>
    <w:rsid w:val="00994A10"/>
    <w:rsid w:val="009956A4"/>
    <w:rsid w:val="009A2265"/>
    <w:rsid w:val="009A4094"/>
    <w:rsid w:val="009A41DD"/>
    <w:rsid w:val="009A4E0D"/>
    <w:rsid w:val="009A67C8"/>
    <w:rsid w:val="009A69F0"/>
    <w:rsid w:val="009B609C"/>
    <w:rsid w:val="009B6ADF"/>
    <w:rsid w:val="009B7030"/>
    <w:rsid w:val="009B7194"/>
    <w:rsid w:val="009C077F"/>
    <w:rsid w:val="009C2EA8"/>
    <w:rsid w:val="009C5600"/>
    <w:rsid w:val="009C5D8C"/>
    <w:rsid w:val="009C5FCD"/>
    <w:rsid w:val="009D077C"/>
    <w:rsid w:val="009D1508"/>
    <w:rsid w:val="009D3FC6"/>
    <w:rsid w:val="009D753F"/>
    <w:rsid w:val="009D7E62"/>
    <w:rsid w:val="009E137B"/>
    <w:rsid w:val="009E5B99"/>
    <w:rsid w:val="009E6FCC"/>
    <w:rsid w:val="009F06A3"/>
    <w:rsid w:val="009F17BD"/>
    <w:rsid w:val="009F2A9E"/>
    <w:rsid w:val="009F3AA4"/>
    <w:rsid w:val="009F4D08"/>
    <w:rsid w:val="009F50C9"/>
    <w:rsid w:val="009F7760"/>
    <w:rsid w:val="009F7BA3"/>
    <w:rsid w:val="00A02226"/>
    <w:rsid w:val="00A02D5C"/>
    <w:rsid w:val="00A048A2"/>
    <w:rsid w:val="00A11918"/>
    <w:rsid w:val="00A14A61"/>
    <w:rsid w:val="00A14D95"/>
    <w:rsid w:val="00A179B1"/>
    <w:rsid w:val="00A24F0A"/>
    <w:rsid w:val="00A31BA5"/>
    <w:rsid w:val="00A327B5"/>
    <w:rsid w:val="00A32BA9"/>
    <w:rsid w:val="00A354E3"/>
    <w:rsid w:val="00A3577E"/>
    <w:rsid w:val="00A35789"/>
    <w:rsid w:val="00A37874"/>
    <w:rsid w:val="00A40091"/>
    <w:rsid w:val="00A40559"/>
    <w:rsid w:val="00A40B20"/>
    <w:rsid w:val="00A50F96"/>
    <w:rsid w:val="00A516FF"/>
    <w:rsid w:val="00A55155"/>
    <w:rsid w:val="00A56F73"/>
    <w:rsid w:val="00A606E0"/>
    <w:rsid w:val="00A65E91"/>
    <w:rsid w:val="00A666ED"/>
    <w:rsid w:val="00A66854"/>
    <w:rsid w:val="00A66983"/>
    <w:rsid w:val="00A6786C"/>
    <w:rsid w:val="00A704AA"/>
    <w:rsid w:val="00A710B6"/>
    <w:rsid w:val="00A76AE4"/>
    <w:rsid w:val="00A80B76"/>
    <w:rsid w:val="00A82C1F"/>
    <w:rsid w:val="00A86830"/>
    <w:rsid w:val="00A8716E"/>
    <w:rsid w:val="00A951BE"/>
    <w:rsid w:val="00A9618A"/>
    <w:rsid w:val="00A978B4"/>
    <w:rsid w:val="00AA0D20"/>
    <w:rsid w:val="00AA244B"/>
    <w:rsid w:val="00AA6966"/>
    <w:rsid w:val="00AB1491"/>
    <w:rsid w:val="00AB4BBE"/>
    <w:rsid w:val="00AB5810"/>
    <w:rsid w:val="00AB74C1"/>
    <w:rsid w:val="00AC40FE"/>
    <w:rsid w:val="00AC4F9B"/>
    <w:rsid w:val="00AC50EF"/>
    <w:rsid w:val="00AC606B"/>
    <w:rsid w:val="00AC6138"/>
    <w:rsid w:val="00AD4CE9"/>
    <w:rsid w:val="00AD58BE"/>
    <w:rsid w:val="00AE1710"/>
    <w:rsid w:val="00AF23BB"/>
    <w:rsid w:val="00AF276D"/>
    <w:rsid w:val="00AF283F"/>
    <w:rsid w:val="00AF3E91"/>
    <w:rsid w:val="00AF73CA"/>
    <w:rsid w:val="00B01B38"/>
    <w:rsid w:val="00B03451"/>
    <w:rsid w:val="00B03EF7"/>
    <w:rsid w:val="00B1010D"/>
    <w:rsid w:val="00B14406"/>
    <w:rsid w:val="00B15E37"/>
    <w:rsid w:val="00B160F8"/>
    <w:rsid w:val="00B16468"/>
    <w:rsid w:val="00B2338B"/>
    <w:rsid w:val="00B23433"/>
    <w:rsid w:val="00B241CF"/>
    <w:rsid w:val="00B31F3D"/>
    <w:rsid w:val="00B34DD7"/>
    <w:rsid w:val="00B35EB3"/>
    <w:rsid w:val="00B37EEC"/>
    <w:rsid w:val="00B40D73"/>
    <w:rsid w:val="00B41D4F"/>
    <w:rsid w:val="00B44920"/>
    <w:rsid w:val="00B57A85"/>
    <w:rsid w:val="00B62382"/>
    <w:rsid w:val="00B659F3"/>
    <w:rsid w:val="00B73E57"/>
    <w:rsid w:val="00B75A8F"/>
    <w:rsid w:val="00B77F20"/>
    <w:rsid w:val="00B83DF6"/>
    <w:rsid w:val="00B851E5"/>
    <w:rsid w:val="00B9283E"/>
    <w:rsid w:val="00B937F7"/>
    <w:rsid w:val="00BA04FA"/>
    <w:rsid w:val="00BA3EBA"/>
    <w:rsid w:val="00BA4D38"/>
    <w:rsid w:val="00BA4E43"/>
    <w:rsid w:val="00BA6148"/>
    <w:rsid w:val="00BA6341"/>
    <w:rsid w:val="00BB01AD"/>
    <w:rsid w:val="00BB1D4F"/>
    <w:rsid w:val="00BB3C77"/>
    <w:rsid w:val="00BC0A90"/>
    <w:rsid w:val="00BC21D8"/>
    <w:rsid w:val="00BC6E34"/>
    <w:rsid w:val="00BC7A9C"/>
    <w:rsid w:val="00BD07F8"/>
    <w:rsid w:val="00BD2BBE"/>
    <w:rsid w:val="00BD3CF1"/>
    <w:rsid w:val="00BD5646"/>
    <w:rsid w:val="00BE0518"/>
    <w:rsid w:val="00BE0B4E"/>
    <w:rsid w:val="00BE0D34"/>
    <w:rsid w:val="00BE56B3"/>
    <w:rsid w:val="00BF053F"/>
    <w:rsid w:val="00BF4D72"/>
    <w:rsid w:val="00BF5EB9"/>
    <w:rsid w:val="00BF60B5"/>
    <w:rsid w:val="00BF74C1"/>
    <w:rsid w:val="00C001EC"/>
    <w:rsid w:val="00C01D53"/>
    <w:rsid w:val="00C06BBD"/>
    <w:rsid w:val="00C10159"/>
    <w:rsid w:val="00C124A9"/>
    <w:rsid w:val="00C125CA"/>
    <w:rsid w:val="00C13FAD"/>
    <w:rsid w:val="00C14A54"/>
    <w:rsid w:val="00C14FA9"/>
    <w:rsid w:val="00C15E79"/>
    <w:rsid w:val="00C1618D"/>
    <w:rsid w:val="00C16491"/>
    <w:rsid w:val="00C218BD"/>
    <w:rsid w:val="00C21E77"/>
    <w:rsid w:val="00C32006"/>
    <w:rsid w:val="00C340AB"/>
    <w:rsid w:val="00C37F1B"/>
    <w:rsid w:val="00C436A2"/>
    <w:rsid w:val="00C44021"/>
    <w:rsid w:val="00C47A2D"/>
    <w:rsid w:val="00C52DF7"/>
    <w:rsid w:val="00C53151"/>
    <w:rsid w:val="00C54292"/>
    <w:rsid w:val="00C54668"/>
    <w:rsid w:val="00C6130A"/>
    <w:rsid w:val="00C6188C"/>
    <w:rsid w:val="00C627E4"/>
    <w:rsid w:val="00C644F9"/>
    <w:rsid w:val="00C76EF7"/>
    <w:rsid w:val="00C777F8"/>
    <w:rsid w:val="00C80716"/>
    <w:rsid w:val="00C80920"/>
    <w:rsid w:val="00C80C13"/>
    <w:rsid w:val="00C85D02"/>
    <w:rsid w:val="00C86A72"/>
    <w:rsid w:val="00C86FA4"/>
    <w:rsid w:val="00C90C80"/>
    <w:rsid w:val="00C9589D"/>
    <w:rsid w:val="00C9597F"/>
    <w:rsid w:val="00C95E23"/>
    <w:rsid w:val="00CA013D"/>
    <w:rsid w:val="00CA205D"/>
    <w:rsid w:val="00CA2693"/>
    <w:rsid w:val="00CA35B3"/>
    <w:rsid w:val="00CA78C6"/>
    <w:rsid w:val="00CB14D5"/>
    <w:rsid w:val="00CB2913"/>
    <w:rsid w:val="00CB31E9"/>
    <w:rsid w:val="00CB4433"/>
    <w:rsid w:val="00CB4771"/>
    <w:rsid w:val="00CB65BD"/>
    <w:rsid w:val="00CC020A"/>
    <w:rsid w:val="00CC1A29"/>
    <w:rsid w:val="00CC1D9E"/>
    <w:rsid w:val="00CC3C2F"/>
    <w:rsid w:val="00CC44A2"/>
    <w:rsid w:val="00CC4F7C"/>
    <w:rsid w:val="00CC6311"/>
    <w:rsid w:val="00CC662A"/>
    <w:rsid w:val="00CD0372"/>
    <w:rsid w:val="00CD2969"/>
    <w:rsid w:val="00CD2D04"/>
    <w:rsid w:val="00CD52E3"/>
    <w:rsid w:val="00CD6C72"/>
    <w:rsid w:val="00CD742B"/>
    <w:rsid w:val="00CE0241"/>
    <w:rsid w:val="00CE2A0E"/>
    <w:rsid w:val="00CE35EC"/>
    <w:rsid w:val="00CE373D"/>
    <w:rsid w:val="00CE4B3D"/>
    <w:rsid w:val="00CE4F0A"/>
    <w:rsid w:val="00CE674C"/>
    <w:rsid w:val="00CE6A2E"/>
    <w:rsid w:val="00CF01F4"/>
    <w:rsid w:val="00CF3423"/>
    <w:rsid w:val="00CF7830"/>
    <w:rsid w:val="00D00CF5"/>
    <w:rsid w:val="00D01B36"/>
    <w:rsid w:val="00D046D6"/>
    <w:rsid w:val="00D10143"/>
    <w:rsid w:val="00D11426"/>
    <w:rsid w:val="00D1444D"/>
    <w:rsid w:val="00D15EDA"/>
    <w:rsid w:val="00D23BFA"/>
    <w:rsid w:val="00D24615"/>
    <w:rsid w:val="00D24848"/>
    <w:rsid w:val="00D252D1"/>
    <w:rsid w:val="00D263F2"/>
    <w:rsid w:val="00D30A96"/>
    <w:rsid w:val="00D326EB"/>
    <w:rsid w:val="00D345EE"/>
    <w:rsid w:val="00D40B60"/>
    <w:rsid w:val="00D45285"/>
    <w:rsid w:val="00D4543A"/>
    <w:rsid w:val="00D459F5"/>
    <w:rsid w:val="00D50A2F"/>
    <w:rsid w:val="00D51D11"/>
    <w:rsid w:val="00D53FA1"/>
    <w:rsid w:val="00D5564E"/>
    <w:rsid w:val="00D5609E"/>
    <w:rsid w:val="00D57397"/>
    <w:rsid w:val="00D57BF0"/>
    <w:rsid w:val="00D709AD"/>
    <w:rsid w:val="00D71880"/>
    <w:rsid w:val="00D7239D"/>
    <w:rsid w:val="00D73E09"/>
    <w:rsid w:val="00D75B73"/>
    <w:rsid w:val="00D75D9D"/>
    <w:rsid w:val="00D82B77"/>
    <w:rsid w:val="00D8559D"/>
    <w:rsid w:val="00D92D70"/>
    <w:rsid w:val="00D93ACC"/>
    <w:rsid w:val="00D963B3"/>
    <w:rsid w:val="00D97FE2"/>
    <w:rsid w:val="00DA02E3"/>
    <w:rsid w:val="00DA1990"/>
    <w:rsid w:val="00DA5069"/>
    <w:rsid w:val="00DA7E70"/>
    <w:rsid w:val="00DB1E32"/>
    <w:rsid w:val="00DB1ED0"/>
    <w:rsid w:val="00DB3435"/>
    <w:rsid w:val="00DB3B7B"/>
    <w:rsid w:val="00DB44A9"/>
    <w:rsid w:val="00DB5E01"/>
    <w:rsid w:val="00DB7FFD"/>
    <w:rsid w:val="00DC43CC"/>
    <w:rsid w:val="00DC44BC"/>
    <w:rsid w:val="00DC4F2F"/>
    <w:rsid w:val="00DC6040"/>
    <w:rsid w:val="00DC762C"/>
    <w:rsid w:val="00DD286E"/>
    <w:rsid w:val="00DD4CCA"/>
    <w:rsid w:val="00DD6324"/>
    <w:rsid w:val="00DE0650"/>
    <w:rsid w:val="00DE24C3"/>
    <w:rsid w:val="00DE2AA4"/>
    <w:rsid w:val="00DE7874"/>
    <w:rsid w:val="00DF0D2F"/>
    <w:rsid w:val="00DF1CDB"/>
    <w:rsid w:val="00DF3554"/>
    <w:rsid w:val="00DF4B54"/>
    <w:rsid w:val="00DF7655"/>
    <w:rsid w:val="00E04D66"/>
    <w:rsid w:val="00E1302D"/>
    <w:rsid w:val="00E130CB"/>
    <w:rsid w:val="00E16296"/>
    <w:rsid w:val="00E17481"/>
    <w:rsid w:val="00E23480"/>
    <w:rsid w:val="00E23896"/>
    <w:rsid w:val="00E246FD"/>
    <w:rsid w:val="00E24E88"/>
    <w:rsid w:val="00E2701E"/>
    <w:rsid w:val="00E33A3D"/>
    <w:rsid w:val="00E40130"/>
    <w:rsid w:val="00E41025"/>
    <w:rsid w:val="00E41C02"/>
    <w:rsid w:val="00E41D80"/>
    <w:rsid w:val="00E42487"/>
    <w:rsid w:val="00E47695"/>
    <w:rsid w:val="00E50C5E"/>
    <w:rsid w:val="00E61652"/>
    <w:rsid w:val="00E61A7E"/>
    <w:rsid w:val="00E65889"/>
    <w:rsid w:val="00E706ED"/>
    <w:rsid w:val="00E74436"/>
    <w:rsid w:val="00E756F4"/>
    <w:rsid w:val="00E776D2"/>
    <w:rsid w:val="00E82474"/>
    <w:rsid w:val="00E8269A"/>
    <w:rsid w:val="00E82C56"/>
    <w:rsid w:val="00E83373"/>
    <w:rsid w:val="00E844AC"/>
    <w:rsid w:val="00E849D7"/>
    <w:rsid w:val="00E87D2A"/>
    <w:rsid w:val="00E90193"/>
    <w:rsid w:val="00E90A9C"/>
    <w:rsid w:val="00E90B79"/>
    <w:rsid w:val="00E91E10"/>
    <w:rsid w:val="00E94A7F"/>
    <w:rsid w:val="00E94E9C"/>
    <w:rsid w:val="00E96F19"/>
    <w:rsid w:val="00EA2201"/>
    <w:rsid w:val="00EA7052"/>
    <w:rsid w:val="00EA7FD5"/>
    <w:rsid w:val="00EC031F"/>
    <w:rsid w:val="00ED010C"/>
    <w:rsid w:val="00ED0F8F"/>
    <w:rsid w:val="00ED21B4"/>
    <w:rsid w:val="00ED7A66"/>
    <w:rsid w:val="00EE0E5B"/>
    <w:rsid w:val="00EE2EFD"/>
    <w:rsid w:val="00EE439B"/>
    <w:rsid w:val="00EE68AB"/>
    <w:rsid w:val="00EE6A04"/>
    <w:rsid w:val="00EF0ED1"/>
    <w:rsid w:val="00EF15C8"/>
    <w:rsid w:val="00EF2672"/>
    <w:rsid w:val="00EF29E3"/>
    <w:rsid w:val="00EF2B3B"/>
    <w:rsid w:val="00F01784"/>
    <w:rsid w:val="00F01C88"/>
    <w:rsid w:val="00F07EBF"/>
    <w:rsid w:val="00F10C16"/>
    <w:rsid w:val="00F10E36"/>
    <w:rsid w:val="00F12E04"/>
    <w:rsid w:val="00F138F0"/>
    <w:rsid w:val="00F144CF"/>
    <w:rsid w:val="00F15431"/>
    <w:rsid w:val="00F16AE6"/>
    <w:rsid w:val="00F21051"/>
    <w:rsid w:val="00F222ED"/>
    <w:rsid w:val="00F231BA"/>
    <w:rsid w:val="00F23FD5"/>
    <w:rsid w:val="00F24A30"/>
    <w:rsid w:val="00F2771A"/>
    <w:rsid w:val="00F30DE6"/>
    <w:rsid w:val="00F312B2"/>
    <w:rsid w:val="00F345B0"/>
    <w:rsid w:val="00F37CF4"/>
    <w:rsid w:val="00F40C75"/>
    <w:rsid w:val="00F423BD"/>
    <w:rsid w:val="00F42D31"/>
    <w:rsid w:val="00F45691"/>
    <w:rsid w:val="00F461A2"/>
    <w:rsid w:val="00F50CEB"/>
    <w:rsid w:val="00F533FC"/>
    <w:rsid w:val="00F54A2B"/>
    <w:rsid w:val="00F55046"/>
    <w:rsid w:val="00F55BE4"/>
    <w:rsid w:val="00F57781"/>
    <w:rsid w:val="00F60D35"/>
    <w:rsid w:val="00F62456"/>
    <w:rsid w:val="00F63A3C"/>
    <w:rsid w:val="00F6583C"/>
    <w:rsid w:val="00F66F25"/>
    <w:rsid w:val="00F81877"/>
    <w:rsid w:val="00F858D4"/>
    <w:rsid w:val="00F91B52"/>
    <w:rsid w:val="00F936C3"/>
    <w:rsid w:val="00F9543F"/>
    <w:rsid w:val="00FA2C98"/>
    <w:rsid w:val="00FA34B5"/>
    <w:rsid w:val="00FA5FF1"/>
    <w:rsid w:val="00FA6E2F"/>
    <w:rsid w:val="00FB3530"/>
    <w:rsid w:val="00FB5204"/>
    <w:rsid w:val="00FC52CB"/>
    <w:rsid w:val="00FD0D59"/>
    <w:rsid w:val="00FD5025"/>
    <w:rsid w:val="00FD5C37"/>
    <w:rsid w:val="00FE02BD"/>
    <w:rsid w:val="00FE1FDA"/>
    <w:rsid w:val="00FE407F"/>
    <w:rsid w:val="00FE6A95"/>
    <w:rsid w:val="00FE7175"/>
    <w:rsid w:val="00FF3151"/>
    <w:rsid w:val="00FF33F9"/>
    <w:rsid w:val="00FF384C"/>
    <w:rsid w:val="00FF7490"/>
    <w:rsid w:val="00FF7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5644DD"/>
  <w15:chartTrackingRefBased/>
  <w15:docId w15:val="{E1A50D0B-85AB-274E-A49F-2340F8D02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5C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D09"/>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93ACC"/>
    <w:rPr>
      <w:color w:val="0563C1" w:themeColor="hyperlink"/>
      <w:u w:val="single"/>
    </w:rPr>
  </w:style>
  <w:style w:type="character" w:styleId="UnresolvedMention">
    <w:name w:val="Unresolved Mention"/>
    <w:basedOn w:val="DefaultParagraphFont"/>
    <w:uiPriority w:val="99"/>
    <w:semiHidden/>
    <w:unhideWhenUsed/>
    <w:rsid w:val="00D93ACC"/>
    <w:rPr>
      <w:color w:val="605E5C"/>
      <w:shd w:val="clear" w:color="auto" w:fill="E1DFDD"/>
    </w:rPr>
  </w:style>
  <w:style w:type="character" w:customStyle="1" w:styleId="journal-information">
    <w:name w:val="journal-information"/>
    <w:basedOn w:val="DefaultParagraphFont"/>
    <w:rsid w:val="00EA2201"/>
  </w:style>
  <w:style w:type="character" w:styleId="Emphasis">
    <w:name w:val="Emphasis"/>
    <w:basedOn w:val="DefaultParagraphFont"/>
    <w:uiPriority w:val="20"/>
    <w:qFormat/>
    <w:rsid w:val="00EA2201"/>
    <w:rPr>
      <w:i/>
      <w:iCs/>
    </w:rPr>
  </w:style>
  <w:style w:type="character" w:styleId="FollowedHyperlink">
    <w:name w:val="FollowedHyperlink"/>
    <w:basedOn w:val="DefaultParagraphFont"/>
    <w:uiPriority w:val="99"/>
    <w:semiHidden/>
    <w:unhideWhenUsed/>
    <w:rsid w:val="005A75BB"/>
    <w:rPr>
      <w:color w:val="954F72" w:themeColor="followedHyperlink"/>
      <w:u w:val="single"/>
    </w:rPr>
  </w:style>
  <w:style w:type="character" w:customStyle="1" w:styleId="Heading1Char">
    <w:name w:val="Heading 1 Char"/>
    <w:basedOn w:val="DefaultParagraphFont"/>
    <w:link w:val="Heading1"/>
    <w:uiPriority w:val="9"/>
    <w:rsid w:val="00C125C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364D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D21B4"/>
  </w:style>
  <w:style w:type="paragraph" w:customStyle="1" w:styleId="dx-doi">
    <w:name w:val="dx-doi"/>
    <w:basedOn w:val="Normal"/>
    <w:rsid w:val="00ED21B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976888">
      <w:bodyDiv w:val="1"/>
      <w:marLeft w:val="0"/>
      <w:marRight w:val="0"/>
      <w:marTop w:val="0"/>
      <w:marBottom w:val="0"/>
      <w:divBdr>
        <w:top w:val="none" w:sz="0" w:space="0" w:color="auto"/>
        <w:left w:val="none" w:sz="0" w:space="0" w:color="auto"/>
        <w:bottom w:val="none" w:sz="0" w:space="0" w:color="auto"/>
        <w:right w:val="none" w:sz="0" w:space="0" w:color="auto"/>
      </w:divBdr>
      <w:divsChild>
        <w:div w:id="155271150">
          <w:marLeft w:val="0"/>
          <w:marRight w:val="0"/>
          <w:marTop w:val="0"/>
          <w:marBottom w:val="0"/>
          <w:divBdr>
            <w:top w:val="none" w:sz="0" w:space="0" w:color="auto"/>
            <w:left w:val="none" w:sz="0" w:space="0" w:color="auto"/>
            <w:bottom w:val="none" w:sz="0" w:space="0" w:color="auto"/>
            <w:right w:val="none" w:sz="0" w:space="0" w:color="auto"/>
          </w:divBdr>
          <w:divsChild>
            <w:div w:id="1780835745">
              <w:marLeft w:val="0"/>
              <w:marRight w:val="0"/>
              <w:marTop w:val="0"/>
              <w:marBottom w:val="0"/>
              <w:divBdr>
                <w:top w:val="none" w:sz="0" w:space="0" w:color="auto"/>
                <w:left w:val="none" w:sz="0" w:space="0" w:color="auto"/>
                <w:bottom w:val="none" w:sz="0" w:space="0" w:color="auto"/>
                <w:right w:val="none" w:sz="0" w:space="0" w:color="auto"/>
              </w:divBdr>
              <w:divsChild>
                <w:div w:id="214677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709572">
      <w:bodyDiv w:val="1"/>
      <w:marLeft w:val="0"/>
      <w:marRight w:val="0"/>
      <w:marTop w:val="0"/>
      <w:marBottom w:val="0"/>
      <w:divBdr>
        <w:top w:val="none" w:sz="0" w:space="0" w:color="auto"/>
        <w:left w:val="none" w:sz="0" w:space="0" w:color="auto"/>
        <w:bottom w:val="none" w:sz="0" w:space="0" w:color="auto"/>
        <w:right w:val="none" w:sz="0" w:space="0" w:color="auto"/>
      </w:divBdr>
    </w:div>
    <w:div w:id="1035422841">
      <w:bodyDiv w:val="1"/>
      <w:marLeft w:val="0"/>
      <w:marRight w:val="0"/>
      <w:marTop w:val="0"/>
      <w:marBottom w:val="0"/>
      <w:divBdr>
        <w:top w:val="none" w:sz="0" w:space="0" w:color="auto"/>
        <w:left w:val="none" w:sz="0" w:space="0" w:color="auto"/>
        <w:bottom w:val="none" w:sz="0" w:space="0" w:color="auto"/>
        <w:right w:val="none" w:sz="0" w:space="0" w:color="auto"/>
      </w:divBdr>
      <w:divsChild>
        <w:div w:id="2125608065">
          <w:marLeft w:val="0"/>
          <w:marRight w:val="0"/>
          <w:marTop w:val="0"/>
          <w:marBottom w:val="0"/>
          <w:divBdr>
            <w:top w:val="none" w:sz="0" w:space="0" w:color="auto"/>
            <w:left w:val="none" w:sz="0" w:space="0" w:color="auto"/>
            <w:bottom w:val="none" w:sz="0" w:space="0" w:color="auto"/>
            <w:right w:val="none" w:sz="0" w:space="0" w:color="auto"/>
          </w:divBdr>
          <w:divsChild>
            <w:div w:id="62339389">
              <w:marLeft w:val="0"/>
              <w:marRight w:val="0"/>
              <w:marTop w:val="0"/>
              <w:marBottom w:val="0"/>
              <w:divBdr>
                <w:top w:val="none" w:sz="0" w:space="0" w:color="auto"/>
                <w:left w:val="none" w:sz="0" w:space="0" w:color="auto"/>
                <w:bottom w:val="none" w:sz="0" w:space="0" w:color="auto"/>
                <w:right w:val="none" w:sz="0" w:space="0" w:color="auto"/>
              </w:divBdr>
              <w:divsChild>
                <w:div w:id="605582387">
                  <w:marLeft w:val="0"/>
                  <w:marRight w:val="0"/>
                  <w:marTop w:val="0"/>
                  <w:marBottom w:val="0"/>
                  <w:divBdr>
                    <w:top w:val="none" w:sz="0" w:space="0" w:color="auto"/>
                    <w:left w:val="none" w:sz="0" w:space="0" w:color="auto"/>
                    <w:bottom w:val="none" w:sz="0" w:space="0" w:color="auto"/>
                    <w:right w:val="none" w:sz="0" w:space="0" w:color="auto"/>
                  </w:divBdr>
                  <w:divsChild>
                    <w:div w:id="73200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evidence-based-policing-EBP" TargetMode="External"/><Relationship Id="rId13" Type="http://schemas.openxmlformats.org/officeDocument/2006/relationships/hyperlink" Target="https://www.ncbi.nlm.nih.gov/books/NBK537064/" TargetMode="External"/><Relationship Id="rId18" Type="http://schemas.openxmlformats.org/officeDocument/2006/relationships/hyperlink" Target="https://www.ons.gov.uk/peoplepopulationandcommunity/crimeandjustice/articles/thenatureofviolentcrimeinenglandandwales/yearendingmarch202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cambs.gov.uk/community-safety-and-health/community-action/community-safety-toolkit/crime-prevention-in-your-community/problem-solving/" TargetMode="External"/><Relationship Id="rId7" Type="http://schemas.openxmlformats.org/officeDocument/2006/relationships/hyperlink" Target="https://doi.org/10.1186/s40163-018-0078-4" TargetMode="External"/><Relationship Id="rId12" Type="http://schemas.openxmlformats.org/officeDocument/2006/relationships/hyperlink" Target="https://oxfordre.com/criminology/criminology/view/10.1093/acrefore/9780190264079.001.0001/acrefore-9780190264079-e-3" TargetMode="External"/><Relationship Id="rId17" Type="http://schemas.openxmlformats.org/officeDocument/2006/relationships/hyperlink" Target="https://www.england.nhs.uk/wp-content/uploads/2020/11/diagnostics-recovery-and-renewal-independent-review-of-diagnostic-services-for-nhs-england-2.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rimeprevention.nsw.gov.au/Documents/routine_activity_factsheet_nov2014.pdf" TargetMode="External"/><Relationship Id="rId20" Type="http://schemas.openxmlformats.org/officeDocument/2006/relationships/hyperlink" Target="https://www.policinginstitute.org/wp-content/uploads/2015/06/Sherman-1998-Evidence-Based-Policing.pdf" TargetMode="External"/><Relationship Id="rId1" Type="http://schemas.openxmlformats.org/officeDocument/2006/relationships/numbering" Target="numbering.xml"/><Relationship Id="rId6" Type="http://schemas.openxmlformats.org/officeDocument/2006/relationships/hyperlink" Target="https://doi.org/10.1080/10439463.2021.2003361" TargetMode="External"/><Relationship Id="rId11" Type="http://schemas.openxmlformats.org/officeDocument/2006/relationships/hyperlink" Target="https://www.college.police.uk/guidance/hot-spots-policing" TargetMode="External"/><Relationship Id="rId24" Type="http://schemas.openxmlformats.org/officeDocument/2006/relationships/hyperlink" Target="https://soztheo.de/theories-of-crime/rational-choice/classical-criminology/?lang=en" TargetMode="External"/><Relationship Id="rId5" Type="http://schemas.openxmlformats.org/officeDocument/2006/relationships/hyperlink" Target="https://oll.libertyfund.org/title/voltaire-an-essay-on-crimes-and-punishments" TargetMode="External"/><Relationship Id="rId15" Type="http://schemas.openxmlformats.org/officeDocument/2006/relationships/hyperlink" Target="https://epublications.regis.edu/theses/225" TargetMode="External"/><Relationship Id="rId23" Type="http://schemas.openxmlformats.org/officeDocument/2006/relationships/hyperlink" Target="https://www.victimsupport.org.uk/crime-info/types-crime/violent-crime/" TargetMode="External"/><Relationship Id="rId10" Type="http://schemas.openxmlformats.org/officeDocument/2006/relationships/hyperlink" Target="https://www.college.police.uk/research/crime-reduction-toolkit/hot-spots-policing" TargetMode="External"/><Relationship Id="rId19" Type="http://schemas.openxmlformats.org/officeDocument/2006/relationships/hyperlink" Target="https://www.sagepub.com/sites/default/files/upm-assets/97953_book_item_97953.pdf"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cctv" TargetMode="External"/><Relationship Id="rId14" Type="http://schemas.openxmlformats.org/officeDocument/2006/relationships/hyperlink" Target="https://www.gov.uk/government/news/home-secretary-backs-police-to-increase-stop-and-search" TargetMode="External"/><Relationship Id="rId22" Type="http://schemas.openxmlformats.org/officeDocument/2006/relationships/hyperlink" Target="https://www.cps.gov.uk/crime-info/violent-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1003</TotalTime>
  <Pages>10</Pages>
  <Words>3075</Words>
  <Characters>17533</Characters>
  <Application>Microsoft Office Word</Application>
  <DocSecurity>0</DocSecurity>
  <Lines>146</Lines>
  <Paragraphs>41</Paragraphs>
  <ScaleCrop>false</ScaleCrop>
  <Company/>
  <LinksUpToDate>false</LinksUpToDate>
  <CharactersWithSpaces>20567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1042</cp:revision>
  <dcterms:created xsi:type="dcterms:W3CDTF">2023-02-19T11:09:00Z</dcterms:created>
  <dcterms:modified xsi:type="dcterms:W3CDTF">2023-03-10T13:18:00Z</dcterms:modified>
</cp:coreProperties>
</file>