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81AFA" w14:textId="301E16EC" w:rsidR="00826A2F" w:rsidRPr="00FC19E1" w:rsidRDefault="00780F94" w:rsidP="00FC19E1">
      <w:pPr>
        <w:spacing w:line="360" w:lineRule="auto"/>
        <w:jc w:val="center"/>
        <w:rPr>
          <w:b/>
          <w:bCs/>
          <w:sz w:val="28"/>
          <w:szCs w:val="28"/>
        </w:rPr>
      </w:pPr>
      <w:r w:rsidRPr="00FC19E1">
        <w:rPr>
          <w:b/>
          <w:bCs/>
          <w:sz w:val="28"/>
          <w:szCs w:val="28"/>
        </w:rPr>
        <w:t xml:space="preserve">Iliad </w:t>
      </w:r>
      <w:r w:rsidR="003F2204" w:rsidRPr="00FC19E1">
        <w:rPr>
          <w:b/>
          <w:bCs/>
          <w:sz w:val="28"/>
          <w:szCs w:val="28"/>
        </w:rPr>
        <w:t>Gobbet</w:t>
      </w:r>
    </w:p>
    <w:p w14:paraId="121DF833" w14:textId="77777777" w:rsidR="00780F94" w:rsidRDefault="00780F94" w:rsidP="006224E4">
      <w:pPr>
        <w:spacing w:line="360" w:lineRule="auto"/>
      </w:pPr>
    </w:p>
    <w:p w14:paraId="037D3F4A" w14:textId="0B625B34" w:rsidR="006C1641" w:rsidRPr="002A79CC" w:rsidRDefault="002A7269" w:rsidP="006224E4">
      <w:pPr>
        <w:spacing w:line="360" w:lineRule="auto"/>
        <w:rPr>
          <w:color w:val="000000" w:themeColor="text1"/>
        </w:rPr>
      </w:pPr>
      <w:r w:rsidRPr="002A79CC">
        <w:rPr>
          <w:color w:val="000000" w:themeColor="text1"/>
        </w:rPr>
        <w:t>The extract is from the end of book 24 of the Iliad, the last book of the epic</w:t>
      </w:r>
      <w:r w:rsidR="00597B7E" w:rsidRPr="002A79CC">
        <w:rPr>
          <w:color w:val="000000" w:themeColor="text1"/>
        </w:rPr>
        <w:t xml:space="preserve"> poem</w:t>
      </w:r>
      <w:r w:rsidR="00501825" w:rsidRPr="002A79CC">
        <w:rPr>
          <w:color w:val="000000" w:themeColor="text1"/>
        </w:rPr>
        <w:t xml:space="preserve"> which was likely composed </w:t>
      </w:r>
      <w:r w:rsidR="00370355" w:rsidRPr="002A79CC">
        <w:rPr>
          <w:color w:val="000000" w:themeColor="text1"/>
        </w:rPr>
        <w:t>around the seventh or eighth century BC</w:t>
      </w:r>
      <w:r w:rsidR="00DB7947" w:rsidRPr="002A79CC">
        <w:rPr>
          <w:color w:val="000000" w:themeColor="text1"/>
        </w:rPr>
        <w:t xml:space="preserve"> </w:t>
      </w:r>
      <w:r w:rsidR="00C56961" w:rsidRPr="002A79CC">
        <w:rPr>
          <w:color w:val="000000" w:themeColor="text1"/>
        </w:rPr>
        <w:fldChar w:fldCharType="begin"/>
      </w:r>
      <w:r w:rsidR="00C56961" w:rsidRPr="002A79CC">
        <w:rPr>
          <w:color w:val="000000" w:themeColor="text1"/>
        </w:rPr>
        <w:instrText xml:space="preserve"> ADDIN ZOTERO_ITEM CSL_CITATION {"citationID":"OuiEYf6f","properties":{"formattedCitation":"(West 1995, 203)","plainCitation":"(West 1995, 203)","noteIndex":0},"citationItems":[{"id":1231,"uris":["http://zotero.org/users/local/938AaHlk/items/AEPVBLLI"],"itemData":{"id":1231,"type":"article-journal","container-title":"Museum Helveticum","issue":"4","language":"en","page":"203-219","source":"Zotero","title":"The Date of the \"Iliad\"","volume":"52","author":[{"family":"West","given":"Martin L"}],"issued":{"date-parts":[["1995"]]}},"locator":"203"}],"schema":"https://github.com/citation-style-language/schema/raw/master/csl-citation.json"} </w:instrText>
      </w:r>
      <w:r w:rsidR="00C56961" w:rsidRPr="002A79CC">
        <w:rPr>
          <w:color w:val="000000" w:themeColor="text1"/>
        </w:rPr>
        <w:fldChar w:fldCharType="separate"/>
      </w:r>
      <w:r w:rsidR="00C56961" w:rsidRPr="002A79CC">
        <w:rPr>
          <w:rFonts w:ascii="Aptos" w:hAnsi="Aptos"/>
          <w:color w:val="000000" w:themeColor="text1"/>
        </w:rPr>
        <w:t>(West 1995, 203)</w:t>
      </w:r>
      <w:r w:rsidR="00C56961" w:rsidRPr="002A79CC">
        <w:rPr>
          <w:color w:val="000000" w:themeColor="text1"/>
        </w:rPr>
        <w:fldChar w:fldCharType="end"/>
      </w:r>
      <w:r w:rsidRPr="002A79CC">
        <w:rPr>
          <w:color w:val="000000" w:themeColor="text1"/>
        </w:rPr>
        <w:t xml:space="preserve">. </w:t>
      </w:r>
      <w:r w:rsidR="00B97CCE" w:rsidRPr="002A79CC">
        <w:rPr>
          <w:color w:val="000000" w:themeColor="text1"/>
        </w:rPr>
        <w:t xml:space="preserve">The Iliad is </w:t>
      </w:r>
      <w:r w:rsidR="002F34E9" w:rsidRPr="002A79CC">
        <w:rPr>
          <w:color w:val="000000" w:themeColor="text1"/>
        </w:rPr>
        <w:t>set during the Trojan war</w:t>
      </w:r>
      <w:r w:rsidR="00421B2B" w:rsidRPr="002A79CC">
        <w:rPr>
          <w:color w:val="000000" w:themeColor="text1"/>
        </w:rPr>
        <w:t xml:space="preserve"> and is one part of a larger Epic Cycle, much of which is lost.</w:t>
      </w:r>
      <w:r w:rsidR="00D11E7A" w:rsidRPr="002A79CC">
        <w:rPr>
          <w:color w:val="000000" w:themeColor="text1"/>
        </w:rPr>
        <w:t xml:space="preserve"> </w:t>
      </w:r>
      <w:r w:rsidR="003B14F4" w:rsidRPr="002A79CC">
        <w:rPr>
          <w:color w:val="000000" w:themeColor="text1"/>
        </w:rPr>
        <w:t>It is attributed to Homer, however there is much scholarly debate over th</w:t>
      </w:r>
      <w:r w:rsidR="00EF3737" w:rsidRPr="002A79CC">
        <w:rPr>
          <w:color w:val="000000" w:themeColor="text1"/>
        </w:rPr>
        <w:t>is</w:t>
      </w:r>
      <w:r w:rsidR="00FD3163" w:rsidRPr="002A79CC">
        <w:rPr>
          <w:color w:val="000000" w:themeColor="text1"/>
        </w:rPr>
        <w:t xml:space="preserve"> due to </w:t>
      </w:r>
      <w:r w:rsidR="003537C8" w:rsidRPr="002A79CC">
        <w:rPr>
          <w:color w:val="000000" w:themeColor="text1"/>
        </w:rPr>
        <w:t>its origins as part of an oral tradition</w:t>
      </w:r>
      <w:r w:rsidR="008F57FB" w:rsidRPr="002A79CC">
        <w:rPr>
          <w:color w:val="000000" w:themeColor="text1"/>
        </w:rPr>
        <w:t xml:space="preserve">. </w:t>
      </w:r>
      <w:r w:rsidR="00D11E7A" w:rsidRPr="002A79CC">
        <w:rPr>
          <w:color w:val="000000" w:themeColor="text1"/>
        </w:rPr>
        <w:t>Only fourteen days of the war are covered in the Iliad</w:t>
      </w:r>
      <w:r w:rsidR="001B6D42" w:rsidRPr="002A79CC">
        <w:rPr>
          <w:color w:val="000000" w:themeColor="text1"/>
        </w:rPr>
        <w:t xml:space="preserve">, </w:t>
      </w:r>
      <w:r w:rsidR="0046756D" w:rsidRPr="002A79CC">
        <w:rPr>
          <w:color w:val="000000" w:themeColor="text1"/>
        </w:rPr>
        <w:t xml:space="preserve">starting with the famous anger of Achilles and ending </w:t>
      </w:r>
      <w:r w:rsidR="00C83884" w:rsidRPr="002A79CC">
        <w:rPr>
          <w:color w:val="000000" w:themeColor="text1"/>
        </w:rPr>
        <w:t>in the funeral of Hector</w:t>
      </w:r>
      <w:r w:rsidR="00617571" w:rsidRPr="002A79CC">
        <w:rPr>
          <w:color w:val="000000" w:themeColor="text1"/>
        </w:rPr>
        <w:t>, in this extract</w:t>
      </w:r>
      <w:r w:rsidR="00C83884" w:rsidRPr="002A79CC">
        <w:rPr>
          <w:color w:val="000000" w:themeColor="text1"/>
        </w:rPr>
        <w:t>.</w:t>
      </w:r>
    </w:p>
    <w:p w14:paraId="1FCBC256" w14:textId="0D42B08F" w:rsidR="00D6141D" w:rsidRPr="00FC19E1" w:rsidRDefault="00425A4C" w:rsidP="006224E4">
      <w:pPr>
        <w:spacing w:line="360" w:lineRule="auto"/>
      </w:pPr>
      <w:r w:rsidRPr="00FC19E1">
        <w:t xml:space="preserve">The extract contains the last part of </w:t>
      </w:r>
      <w:r w:rsidR="00136C56" w:rsidRPr="00FC19E1">
        <w:t>“horse-</w:t>
      </w:r>
      <w:r w:rsidR="00FB09E8" w:rsidRPr="00FC19E1">
        <w:t>taming” Hector’s</w:t>
      </w:r>
      <w:r w:rsidRPr="00FC19E1">
        <w:t xml:space="preserve"> </w:t>
      </w:r>
      <w:r w:rsidR="00136C56" w:rsidRPr="00FC19E1">
        <w:t>funeral</w:t>
      </w:r>
      <w:r w:rsidR="007E4A08" w:rsidRPr="00FC19E1">
        <w:t xml:space="preserve"> (Il. 24.804)</w:t>
      </w:r>
      <w:r w:rsidR="0023496D" w:rsidRPr="00FC19E1">
        <w:t xml:space="preserve">. Immediately before the </w:t>
      </w:r>
      <w:r w:rsidR="001D521B" w:rsidRPr="00FC19E1">
        <w:t xml:space="preserve">extract </w:t>
      </w:r>
      <w:r w:rsidR="00FA5177" w:rsidRPr="00FC19E1">
        <w:t>are</w:t>
      </w:r>
      <w:r w:rsidR="005E5256" w:rsidRPr="00FC19E1">
        <w:t xml:space="preserve"> three laments </w:t>
      </w:r>
      <w:r w:rsidR="00F83342" w:rsidRPr="00FC19E1">
        <w:t xml:space="preserve">for Hector’s death, they are from </w:t>
      </w:r>
      <w:r w:rsidR="00AF4423" w:rsidRPr="00FC19E1">
        <w:t xml:space="preserve">Andromache, Hecabe, and </w:t>
      </w:r>
      <w:r w:rsidR="00D20F55" w:rsidRPr="00FC19E1">
        <w:t>Helen.</w:t>
      </w:r>
      <w:r w:rsidR="00CE03BD" w:rsidRPr="00FC19E1">
        <w:t xml:space="preserve"> Lamentation is a </w:t>
      </w:r>
      <w:r w:rsidR="009A6C92" w:rsidRPr="00FC19E1">
        <w:t xml:space="preserve">well-documented part of </w:t>
      </w:r>
      <w:r w:rsidR="00BB30CF" w:rsidRPr="00FC19E1">
        <w:t xml:space="preserve">funeral ceremonies in ancient Greece, </w:t>
      </w:r>
      <w:r w:rsidR="009338D2" w:rsidRPr="00FC19E1">
        <w:t xml:space="preserve">as well as the “countless throng” of </w:t>
      </w:r>
      <w:r w:rsidR="007A47FF" w:rsidRPr="00FC19E1">
        <w:t>professional mourners</w:t>
      </w:r>
      <w:r w:rsidR="00474CBF" w:rsidRPr="00FC19E1">
        <w:t xml:space="preserve"> </w:t>
      </w:r>
      <w:r w:rsidR="0070687E" w:rsidRPr="00FC19E1">
        <w:fldChar w:fldCharType="begin"/>
      </w:r>
      <w:r w:rsidR="0070687E" w:rsidRPr="00FC19E1">
        <w:instrText xml:space="preserve"> ADDIN ZOTERO_ITEM CSL_CITATION {"citationID":"8Bkjpppf","properties":{"formattedCitation":"(Pantelia 2002, 21)","plainCitation":"(Pantelia 2002, 21)","noteIndex":0},"citationItems":[{"id":1236,"uris":["http://zotero.org/users/local/938AaHlk/items/3247IVEK"],"itemData":{"id":1236,"type":"article-journal","abstract":"This article examines the order of the three laments in \"Iliad 24\" and especially the significance of Helen's prominent position as the last mourner of Hector. The article suggests that Helen's position in the trio of mourning women is dictated not by ritual form or by her relation to Hector but by virtue of her particular understanding of the importance of heroic kleos and poetry as the means for conferring it.","container-title":"Transactions of the American Philological Association (1974-)","ISSN":"0360-5949","issue":"1/2","note":"publisher: [Johns Hopkins University Press, American Philological Association]","page":"21-27","source":"JSTOR","title":"Helen and the Last Song for Hector","volume":"132","author":[{"family":"Pantelia","given":"Maria C."}],"issued":{"date-parts":[["2002"]]}},"locator":"21"}],"schema":"https://github.com/citation-style-language/schema/raw/master/csl-citation.json"} </w:instrText>
      </w:r>
      <w:r w:rsidR="0070687E" w:rsidRPr="00FC19E1">
        <w:fldChar w:fldCharType="separate"/>
      </w:r>
      <w:r w:rsidR="0070687E" w:rsidRPr="00FC19E1">
        <w:rPr>
          <w:rFonts w:ascii="Aptos" w:hAnsi="Aptos"/>
        </w:rPr>
        <w:t>(Pantelia 2002, 21)</w:t>
      </w:r>
      <w:r w:rsidR="0070687E" w:rsidRPr="00FC19E1">
        <w:fldChar w:fldCharType="end"/>
      </w:r>
      <w:r w:rsidR="0070687E" w:rsidRPr="00FC19E1">
        <w:t>.</w:t>
      </w:r>
      <w:r w:rsidR="00475AEF" w:rsidRPr="00FC19E1">
        <w:t xml:space="preserve"> </w:t>
      </w:r>
      <w:r w:rsidR="00B64F5F" w:rsidRPr="00FC19E1">
        <w:t>Women lamenting at funerals</w:t>
      </w:r>
      <w:r w:rsidR="00C911F1" w:rsidRPr="00FC19E1">
        <w:t xml:space="preserve"> was a common tradition</w:t>
      </w:r>
      <w:r w:rsidR="000B1F38" w:rsidRPr="00FC19E1">
        <w:t xml:space="preserve"> and was one of the few occasions that women have a voice in </w:t>
      </w:r>
      <w:r w:rsidR="002F3720" w:rsidRPr="00FC19E1">
        <w:t xml:space="preserve">ancient literature </w:t>
      </w:r>
      <w:r w:rsidR="002F3720" w:rsidRPr="00FC19E1">
        <w:fldChar w:fldCharType="begin"/>
      </w:r>
      <w:r w:rsidR="002F3720" w:rsidRPr="00FC19E1">
        <w:instrText xml:space="preserve"> ADDIN ZOTERO_ITEM CSL_CITATION {"citationID":"sALzvqTC","properties":{"formattedCitation":"(Pantelia 2002, 22)","plainCitation":"(Pantelia 2002, 22)","noteIndex":0},"citationItems":[{"id":1236,"uris":["http://zotero.org/users/local/938AaHlk/items/3247IVEK"],"itemData":{"id":1236,"type":"article-journal","abstract":"This article examines the order of the three laments in \"Iliad 24\" and especially the significance of Helen's prominent position as the last mourner of Hector. The article suggests that Helen's position in the trio of mourning women is dictated not by ritual form or by her relation to Hector but by virtue of her particular understanding of the importance of heroic kleos and poetry as the means for conferring it.","container-title":"Transactions of the American Philological Association (1974-)","ISSN":"0360-5949","issue":"1/2","note":"publisher: [Johns Hopkins University Press, American Philological Association]","page":"21-27","source":"JSTOR","title":"Helen and the Last Song for Hector","volume":"132","author":[{"family":"Pantelia","given":"Maria C."}],"issued":{"date-parts":[["2002"]]}},"locator":"22"}],"schema":"https://github.com/citation-style-language/schema/raw/master/csl-citation.json"} </w:instrText>
      </w:r>
      <w:r w:rsidR="002F3720" w:rsidRPr="00FC19E1">
        <w:fldChar w:fldCharType="separate"/>
      </w:r>
      <w:r w:rsidR="002F3720" w:rsidRPr="00FC19E1">
        <w:rPr>
          <w:rFonts w:ascii="Aptos" w:hAnsi="Aptos"/>
        </w:rPr>
        <w:t>(Pantelia 2002, 22)</w:t>
      </w:r>
      <w:r w:rsidR="002F3720" w:rsidRPr="00FC19E1">
        <w:fldChar w:fldCharType="end"/>
      </w:r>
      <w:r w:rsidR="00D626BC" w:rsidRPr="00FC19E1">
        <w:t xml:space="preserve">. </w:t>
      </w:r>
      <w:r w:rsidR="00475AEF" w:rsidRPr="00FC19E1">
        <w:t>The line “so she spoke wailing” marks the end of Helen’s lament</w:t>
      </w:r>
      <w:r w:rsidR="00D018B6" w:rsidRPr="00FC19E1">
        <w:t xml:space="preserve"> in which she </w:t>
      </w:r>
      <w:r w:rsidR="00840942" w:rsidRPr="00FC19E1">
        <w:t xml:space="preserve">calls him the </w:t>
      </w:r>
      <w:r w:rsidR="00080878" w:rsidRPr="00FC19E1">
        <w:t>“dearest to my heart of all my husband’s brothers”</w:t>
      </w:r>
      <w:r w:rsidR="00FD525B" w:rsidRPr="00FC19E1">
        <w:t xml:space="preserve"> (Il, 24.</w:t>
      </w:r>
      <w:r w:rsidR="00822D0D" w:rsidRPr="00FC19E1">
        <w:t>763)</w:t>
      </w:r>
      <w:r w:rsidR="004B6384" w:rsidRPr="00FC19E1">
        <w:t xml:space="preserve"> and </w:t>
      </w:r>
      <w:r w:rsidR="00A72D3E" w:rsidRPr="00FC19E1">
        <w:t xml:space="preserve">talks of how </w:t>
      </w:r>
      <w:r w:rsidR="00B05D35" w:rsidRPr="00FC19E1">
        <w:t xml:space="preserve">he </w:t>
      </w:r>
      <w:r w:rsidR="00226EC7" w:rsidRPr="00FC19E1">
        <w:t>showed he</w:t>
      </w:r>
      <w:r w:rsidR="00171943" w:rsidRPr="00FC19E1">
        <w:t>r</w:t>
      </w:r>
      <w:r w:rsidR="00226EC7" w:rsidRPr="00FC19E1">
        <w:t xml:space="preserve"> kindness</w:t>
      </w:r>
      <w:r w:rsidR="008D7B02" w:rsidRPr="00FC19E1">
        <w:t xml:space="preserve"> despite the animosity many Trojans had shown her</w:t>
      </w:r>
      <w:r w:rsidR="00A079A4" w:rsidRPr="00FC19E1">
        <w:t>.</w:t>
      </w:r>
      <w:r w:rsidR="000253F5" w:rsidRPr="00FC19E1">
        <w:t xml:space="preserve"> Helen’s participation in Hector’s funeral</w:t>
      </w:r>
      <w:r w:rsidR="008771E0" w:rsidRPr="00FC19E1">
        <w:t xml:space="preserve">, as well as her lamentation </w:t>
      </w:r>
      <w:r w:rsidR="00912BBB" w:rsidRPr="00FC19E1">
        <w:t xml:space="preserve">is </w:t>
      </w:r>
      <w:r w:rsidR="001267E4" w:rsidRPr="00FC19E1">
        <w:t xml:space="preserve">interesting. Andromache and Hecabe, as Hector’s wife and mother, would have been expected to </w:t>
      </w:r>
      <w:r w:rsidR="009F3AC9" w:rsidRPr="00FC19E1">
        <w:t xml:space="preserve">give lamentations and be part of the ceremony. Helen however was </w:t>
      </w:r>
      <w:r w:rsidR="000905A2" w:rsidRPr="00FC19E1">
        <w:t xml:space="preserve">the “ostensible cause of </w:t>
      </w:r>
      <w:r w:rsidR="001B4C51" w:rsidRPr="00FC19E1">
        <w:t xml:space="preserve">Hector’s death” </w:t>
      </w:r>
      <w:r w:rsidR="001B4C51" w:rsidRPr="00FC19E1">
        <w:fldChar w:fldCharType="begin"/>
      </w:r>
      <w:r w:rsidR="001B4C51" w:rsidRPr="00FC19E1">
        <w:instrText xml:space="preserve"> ADDIN ZOTERO_ITEM CSL_CITATION {"citationID":"dvBREuVO","properties":{"formattedCitation":"(Pantelia 2002, 22)","plainCitation":"(Pantelia 2002, 22)","noteIndex":0},"citationItems":[{"id":1236,"uris":["http://zotero.org/users/local/938AaHlk/items/3247IVEK"],"itemData":{"id":1236,"type":"article-journal","abstract":"This article examines the order of the three laments in \"Iliad 24\" and especially the significance of Helen's prominent position as the last mourner of Hector. The article suggests that Helen's position in the trio of mourning women is dictated not by ritual form or by her relation to Hector but by virtue of her particular understanding of the importance of heroic kleos and poetry as the means for conferring it.","container-title":"Transactions of the American Philological Association (1974-)","ISSN":"0360-5949","issue":"1/2","note":"publisher: [Johns Hopkins University Press, American Philological Association]","page":"21-27","source":"JSTOR","title":"Helen and the Last Song for Hector","volume":"132","author":[{"family":"Pantelia","given":"Maria C."}],"issued":{"date-parts":[["2002"]]}},"locator":"22"}],"schema":"https://github.com/citation-style-language/schema/raw/master/csl-citation.json"} </w:instrText>
      </w:r>
      <w:r w:rsidR="001B4C51" w:rsidRPr="00FC19E1">
        <w:fldChar w:fldCharType="separate"/>
      </w:r>
      <w:r w:rsidR="001B4C51" w:rsidRPr="00FC19E1">
        <w:rPr>
          <w:rFonts w:ascii="Aptos" w:hAnsi="Aptos"/>
        </w:rPr>
        <w:t>(Pantelia 2002, 22)</w:t>
      </w:r>
      <w:r w:rsidR="001B4C51" w:rsidRPr="00FC19E1">
        <w:fldChar w:fldCharType="end"/>
      </w:r>
      <w:r w:rsidR="000A59CF" w:rsidRPr="00FC19E1">
        <w:t>.</w:t>
      </w:r>
      <w:r w:rsidR="00C5695F" w:rsidRPr="00FC19E1">
        <w:t xml:space="preserve"> </w:t>
      </w:r>
      <w:r w:rsidR="000A59CF" w:rsidRPr="00FC19E1">
        <w:t>I</w:t>
      </w:r>
      <w:r w:rsidR="00064DF3" w:rsidRPr="00FC19E1">
        <w:t>n comparison to Hector’s wife and mother</w:t>
      </w:r>
      <w:r w:rsidR="002C7B27" w:rsidRPr="00FC19E1">
        <w:t xml:space="preserve">, Helen seems </w:t>
      </w:r>
      <w:r w:rsidR="00DE20E6" w:rsidRPr="00FC19E1">
        <w:t xml:space="preserve">a strange choice </w:t>
      </w:r>
      <w:r w:rsidR="00C81096" w:rsidRPr="00FC19E1">
        <w:t>to contribute to the ceremony.</w:t>
      </w:r>
      <w:r w:rsidR="00E74F3B" w:rsidRPr="00FC19E1">
        <w:t xml:space="preserve"> </w:t>
      </w:r>
      <w:r w:rsidR="00160B30" w:rsidRPr="00FC19E1">
        <w:t xml:space="preserve">On top of this, it has been noted by scholars that the order of </w:t>
      </w:r>
      <w:r w:rsidR="00C5295F" w:rsidRPr="00FC19E1">
        <w:t xml:space="preserve">speakers </w:t>
      </w:r>
      <w:r w:rsidR="00D56857" w:rsidRPr="00FC19E1">
        <w:t>holds importance, with</w:t>
      </w:r>
      <w:r w:rsidR="00F0583B" w:rsidRPr="00FC19E1">
        <w:t xml:space="preserve"> the last speaker being the closest and most important.</w:t>
      </w:r>
      <w:r w:rsidR="00D26242" w:rsidRPr="00FC19E1">
        <w:t xml:space="preserve"> Placing Helen in that position is an interesting decision. </w:t>
      </w:r>
      <w:r w:rsidR="00C81096" w:rsidRPr="00FC19E1">
        <w:t xml:space="preserve"> </w:t>
      </w:r>
      <w:proofErr w:type="spellStart"/>
      <w:r w:rsidR="00DE5185" w:rsidRPr="00FC19E1">
        <w:t>Pantelia</w:t>
      </w:r>
      <w:proofErr w:type="spellEnd"/>
      <w:r w:rsidR="00DE5185" w:rsidRPr="00FC19E1">
        <w:t xml:space="preserve"> </w:t>
      </w:r>
      <w:r w:rsidR="001D468C" w:rsidRPr="00FC19E1">
        <w:t xml:space="preserve">suggests that Helen may have been given </w:t>
      </w:r>
      <w:r w:rsidR="00C76BD3" w:rsidRPr="00FC19E1">
        <w:t>such an important role in Hector’s funeral because</w:t>
      </w:r>
      <w:r w:rsidR="0036688A" w:rsidRPr="00FC19E1">
        <w:t xml:space="preserve"> </w:t>
      </w:r>
      <w:r w:rsidR="00F1714C" w:rsidRPr="00FC19E1">
        <w:t>she displays a unique</w:t>
      </w:r>
      <w:r w:rsidR="00870290" w:rsidRPr="00FC19E1">
        <w:t xml:space="preserve"> understanding of</w:t>
      </w:r>
      <w:r w:rsidR="00870290" w:rsidRPr="00FC19E1">
        <w:rPr>
          <w:i/>
          <w:iCs/>
        </w:rPr>
        <w:t xml:space="preserve"> </w:t>
      </w:r>
      <w:proofErr w:type="spellStart"/>
      <w:r w:rsidR="00870290" w:rsidRPr="00FC19E1">
        <w:rPr>
          <w:i/>
          <w:iCs/>
        </w:rPr>
        <w:t>Kleos</w:t>
      </w:r>
      <w:proofErr w:type="spellEnd"/>
      <w:r w:rsidR="008F3C93" w:rsidRPr="00FC19E1">
        <w:rPr>
          <w:i/>
          <w:iCs/>
        </w:rPr>
        <w:t xml:space="preserve"> </w:t>
      </w:r>
      <w:r w:rsidR="000005F8" w:rsidRPr="00FC19E1">
        <w:fldChar w:fldCharType="begin"/>
      </w:r>
      <w:r w:rsidR="000005F8" w:rsidRPr="00FC19E1">
        <w:instrText xml:space="preserve"> ADDIN ZOTERO_ITEM CSL_CITATION {"citationID":"tqrh0FCa","properties":{"formattedCitation":"(Pantelia 2002, 23)","plainCitation":"(Pantelia 2002, 23)","noteIndex":0},"citationItems":[{"id":1236,"uris":["http://zotero.org/users/local/938AaHlk/items/3247IVEK"],"itemData":{"id":1236,"type":"article-journal","abstract":"This article examines the order of the three laments in \"Iliad 24\" and especially the significance of Helen's prominent position as the last mourner of Hector. The article suggests that Helen's position in the trio of mourning women is dictated not by ritual form or by her relation to Hector but by virtue of her particular understanding of the importance of heroic kleos and poetry as the means for conferring it.","container-title":"Transactions of the American Philological Association (1974-)","ISSN":"0360-5949","issue":"1/2","note":"publisher: [Johns Hopkins University Press, American Philological Association]","page":"21-27","source":"JSTOR","title":"Helen and the Last Song for Hector","volume":"132","author":[{"family":"Pantelia","given":"Maria C."}],"issued":{"date-parts":[["2002"]]}},"locator":"23"}],"schema":"https://github.com/citation-style-language/schema/raw/master/csl-citation.json"} </w:instrText>
      </w:r>
      <w:r w:rsidR="000005F8" w:rsidRPr="00FC19E1">
        <w:fldChar w:fldCharType="separate"/>
      </w:r>
      <w:r w:rsidR="000005F8" w:rsidRPr="00FC19E1">
        <w:rPr>
          <w:rFonts w:ascii="Aptos" w:hAnsi="Aptos"/>
        </w:rPr>
        <w:t>(</w:t>
      </w:r>
      <w:proofErr w:type="spellStart"/>
      <w:r w:rsidR="000005F8" w:rsidRPr="00FC19E1">
        <w:rPr>
          <w:rFonts w:ascii="Aptos" w:hAnsi="Aptos"/>
        </w:rPr>
        <w:t>Pantelia</w:t>
      </w:r>
      <w:proofErr w:type="spellEnd"/>
      <w:r w:rsidR="000005F8" w:rsidRPr="00FC19E1">
        <w:rPr>
          <w:rFonts w:ascii="Aptos" w:hAnsi="Aptos"/>
        </w:rPr>
        <w:t xml:space="preserve"> 2002, 23)</w:t>
      </w:r>
      <w:r w:rsidR="000005F8" w:rsidRPr="00FC19E1">
        <w:fldChar w:fldCharType="end"/>
      </w:r>
      <w:r w:rsidR="00870290" w:rsidRPr="00FC19E1">
        <w:t xml:space="preserve">. </w:t>
      </w:r>
      <w:proofErr w:type="spellStart"/>
      <w:r w:rsidR="00A43F78" w:rsidRPr="00FC19E1">
        <w:t>Kleos</w:t>
      </w:r>
      <w:proofErr w:type="spellEnd"/>
      <w:r w:rsidR="00A43F78" w:rsidRPr="00FC19E1">
        <w:t xml:space="preserve"> </w:t>
      </w:r>
      <w:r w:rsidR="00D41300" w:rsidRPr="00FC19E1">
        <w:t xml:space="preserve">is heroic glory that preserves a hero’s memory </w:t>
      </w:r>
      <w:r w:rsidR="009B5F4D" w:rsidRPr="00FC19E1">
        <w:fldChar w:fldCharType="begin"/>
      </w:r>
      <w:r w:rsidR="009B5F4D" w:rsidRPr="00FC19E1">
        <w:instrText xml:space="preserve"> ADDIN ZOTERO_ITEM CSL_CITATION {"citationID":"Ulrr9jSL","properties":{"formattedCitation":"(Mueller 2010, 8)","plainCitation":"(Mueller 2010, 8)","noteIndex":0},"citationItems":[{"id":1598,"uris":["http://zotero.org/users/local/938AaHlk/items/WBFMFJ8S"],"itemData":{"id":1598,"type":"article-journal","container-title":"Helios","DOI":"10.1353/hel.2010.a406972","ISSN":"1935-0228","issue":"1","journalAbbreviation":"hel","language":"en","page":"1-21","source":"DOI.org (Crossref)","title":"Helen's Hands: Weaving for Kleos in the Odyssey","title-short":"Helen's Hands","volume":"37","author":[{"family":"Mueller","given":"Melissa"}],"issued":{"date-parts":[["2010",3]]}},"locator":"8"}],"schema":"https://github.com/citation-style-language/schema/raw/master/csl-citation.json"} </w:instrText>
      </w:r>
      <w:r w:rsidR="009B5F4D" w:rsidRPr="00FC19E1">
        <w:fldChar w:fldCharType="separate"/>
      </w:r>
      <w:r w:rsidR="009B5F4D" w:rsidRPr="00FC19E1">
        <w:rPr>
          <w:rFonts w:ascii="Aptos" w:hAnsi="Aptos"/>
        </w:rPr>
        <w:t>(Mueller 2010, 8)</w:t>
      </w:r>
      <w:r w:rsidR="009B5F4D" w:rsidRPr="00FC19E1">
        <w:fldChar w:fldCharType="end"/>
      </w:r>
      <w:r w:rsidR="009B5F4D" w:rsidRPr="00FC19E1">
        <w:t xml:space="preserve">. </w:t>
      </w:r>
      <w:r w:rsidR="00870290" w:rsidRPr="00FC19E1">
        <w:t xml:space="preserve">Helen does not sing about the future, like </w:t>
      </w:r>
      <w:r w:rsidR="000E2D41" w:rsidRPr="00FC19E1">
        <w:t>Andromache, but rather of the past, of how g</w:t>
      </w:r>
      <w:r w:rsidR="001819EE" w:rsidRPr="00FC19E1">
        <w:t xml:space="preserve">reat, kind, and gentle Hector was. She ensures his legacy is </w:t>
      </w:r>
      <w:r w:rsidR="008F3C93" w:rsidRPr="00FC19E1">
        <w:t>remembered into future generations.</w:t>
      </w:r>
    </w:p>
    <w:p w14:paraId="651DBB4C" w14:textId="77777777" w:rsidR="00D6141D" w:rsidRDefault="00D6141D" w:rsidP="006224E4">
      <w:pPr>
        <w:spacing w:line="360" w:lineRule="auto"/>
      </w:pPr>
    </w:p>
    <w:p w14:paraId="28A77C72" w14:textId="1ECE3966" w:rsidR="007E3DEF" w:rsidRPr="002A79CC" w:rsidRDefault="00D6141D" w:rsidP="006224E4">
      <w:pPr>
        <w:spacing w:line="360" w:lineRule="auto"/>
        <w:rPr>
          <w:color w:val="000000" w:themeColor="text1"/>
        </w:rPr>
      </w:pPr>
      <w:r w:rsidRPr="002A79CC">
        <w:rPr>
          <w:color w:val="000000" w:themeColor="text1"/>
        </w:rPr>
        <w:t xml:space="preserve">Throughout the extract, as well as </w:t>
      </w:r>
      <w:r w:rsidR="00FC30AC" w:rsidRPr="002A79CC">
        <w:rPr>
          <w:color w:val="000000" w:themeColor="text1"/>
        </w:rPr>
        <w:t xml:space="preserve">in </w:t>
      </w:r>
      <w:r w:rsidRPr="002A79CC">
        <w:rPr>
          <w:color w:val="000000" w:themeColor="text1"/>
        </w:rPr>
        <w:t xml:space="preserve">the Iliad as a whole, there are many mentions of people crying. </w:t>
      </w:r>
      <w:r w:rsidR="0075229C" w:rsidRPr="002A79CC">
        <w:rPr>
          <w:color w:val="000000" w:themeColor="text1"/>
        </w:rPr>
        <w:t xml:space="preserve">It is not only women crying as we may expect, but </w:t>
      </w:r>
      <w:r w:rsidR="00490DED" w:rsidRPr="002A79CC">
        <w:rPr>
          <w:color w:val="000000" w:themeColor="text1"/>
        </w:rPr>
        <w:t xml:space="preserve">also </w:t>
      </w:r>
      <w:r w:rsidR="00F442FD" w:rsidRPr="002A79CC">
        <w:rPr>
          <w:color w:val="000000" w:themeColor="text1"/>
        </w:rPr>
        <w:t xml:space="preserve">great warriors </w:t>
      </w:r>
      <w:r w:rsidR="008D59F5" w:rsidRPr="002A79CC">
        <w:rPr>
          <w:color w:val="000000" w:themeColor="text1"/>
        </w:rPr>
        <w:t xml:space="preserve">that are </w:t>
      </w:r>
      <w:r w:rsidR="00F442FD" w:rsidRPr="002A79CC">
        <w:rPr>
          <w:color w:val="000000" w:themeColor="text1"/>
        </w:rPr>
        <w:t>“shedding tears”</w:t>
      </w:r>
      <w:r w:rsidR="001D468C" w:rsidRPr="002A79CC">
        <w:rPr>
          <w:color w:val="000000" w:themeColor="text1"/>
        </w:rPr>
        <w:t xml:space="preserve"> </w:t>
      </w:r>
      <w:r w:rsidR="00CA14B4" w:rsidRPr="002A79CC">
        <w:rPr>
          <w:color w:val="000000" w:themeColor="text1"/>
        </w:rPr>
        <w:t>(Il.</w:t>
      </w:r>
      <w:r w:rsidR="00BB7264" w:rsidRPr="002A79CC">
        <w:rPr>
          <w:color w:val="000000" w:themeColor="text1"/>
        </w:rPr>
        <w:t>24.785)</w:t>
      </w:r>
      <w:r w:rsidR="002D4392" w:rsidRPr="002A79CC">
        <w:rPr>
          <w:color w:val="000000" w:themeColor="text1"/>
        </w:rPr>
        <w:t>. The Trojans are described</w:t>
      </w:r>
      <w:r w:rsidR="00E74646" w:rsidRPr="002A79CC">
        <w:rPr>
          <w:color w:val="000000" w:themeColor="text1"/>
        </w:rPr>
        <w:t xml:space="preserve"> performing the funerary ritual while</w:t>
      </w:r>
      <w:r w:rsidR="00A32D68" w:rsidRPr="002A79CC">
        <w:rPr>
          <w:color w:val="000000" w:themeColor="text1"/>
        </w:rPr>
        <w:t xml:space="preserve"> “large tears flowed ever down their cheeks”</w:t>
      </w:r>
      <w:r w:rsidR="00AB328E" w:rsidRPr="002A79CC">
        <w:rPr>
          <w:color w:val="000000" w:themeColor="text1"/>
        </w:rPr>
        <w:t>.</w:t>
      </w:r>
      <w:r w:rsidR="00FF1C67" w:rsidRPr="002A79CC">
        <w:rPr>
          <w:color w:val="000000" w:themeColor="text1"/>
        </w:rPr>
        <w:t xml:space="preserve"> Strong, heroic figures weep as much as women in the epics</w:t>
      </w:r>
      <w:r w:rsidR="00B67FFD" w:rsidRPr="002A79CC">
        <w:rPr>
          <w:color w:val="000000" w:themeColor="text1"/>
        </w:rPr>
        <w:t xml:space="preserve">. </w:t>
      </w:r>
      <w:r w:rsidR="00B67FFD" w:rsidRPr="002A79CC">
        <w:rPr>
          <w:color w:val="000000" w:themeColor="text1"/>
        </w:rPr>
        <w:lastRenderedPageBreak/>
        <w:t>Unlike in modern western culture</w:t>
      </w:r>
      <w:r w:rsidR="006D7545" w:rsidRPr="002A79CC">
        <w:rPr>
          <w:color w:val="000000" w:themeColor="text1"/>
        </w:rPr>
        <w:t xml:space="preserve"> crying is not seen as being unmanly</w:t>
      </w:r>
      <w:r w:rsidR="00314F11" w:rsidRPr="002A79CC">
        <w:rPr>
          <w:color w:val="000000" w:themeColor="text1"/>
        </w:rPr>
        <w:t xml:space="preserve">, </w:t>
      </w:r>
      <w:r w:rsidR="001B5F42" w:rsidRPr="002A79CC">
        <w:rPr>
          <w:color w:val="000000" w:themeColor="text1"/>
        </w:rPr>
        <w:t xml:space="preserve">in Homeric epic there is </w:t>
      </w:r>
      <w:r w:rsidR="00F043BF" w:rsidRPr="002A79CC">
        <w:rPr>
          <w:color w:val="000000" w:themeColor="text1"/>
        </w:rPr>
        <w:t>an intention to illicit emotions</w:t>
      </w:r>
      <w:r w:rsidR="005E17AC" w:rsidRPr="002A79CC">
        <w:rPr>
          <w:color w:val="000000" w:themeColor="text1"/>
        </w:rPr>
        <w:t xml:space="preserve"> </w:t>
      </w:r>
      <w:r w:rsidR="00A0522D" w:rsidRPr="002A79CC">
        <w:rPr>
          <w:color w:val="000000" w:themeColor="text1"/>
        </w:rPr>
        <w:fldChar w:fldCharType="begin"/>
      </w:r>
      <w:r w:rsidR="00185968" w:rsidRPr="002A79CC">
        <w:rPr>
          <w:color w:val="000000" w:themeColor="text1"/>
        </w:rPr>
        <w:instrText xml:space="preserve"> ADDIN ZOTERO_ITEM CSL_CITATION {"citationID":"twaeD9SS","properties":{"formattedCitation":"(Follinger 2009, 1)","plainCitation":"(Follinger 2009, 1)","noteIndex":0},"citationItems":[{"id":1594,"uris":["http://zotero.org/users/local/938AaHlk/items/6S7EGT6A"],"itemData":{"id":1594,"type":"chapter","container-title":"Tears in the Graeco-Roman world","event-place":"Berlin","ISBN":"978-3-11-020111-6","language":"en","publisher":"Walter de Gruyter","publisher-place":"Berlin","source":"BnF ISBN","title":"Tears and Crying in Archaic Greek Poetry (especially Homer)","editor":[{"family":"Fögen","given":"Thorsten"}],"author":[{"family":"Follinger","given":"Sabine"}],"issued":{"date-parts":[["2009"]]}},"locator":"1"}],"schema":"https://github.com/citation-style-language/schema/raw/master/csl-citation.json"} </w:instrText>
      </w:r>
      <w:r w:rsidR="00A0522D" w:rsidRPr="002A79CC">
        <w:rPr>
          <w:color w:val="000000" w:themeColor="text1"/>
        </w:rPr>
        <w:fldChar w:fldCharType="separate"/>
      </w:r>
      <w:r w:rsidR="00185968" w:rsidRPr="002A79CC">
        <w:rPr>
          <w:rFonts w:ascii="Aptos" w:hAnsi="Aptos"/>
          <w:color w:val="000000" w:themeColor="text1"/>
        </w:rPr>
        <w:t>(Follinger 2009, 1)</w:t>
      </w:r>
      <w:r w:rsidR="00A0522D" w:rsidRPr="002A79CC">
        <w:rPr>
          <w:color w:val="000000" w:themeColor="text1"/>
        </w:rPr>
        <w:fldChar w:fldCharType="end"/>
      </w:r>
      <w:r w:rsidR="006223BF" w:rsidRPr="002A79CC">
        <w:rPr>
          <w:color w:val="000000" w:themeColor="text1"/>
        </w:rPr>
        <w:t>.</w:t>
      </w:r>
      <w:r w:rsidR="00A31F28" w:rsidRPr="002A79CC">
        <w:rPr>
          <w:color w:val="000000" w:themeColor="text1"/>
        </w:rPr>
        <w:t xml:space="preserve"> </w:t>
      </w:r>
      <w:r w:rsidR="008470A0" w:rsidRPr="002A79CC">
        <w:rPr>
          <w:color w:val="000000" w:themeColor="text1"/>
        </w:rPr>
        <w:t>The end of the Iliad</w:t>
      </w:r>
      <w:r w:rsidR="00B1328B" w:rsidRPr="002A79CC">
        <w:rPr>
          <w:color w:val="000000" w:themeColor="text1"/>
        </w:rPr>
        <w:t xml:space="preserve"> focuses on mourning with Achilles still weeping over Patroclus and all of Troy </w:t>
      </w:r>
      <w:r w:rsidR="00B272F5" w:rsidRPr="002A79CC">
        <w:rPr>
          <w:color w:val="000000" w:themeColor="text1"/>
        </w:rPr>
        <w:t xml:space="preserve">mourning Hector at his funeral </w:t>
      </w:r>
      <w:r w:rsidR="00B272F5" w:rsidRPr="002A79CC">
        <w:rPr>
          <w:color w:val="000000" w:themeColor="text1"/>
        </w:rPr>
        <w:fldChar w:fldCharType="begin"/>
      </w:r>
      <w:r w:rsidR="00185968" w:rsidRPr="002A79CC">
        <w:rPr>
          <w:color w:val="000000" w:themeColor="text1"/>
        </w:rPr>
        <w:instrText xml:space="preserve"> ADDIN ZOTERO_ITEM CSL_CITATION {"citationID":"rdqmRaXa","properties":{"formattedCitation":"(Follinger 2009, 25)","plainCitation":"(Follinger 2009, 25)","noteIndex":0},"citationItems":[{"id":1594,"uris":["http://zotero.org/users/local/938AaHlk/items/6S7EGT6A"],"itemData":{"id":1594,"type":"chapter","container-title":"Tears in the Graeco-Roman world","event-place":"Berlin","ISBN":"978-3-11-020111-6","language":"en","publisher":"Walter de Gruyter","publisher-place":"Berlin","source":"BnF ISBN","title":"Tears and Crying in Archaic Greek Poetry (especially Homer)","editor":[{"family":"Fögen","given":"Thorsten"}],"author":[{"family":"Follinger","given":"Sabine"}],"issued":{"date-parts":[["2009"]]}},"locator":"25"}],"schema":"https://github.com/citation-style-language/schema/raw/master/csl-citation.json"} </w:instrText>
      </w:r>
      <w:r w:rsidR="00B272F5" w:rsidRPr="002A79CC">
        <w:rPr>
          <w:color w:val="000000" w:themeColor="text1"/>
        </w:rPr>
        <w:fldChar w:fldCharType="separate"/>
      </w:r>
      <w:r w:rsidR="00185968" w:rsidRPr="002A79CC">
        <w:rPr>
          <w:rFonts w:ascii="Aptos" w:hAnsi="Aptos"/>
          <w:color w:val="000000" w:themeColor="text1"/>
        </w:rPr>
        <w:t>(Follinger 2009, 25)</w:t>
      </w:r>
      <w:r w:rsidR="00B272F5" w:rsidRPr="002A79CC">
        <w:rPr>
          <w:color w:val="000000" w:themeColor="text1"/>
        </w:rPr>
        <w:fldChar w:fldCharType="end"/>
      </w:r>
      <w:r w:rsidR="00ED0C2D" w:rsidRPr="002A79CC">
        <w:rPr>
          <w:color w:val="000000" w:themeColor="text1"/>
        </w:rPr>
        <w:t>.</w:t>
      </w:r>
      <w:r w:rsidR="00540BD3" w:rsidRPr="002A79CC">
        <w:rPr>
          <w:color w:val="000000" w:themeColor="text1"/>
        </w:rPr>
        <w:t xml:space="preserve"> </w:t>
      </w:r>
      <w:r w:rsidR="00730126" w:rsidRPr="002A79CC">
        <w:rPr>
          <w:color w:val="000000" w:themeColor="text1"/>
        </w:rPr>
        <w:t xml:space="preserve">The Trojan’s grief is </w:t>
      </w:r>
      <w:r w:rsidR="00E60DCD" w:rsidRPr="002A79CC">
        <w:rPr>
          <w:color w:val="000000" w:themeColor="text1"/>
        </w:rPr>
        <w:t xml:space="preserve">shaped both by the individual loss of a beloved hero, but also of the impending loss of Troy now that </w:t>
      </w:r>
      <w:r w:rsidR="00DD5BC5" w:rsidRPr="002A79CC">
        <w:rPr>
          <w:color w:val="000000" w:themeColor="text1"/>
        </w:rPr>
        <w:t xml:space="preserve">its main defender has fallen </w:t>
      </w:r>
      <w:r w:rsidR="00DD5BC5" w:rsidRPr="002A79CC">
        <w:rPr>
          <w:color w:val="000000" w:themeColor="text1"/>
        </w:rPr>
        <w:fldChar w:fldCharType="begin"/>
      </w:r>
      <w:r w:rsidR="00DD5BC5" w:rsidRPr="002A79CC">
        <w:rPr>
          <w:color w:val="000000" w:themeColor="text1"/>
        </w:rPr>
        <w:instrText xml:space="preserve"> ADDIN ZOTERO_ITEM CSL_CITATION {"citationID":"76EpurCv","properties":{"formattedCitation":"(Austin 2016, 8)","plainCitation":"(Austin 2016, 8)","noteIndex":0},"citationItems":[{"id":1599,"uris":["http://zotero.org/users/local/938AaHlk/items/HL62EVL3"],"itemData":{"id":1599,"type":"thesis","abstract":"Readers of Homer’s Iliad immediately confront the anger of Achilles; the first word of the poem, μηνις, forefronts the hero’s godlike wrath. Yet little attention has been paid to the important relationship that exists between Achilles’ anger and his grief. In this dissertation I identify language in the poem unique to Achilles, linking his grief for Patroklos with a longing, πo&amp;thetas;η. The most important interpretive consequence of this link between πo&amp;thetas;η and grief, I argue, is the proper understanding of the insatiable roots of his subsequent anger. Achilles experiences the death of Patroklos as a rending of the fabric of his life. In this state of restless volatility, we see that Achilles’ anger is one more response to an underlying experience of rupture and thus is both aimless and fruitless. Although Achilles succeeds in ensuring the future sack of Troy by killing Hektor, his behavior remains insatiate, since his deeds of anger are motivated by a desire for what cannot be achieved, life shared with Patroklos. The persistence of his attempted vengeance beyond the slaying of Hektor reveals the futility of his underlying longing, such that, according to the poem, the only end he can make of his grief-driven anger, finally, is to let it go.\nThe Trojans’ grief for Hektor is never described with the language of longing, and this surprising exclusion underscores the contrast between Achilles and Hektor. Where Achilles has a uniquely independent status, Hektor is continuously tied to the city as a whole and part of a rich network of close relations. Rather than exploring the rupture of a single, highly personal relationship, perhaps typical of a warrior far from home many years, with Hektor’s death the poem depicts the impending destruction of an entire civilization. Thus every expression of grief for this warrior refers not only to personal loss but to the multiple relationships that will be impacted by his death. The Trojans’ grief for their defender cannot linger on the sense of rupture in the present, but rather their grief is shaped by a forward-looking sense of doom.","event-place":"United States -- Massachusetts","genre":"Ph.D.","language":"English","license":"Database copyright ProQuest LLC; ProQuest does not claim copyright in the individual underlying works.","note":"ISBN: 9781339878430","number-of-pages":"208","publisher":"Boston University","publisher-place":"United States -- Massachusetts","source":"ProQuest","title":"Grief, longing, and anger: A study of emotions in the Iliad","title-short":"Grief, longing, and anger","URL":"https://www.proquest.com/docview/1800270628/abstract/67D31CF899EE4C1CPQ/1","author":[{"family":"Austin","given":"Emily P."}],"accessed":{"date-parts":[["2025",3,12]]},"issued":{"date-parts":[["2016"]]}},"locator":"8"}],"schema":"https://github.com/citation-style-language/schema/raw/master/csl-citation.json"} </w:instrText>
      </w:r>
      <w:r w:rsidR="00DD5BC5" w:rsidRPr="002A79CC">
        <w:rPr>
          <w:color w:val="000000" w:themeColor="text1"/>
        </w:rPr>
        <w:fldChar w:fldCharType="separate"/>
      </w:r>
      <w:r w:rsidR="00DD5BC5" w:rsidRPr="002A79CC">
        <w:rPr>
          <w:rFonts w:ascii="Aptos" w:hAnsi="Aptos"/>
          <w:color w:val="000000" w:themeColor="text1"/>
        </w:rPr>
        <w:t>(Austin 2016, 8)</w:t>
      </w:r>
      <w:r w:rsidR="00DD5BC5" w:rsidRPr="002A79CC">
        <w:rPr>
          <w:color w:val="000000" w:themeColor="text1"/>
        </w:rPr>
        <w:fldChar w:fldCharType="end"/>
      </w:r>
      <w:r w:rsidR="00DD5BC5" w:rsidRPr="002A79CC">
        <w:rPr>
          <w:color w:val="000000" w:themeColor="text1"/>
        </w:rPr>
        <w:t>.</w:t>
      </w:r>
    </w:p>
    <w:p w14:paraId="2C28FF27" w14:textId="77777777" w:rsidR="0048762F" w:rsidRPr="0048762F" w:rsidRDefault="0048762F" w:rsidP="006224E4">
      <w:pPr>
        <w:spacing w:line="360" w:lineRule="auto"/>
        <w:rPr>
          <w:color w:val="00B0F0"/>
        </w:rPr>
      </w:pPr>
    </w:p>
    <w:p w14:paraId="272E8044" w14:textId="1B4E0A41" w:rsidR="00C61147" w:rsidRDefault="00A0373B" w:rsidP="006224E4">
      <w:pPr>
        <w:spacing w:line="360" w:lineRule="auto"/>
        <w:rPr>
          <w:color w:val="FF0000"/>
        </w:rPr>
      </w:pPr>
      <w:r w:rsidRPr="00FC19E1">
        <w:t xml:space="preserve">Passages such as this one also give historians an idea of what ancient Greek funerals may have been </w:t>
      </w:r>
      <w:r w:rsidR="00A61D9C" w:rsidRPr="00FC19E1">
        <w:t xml:space="preserve">like. </w:t>
      </w:r>
      <w:r w:rsidR="00625AC2" w:rsidRPr="00FC19E1">
        <w:t xml:space="preserve">As </w:t>
      </w:r>
      <w:r w:rsidR="00197528" w:rsidRPr="00FC19E1">
        <w:t>Mylonas puts it, “</w:t>
      </w:r>
      <w:r w:rsidR="0034035A" w:rsidRPr="00FC19E1">
        <w:t xml:space="preserve"> we must not expe</w:t>
      </w:r>
      <w:r w:rsidR="00C500C0" w:rsidRPr="00FC19E1">
        <w:t xml:space="preserve">ct to find an </w:t>
      </w:r>
      <w:r w:rsidR="0034035A" w:rsidRPr="00FC19E1">
        <w:t>objective and scientific</w:t>
      </w:r>
      <w:r w:rsidR="00C500C0" w:rsidRPr="00FC19E1">
        <w:t xml:space="preserve"> </w:t>
      </w:r>
      <w:r w:rsidR="0034035A" w:rsidRPr="00FC19E1">
        <w:t>description of the burials</w:t>
      </w:r>
      <w:r w:rsidR="00C500C0" w:rsidRPr="00FC19E1">
        <w:t>” in the Iliad and Odessey</w:t>
      </w:r>
      <w:r w:rsidR="0042204A" w:rsidRPr="00FC19E1">
        <w:t xml:space="preserve">, but the bards who composed the epics </w:t>
      </w:r>
      <w:r w:rsidR="00BB5BFB" w:rsidRPr="00FC19E1">
        <w:t xml:space="preserve">“had to keep within the limits of </w:t>
      </w:r>
      <w:r w:rsidR="007D1D85" w:rsidRPr="00FC19E1">
        <w:t xml:space="preserve">the experience </w:t>
      </w:r>
      <w:r w:rsidR="00BB5BFB" w:rsidRPr="00FC19E1">
        <w:t>of their aud</w:t>
      </w:r>
      <w:r w:rsidR="007D1D85" w:rsidRPr="00FC19E1">
        <w:t xml:space="preserve">ience” and that </w:t>
      </w:r>
      <w:r w:rsidR="00F85F22" w:rsidRPr="00FC19E1">
        <w:t xml:space="preserve">“people hold on tenaciously to their ancestral burial customs” </w:t>
      </w:r>
      <w:r w:rsidR="009B6118" w:rsidRPr="00FC19E1">
        <w:fldChar w:fldCharType="begin"/>
      </w:r>
      <w:r w:rsidR="009B6118" w:rsidRPr="00FC19E1">
        <w:instrText xml:space="preserve"> ADDIN ZOTERO_ITEM CSL_CITATION {"citationID":"9fSz5u75","properties":{"formattedCitation":"(Mylonas 1948, 56)","plainCitation":"(Mylonas 1948, 56)","noteIndex":0},"citationItems":[{"id":1584,"uris":["http://zotero.org/users/local/938AaHlk/items/73SVMLHP"],"itemData":{"id":1584,"type":"article-journal","container-title":"American Journal of Archaeology","DOI":"10.2307/500553","ISSN":"0002-9114, 1939-828X","issue":"1","journalAbbreviation":"American Journal of Archaeology","language":"en","page":"56-81","source":"DOI.org (Crossref)","title":"Homeric and Mycenaean Burial Customs","volume":"52","author":[{"family":"Mylonas","given":"George E."}],"issued":{"date-parts":[["1948",1,1]]}},"locator":"56"}],"schema":"https://github.com/citation-style-language/schema/raw/master/csl-citation.json"} </w:instrText>
      </w:r>
      <w:r w:rsidR="009B6118" w:rsidRPr="00FC19E1">
        <w:fldChar w:fldCharType="separate"/>
      </w:r>
      <w:r w:rsidR="009B6118" w:rsidRPr="00FC19E1">
        <w:rPr>
          <w:rFonts w:ascii="Aptos" w:hAnsi="Aptos"/>
        </w:rPr>
        <w:t>(Mylonas 1948, 56)</w:t>
      </w:r>
      <w:r w:rsidR="009B6118" w:rsidRPr="00FC19E1">
        <w:fldChar w:fldCharType="end"/>
      </w:r>
      <w:r w:rsidR="002E348E" w:rsidRPr="00FC19E1">
        <w:t xml:space="preserve">. </w:t>
      </w:r>
      <w:r w:rsidR="005A116C" w:rsidRPr="00FC19E1">
        <w:t>This means that it is possible to piece together at least a partial picture of</w:t>
      </w:r>
      <w:r w:rsidR="00543E94" w:rsidRPr="00FC19E1">
        <w:t xml:space="preserve"> ancient Greek funerals </w:t>
      </w:r>
      <w:r w:rsidR="003E2611" w:rsidRPr="00FC19E1">
        <w:t>using a mixture of textual and archaeological evidence</w:t>
      </w:r>
      <w:r w:rsidR="003E2611" w:rsidRPr="00BC23C1">
        <w:rPr>
          <w:color w:val="FF0000"/>
        </w:rPr>
        <w:t xml:space="preserve">. </w:t>
      </w:r>
      <w:r w:rsidR="001962B1" w:rsidRPr="00FC19E1">
        <w:t>For e</w:t>
      </w:r>
      <w:r w:rsidR="002A6959" w:rsidRPr="00FC19E1">
        <w:t>xample, in the extract the Trojans build a funeral pyre for Hector</w:t>
      </w:r>
      <w:r w:rsidR="003F27AB" w:rsidRPr="00FC19E1">
        <w:t>, and other heroes at other times in the epic are also cremated</w:t>
      </w:r>
      <w:r w:rsidR="00DA5200" w:rsidRPr="00FC19E1">
        <w:t xml:space="preserve">, from these scenes we can gather at least some of it is historically accurate to </w:t>
      </w:r>
      <w:r w:rsidR="009E0598" w:rsidRPr="00FC19E1">
        <w:t>ancient Greek societies as we have clear evidence of cremations from that time period</w:t>
      </w:r>
      <w:r w:rsidR="005B0BDD" w:rsidRPr="00FC19E1">
        <w:t xml:space="preserve"> </w:t>
      </w:r>
      <w:r w:rsidR="004807C1" w:rsidRPr="00FC19E1">
        <w:fldChar w:fldCharType="begin"/>
      </w:r>
      <w:r w:rsidR="004807C1" w:rsidRPr="00FC19E1">
        <w:instrText xml:space="preserve"> ADDIN ZOTERO_ITEM CSL_CITATION {"citationID":"0Fi3besz","properties":{"formattedCitation":"(Lewartowski 1998, 136)","plainCitation":"(Lewartowski 1998, 136)","noteIndex":0},"citationItems":[{"id":1596,"uris":["http://zotero.org/users/local/938AaHlk/items/RRPTELWX"],"itemData":{"id":1596,"type":"article-journal","container-title":"Światowit: rocznik poświęcony archeologii przeddziejowej i badaniom pierwotnej kultury polskiej i słowiańskiej","language":"en","page":"135-145","source":"Zotero","title":"CREMATION AND THE END OF MYCENAEAN CULTURE","author":[{"family":"Lewartowski","given":"Kazimierz"}],"issued":{"date-parts":[["1998"]]}},"locator":"136"}],"schema":"https://github.com/citation-style-language/schema/raw/master/csl-citation.json"} </w:instrText>
      </w:r>
      <w:r w:rsidR="004807C1" w:rsidRPr="00FC19E1">
        <w:fldChar w:fldCharType="separate"/>
      </w:r>
      <w:r w:rsidR="004807C1" w:rsidRPr="00FC19E1">
        <w:rPr>
          <w:rFonts w:ascii="Aptos" w:hAnsi="Aptos"/>
        </w:rPr>
        <w:t>(Lewartowski 1998, 136)</w:t>
      </w:r>
      <w:r w:rsidR="004807C1" w:rsidRPr="00FC19E1">
        <w:fldChar w:fldCharType="end"/>
      </w:r>
      <w:r w:rsidR="009E0598" w:rsidRPr="00FC19E1">
        <w:t xml:space="preserve">. </w:t>
      </w:r>
      <w:r w:rsidR="0031071B" w:rsidRPr="005B0BDD">
        <w:t xml:space="preserve">The Trojans </w:t>
      </w:r>
      <w:r w:rsidR="0028274B" w:rsidRPr="005B0BDD">
        <w:t xml:space="preserve">placed Hector’s ashes and remaining bones into a </w:t>
      </w:r>
      <w:r w:rsidR="0031071B" w:rsidRPr="005B0BDD">
        <w:t>“golden urn, covering them over with soft purple robes”</w:t>
      </w:r>
      <w:r w:rsidR="00E07B90" w:rsidRPr="005B0BDD">
        <w:t xml:space="preserve"> and then put the urn in a “hollow grave”</w:t>
      </w:r>
      <w:r w:rsidR="00741496" w:rsidRPr="005B0BDD">
        <w:t xml:space="preserve"> (Il.24.</w:t>
      </w:r>
      <w:r w:rsidR="005B0BDD" w:rsidRPr="005B0BDD">
        <w:t>795)</w:t>
      </w:r>
      <w:r w:rsidR="00975A27" w:rsidRPr="005B0BDD">
        <w:t xml:space="preserve">. </w:t>
      </w:r>
      <w:r w:rsidR="00975A27" w:rsidRPr="00741496">
        <w:t xml:space="preserve">We have archaeological evidence of urns with cloth </w:t>
      </w:r>
      <w:r w:rsidR="003E5F4C" w:rsidRPr="00741496">
        <w:t>and ashes inside, found in shallow graves within the burial</w:t>
      </w:r>
      <w:r w:rsidR="00E0382B" w:rsidRPr="00741496">
        <w:t>s</w:t>
      </w:r>
      <w:r w:rsidR="00536829" w:rsidRPr="00741496">
        <w:t xml:space="preserve"> called urn-holes</w:t>
      </w:r>
      <w:r w:rsidR="00905B59" w:rsidRPr="00741496">
        <w:t xml:space="preserve"> </w:t>
      </w:r>
      <w:r w:rsidR="00905B59" w:rsidRPr="00741496">
        <w:fldChar w:fldCharType="begin"/>
      </w:r>
      <w:r w:rsidR="00905B59" w:rsidRPr="00741496">
        <w:instrText xml:space="preserve"> ADDIN ZOTERO_ITEM CSL_CITATION {"citationID":"oNOLzqXO","properties":{"formattedCitation":"(Lewartowski 1998, 137)","plainCitation":"(Lewartowski 1998, 137)","noteIndex":0},"citationItems":[{"id":1596,"uris":["http://zotero.org/users/local/938AaHlk/items/RRPTELWX"],"itemData":{"id":1596,"type":"article-journal","container-title":"Światowit: rocznik poświęcony archeologii przeddziejowej i badaniom pierwotnej kultury polskiej i słowiańskiej","language":"en","page":"135-145","source":"Zotero","title":"CREMATION AND THE END OF MYCENAEAN CULTURE","author":[{"family":"Lewartowski","given":"Kazimierz"}],"issued":{"date-parts":[["1998"]]}},"locator":"137"}],"schema":"https://github.com/citation-style-language/schema/raw/master/csl-citation.json"} </w:instrText>
      </w:r>
      <w:r w:rsidR="00905B59" w:rsidRPr="00741496">
        <w:fldChar w:fldCharType="separate"/>
      </w:r>
      <w:r w:rsidR="00905B59" w:rsidRPr="00741496">
        <w:rPr>
          <w:rFonts w:ascii="Aptos" w:hAnsi="Aptos"/>
        </w:rPr>
        <w:t>(Lewartowski 1998, 137)</w:t>
      </w:r>
      <w:r w:rsidR="00905B59" w:rsidRPr="00741496">
        <w:fldChar w:fldCharType="end"/>
      </w:r>
      <w:r w:rsidR="006A5ADC" w:rsidRPr="00741496">
        <w:t>.</w:t>
      </w:r>
      <w:r w:rsidR="00BC23C1" w:rsidRPr="00741496">
        <w:t xml:space="preserve"> </w:t>
      </w:r>
      <w:r w:rsidR="00A0479E" w:rsidRPr="00741496">
        <w:t xml:space="preserve">Furthermore, </w:t>
      </w:r>
      <w:r w:rsidR="00070EEE" w:rsidRPr="00741496">
        <w:t xml:space="preserve">in the funerals </w:t>
      </w:r>
      <w:r w:rsidR="00E33CEE" w:rsidRPr="00741496">
        <w:t xml:space="preserve">depicted in the Iliad there </w:t>
      </w:r>
      <w:r w:rsidR="00BC23C1" w:rsidRPr="00741496">
        <w:t xml:space="preserve">are </w:t>
      </w:r>
      <w:r w:rsidR="00E33CEE" w:rsidRPr="00741496">
        <w:t>food</w:t>
      </w:r>
      <w:r w:rsidR="00EF2B50" w:rsidRPr="00741496">
        <w:t xml:space="preserve"> and drink offerings made to the pyres. Achilles </w:t>
      </w:r>
      <w:r w:rsidR="001E03F3" w:rsidRPr="00741496">
        <w:t xml:space="preserve">puts oil and honey on Patroclus’ pyre, and the </w:t>
      </w:r>
      <w:r w:rsidR="00A15103" w:rsidRPr="00741496">
        <w:t xml:space="preserve">Trojans </w:t>
      </w:r>
      <w:r w:rsidR="008F40BA" w:rsidRPr="00741496">
        <w:t>pour “ruddy wine” over Hector’s pyre</w:t>
      </w:r>
      <w:r w:rsidR="00490202" w:rsidRPr="00741496">
        <w:t xml:space="preserve"> (Il.24.</w:t>
      </w:r>
      <w:r w:rsidR="00820235" w:rsidRPr="00741496">
        <w:t>79</w:t>
      </w:r>
      <w:r w:rsidR="00741496" w:rsidRPr="00741496">
        <w:t>2)</w:t>
      </w:r>
      <w:r w:rsidR="00AC5A6E" w:rsidRPr="00741496">
        <w:t xml:space="preserve">. Similar </w:t>
      </w:r>
      <w:r w:rsidR="00B40F10" w:rsidRPr="00741496">
        <w:t xml:space="preserve">practises of food and drink offerings to the dead are suggested to </w:t>
      </w:r>
      <w:r w:rsidR="003040BD" w:rsidRPr="00741496">
        <w:t xml:space="preserve">have occurred in Attica </w:t>
      </w:r>
      <w:r w:rsidR="004028FF" w:rsidRPr="00741496">
        <w:fldChar w:fldCharType="begin"/>
      </w:r>
      <w:r w:rsidR="004028FF" w:rsidRPr="00741496">
        <w:instrText xml:space="preserve"> ADDIN ZOTERO_ITEM CSL_CITATION {"citationID":"2U1msACk","properties":{"formattedCitation":"(Negro 2024, 70)","plainCitation":"(Negro 2024, 70)","noteIndex":0},"citationItems":[{"id":1604,"uris":["http://zotero.org/users/local/938AaHlk/items/544HETCK"],"itemData":{"id":1604,"type":"article-journal","abstract":"Prized Attic honey is an often-neglected topic in studies of Athenian productions, despite the considerable spread of production, as attested by archaeological finds of terracotta beehives throughout the territory. Literary sources also frequently mention honey produced in Attica, especially the most famous and prized variety from Mount Hymettus.","container-title":"ACME","DOI":"10.54103/2282-0035/23070","ISSN":"0001-494X, 2282-0035","issue":"1-2","journalAbbreviation":"ACME","language":"en","license":"https://creativecommons.org/licenses/by-sa/4.0","page":"67-83","source":"DOI.org (Crossref)","title":"Attic honey: fame, evidence and connection with the funerary sphere","title-short":"Attic honey","volume":"76","author":[{"family":"Negro","given":"Silvia"}],"issued":{"date-parts":[["2024",5,3]]}},"locator":"70"}],"schema":"https://github.com/citation-style-language/schema/raw/master/csl-citation.json"} </w:instrText>
      </w:r>
      <w:r w:rsidR="004028FF" w:rsidRPr="00741496">
        <w:fldChar w:fldCharType="separate"/>
      </w:r>
      <w:r w:rsidR="004028FF" w:rsidRPr="00741496">
        <w:rPr>
          <w:rFonts w:ascii="Aptos" w:hAnsi="Aptos"/>
        </w:rPr>
        <w:t>(Negro 2024, 70)</w:t>
      </w:r>
      <w:r w:rsidR="004028FF" w:rsidRPr="00741496">
        <w:fldChar w:fldCharType="end"/>
      </w:r>
      <w:r w:rsidR="003040BD" w:rsidRPr="00741496">
        <w:t xml:space="preserve">. </w:t>
      </w:r>
    </w:p>
    <w:p w14:paraId="7C67B7C2" w14:textId="3BFB0C4C" w:rsidR="00FB09E8" w:rsidRPr="00400DF2" w:rsidRDefault="00FB09E8" w:rsidP="006224E4">
      <w:pPr>
        <w:spacing w:line="360" w:lineRule="auto"/>
      </w:pPr>
      <w:r w:rsidRPr="00400DF2">
        <w:t xml:space="preserve">After Hector’s funeral the Trojans </w:t>
      </w:r>
      <w:r w:rsidR="00EC7582" w:rsidRPr="00400DF2">
        <w:t>hold a feast</w:t>
      </w:r>
      <w:r w:rsidR="00882F76" w:rsidRPr="00400DF2">
        <w:t xml:space="preserve">. Funeral feasts </w:t>
      </w:r>
      <w:r w:rsidR="009D666F" w:rsidRPr="00400DF2">
        <w:t>commonly appear in Homeric epics</w:t>
      </w:r>
      <w:r w:rsidR="00491EEB" w:rsidRPr="00400DF2">
        <w:t>, and there is str</w:t>
      </w:r>
      <w:r w:rsidR="00C2124F" w:rsidRPr="00400DF2">
        <w:t>o</w:t>
      </w:r>
      <w:r w:rsidR="00491EEB" w:rsidRPr="00400DF2">
        <w:t>ng archaeological evidence of them being part of Mycenaean funerary rituals</w:t>
      </w:r>
      <w:r w:rsidR="00C2124F" w:rsidRPr="00400DF2">
        <w:t xml:space="preserve"> </w:t>
      </w:r>
      <w:r w:rsidR="00C2124F" w:rsidRPr="00400DF2">
        <w:fldChar w:fldCharType="begin"/>
      </w:r>
      <w:r w:rsidR="00C2124F" w:rsidRPr="00400DF2">
        <w:instrText xml:space="preserve"> ADDIN ZOTERO_ITEM CSL_CITATION {"citationID":"jwHmyIpW","properties":{"formattedCitation":"(Wright 2004, 128)","plainCitation":"(Wright 2004, 128)","noteIndex":0},"citationItems":[{"id":1607,"uris":["http://zotero.org/users/local/938AaHlk/items/CKTHNJ7I"],"itemData":{"id":1607,"type":"article-journal","container-title":"Hesperia","DOI":"10.2972/hesp.2004.73.2.121","ISSN":"0018-098X","issue":"2","journalAbbreviation":"Hesperia","language":"en","page":"121-132","source":"DOI.org (Crossref)","title":"The Mycenaean Feast: An Introduction","title-short":"The Mycenaean Feast","volume":"73","author":[{"family":"Wright","given":"James C."}],"issued":{"date-parts":[["2004",1]]}},"locator":"128"}],"schema":"https://github.com/citation-style-language/schema/raw/master/csl-citation.json"} </w:instrText>
      </w:r>
      <w:r w:rsidR="00C2124F" w:rsidRPr="00400DF2">
        <w:fldChar w:fldCharType="separate"/>
      </w:r>
      <w:r w:rsidR="00C2124F" w:rsidRPr="00400DF2">
        <w:rPr>
          <w:rFonts w:ascii="Aptos" w:hAnsi="Aptos"/>
        </w:rPr>
        <w:t>(Wright 2004, 128)</w:t>
      </w:r>
      <w:r w:rsidR="00C2124F" w:rsidRPr="00400DF2">
        <w:fldChar w:fldCharType="end"/>
      </w:r>
      <w:r w:rsidR="00C2124F" w:rsidRPr="00400DF2">
        <w:t xml:space="preserve">. </w:t>
      </w:r>
      <w:r w:rsidR="004451C7" w:rsidRPr="00400DF2">
        <w:t xml:space="preserve">When Achilles </w:t>
      </w:r>
      <w:r w:rsidR="000C15F3" w:rsidRPr="00400DF2">
        <w:t xml:space="preserve">speaks with Priam in book 24, he urges the older man to eat by </w:t>
      </w:r>
      <w:r w:rsidR="006F7EC2" w:rsidRPr="00400DF2">
        <w:t xml:space="preserve">saying that </w:t>
      </w:r>
      <w:r w:rsidR="00DA6A36" w:rsidRPr="00400DF2">
        <w:t xml:space="preserve">“even the fair-haired </w:t>
      </w:r>
      <w:r w:rsidR="00844591" w:rsidRPr="00400DF2">
        <w:t>Niobe took thought of food”</w:t>
      </w:r>
      <w:r w:rsidR="0090213C" w:rsidRPr="00400DF2">
        <w:t xml:space="preserve"> even after losing all her children to Artemis and Apollo (Il.24.</w:t>
      </w:r>
      <w:r w:rsidR="00AE78B5" w:rsidRPr="00400DF2">
        <w:t>603)</w:t>
      </w:r>
      <w:r w:rsidR="0090213C" w:rsidRPr="00400DF2">
        <w:t>.</w:t>
      </w:r>
      <w:r w:rsidR="00AE78B5" w:rsidRPr="00400DF2">
        <w:t xml:space="preserve"> Funerary </w:t>
      </w:r>
      <w:r w:rsidR="008B446F" w:rsidRPr="00400DF2">
        <w:t>feasts seem to have played an important role in ancient Greek funerary rituals.</w:t>
      </w:r>
      <w:r w:rsidR="0090213C" w:rsidRPr="00400DF2">
        <w:t xml:space="preserve"> </w:t>
      </w:r>
    </w:p>
    <w:p w14:paraId="00014569" w14:textId="77777777" w:rsidR="00FB09E8" w:rsidRPr="00BC23C1" w:rsidRDefault="00FB09E8" w:rsidP="006224E4">
      <w:pPr>
        <w:spacing w:line="360" w:lineRule="auto"/>
        <w:rPr>
          <w:color w:val="FF0000"/>
        </w:rPr>
      </w:pPr>
    </w:p>
    <w:p w14:paraId="3D628FBD" w14:textId="28349A53" w:rsidR="007C1DDB" w:rsidRPr="00400DF2" w:rsidRDefault="007D58E7" w:rsidP="006224E4">
      <w:pPr>
        <w:spacing w:line="360" w:lineRule="auto"/>
      </w:pPr>
      <w:r w:rsidRPr="00400DF2">
        <w:t xml:space="preserve">The Iliad </w:t>
      </w:r>
      <w:r w:rsidR="003C3345" w:rsidRPr="00400DF2">
        <w:t xml:space="preserve">is often thought to be part of a larger </w:t>
      </w:r>
      <w:r w:rsidR="006D4D1E" w:rsidRPr="00400DF2">
        <w:t>Epic Cycle</w:t>
      </w:r>
      <w:r w:rsidR="005F2144" w:rsidRPr="00400DF2">
        <w:t>.</w:t>
      </w:r>
      <w:r w:rsidR="00F76FCC" w:rsidRPr="00400DF2">
        <w:t xml:space="preserve"> Much of the Epic Cycle has been lost, but enough fragments have survived to </w:t>
      </w:r>
      <w:r w:rsidR="00924923" w:rsidRPr="00400DF2">
        <w:t xml:space="preserve">piece together </w:t>
      </w:r>
      <w:r w:rsidR="000C5BD9" w:rsidRPr="00400DF2">
        <w:t xml:space="preserve">the larger narrative that the Iliad is a part </w:t>
      </w:r>
      <w:r w:rsidR="000C5BD9" w:rsidRPr="00400DF2">
        <w:lastRenderedPageBreak/>
        <w:t>of.</w:t>
      </w:r>
      <w:r w:rsidR="009E37F9" w:rsidRPr="00400DF2">
        <w:t xml:space="preserve"> </w:t>
      </w:r>
      <w:r w:rsidR="00593DCC" w:rsidRPr="00400DF2">
        <w:t>The stories are all connected</w:t>
      </w:r>
      <w:r w:rsidR="00DF0BC8" w:rsidRPr="00400DF2">
        <w:t xml:space="preserve">, and we somehow know the full story of the Trojan war despite the Iliad only covering a very small section of the </w:t>
      </w:r>
      <w:r w:rsidR="00D131EC" w:rsidRPr="00400DF2">
        <w:t xml:space="preserve">ten year war </w:t>
      </w:r>
      <w:r w:rsidR="0041776E" w:rsidRPr="00400DF2">
        <w:fldChar w:fldCharType="begin"/>
      </w:r>
      <w:r w:rsidR="0041776E" w:rsidRPr="00400DF2">
        <w:instrText xml:space="preserve"> ADDIN ZOTERO_ITEM CSL_CITATION {"citationID":"rol2ztaJ","properties":{"formattedCitation":"(Manolova 2011, 97)","plainCitation":"(Manolova 2011, 97)","noteIndex":0},"citationItems":[{"id":1225,"uris":["http://zotero.org/users/local/938AaHlk/items/BF5AGGKQ"],"itemData":{"id":1225,"type":"article-journal","container-title":"Hirundo","page":"97-107","title":"Outside the Homeric Lens: The Epic Cycle and the Trojan War Tradition","volume":"9","author":[{"family":"Manolova","given":"Tzveta"}],"issued":{"date-parts":[["2011"]]}},"locator":"97"}],"schema":"https://github.com/citation-style-language/schema/raw/master/csl-citation.json"} </w:instrText>
      </w:r>
      <w:r w:rsidR="0041776E" w:rsidRPr="00400DF2">
        <w:fldChar w:fldCharType="separate"/>
      </w:r>
      <w:r w:rsidR="0041776E" w:rsidRPr="00400DF2">
        <w:rPr>
          <w:rFonts w:ascii="Aptos" w:hAnsi="Aptos"/>
        </w:rPr>
        <w:t>(Manolova 2011, 97)</w:t>
      </w:r>
      <w:r w:rsidR="0041776E" w:rsidRPr="00400DF2">
        <w:fldChar w:fldCharType="end"/>
      </w:r>
      <w:r w:rsidR="00C04AC9" w:rsidRPr="00400DF2">
        <w:t xml:space="preserve">. For example, when Odysseus goes to the underworld in the Odyssey </w:t>
      </w:r>
      <w:r w:rsidR="00201C0C" w:rsidRPr="00400DF2">
        <w:t xml:space="preserve">and talks with Achilles and </w:t>
      </w:r>
      <w:r w:rsidR="00CD5E41" w:rsidRPr="00400DF2">
        <w:t>Agamemnon it has been suggested</w:t>
      </w:r>
      <w:r w:rsidR="005259DA" w:rsidRPr="00400DF2">
        <w:t xml:space="preserve"> that this could be seen as an epilogue to the Iliad </w:t>
      </w:r>
      <w:r w:rsidR="00284D84" w:rsidRPr="00400DF2">
        <w:fldChar w:fldCharType="begin"/>
      </w:r>
      <w:r w:rsidR="00284D84" w:rsidRPr="00400DF2">
        <w:instrText xml:space="preserve"> ADDIN ZOTERO_ITEM CSL_CITATION {"citationID":"LG3BVS7E","properties":{"formattedCitation":"(Whitehead 1984, 119)","plainCitation":"(Whitehead 1984, 119)","noteIndex":0},"citationItems":[{"id":1233,"uris":["http://zotero.org/users/local/938AaHlk/items/KP29U4NG"],"itemData":{"id":1233,"type":"article-journal","abstract":"Critical comment on the end of the\n              Odyssey\n              has centred on a two-fold question: first, is Book 24, together with the last 76 lines of Book 23, an interpolation? And secondly, does this final section of the poem add significantly to the content or meaning of the poem as a whole, whether or not its originality can be established? Two of Homer's early critics, Aristophanes and Aristarchus, are reported by the scholiasts to have placed the ending of the poem at Book 23, line 296. However, the terms used for ‘ending’ (πέρας, τέλος) are subject to varying interpretations. It is uncertain whether these expressions indicate that the text in its entirety ends at this point, or simply that the substance of the narrative ends here, in which case what follows is inessential. Recent commentators have carried on the controversy; however, despite some forceful arguments to the contrary, the dominant consensus now favours the Unitarian position. The present discussion will attempt to reinforce this position and specifically to explore some ramifications of the second\n              Nekyia\n              which have not yet been fully dealt with.","container-title":"Greece and Rome","DOI":"10.1017/S0017383500028497","ISSN":"0017-3835, 1477-4550","issue":"2","journalAbbreviation":"Greece &amp; Rome","language":"en","license":"https://www.cambridge.org/core/terms","page":"119-125","source":"DOI.org (Crossref)","title":"The Funeral of Achilles; An Epilogue to the &lt;i&gt;Iliad&lt;/i&gt; in Book 24 of the &lt;i&gt;Odyssey&lt;/i&gt;","volume":"31","author":[{"family":"Whitehead","given":"Oliver"}],"issued":{"date-parts":[["1984",10]]}},"locator":"119"}],"schema":"https://github.com/citation-style-language/schema/raw/master/csl-citation.json"} </w:instrText>
      </w:r>
      <w:r w:rsidR="00284D84" w:rsidRPr="00400DF2">
        <w:fldChar w:fldCharType="separate"/>
      </w:r>
      <w:r w:rsidR="00284D84" w:rsidRPr="00400DF2">
        <w:rPr>
          <w:rFonts w:ascii="Aptos" w:hAnsi="Aptos"/>
        </w:rPr>
        <w:t>(Whitehead 1984, 119)</w:t>
      </w:r>
      <w:r w:rsidR="00284D84" w:rsidRPr="00400DF2">
        <w:fldChar w:fldCharType="end"/>
      </w:r>
      <w:r w:rsidR="00284D84" w:rsidRPr="00400DF2">
        <w:t xml:space="preserve">. </w:t>
      </w:r>
      <w:r w:rsidR="00B5629E" w:rsidRPr="00400DF2">
        <w:t>It survived and was formed through oral tradition, traces of which can be seen in the text in the form of epithets</w:t>
      </w:r>
      <w:r w:rsidR="00936281" w:rsidRPr="00400DF2">
        <w:t xml:space="preserve"> such as “old man Priam” and “glorious </w:t>
      </w:r>
      <w:proofErr w:type="gramStart"/>
      <w:r w:rsidR="00936281" w:rsidRPr="00400DF2">
        <w:t>Hector”</w:t>
      </w:r>
      <w:r w:rsidR="0005695B" w:rsidRPr="00400DF2">
        <w:t>(</w:t>
      </w:r>
      <w:proofErr w:type="gramEnd"/>
      <w:r w:rsidR="0005695B" w:rsidRPr="00400DF2">
        <w:t>Il.24</w:t>
      </w:r>
      <w:r w:rsidR="000A7231" w:rsidRPr="00400DF2">
        <w:t>.776)</w:t>
      </w:r>
      <w:r w:rsidR="00936281" w:rsidRPr="00400DF2">
        <w:t>.</w:t>
      </w:r>
      <w:r w:rsidR="0082249F" w:rsidRPr="00400DF2">
        <w:t xml:space="preserve"> Epithets are short descriptors that tell the audience something noteworthy about </w:t>
      </w:r>
      <w:r w:rsidR="00D86CC4" w:rsidRPr="00400DF2">
        <w:t xml:space="preserve">a character </w:t>
      </w:r>
      <w:r w:rsidR="005F02A7" w:rsidRPr="00400DF2">
        <w:fldChar w:fldCharType="begin"/>
      </w:r>
      <w:r w:rsidR="005F02A7" w:rsidRPr="00400DF2">
        <w:instrText xml:space="preserve"> ADDIN ZOTERO_ITEM CSL_CITATION {"citationID":"u49TuP1O","properties":{"formattedCitation":"(Akondo and Shifullah 2024, 573)","plainCitation":"(Akondo and Shifullah 2024, 573)","noteIndex":0},"citationItems":[{"id":1308,"uris":["http://zotero.org/users/local/938AaHlk/items/6SJMNVCM"],"itemData":{"id":1308,"type":"article-journal","container-title":"European Journal of Theoretical and Applied Sciences","issue":"2","page":"573-580","title":"Epithets in the Iliad: A Psychoanalytical Approach","volume":"2","author":[{"family":"Akondo","given":"Istiak"},{"family":"Shifullah","given":"Khaled"}],"issued":{"date-parts":[["2024"]]}},"locator":"573"}],"schema":"https://github.com/citation-style-language/schema/raw/master/csl-citation.json"} </w:instrText>
      </w:r>
      <w:r w:rsidR="005F02A7" w:rsidRPr="00400DF2">
        <w:fldChar w:fldCharType="separate"/>
      </w:r>
      <w:r w:rsidR="005F02A7" w:rsidRPr="00400DF2">
        <w:rPr>
          <w:rFonts w:ascii="Aptos" w:hAnsi="Aptos"/>
        </w:rPr>
        <w:t>(Akondo and Shifullah 2024, 573)</w:t>
      </w:r>
      <w:r w:rsidR="005F02A7" w:rsidRPr="00400DF2">
        <w:fldChar w:fldCharType="end"/>
      </w:r>
      <w:r w:rsidR="002110BC" w:rsidRPr="00400DF2">
        <w:t>. The</w:t>
      </w:r>
      <w:r w:rsidR="00E87CFF" w:rsidRPr="00400DF2">
        <w:t xml:space="preserve">re are many uses for epithets in literature or epic poetry, </w:t>
      </w:r>
      <w:r w:rsidR="007A0F43" w:rsidRPr="00400DF2">
        <w:t xml:space="preserve">such as helping to keep </w:t>
      </w:r>
      <w:r w:rsidR="00CA67A2" w:rsidRPr="00400DF2">
        <w:t>with the poetic meter</w:t>
      </w:r>
      <w:r w:rsidR="008D12D2" w:rsidRPr="00400DF2">
        <w:t xml:space="preserve"> of dactylic hexameter </w:t>
      </w:r>
      <w:r w:rsidR="00D32AED" w:rsidRPr="00400DF2">
        <w:fldChar w:fldCharType="begin"/>
      </w:r>
      <w:r w:rsidR="00D32AED" w:rsidRPr="00400DF2">
        <w:instrText xml:space="preserve"> ADDIN ZOTERO_ITEM CSL_CITATION {"citationID":"9hg7fNgW","properties":{"formattedCitation":"(Akondo and Shifullah 2024, 575)","plainCitation":"(Akondo and Shifullah 2024, 575)","noteIndex":0},"citationItems":[{"id":1308,"uris":["http://zotero.org/users/local/938AaHlk/items/6SJMNVCM"],"itemData":{"id":1308,"type":"article-journal","container-title":"European Journal of Theoretical and Applied Sciences","issue":"2","page":"573-580","title":"Epithets in the Iliad: A Psychoanalytical Approach","volume":"2","author":[{"family":"Akondo","given":"Istiak"},{"family":"Shifullah","given":"Khaled"}],"issued":{"date-parts":[["2024"]]}},"locator":"575"}],"schema":"https://github.com/citation-style-language/schema/raw/master/csl-citation.json"} </w:instrText>
      </w:r>
      <w:r w:rsidR="00D32AED" w:rsidRPr="00400DF2">
        <w:fldChar w:fldCharType="separate"/>
      </w:r>
      <w:r w:rsidR="00D32AED" w:rsidRPr="00400DF2">
        <w:rPr>
          <w:rFonts w:ascii="Aptos" w:hAnsi="Aptos"/>
        </w:rPr>
        <w:t>(Akondo and Shifullah 2024, 575)</w:t>
      </w:r>
      <w:r w:rsidR="00D32AED" w:rsidRPr="00400DF2">
        <w:fldChar w:fldCharType="end"/>
      </w:r>
      <w:r w:rsidR="00D32AED" w:rsidRPr="00400DF2">
        <w:t xml:space="preserve">. </w:t>
      </w:r>
    </w:p>
    <w:p w14:paraId="183CD502" w14:textId="77777777" w:rsidR="007D58E7" w:rsidRDefault="007D58E7" w:rsidP="006224E4">
      <w:pPr>
        <w:spacing w:line="360" w:lineRule="auto"/>
      </w:pPr>
    </w:p>
    <w:p w14:paraId="3BF3D57B" w14:textId="6CE31263" w:rsidR="007D58E7" w:rsidRDefault="00FC19E1" w:rsidP="006224E4">
      <w:pPr>
        <w:spacing w:line="360" w:lineRule="auto"/>
      </w:pPr>
      <w:r>
        <w:t>Bibliography:</w:t>
      </w:r>
    </w:p>
    <w:p w14:paraId="6E3C7A3D" w14:textId="77777777" w:rsidR="00720A4B" w:rsidRPr="00720A4B" w:rsidRDefault="00720A4B" w:rsidP="00720A4B">
      <w:pPr>
        <w:pStyle w:val="Bibliography"/>
        <w:rPr>
          <w:rFonts w:ascii="Aptos" w:hAnsi="Aptos"/>
        </w:rPr>
      </w:pPr>
      <w:r>
        <w:fldChar w:fldCharType="begin"/>
      </w:r>
      <w:r>
        <w:instrText xml:space="preserve"> ADDIN ZOTERO_BIBL {"uncited":[],"omitted":[],"custom":[]} CSL_BIBLIOGRAPHY </w:instrText>
      </w:r>
      <w:r>
        <w:fldChar w:fldCharType="separate"/>
      </w:r>
      <w:r w:rsidRPr="00720A4B">
        <w:rPr>
          <w:rFonts w:ascii="Aptos" w:hAnsi="Aptos"/>
        </w:rPr>
        <w:t xml:space="preserve">Akondo, Istiak, and Khaled Shifullah. 2024. ‘Epithets in the Iliad: A Psychoanalytical Approach’. </w:t>
      </w:r>
      <w:r w:rsidRPr="00720A4B">
        <w:rPr>
          <w:rFonts w:ascii="Aptos" w:hAnsi="Aptos"/>
          <w:i/>
          <w:iCs/>
        </w:rPr>
        <w:t>European Journal of Theoretical and Applied Sciences</w:t>
      </w:r>
      <w:r w:rsidRPr="00720A4B">
        <w:rPr>
          <w:rFonts w:ascii="Aptos" w:hAnsi="Aptos"/>
        </w:rPr>
        <w:t xml:space="preserve"> 2 (2): 573–80.</w:t>
      </w:r>
    </w:p>
    <w:p w14:paraId="212A5C97" w14:textId="77777777" w:rsidR="00720A4B" w:rsidRPr="00720A4B" w:rsidRDefault="00720A4B" w:rsidP="00720A4B">
      <w:pPr>
        <w:pStyle w:val="Bibliography"/>
        <w:rPr>
          <w:rFonts w:ascii="Aptos" w:hAnsi="Aptos"/>
        </w:rPr>
      </w:pPr>
      <w:r w:rsidRPr="00720A4B">
        <w:rPr>
          <w:rFonts w:ascii="Aptos" w:hAnsi="Aptos"/>
        </w:rPr>
        <w:t>Austin, Emily P. 2016. ‘Grief, Longing, and Anger: A Study of Emotions in the Iliad’. Ph.D., United States -- Massachusetts: Boston University. https://www.proquest.com/docview/1800270628/abstract/67D31CF899EE4C1CPQ/1.</w:t>
      </w:r>
    </w:p>
    <w:p w14:paraId="712ECC04" w14:textId="77777777" w:rsidR="00720A4B" w:rsidRDefault="00720A4B" w:rsidP="00720A4B">
      <w:pPr>
        <w:pStyle w:val="Bibliography"/>
        <w:rPr>
          <w:rFonts w:ascii="Aptos" w:hAnsi="Aptos"/>
        </w:rPr>
      </w:pPr>
      <w:r w:rsidRPr="00720A4B">
        <w:rPr>
          <w:rFonts w:ascii="Aptos" w:hAnsi="Aptos"/>
        </w:rPr>
        <w:t xml:space="preserve">Follinger, Sabine. 2009. ‘Tears and Crying in Archaic Greek Poetry (Especially Homer)’. In </w:t>
      </w:r>
      <w:r w:rsidRPr="00720A4B">
        <w:rPr>
          <w:rFonts w:ascii="Aptos" w:hAnsi="Aptos"/>
          <w:i/>
          <w:iCs/>
        </w:rPr>
        <w:t>Tears in the Graeco-Roman World</w:t>
      </w:r>
      <w:r w:rsidRPr="00720A4B">
        <w:rPr>
          <w:rFonts w:ascii="Aptos" w:hAnsi="Aptos"/>
        </w:rPr>
        <w:t>, edited by Thorsten Fögen. Berlin: Walter de Gruyter.</w:t>
      </w:r>
    </w:p>
    <w:p w14:paraId="124C421E" w14:textId="186169EC" w:rsidR="0030050D" w:rsidRPr="0030050D" w:rsidRDefault="0030050D" w:rsidP="0030050D">
      <w:pPr>
        <w:spacing w:after="0" w:line="240" w:lineRule="auto"/>
        <w:ind w:hanging="48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Pr="0030050D">
        <w:rPr>
          <w:rFonts w:ascii="Times New Roman" w:eastAsia="Times New Roman" w:hAnsi="Times New Roman" w:cs="Times New Roman"/>
          <w:kern w:val="0"/>
          <w:sz w:val="24"/>
          <w:szCs w:val="24"/>
          <w:lang w:eastAsia="en-GB"/>
          <w14:ligatures w14:val="none"/>
        </w:rPr>
        <w:t xml:space="preserve">Homer. 1925. ‘Book 24’. In </w:t>
      </w:r>
      <w:r w:rsidRPr="0030050D">
        <w:rPr>
          <w:rFonts w:ascii="Times New Roman" w:eastAsia="Times New Roman" w:hAnsi="Times New Roman" w:cs="Times New Roman"/>
          <w:i/>
          <w:iCs/>
          <w:kern w:val="0"/>
          <w:sz w:val="24"/>
          <w:szCs w:val="24"/>
          <w:lang w:eastAsia="en-GB"/>
          <w14:ligatures w14:val="none"/>
        </w:rPr>
        <w:t>Iliad</w:t>
      </w:r>
      <w:r w:rsidRPr="0030050D">
        <w:rPr>
          <w:rFonts w:ascii="Times New Roman" w:eastAsia="Times New Roman" w:hAnsi="Times New Roman" w:cs="Times New Roman"/>
          <w:kern w:val="0"/>
          <w:sz w:val="24"/>
          <w:szCs w:val="24"/>
          <w:lang w:eastAsia="en-GB"/>
          <w14:ligatures w14:val="none"/>
        </w:rPr>
        <w:t xml:space="preserve">, translated by A. T Murray. Vol. 2. Cambridge: Harvard </w:t>
      </w:r>
      <w:r>
        <w:rPr>
          <w:rFonts w:ascii="Times New Roman" w:eastAsia="Times New Roman" w:hAnsi="Times New Roman" w:cs="Times New Roman"/>
          <w:kern w:val="0"/>
          <w:sz w:val="24"/>
          <w:szCs w:val="24"/>
          <w:lang w:eastAsia="en-GB"/>
          <w14:ligatures w14:val="none"/>
        </w:rPr>
        <w:t xml:space="preserve">    </w:t>
      </w:r>
      <w:r w:rsidRPr="0030050D">
        <w:rPr>
          <w:rFonts w:ascii="Times New Roman" w:eastAsia="Times New Roman" w:hAnsi="Times New Roman" w:cs="Times New Roman"/>
          <w:kern w:val="0"/>
          <w:sz w:val="24"/>
          <w:szCs w:val="24"/>
          <w:lang w:eastAsia="en-GB"/>
          <w14:ligatures w14:val="none"/>
        </w:rPr>
        <w:t xml:space="preserve">University Press. </w:t>
      </w:r>
      <w:hyperlink r:id="rId4" w:history="1">
        <w:r w:rsidRPr="0030050D">
          <w:rPr>
            <w:rFonts w:ascii="Times New Roman" w:eastAsia="Times New Roman" w:hAnsi="Times New Roman" w:cs="Times New Roman"/>
            <w:color w:val="0000FF"/>
            <w:kern w:val="0"/>
            <w:sz w:val="24"/>
            <w:szCs w:val="24"/>
            <w:u w:val="single"/>
            <w:lang w:eastAsia="en-GB"/>
            <w14:ligatures w14:val="none"/>
          </w:rPr>
          <w:t>https://www.loebclassics.com/view/homer-iliad/1924/pb_LCL171.621.xml</w:t>
        </w:r>
      </w:hyperlink>
      <w:r w:rsidRPr="0030050D">
        <w:rPr>
          <w:rFonts w:ascii="Times New Roman" w:eastAsia="Times New Roman" w:hAnsi="Times New Roman" w:cs="Times New Roman"/>
          <w:kern w:val="0"/>
          <w:sz w:val="24"/>
          <w:szCs w:val="24"/>
          <w:lang w:eastAsia="en-GB"/>
          <w14:ligatures w14:val="none"/>
        </w:rPr>
        <w:t>.</w:t>
      </w:r>
    </w:p>
    <w:p w14:paraId="2B55BA61" w14:textId="2C0ACD5E" w:rsidR="00720A4B" w:rsidRPr="00720A4B" w:rsidRDefault="00720A4B" w:rsidP="0030050D">
      <w:pPr>
        <w:pStyle w:val="Bibliography"/>
        <w:ind w:left="0" w:firstLine="0"/>
        <w:rPr>
          <w:rFonts w:ascii="Aptos" w:hAnsi="Aptos"/>
        </w:rPr>
      </w:pPr>
      <w:r w:rsidRPr="00720A4B">
        <w:rPr>
          <w:rFonts w:ascii="Aptos" w:hAnsi="Aptos"/>
        </w:rPr>
        <w:t xml:space="preserve">Lewartowski, Kazimierz. 1998. ‘CREMATION AND THE END OF MYCENAEAN CULTURE’. </w:t>
      </w:r>
      <w:r w:rsidR="00D970A5">
        <w:rPr>
          <w:rFonts w:ascii="Aptos" w:hAnsi="Aptos"/>
        </w:rPr>
        <w:t xml:space="preserve"> </w:t>
      </w:r>
      <w:r w:rsidRPr="00720A4B">
        <w:rPr>
          <w:rFonts w:ascii="Aptos" w:hAnsi="Aptos"/>
          <w:i/>
          <w:iCs/>
        </w:rPr>
        <w:t>Światowit: Rocznik Poświęcony Archeologii Przeddziejowej i Badaniom Pierwotnej Kultury Polskiej i Słowiańskiej</w:t>
      </w:r>
      <w:r w:rsidRPr="00720A4B">
        <w:rPr>
          <w:rFonts w:ascii="Aptos" w:hAnsi="Aptos"/>
        </w:rPr>
        <w:t>, 135–45.</w:t>
      </w:r>
    </w:p>
    <w:p w14:paraId="12DBD7B5" w14:textId="77777777" w:rsidR="00720A4B" w:rsidRPr="00720A4B" w:rsidRDefault="00720A4B" w:rsidP="00720A4B">
      <w:pPr>
        <w:pStyle w:val="Bibliography"/>
        <w:rPr>
          <w:rFonts w:ascii="Aptos" w:hAnsi="Aptos"/>
        </w:rPr>
      </w:pPr>
      <w:r w:rsidRPr="00720A4B">
        <w:rPr>
          <w:rFonts w:ascii="Aptos" w:hAnsi="Aptos"/>
        </w:rPr>
        <w:t xml:space="preserve">Manolova, Tzveta. 2011. ‘Outside the Homeric Lens: The Epic Cycle and the Trojan War Tradition’. </w:t>
      </w:r>
      <w:r w:rsidRPr="00720A4B">
        <w:rPr>
          <w:rFonts w:ascii="Aptos" w:hAnsi="Aptos"/>
          <w:i/>
          <w:iCs/>
        </w:rPr>
        <w:t>Hirundo</w:t>
      </w:r>
      <w:r w:rsidRPr="00720A4B">
        <w:rPr>
          <w:rFonts w:ascii="Aptos" w:hAnsi="Aptos"/>
        </w:rPr>
        <w:t xml:space="preserve"> 9:97–107.</w:t>
      </w:r>
    </w:p>
    <w:p w14:paraId="16EF04A3" w14:textId="77777777" w:rsidR="00720A4B" w:rsidRPr="00720A4B" w:rsidRDefault="00720A4B" w:rsidP="00720A4B">
      <w:pPr>
        <w:pStyle w:val="Bibliography"/>
        <w:rPr>
          <w:rFonts w:ascii="Aptos" w:hAnsi="Aptos"/>
        </w:rPr>
      </w:pPr>
      <w:r w:rsidRPr="00720A4B">
        <w:rPr>
          <w:rFonts w:ascii="Aptos" w:hAnsi="Aptos"/>
        </w:rPr>
        <w:t xml:space="preserve">Mueller, Melissa. 2010. ‘Helen’s Hands: Weaving for Kleos in the Odyssey’. </w:t>
      </w:r>
      <w:r w:rsidRPr="00720A4B">
        <w:rPr>
          <w:rFonts w:ascii="Aptos" w:hAnsi="Aptos"/>
          <w:i/>
          <w:iCs/>
        </w:rPr>
        <w:t>Helios</w:t>
      </w:r>
      <w:r w:rsidRPr="00720A4B">
        <w:rPr>
          <w:rFonts w:ascii="Aptos" w:hAnsi="Aptos"/>
        </w:rPr>
        <w:t xml:space="preserve"> 37 (1): 1–21. https://doi.org/10.1353/hel.2010.a406972.</w:t>
      </w:r>
    </w:p>
    <w:p w14:paraId="6A91986F" w14:textId="77777777" w:rsidR="00720A4B" w:rsidRPr="00720A4B" w:rsidRDefault="00720A4B" w:rsidP="00720A4B">
      <w:pPr>
        <w:pStyle w:val="Bibliography"/>
        <w:rPr>
          <w:rFonts w:ascii="Aptos" w:hAnsi="Aptos"/>
        </w:rPr>
      </w:pPr>
      <w:r w:rsidRPr="00720A4B">
        <w:rPr>
          <w:rFonts w:ascii="Aptos" w:hAnsi="Aptos"/>
        </w:rPr>
        <w:t xml:space="preserve">Mylonas, George E. 1948. ‘Homeric and Mycenaean Burial Customs’. </w:t>
      </w:r>
      <w:r w:rsidRPr="00720A4B">
        <w:rPr>
          <w:rFonts w:ascii="Aptos" w:hAnsi="Aptos"/>
          <w:i/>
          <w:iCs/>
        </w:rPr>
        <w:t>American Journal of Archaeology</w:t>
      </w:r>
      <w:r w:rsidRPr="00720A4B">
        <w:rPr>
          <w:rFonts w:ascii="Aptos" w:hAnsi="Aptos"/>
        </w:rPr>
        <w:t xml:space="preserve"> 52 (1): 56–81. https://doi.org/10.2307/500553.</w:t>
      </w:r>
    </w:p>
    <w:p w14:paraId="6E91D581" w14:textId="77777777" w:rsidR="00720A4B" w:rsidRPr="00720A4B" w:rsidRDefault="00720A4B" w:rsidP="00720A4B">
      <w:pPr>
        <w:pStyle w:val="Bibliography"/>
        <w:rPr>
          <w:rFonts w:ascii="Aptos" w:hAnsi="Aptos"/>
        </w:rPr>
      </w:pPr>
      <w:r w:rsidRPr="00720A4B">
        <w:rPr>
          <w:rFonts w:ascii="Aptos" w:hAnsi="Aptos"/>
        </w:rPr>
        <w:t xml:space="preserve">Negro, Silvia. 2024. ‘Attic Honey: Fame, Evidence and Connection with the Funerary Sphere’. </w:t>
      </w:r>
      <w:r w:rsidRPr="00720A4B">
        <w:rPr>
          <w:rFonts w:ascii="Aptos" w:hAnsi="Aptos"/>
          <w:i/>
          <w:iCs/>
        </w:rPr>
        <w:t>ACME</w:t>
      </w:r>
      <w:r w:rsidRPr="00720A4B">
        <w:rPr>
          <w:rFonts w:ascii="Aptos" w:hAnsi="Aptos"/>
        </w:rPr>
        <w:t xml:space="preserve"> 76 (1–2): 67–83. https://doi.org/10.54103/2282-0035/23070.</w:t>
      </w:r>
    </w:p>
    <w:p w14:paraId="6BB8A761" w14:textId="77777777" w:rsidR="00720A4B" w:rsidRPr="00720A4B" w:rsidRDefault="00720A4B" w:rsidP="00720A4B">
      <w:pPr>
        <w:pStyle w:val="Bibliography"/>
        <w:rPr>
          <w:rFonts w:ascii="Aptos" w:hAnsi="Aptos"/>
        </w:rPr>
      </w:pPr>
      <w:r w:rsidRPr="00720A4B">
        <w:rPr>
          <w:rFonts w:ascii="Aptos" w:hAnsi="Aptos"/>
        </w:rPr>
        <w:t xml:space="preserve">Pantelia, Maria C. 2002. ‘Helen and the Last Song for Hector’. </w:t>
      </w:r>
      <w:r w:rsidRPr="00720A4B">
        <w:rPr>
          <w:rFonts w:ascii="Aptos" w:hAnsi="Aptos"/>
          <w:i/>
          <w:iCs/>
        </w:rPr>
        <w:t>Transactions of the American Philological Association (1974-)</w:t>
      </w:r>
      <w:r w:rsidRPr="00720A4B">
        <w:rPr>
          <w:rFonts w:ascii="Aptos" w:hAnsi="Aptos"/>
        </w:rPr>
        <w:t xml:space="preserve"> 132 (1/2): 21–27.</w:t>
      </w:r>
    </w:p>
    <w:p w14:paraId="25FA1546" w14:textId="77777777" w:rsidR="00720A4B" w:rsidRPr="00720A4B" w:rsidRDefault="00720A4B" w:rsidP="00720A4B">
      <w:pPr>
        <w:pStyle w:val="Bibliography"/>
        <w:rPr>
          <w:rFonts w:ascii="Aptos" w:hAnsi="Aptos"/>
        </w:rPr>
      </w:pPr>
      <w:r w:rsidRPr="00720A4B">
        <w:rPr>
          <w:rFonts w:ascii="Aptos" w:hAnsi="Aptos"/>
        </w:rPr>
        <w:t xml:space="preserve">West, Martin L. 1995. ‘The Date of the “Iliad”’. </w:t>
      </w:r>
      <w:r w:rsidRPr="00720A4B">
        <w:rPr>
          <w:rFonts w:ascii="Aptos" w:hAnsi="Aptos"/>
          <w:i/>
          <w:iCs/>
        </w:rPr>
        <w:t>Museum Helveticum</w:t>
      </w:r>
      <w:r w:rsidRPr="00720A4B">
        <w:rPr>
          <w:rFonts w:ascii="Aptos" w:hAnsi="Aptos"/>
        </w:rPr>
        <w:t xml:space="preserve"> 52 (4): 203–19.</w:t>
      </w:r>
    </w:p>
    <w:p w14:paraId="060EDA9A" w14:textId="77777777" w:rsidR="00720A4B" w:rsidRPr="00720A4B" w:rsidRDefault="00720A4B" w:rsidP="00720A4B">
      <w:pPr>
        <w:pStyle w:val="Bibliography"/>
        <w:rPr>
          <w:rFonts w:ascii="Aptos" w:hAnsi="Aptos"/>
        </w:rPr>
      </w:pPr>
      <w:r w:rsidRPr="00720A4B">
        <w:rPr>
          <w:rFonts w:ascii="Aptos" w:hAnsi="Aptos"/>
        </w:rPr>
        <w:t xml:space="preserve">Whitehead, Oliver. 1984. ‘The Funeral of Achilles; An Epilogue to the </w:t>
      </w:r>
      <w:r w:rsidRPr="00720A4B">
        <w:rPr>
          <w:rFonts w:ascii="Aptos" w:hAnsi="Aptos"/>
          <w:i/>
          <w:iCs/>
        </w:rPr>
        <w:t>Iliad</w:t>
      </w:r>
      <w:r w:rsidRPr="00720A4B">
        <w:rPr>
          <w:rFonts w:ascii="Aptos" w:hAnsi="Aptos"/>
        </w:rPr>
        <w:t xml:space="preserve"> in Book 24 of the </w:t>
      </w:r>
      <w:r w:rsidRPr="00720A4B">
        <w:rPr>
          <w:rFonts w:ascii="Aptos" w:hAnsi="Aptos"/>
          <w:i/>
          <w:iCs/>
        </w:rPr>
        <w:t>Odyssey</w:t>
      </w:r>
      <w:r w:rsidRPr="00720A4B">
        <w:rPr>
          <w:rFonts w:ascii="Aptos" w:hAnsi="Aptos"/>
        </w:rPr>
        <w:t xml:space="preserve">’. </w:t>
      </w:r>
      <w:r w:rsidRPr="00720A4B">
        <w:rPr>
          <w:rFonts w:ascii="Aptos" w:hAnsi="Aptos"/>
          <w:i/>
          <w:iCs/>
        </w:rPr>
        <w:t>Greece and Rome</w:t>
      </w:r>
      <w:r w:rsidRPr="00720A4B">
        <w:rPr>
          <w:rFonts w:ascii="Aptos" w:hAnsi="Aptos"/>
        </w:rPr>
        <w:t xml:space="preserve"> 31 (2): 119–25. https://doi.org/10.1017/S0017383500028497.</w:t>
      </w:r>
    </w:p>
    <w:p w14:paraId="02E4F3F5" w14:textId="77777777" w:rsidR="00720A4B" w:rsidRPr="00720A4B" w:rsidRDefault="00720A4B" w:rsidP="00720A4B">
      <w:pPr>
        <w:pStyle w:val="Bibliography"/>
        <w:rPr>
          <w:rFonts w:ascii="Aptos" w:hAnsi="Aptos"/>
        </w:rPr>
      </w:pPr>
      <w:r w:rsidRPr="00720A4B">
        <w:rPr>
          <w:rFonts w:ascii="Aptos" w:hAnsi="Aptos"/>
        </w:rPr>
        <w:t xml:space="preserve">Wright, James C. 2004. ‘The Mycenaean Feast: An Introduction’. </w:t>
      </w:r>
      <w:r w:rsidRPr="00720A4B">
        <w:rPr>
          <w:rFonts w:ascii="Aptos" w:hAnsi="Aptos"/>
          <w:i/>
          <w:iCs/>
        </w:rPr>
        <w:t>Hesperia</w:t>
      </w:r>
      <w:r w:rsidRPr="00720A4B">
        <w:rPr>
          <w:rFonts w:ascii="Aptos" w:hAnsi="Aptos"/>
        </w:rPr>
        <w:t xml:space="preserve"> 73 (2): 121–32. https://doi.org/10.2972/hesp.2004.73.2.121.</w:t>
      </w:r>
    </w:p>
    <w:p w14:paraId="256A9019" w14:textId="7AC3B2E8" w:rsidR="00FC19E1" w:rsidRDefault="00720A4B" w:rsidP="006224E4">
      <w:pPr>
        <w:spacing w:line="360" w:lineRule="auto"/>
      </w:pPr>
      <w:r>
        <w:fldChar w:fldCharType="end"/>
      </w:r>
    </w:p>
    <w:p w14:paraId="5B7F013C" w14:textId="6C7BED0A" w:rsidR="00780F94" w:rsidRDefault="00780F94" w:rsidP="006224E4">
      <w:pPr>
        <w:spacing w:line="360" w:lineRule="auto"/>
      </w:pPr>
    </w:p>
    <w:sectPr w:rsidR="00780F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F94"/>
    <w:rsid w:val="000005F8"/>
    <w:rsid w:val="000253F5"/>
    <w:rsid w:val="0005695B"/>
    <w:rsid w:val="00064DF3"/>
    <w:rsid w:val="00070EEE"/>
    <w:rsid w:val="00080878"/>
    <w:rsid w:val="00084FDB"/>
    <w:rsid w:val="000905A2"/>
    <w:rsid w:val="0009581B"/>
    <w:rsid w:val="000A59CF"/>
    <w:rsid w:val="000A7231"/>
    <w:rsid w:val="000B1F38"/>
    <w:rsid w:val="000C15F3"/>
    <w:rsid w:val="000C5BD9"/>
    <w:rsid w:val="000D28F5"/>
    <w:rsid w:val="000D2935"/>
    <w:rsid w:val="000E2D41"/>
    <w:rsid w:val="00107B30"/>
    <w:rsid w:val="00121B65"/>
    <w:rsid w:val="001267E4"/>
    <w:rsid w:val="00126A2E"/>
    <w:rsid w:val="00136C56"/>
    <w:rsid w:val="00160B30"/>
    <w:rsid w:val="00171943"/>
    <w:rsid w:val="001819EE"/>
    <w:rsid w:val="00185968"/>
    <w:rsid w:val="001962B1"/>
    <w:rsid w:val="00197528"/>
    <w:rsid w:val="001A5568"/>
    <w:rsid w:val="001B33D3"/>
    <w:rsid w:val="001B4C51"/>
    <w:rsid w:val="001B5F42"/>
    <w:rsid w:val="001B6D42"/>
    <w:rsid w:val="001D071B"/>
    <w:rsid w:val="001D468C"/>
    <w:rsid w:val="001D521B"/>
    <w:rsid w:val="001E03F3"/>
    <w:rsid w:val="001E1333"/>
    <w:rsid w:val="00201C0C"/>
    <w:rsid w:val="0020420F"/>
    <w:rsid w:val="002074EE"/>
    <w:rsid w:val="002110BC"/>
    <w:rsid w:val="00212FEC"/>
    <w:rsid w:val="002176A8"/>
    <w:rsid w:val="00226EC7"/>
    <w:rsid w:val="0023496D"/>
    <w:rsid w:val="00250E02"/>
    <w:rsid w:val="00256790"/>
    <w:rsid w:val="002722AE"/>
    <w:rsid w:val="00275766"/>
    <w:rsid w:val="0028274B"/>
    <w:rsid w:val="00283765"/>
    <w:rsid w:val="00284D84"/>
    <w:rsid w:val="002A6959"/>
    <w:rsid w:val="002A7269"/>
    <w:rsid w:val="002A79CC"/>
    <w:rsid w:val="002B2DC7"/>
    <w:rsid w:val="002C7B27"/>
    <w:rsid w:val="002D17F0"/>
    <w:rsid w:val="002D4392"/>
    <w:rsid w:val="002E348E"/>
    <w:rsid w:val="002E7A0D"/>
    <w:rsid w:val="002F34E9"/>
    <w:rsid w:val="002F3720"/>
    <w:rsid w:val="0030050D"/>
    <w:rsid w:val="003040BD"/>
    <w:rsid w:val="003065E4"/>
    <w:rsid w:val="0031071B"/>
    <w:rsid w:val="00314F11"/>
    <w:rsid w:val="0034035A"/>
    <w:rsid w:val="00344F27"/>
    <w:rsid w:val="003537C8"/>
    <w:rsid w:val="0036688A"/>
    <w:rsid w:val="00370355"/>
    <w:rsid w:val="00384600"/>
    <w:rsid w:val="003B14F4"/>
    <w:rsid w:val="003C3345"/>
    <w:rsid w:val="003E2611"/>
    <w:rsid w:val="003E5F4C"/>
    <w:rsid w:val="003F2204"/>
    <w:rsid w:val="003F27AB"/>
    <w:rsid w:val="00400DF2"/>
    <w:rsid w:val="004028FF"/>
    <w:rsid w:val="0041776E"/>
    <w:rsid w:val="00421B2B"/>
    <w:rsid w:val="0042204A"/>
    <w:rsid w:val="00425A4C"/>
    <w:rsid w:val="004451C7"/>
    <w:rsid w:val="00457283"/>
    <w:rsid w:val="0046756D"/>
    <w:rsid w:val="00474CBF"/>
    <w:rsid w:val="00475AEF"/>
    <w:rsid w:val="004807C1"/>
    <w:rsid w:val="0048762F"/>
    <w:rsid w:val="00490202"/>
    <w:rsid w:val="00490DED"/>
    <w:rsid w:val="00491EEB"/>
    <w:rsid w:val="004B6384"/>
    <w:rsid w:val="004F4886"/>
    <w:rsid w:val="00501825"/>
    <w:rsid w:val="00525249"/>
    <w:rsid w:val="005259DA"/>
    <w:rsid w:val="00536829"/>
    <w:rsid w:val="00540BD3"/>
    <w:rsid w:val="00543E94"/>
    <w:rsid w:val="00593DCC"/>
    <w:rsid w:val="00597B7E"/>
    <w:rsid w:val="005A116C"/>
    <w:rsid w:val="005B0BDD"/>
    <w:rsid w:val="005C730A"/>
    <w:rsid w:val="005D2B10"/>
    <w:rsid w:val="005E17AC"/>
    <w:rsid w:val="005E17CE"/>
    <w:rsid w:val="005E4BD8"/>
    <w:rsid w:val="005E5256"/>
    <w:rsid w:val="005F02A7"/>
    <w:rsid w:val="005F2144"/>
    <w:rsid w:val="005F3FF4"/>
    <w:rsid w:val="005F6181"/>
    <w:rsid w:val="00601F92"/>
    <w:rsid w:val="00617571"/>
    <w:rsid w:val="006223BF"/>
    <w:rsid w:val="006224E4"/>
    <w:rsid w:val="00625AC2"/>
    <w:rsid w:val="00632B58"/>
    <w:rsid w:val="00641093"/>
    <w:rsid w:val="006A5ADC"/>
    <w:rsid w:val="006C1641"/>
    <w:rsid w:val="006D4D1E"/>
    <w:rsid w:val="006D7545"/>
    <w:rsid w:val="006E12D0"/>
    <w:rsid w:val="006E43B0"/>
    <w:rsid w:val="006F7EC2"/>
    <w:rsid w:val="0070687E"/>
    <w:rsid w:val="00720A4B"/>
    <w:rsid w:val="00730126"/>
    <w:rsid w:val="007401AB"/>
    <w:rsid w:val="00741496"/>
    <w:rsid w:val="0075229C"/>
    <w:rsid w:val="00777CB4"/>
    <w:rsid w:val="00780F94"/>
    <w:rsid w:val="007A0455"/>
    <w:rsid w:val="007A0F43"/>
    <w:rsid w:val="007A3BCB"/>
    <w:rsid w:val="007A47FF"/>
    <w:rsid w:val="007B48FE"/>
    <w:rsid w:val="007C1DDB"/>
    <w:rsid w:val="007D1D85"/>
    <w:rsid w:val="007D2DF7"/>
    <w:rsid w:val="007D58E7"/>
    <w:rsid w:val="007D6BAC"/>
    <w:rsid w:val="007E3DEF"/>
    <w:rsid w:val="007E4A08"/>
    <w:rsid w:val="00812D75"/>
    <w:rsid w:val="00820235"/>
    <w:rsid w:val="0082249F"/>
    <w:rsid w:val="00822D0D"/>
    <w:rsid w:val="00826A2F"/>
    <w:rsid w:val="00840942"/>
    <w:rsid w:val="00844591"/>
    <w:rsid w:val="008470A0"/>
    <w:rsid w:val="00870290"/>
    <w:rsid w:val="008771E0"/>
    <w:rsid w:val="00882F76"/>
    <w:rsid w:val="0088511A"/>
    <w:rsid w:val="008B1F90"/>
    <w:rsid w:val="008B446F"/>
    <w:rsid w:val="008C4CB1"/>
    <w:rsid w:val="008D12D2"/>
    <w:rsid w:val="008D59F5"/>
    <w:rsid w:val="008D7B02"/>
    <w:rsid w:val="008F2B3F"/>
    <w:rsid w:val="008F3C93"/>
    <w:rsid w:val="008F40BA"/>
    <w:rsid w:val="008F57FB"/>
    <w:rsid w:val="0090213C"/>
    <w:rsid w:val="00905B59"/>
    <w:rsid w:val="00912BBB"/>
    <w:rsid w:val="00924923"/>
    <w:rsid w:val="009338D2"/>
    <w:rsid w:val="00936281"/>
    <w:rsid w:val="00945368"/>
    <w:rsid w:val="009460D3"/>
    <w:rsid w:val="00946394"/>
    <w:rsid w:val="00951908"/>
    <w:rsid w:val="00975A27"/>
    <w:rsid w:val="009A6C92"/>
    <w:rsid w:val="009B5F4D"/>
    <w:rsid w:val="009B6118"/>
    <w:rsid w:val="009D666F"/>
    <w:rsid w:val="009E0598"/>
    <w:rsid w:val="009E07FD"/>
    <w:rsid w:val="009E37F9"/>
    <w:rsid w:val="009F3AC9"/>
    <w:rsid w:val="00A02A9F"/>
    <w:rsid w:val="00A0373B"/>
    <w:rsid w:val="00A0479E"/>
    <w:rsid w:val="00A0522D"/>
    <w:rsid w:val="00A079A4"/>
    <w:rsid w:val="00A120CF"/>
    <w:rsid w:val="00A15103"/>
    <w:rsid w:val="00A31F28"/>
    <w:rsid w:val="00A32D68"/>
    <w:rsid w:val="00A43F78"/>
    <w:rsid w:val="00A61D9C"/>
    <w:rsid w:val="00A72D3E"/>
    <w:rsid w:val="00A860BD"/>
    <w:rsid w:val="00AB328E"/>
    <w:rsid w:val="00AB4E4A"/>
    <w:rsid w:val="00AC5A6E"/>
    <w:rsid w:val="00AE78B5"/>
    <w:rsid w:val="00AF4423"/>
    <w:rsid w:val="00AF5A2F"/>
    <w:rsid w:val="00B05D35"/>
    <w:rsid w:val="00B1328B"/>
    <w:rsid w:val="00B272F5"/>
    <w:rsid w:val="00B40F10"/>
    <w:rsid w:val="00B5629E"/>
    <w:rsid w:val="00B64F5F"/>
    <w:rsid w:val="00B668E7"/>
    <w:rsid w:val="00B67FFD"/>
    <w:rsid w:val="00B8673E"/>
    <w:rsid w:val="00B97CCE"/>
    <w:rsid w:val="00BB30CF"/>
    <w:rsid w:val="00BB5BFB"/>
    <w:rsid w:val="00BB7264"/>
    <w:rsid w:val="00BC23C1"/>
    <w:rsid w:val="00BE5744"/>
    <w:rsid w:val="00C04AC9"/>
    <w:rsid w:val="00C1342B"/>
    <w:rsid w:val="00C13EF8"/>
    <w:rsid w:val="00C2124F"/>
    <w:rsid w:val="00C3683D"/>
    <w:rsid w:val="00C40C1F"/>
    <w:rsid w:val="00C500C0"/>
    <w:rsid w:val="00C5295F"/>
    <w:rsid w:val="00C5695F"/>
    <w:rsid w:val="00C56961"/>
    <w:rsid w:val="00C56CBA"/>
    <w:rsid w:val="00C61147"/>
    <w:rsid w:val="00C76BD3"/>
    <w:rsid w:val="00C81096"/>
    <w:rsid w:val="00C83884"/>
    <w:rsid w:val="00C91069"/>
    <w:rsid w:val="00C911F1"/>
    <w:rsid w:val="00CA14B4"/>
    <w:rsid w:val="00CA67A2"/>
    <w:rsid w:val="00CD5E41"/>
    <w:rsid w:val="00CD7C63"/>
    <w:rsid w:val="00CE03BD"/>
    <w:rsid w:val="00D018B6"/>
    <w:rsid w:val="00D11E7A"/>
    <w:rsid w:val="00D12D50"/>
    <w:rsid w:val="00D131EC"/>
    <w:rsid w:val="00D14963"/>
    <w:rsid w:val="00D20F55"/>
    <w:rsid w:val="00D26242"/>
    <w:rsid w:val="00D32AED"/>
    <w:rsid w:val="00D41300"/>
    <w:rsid w:val="00D56857"/>
    <w:rsid w:val="00D6141D"/>
    <w:rsid w:val="00D626BC"/>
    <w:rsid w:val="00D66F9B"/>
    <w:rsid w:val="00D86CC4"/>
    <w:rsid w:val="00D970A5"/>
    <w:rsid w:val="00DA18C5"/>
    <w:rsid w:val="00DA5200"/>
    <w:rsid w:val="00DA6A36"/>
    <w:rsid w:val="00DB2CAE"/>
    <w:rsid w:val="00DB7947"/>
    <w:rsid w:val="00DC18B4"/>
    <w:rsid w:val="00DD5BC5"/>
    <w:rsid w:val="00DD7113"/>
    <w:rsid w:val="00DE20E6"/>
    <w:rsid w:val="00DE5185"/>
    <w:rsid w:val="00DF0BC8"/>
    <w:rsid w:val="00E00064"/>
    <w:rsid w:val="00E0382B"/>
    <w:rsid w:val="00E07ADA"/>
    <w:rsid w:val="00E07B90"/>
    <w:rsid w:val="00E102CF"/>
    <w:rsid w:val="00E33CEE"/>
    <w:rsid w:val="00E41EDA"/>
    <w:rsid w:val="00E57C6F"/>
    <w:rsid w:val="00E60DCD"/>
    <w:rsid w:val="00E74646"/>
    <w:rsid w:val="00E74F3B"/>
    <w:rsid w:val="00E8011C"/>
    <w:rsid w:val="00E87CFF"/>
    <w:rsid w:val="00EC7582"/>
    <w:rsid w:val="00ED0C2D"/>
    <w:rsid w:val="00EF2B50"/>
    <w:rsid w:val="00EF3737"/>
    <w:rsid w:val="00F03880"/>
    <w:rsid w:val="00F043BF"/>
    <w:rsid w:val="00F0583B"/>
    <w:rsid w:val="00F1714C"/>
    <w:rsid w:val="00F442FD"/>
    <w:rsid w:val="00F51651"/>
    <w:rsid w:val="00F76FCC"/>
    <w:rsid w:val="00F83342"/>
    <w:rsid w:val="00F85F22"/>
    <w:rsid w:val="00FA5177"/>
    <w:rsid w:val="00FB09E8"/>
    <w:rsid w:val="00FC19E1"/>
    <w:rsid w:val="00FC30AC"/>
    <w:rsid w:val="00FD3163"/>
    <w:rsid w:val="00FD525B"/>
    <w:rsid w:val="00FD6D60"/>
    <w:rsid w:val="00FF1C67"/>
    <w:rsid w:val="00FF7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6020A"/>
  <w15:chartTrackingRefBased/>
  <w15:docId w15:val="{E7059061-3F2F-4606-A46F-D1A5D5708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F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0F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0F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0F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0F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0F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0F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0F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0F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F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0F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0F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0F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0F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0F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0F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0F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0F94"/>
    <w:rPr>
      <w:rFonts w:eastAsiaTheme="majorEastAsia" w:cstheme="majorBidi"/>
      <w:color w:val="272727" w:themeColor="text1" w:themeTint="D8"/>
    </w:rPr>
  </w:style>
  <w:style w:type="paragraph" w:styleId="Title">
    <w:name w:val="Title"/>
    <w:basedOn w:val="Normal"/>
    <w:next w:val="Normal"/>
    <w:link w:val="TitleChar"/>
    <w:uiPriority w:val="10"/>
    <w:qFormat/>
    <w:rsid w:val="00780F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F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F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F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0F94"/>
    <w:pPr>
      <w:spacing w:before="160"/>
      <w:jc w:val="center"/>
    </w:pPr>
    <w:rPr>
      <w:i/>
      <w:iCs/>
      <w:color w:val="404040" w:themeColor="text1" w:themeTint="BF"/>
    </w:rPr>
  </w:style>
  <w:style w:type="character" w:customStyle="1" w:styleId="QuoteChar">
    <w:name w:val="Quote Char"/>
    <w:basedOn w:val="DefaultParagraphFont"/>
    <w:link w:val="Quote"/>
    <w:uiPriority w:val="29"/>
    <w:rsid w:val="00780F94"/>
    <w:rPr>
      <w:i/>
      <w:iCs/>
      <w:color w:val="404040" w:themeColor="text1" w:themeTint="BF"/>
    </w:rPr>
  </w:style>
  <w:style w:type="paragraph" w:styleId="ListParagraph">
    <w:name w:val="List Paragraph"/>
    <w:basedOn w:val="Normal"/>
    <w:uiPriority w:val="34"/>
    <w:qFormat/>
    <w:rsid w:val="00780F94"/>
    <w:pPr>
      <w:ind w:left="720"/>
      <w:contextualSpacing/>
    </w:pPr>
  </w:style>
  <w:style w:type="character" w:styleId="IntenseEmphasis">
    <w:name w:val="Intense Emphasis"/>
    <w:basedOn w:val="DefaultParagraphFont"/>
    <w:uiPriority w:val="21"/>
    <w:qFormat/>
    <w:rsid w:val="00780F94"/>
    <w:rPr>
      <w:i/>
      <w:iCs/>
      <w:color w:val="0F4761" w:themeColor="accent1" w:themeShade="BF"/>
    </w:rPr>
  </w:style>
  <w:style w:type="paragraph" w:styleId="IntenseQuote">
    <w:name w:val="Intense Quote"/>
    <w:basedOn w:val="Normal"/>
    <w:next w:val="Normal"/>
    <w:link w:val="IntenseQuoteChar"/>
    <w:uiPriority w:val="30"/>
    <w:qFormat/>
    <w:rsid w:val="00780F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0F94"/>
    <w:rPr>
      <w:i/>
      <w:iCs/>
      <w:color w:val="0F4761" w:themeColor="accent1" w:themeShade="BF"/>
    </w:rPr>
  </w:style>
  <w:style w:type="character" w:styleId="IntenseReference">
    <w:name w:val="Intense Reference"/>
    <w:basedOn w:val="DefaultParagraphFont"/>
    <w:uiPriority w:val="32"/>
    <w:qFormat/>
    <w:rsid w:val="00780F94"/>
    <w:rPr>
      <w:b/>
      <w:bCs/>
      <w:smallCaps/>
      <w:color w:val="0F4761" w:themeColor="accent1" w:themeShade="BF"/>
      <w:spacing w:val="5"/>
    </w:rPr>
  </w:style>
  <w:style w:type="paragraph" w:styleId="Bibliography">
    <w:name w:val="Bibliography"/>
    <w:basedOn w:val="Normal"/>
    <w:next w:val="Normal"/>
    <w:uiPriority w:val="37"/>
    <w:unhideWhenUsed/>
    <w:rsid w:val="00720A4B"/>
    <w:pPr>
      <w:spacing w:after="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313000">
      <w:bodyDiv w:val="1"/>
      <w:marLeft w:val="0"/>
      <w:marRight w:val="0"/>
      <w:marTop w:val="0"/>
      <w:marBottom w:val="0"/>
      <w:divBdr>
        <w:top w:val="none" w:sz="0" w:space="0" w:color="auto"/>
        <w:left w:val="none" w:sz="0" w:space="0" w:color="auto"/>
        <w:bottom w:val="none" w:sz="0" w:space="0" w:color="auto"/>
        <w:right w:val="none" w:sz="0" w:space="0" w:color="auto"/>
      </w:divBdr>
      <w:divsChild>
        <w:div w:id="515852434">
          <w:marLeft w:val="480"/>
          <w:marRight w:val="0"/>
          <w:marTop w:val="0"/>
          <w:marBottom w:val="0"/>
          <w:divBdr>
            <w:top w:val="none" w:sz="0" w:space="0" w:color="auto"/>
            <w:left w:val="none" w:sz="0" w:space="0" w:color="auto"/>
            <w:bottom w:val="none" w:sz="0" w:space="0" w:color="auto"/>
            <w:right w:val="none" w:sz="0" w:space="0" w:color="auto"/>
          </w:divBdr>
          <w:divsChild>
            <w:div w:id="138289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loebclassics.com/view/homer-iliad/1924/pb_LCL171.621.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18073</TotalTime>
  <Pages>3</Pages>
  <Words>4219</Words>
  <Characters>24053</Characters>
  <Application>Microsoft Office Word</Application>
  <DocSecurity>0</DocSecurity>
  <Lines>200</Lines>
  <Paragraphs>56</Paragraphs>
  <ScaleCrop>false</ScaleCrop>
  <Company/>
  <LinksUpToDate>false</LinksUpToDate>
  <CharactersWithSpaces>28216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moss</dc:creator>
  <cp:keywords/>
  <dc:description/>
  <cp:lastModifiedBy>Jasmine moss</cp:lastModifiedBy>
  <cp:revision>306</cp:revision>
  <dcterms:created xsi:type="dcterms:W3CDTF">2025-02-19T15:08:00Z</dcterms:created>
  <dcterms:modified xsi:type="dcterms:W3CDTF">2025-03-12T20:01:00Z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id="tiCsrLNQ"/&gt;&lt;style id="http://www.zotero.org/styles/chicago-author-date" locale="en-GB"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ies>
</file>