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33081" w:rsidR="00A33081" w:rsidP="00A33081" w:rsidRDefault="00A33081" w14:paraId="41B800B5" w14:textId="77777777">
      <w:pPr>
        <w:pStyle w:val="Heading1"/>
      </w:pPr>
      <w:r w:rsidRPr="00A33081">
        <w:t>Evaluate the advantages and disadvantages of both a divisional structure and a matrix structure. Within the evaluation, you should include the reasons underpinning each structure. (AC 1.1)</w:t>
      </w:r>
    </w:p>
    <w:p w:rsidR="00A33081" w:rsidP="00B33353" w:rsidRDefault="00A33081" w14:paraId="6F238BD3" w14:textId="77777777">
      <w:pPr>
        <w:pStyle w:val="NoSpacing"/>
        <w:spacing w:line="276" w:lineRule="auto"/>
        <w:rPr>
          <w:rFonts w:cs="Arial"/>
          <w:b/>
          <w:bCs/>
          <w:sz w:val="24"/>
          <w:u w:val="single"/>
        </w:rPr>
      </w:pPr>
    </w:p>
    <w:p w:rsidRPr="00B33353" w:rsidR="00233E10" w:rsidP="00B33353" w:rsidRDefault="00233E10" w14:paraId="4E1845D6" w14:textId="11DD3AC0">
      <w:pPr>
        <w:pStyle w:val="NoSpacing"/>
        <w:spacing w:line="276" w:lineRule="auto"/>
        <w:rPr>
          <w:rFonts w:cs="Arial"/>
          <w:b/>
          <w:bCs/>
          <w:sz w:val="24"/>
          <w:u w:val="single"/>
        </w:rPr>
      </w:pPr>
      <w:r w:rsidRPr="00B33353">
        <w:rPr>
          <w:rFonts w:cs="Arial"/>
          <w:b/>
          <w:bCs/>
          <w:sz w:val="24"/>
          <w:u w:val="single"/>
        </w:rPr>
        <w:t>Divisional Structure</w:t>
      </w:r>
    </w:p>
    <w:p w:rsidRPr="00B33353" w:rsidR="00233E10" w:rsidP="00B33353" w:rsidRDefault="00233E10" w14:paraId="143C07C0" w14:textId="77777777">
      <w:pPr>
        <w:pStyle w:val="NoSpacing"/>
        <w:spacing w:line="276" w:lineRule="auto"/>
        <w:rPr>
          <w:rFonts w:cs="Arial"/>
          <w:sz w:val="24"/>
        </w:rPr>
      </w:pPr>
    </w:p>
    <w:p w:rsidRPr="00B33353" w:rsidR="00233E10" w:rsidP="00B33353" w:rsidRDefault="00233E10" w14:paraId="5E01FE88" w14:textId="7B62A8C1">
      <w:pPr>
        <w:pStyle w:val="NoSpacing"/>
        <w:spacing w:line="276" w:lineRule="auto"/>
        <w:rPr>
          <w:rFonts w:cs="Arial"/>
          <w:sz w:val="24"/>
        </w:rPr>
      </w:pPr>
      <w:r w:rsidRPr="00B33353">
        <w:rPr>
          <w:rFonts w:cs="Arial"/>
          <w:sz w:val="24"/>
        </w:rPr>
        <w:t>As outlined by Taylor and Woodhams (2022</w:t>
      </w:r>
      <w:r w:rsidRPr="00B33353" w:rsidR="104D383B">
        <w:rPr>
          <w:rFonts w:cs="Arial"/>
          <w:sz w:val="24"/>
        </w:rPr>
        <w:t>a</w:t>
      </w:r>
      <w:r w:rsidRPr="00B33353">
        <w:rPr>
          <w:rFonts w:cs="Arial"/>
          <w:sz w:val="24"/>
        </w:rPr>
        <w:t xml:space="preserve">) a divisional structure is a hierarchal framework that is predominantly found in larger organisations with either a variety of services, products, geographical areas or markets. Within this structure each division operates as a semi-autonomous entity and has its own functions including HR and IT. </w:t>
      </w:r>
    </w:p>
    <w:p w:rsidRPr="00B33353" w:rsidR="00233E10" w:rsidP="00B33353" w:rsidRDefault="00233E10" w14:paraId="0D8E8093" w14:textId="77777777">
      <w:pPr>
        <w:pStyle w:val="NoSpacing"/>
        <w:spacing w:line="276" w:lineRule="auto"/>
        <w:rPr>
          <w:rFonts w:cs="Arial"/>
          <w:sz w:val="24"/>
        </w:rPr>
      </w:pPr>
    </w:p>
    <w:p w:rsidRPr="00B33353" w:rsidR="00233E10" w:rsidP="00B33353" w:rsidRDefault="00233E10" w14:paraId="2EE740B9" w14:textId="77777777">
      <w:pPr>
        <w:pStyle w:val="NoSpacing"/>
        <w:spacing w:line="276" w:lineRule="auto"/>
        <w:rPr>
          <w:rFonts w:cs="Arial"/>
          <w:sz w:val="24"/>
        </w:rPr>
      </w:pPr>
      <w:r w:rsidRPr="00B33353">
        <w:rPr>
          <w:rFonts w:cs="Arial"/>
          <w:sz w:val="24"/>
        </w:rPr>
        <w:t>There are advantages and disadvantages to this type of structure. One advantage within people management as stated by Krapp, Schultze and Weiler (2023) is within performance management and reward, as each division is unaffected by other divisions performance, this can lead to greater motivation within the workforce. Another advantage is potential to gain market advantage as each division has the specific skills and knowledge for the product / service being delivered. As with all structures there are also disadvantages. One of these is the additional costs that result with each division having duplication of resources and functions such as IT and HR (Robbins and Judge, 2016). A further disadvantage is that the divisions may start to compete against each other internally to gain advantage causing conflict within the organisation and potentially damaging the organisations reputation.</w:t>
      </w:r>
    </w:p>
    <w:p w:rsidRPr="00B33353" w:rsidR="00233E10" w:rsidP="00B33353" w:rsidRDefault="00233E10" w14:paraId="78AAD152" w14:textId="77777777">
      <w:pPr>
        <w:pStyle w:val="NoSpacing"/>
        <w:spacing w:line="276" w:lineRule="auto"/>
        <w:rPr>
          <w:rFonts w:cs="Arial"/>
          <w:sz w:val="24"/>
        </w:rPr>
      </w:pPr>
    </w:p>
    <w:p w:rsidRPr="00B33353" w:rsidR="00233E10" w:rsidP="00B33353" w:rsidRDefault="00233E10" w14:paraId="4C2D2801" w14:textId="77777777">
      <w:pPr>
        <w:pStyle w:val="NoSpacing"/>
        <w:spacing w:line="276" w:lineRule="auto"/>
        <w:rPr>
          <w:rFonts w:cs="Arial"/>
          <w:b/>
          <w:bCs/>
          <w:sz w:val="24"/>
          <w:u w:val="single"/>
        </w:rPr>
      </w:pPr>
      <w:r w:rsidRPr="00B33353">
        <w:rPr>
          <w:rFonts w:cs="Arial"/>
          <w:b/>
          <w:bCs/>
          <w:sz w:val="24"/>
          <w:u w:val="single"/>
        </w:rPr>
        <w:t>Matrix Structure</w:t>
      </w:r>
    </w:p>
    <w:p w:rsidRPr="00B33353" w:rsidR="00233E10" w:rsidP="00B33353" w:rsidRDefault="00233E10" w14:paraId="7B6499E2" w14:textId="77777777">
      <w:pPr>
        <w:pStyle w:val="NoSpacing"/>
        <w:spacing w:line="276" w:lineRule="auto"/>
        <w:rPr>
          <w:rFonts w:cs="Arial"/>
          <w:sz w:val="24"/>
        </w:rPr>
      </w:pPr>
    </w:p>
    <w:p w:rsidRPr="00B33353" w:rsidR="00233E10" w:rsidP="00B33353" w:rsidRDefault="00233E10" w14:paraId="5D70660A" w14:textId="77777777">
      <w:pPr>
        <w:pStyle w:val="NoSpacing"/>
        <w:spacing w:line="276" w:lineRule="auto"/>
        <w:rPr>
          <w:rFonts w:cs="Arial"/>
          <w:sz w:val="24"/>
        </w:rPr>
      </w:pPr>
      <w:r w:rsidRPr="00B33353">
        <w:rPr>
          <w:rFonts w:cs="Arial"/>
          <w:sz w:val="24"/>
        </w:rPr>
        <w:t>Unlike divisional structure Matrix Structure does not follow the traditional hierarchical model. As outlined by Taylor Woodham (2022) a matrix structure is formed when organisational strategies overlap. Within this structure resources, and staff are shared across project teams, departments and functions, whilst still conducting their main role and responsibilities.</w:t>
      </w:r>
    </w:p>
    <w:p w:rsidRPr="00B33353" w:rsidR="00233E10" w:rsidP="00B33353" w:rsidRDefault="00233E10" w14:paraId="3C07800D" w14:textId="77777777">
      <w:pPr>
        <w:pStyle w:val="NoSpacing"/>
        <w:spacing w:line="276" w:lineRule="auto"/>
        <w:rPr>
          <w:rFonts w:cs="Arial"/>
          <w:sz w:val="24"/>
        </w:rPr>
      </w:pPr>
      <w:r w:rsidRPr="00B33353">
        <w:rPr>
          <w:rFonts w:cs="Arial"/>
          <w:sz w:val="24"/>
        </w:rPr>
        <w:t>The team will then disband once the project is complete (BBC, 2025).</w:t>
      </w:r>
    </w:p>
    <w:p w:rsidRPr="00B33353" w:rsidR="00233E10" w:rsidP="00B33353" w:rsidRDefault="00233E10" w14:paraId="06C83437" w14:textId="77777777">
      <w:pPr>
        <w:pStyle w:val="NoSpacing"/>
        <w:spacing w:line="276" w:lineRule="auto"/>
        <w:rPr>
          <w:rFonts w:cs="Arial"/>
          <w:sz w:val="24"/>
        </w:rPr>
      </w:pPr>
    </w:p>
    <w:p w:rsidRPr="00B33353" w:rsidR="00233E10" w:rsidP="00B33353" w:rsidRDefault="00233E10" w14:paraId="4987CC04" w14:textId="6C5F48F5">
      <w:pPr>
        <w:pStyle w:val="NoSpacing"/>
        <w:spacing w:line="276" w:lineRule="auto"/>
        <w:rPr>
          <w:rFonts w:cs="Arial"/>
          <w:sz w:val="24"/>
        </w:rPr>
      </w:pPr>
      <w:r w:rsidRPr="00B33353">
        <w:rPr>
          <w:rFonts w:cs="Arial"/>
          <w:sz w:val="24"/>
        </w:rPr>
        <w:t>There are advantages of utilising this structure. One is that it provides individuals with an opportunity to collaborate with other departments or teams that they would not normally interact with. This can lead to increase in skills and may lead to increased motivation and productivity. This structure also promotes collaboration between departments (</w:t>
      </w:r>
      <w:proofErr w:type="spellStart"/>
      <w:r w:rsidRPr="00B33353">
        <w:rPr>
          <w:rFonts w:cs="Arial"/>
          <w:sz w:val="24"/>
        </w:rPr>
        <w:t>Jakhongir</w:t>
      </w:r>
      <w:proofErr w:type="spellEnd"/>
      <w:r w:rsidRPr="00B33353">
        <w:rPr>
          <w:rFonts w:cs="Arial"/>
          <w:sz w:val="24"/>
        </w:rPr>
        <w:t>, 2023). Some of the disadvantages of this structure are the potential of conflict or confusion as individuals will be reporting to more than one person (Taylor and Woodham, 2022</w:t>
      </w:r>
      <w:r w:rsidRPr="00B33353" w:rsidR="5D3751DC">
        <w:rPr>
          <w:rFonts w:cs="Arial"/>
          <w:sz w:val="24"/>
        </w:rPr>
        <w:t>a</w:t>
      </w:r>
      <w:r w:rsidRPr="00B33353">
        <w:rPr>
          <w:rFonts w:cs="Arial"/>
          <w:sz w:val="24"/>
        </w:rPr>
        <w:t xml:space="preserve">). There is also the risk of individuals becoming unsure of their key priorities, role and responsibilities, which may demotivate them. </w:t>
      </w:r>
    </w:p>
    <w:p w:rsidRPr="000C666D" w:rsidR="00B30D2B" w:rsidP="00B30D2B" w:rsidRDefault="00B30D2B" w14:paraId="60DEDFD1" w14:textId="77777777">
      <w:pPr>
        <w:pStyle w:val="Heading1"/>
      </w:pPr>
      <w:r w:rsidRPr="003646A0">
        <w:lastRenderedPageBreak/>
        <w:t>Analyse the extent to which the organisational strategy in your organisation (or an organisation with which you are familiar) helps to ensure products or services meet customers’ needs. (AC 1.2)</w:t>
      </w:r>
    </w:p>
    <w:p w:rsidRPr="00B33353" w:rsidR="00B73F64" w:rsidP="00B33353" w:rsidRDefault="00B73F64" w14:paraId="329E2E90" w14:textId="77777777">
      <w:pPr>
        <w:spacing w:line="276" w:lineRule="auto"/>
        <w:rPr>
          <w:rFonts w:cs="Arial"/>
          <w:sz w:val="24"/>
        </w:rPr>
      </w:pPr>
    </w:p>
    <w:p w:rsidRPr="00B33353" w:rsidR="00233E10" w:rsidP="00B33353" w:rsidRDefault="00233E10" w14:paraId="3889C34B" w14:textId="77777777">
      <w:pPr>
        <w:spacing w:line="276" w:lineRule="auto"/>
        <w:rPr>
          <w:rFonts w:eastAsia="Arial" w:cs="Arial"/>
          <w:sz w:val="24"/>
        </w:rPr>
      </w:pPr>
      <w:r w:rsidRPr="00B33353">
        <w:rPr>
          <w:rFonts w:eastAsia="Arial" w:cs="Arial"/>
          <w:sz w:val="24"/>
        </w:rPr>
        <w:t>Moore Interiors Wales Limited (MIW) is an SME based in Swansea South Wales, operating within the construction industry, delivering full refurbishment of commercial and residential properties. The services provided, starts at initial design through to the final completed works. The Covid pandemic had a significant impact on the construction industry, with many failing to recover. This has resulted in ‘4,401 construction companies in England and Wales registered as insolvent’ during the tax year 2023/4 (</w:t>
      </w:r>
      <w:proofErr w:type="spellStart"/>
      <w:r w:rsidRPr="00B33353">
        <w:rPr>
          <w:rFonts w:eastAsia="Arial" w:cs="Arial"/>
          <w:sz w:val="24"/>
        </w:rPr>
        <w:t>Weinfass</w:t>
      </w:r>
      <w:proofErr w:type="spellEnd"/>
      <w:r w:rsidRPr="00B33353">
        <w:rPr>
          <w:rFonts w:eastAsia="Arial" w:cs="Arial"/>
          <w:sz w:val="24"/>
        </w:rPr>
        <w:t>, 2024). As a result of a PESTLE Analysis conducted in relation to this market change MIW is currently operating an emergent strategy.</w:t>
      </w:r>
    </w:p>
    <w:p w:rsidRPr="00B33353" w:rsidR="00233E10" w:rsidP="00B33353" w:rsidRDefault="00233E10" w14:paraId="1815D42A" w14:textId="77777777">
      <w:pPr>
        <w:spacing w:line="276" w:lineRule="auto"/>
        <w:rPr>
          <w:rFonts w:eastAsia="Arial" w:cs="Arial"/>
          <w:sz w:val="24"/>
        </w:rPr>
      </w:pPr>
    </w:p>
    <w:p w:rsidRPr="00B33353" w:rsidR="00233E10" w:rsidP="00B33353" w:rsidRDefault="00233E10" w14:paraId="1879006A" w14:textId="77777777">
      <w:pPr>
        <w:spacing w:line="276" w:lineRule="auto"/>
        <w:rPr>
          <w:rFonts w:eastAsia="Arial" w:cs="Arial"/>
          <w:sz w:val="24"/>
        </w:rPr>
      </w:pPr>
      <w:r w:rsidRPr="00B33353">
        <w:rPr>
          <w:rFonts w:eastAsia="Arial" w:cs="Arial"/>
          <w:sz w:val="24"/>
        </w:rPr>
        <w:t xml:space="preserve">This strategy is defined by </w:t>
      </w:r>
      <w:r w:rsidRPr="00B33353">
        <w:rPr>
          <w:rFonts w:cs="Arial"/>
          <w:sz w:val="24"/>
        </w:rPr>
        <w:t xml:space="preserve">Heery and Noon (2017), is a strategy without a formal statement, </w:t>
      </w:r>
      <w:r w:rsidRPr="00B33353">
        <w:rPr>
          <w:rFonts w:eastAsia="Arial" w:cs="Arial"/>
          <w:sz w:val="24"/>
        </w:rPr>
        <w:t>which is not pre-planned, and where decision-making follows a consistent course of action.</w:t>
      </w:r>
    </w:p>
    <w:p w:rsidRPr="00B33353" w:rsidR="00233E10" w:rsidP="00B33353" w:rsidRDefault="00233E10" w14:paraId="75119BFA" w14:textId="77777777">
      <w:pPr>
        <w:spacing w:line="276" w:lineRule="auto"/>
        <w:rPr>
          <w:rFonts w:eastAsia="Arial" w:cs="Arial"/>
          <w:sz w:val="24"/>
        </w:rPr>
      </w:pPr>
    </w:p>
    <w:p w:rsidRPr="00B33353" w:rsidR="00233E10" w:rsidP="00B33353" w:rsidRDefault="00233E10" w14:paraId="3F99ABDF" w14:textId="77777777">
      <w:pPr>
        <w:spacing w:line="276" w:lineRule="auto"/>
        <w:rPr>
          <w:rFonts w:eastAsia="Arial" w:cs="Arial"/>
          <w:sz w:val="24"/>
        </w:rPr>
      </w:pPr>
      <w:r w:rsidRPr="00B33353">
        <w:rPr>
          <w:rFonts w:eastAsia="Arial" w:cs="Arial"/>
          <w:sz w:val="24"/>
        </w:rPr>
        <w:t xml:space="preserve">Products and services available are, interior design auto cad plans and 3D visuals, demolition, general building, shop fronts, carpentry, mechanical and electrical, plumbing, suspended ceilings, painting, flooring and internal and external signage. MI has a core team of fitters in addition to a strong management team coordinating projects. Specialist services such as mechanical and electrical are subcontracted out to trusted and vetted contractors. </w:t>
      </w:r>
    </w:p>
    <w:p w:rsidRPr="00B33353" w:rsidR="00233E10" w:rsidP="00B33353" w:rsidRDefault="00233E10" w14:paraId="05637324" w14:textId="77777777">
      <w:pPr>
        <w:spacing w:line="276" w:lineRule="auto"/>
        <w:rPr>
          <w:rFonts w:eastAsia="Arial" w:cs="Arial"/>
          <w:sz w:val="24"/>
        </w:rPr>
      </w:pPr>
    </w:p>
    <w:p w:rsidRPr="00B33353" w:rsidR="00233E10" w:rsidP="00B33353" w:rsidRDefault="00233E10" w14:paraId="5344D97C" w14:textId="77777777">
      <w:pPr>
        <w:spacing w:line="276" w:lineRule="auto"/>
        <w:rPr>
          <w:rFonts w:eastAsia="Arial" w:cs="Arial"/>
          <w:sz w:val="24"/>
        </w:rPr>
      </w:pPr>
      <w:r w:rsidRPr="00B33353">
        <w:rPr>
          <w:rFonts w:eastAsia="Arial" w:cs="Arial"/>
          <w:sz w:val="24"/>
        </w:rPr>
        <w:t>MIW customers are predominantly commercial organisations ranging from small independent businesses to national organisations. By working with various partners and subcontractors MIW provides professional and efficiency to all of it customers regardless of size, as it can adapt to provide any service or product the customer may want or need. This reduces the time that the customer would spend engaging and managing multiple contractors on site.</w:t>
      </w:r>
    </w:p>
    <w:p w:rsidRPr="00B33353" w:rsidR="00233E10" w:rsidP="00B33353" w:rsidRDefault="00233E10" w14:paraId="135846BC" w14:textId="77777777">
      <w:pPr>
        <w:spacing w:line="276" w:lineRule="auto"/>
        <w:rPr>
          <w:rFonts w:eastAsia="Arial" w:cs="Arial"/>
          <w:sz w:val="24"/>
        </w:rPr>
      </w:pPr>
    </w:p>
    <w:p w:rsidRPr="00B33353" w:rsidR="00233E10" w:rsidP="00B33353" w:rsidRDefault="00233E10" w14:paraId="3C9E6839" w14:textId="77777777">
      <w:pPr>
        <w:spacing w:line="276" w:lineRule="auto"/>
        <w:rPr>
          <w:rFonts w:eastAsia="Arial" w:cs="Arial"/>
          <w:sz w:val="24"/>
        </w:rPr>
      </w:pPr>
      <w:r w:rsidRPr="00B33353">
        <w:rPr>
          <w:rFonts w:eastAsia="Arial" w:cs="Arial"/>
          <w:sz w:val="24"/>
        </w:rPr>
        <w:t xml:space="preserve">The emergent strategy has assisted MIW in delivering this wide range of services and meeting customers’ needs as the strategy is flexible and can adjust and adapt to allow MIW to change priorities or pursue other opportunities as they emerge (Stobierski, 2020).  </w:t>
      </w:r>
    </w:p>
    <w:p w:rsidRPr="00B33353" w:rsidR="00233E10" w:rsidP="00B33353" w:rsidRDefault="00233E10" w14:paraId="4B3482C6" w14:textId="77777777">
      <w:pPr>
        <w:spacing w:line="276" w:lineRule="auto"/>
        <w:rPr>
          <w:rFonts w:cs="Arial"/>
          <w:sz w:val="24"/>
        </w:rPr>
      </w:pPr>
    </w:p>
    <w:p w:rsidRPr="000C666D" w:rsidR="00FF6D8F" w:rsidP="00FF6D8F" w:rsidRDefault="00FF6D8F" w14:paraId="669E0F70" w14:textId="77777777">
      <w:pPr>
        <w:pStyle w:val="Heading1"/>
      </w:pPr>
      <w:r w:rsidRPr="000C666D">
        <w:t xml:space="preserve">Analyse the current impact of interest rates, inflation and </w:t>
      </w:r>
      <w:r w:rsidRPr="003B748A">
        <w:rPr>
          <w:bCs/>
        </w:rPr>
        <w:t>one</w:t>
      </w:r>
      <w:r w:rsidRPr="000C666D">
        <w:t xml:space="preserve"> other external factor on your organisation (or one with which you are familiar). Identify organisational priorities arising from your analysis. (AC 1.3)</w:t>
      </w:r>
    </w:p>
    <w:p w:rsidRPr="00B33353" w:rsidR="00233E10" w:rsidP="00B33353" w:rsidRDefault="00233E10" w14:paraId="2276C41E" w14:textId="77777777">
      <w:pPr>
        <w:spacing w:line="276" w:lineRule="auto"/>
        <w:rPr>
          <w:rFonts w:cs="Arial"/>
          <w:sz w:val="24"/>
        </w:rPr>
      </w:pPr>
    </w:p>
    <w:p w:rsidRPr="00B33353" w:rsidR="00233E10" w:rsidP="00B33353" w:rsidRDefault="00233E10" w14:paraId="7E664B2B" w14:textId="77777777">
      <w:pPr>
        <w:pStyle w:val="ListParagraph"/>
        <w:spacing w:line="276" w:lineRule="auto"/>
        <w:ind w:left="0"/>
        <w:rPr>
          <w:rFonts w:eastAsia="Trebuchet MS" w:cs="Arial"/>
          <w:sz w:val="24"/>
        </w:rPr>
      </w:pPr>
      <w:r w:rsidRPr="00B33353">
        <w:rPr>
          <w:rFonts w:eastAsia="Trebuchet MS" w:cs="Arial"/>
          <w:sz w:val="24"/>
        </w:rPr>
        <w:t>Interest rates, have a direct effect on borrowing and effect both individuals and companies daily. From November 2022, the Bank of England base rate (</w:t>
      </w:r>
      <w:proofErr w:type="spellStart"/>
      <w:r w:rsidRPr="00B33353">
        <w:rPr>
          <w:rFonts w:eastAsia="Trebuchet MS" w:cs="Arial"/>
          <w:sz w:val="24"/>
        </w:rPr>
        <w:t>BoEBR</w:t>
      </w:r>
      <w:proofErr w:type="spellEnd"/>
      <w:r w:rsidRPr="00B33353">
        <w:rPr>
          <w:rFonts w:eastAsia="Trebuchet MS" w:cs="Arial"/>
          <w:sz w:val="24"/>
        </w:rPr>
        <w:t xml:space="preserve">) </w:t>
      </w:r>
      <w:r w:rsidRPr="00B33353">
        <w:rPr>
          <w:rFonts w:eastAsia="Trebuchet MS" w:cs="Arial"/>
          <w:sz w:val="24"/>
        </w:rPr>
        <w:lastRenderedPageBreak/>
        <w:t>started to rise steadily, reaching its peak of 5.25% in August 2023, which was the highest rate since February 2008 (Bank of England, 2024). This increase in the base rate directly affected interest rates offered by financial institutions, significantly increasing the cost of borrowing. Construction projects often demand a large amount of money to fund them and when design, building and refurbishment projects are for cosmetic rather than essential works, they are often the most vulnerable to such economic fluctuations.</w:t>
      </w:r>
    </w:p>
    <w:p w:rsidRPr="00B33353" w:rsidR="00233E10" w:rsidP="00B33353" w:rsidRDefault="00233E10" w14:paraId="355EBC83" w14:textId="77777777">
      <w:pPr>
        <w:pStyle w:val="ListParagraph"/>
        <w:spacing w:line="276" w:lineRule="auto"/>
        <w:ind w:left="0"/>
        <w:rPr>
          <w:rFonts w:eastAsia="Trebuchet MS" w:cs="Arial"/>
          <w:sz w:val="24"/>
          <w:highlight w:val="yellow"/>
        </w:rPr>
      </w:pPr>
    </w:p>
    <w:p w:rsidRPr="00B33353" w:rsidR="00233E10" w:rsidP="00B33353" w:rsidRDefault="00233E10" w14:paraId="0E72CC3A" w14:textId="77777777">
      <w:pPr>
        <w:pStyle w:val="ListParagraph"/>
        <w:spacing w:line="276" w:lineRule="auto"/>
        <w:ind w:left="0"/>
        <w:rPr>
          <w:rFonts w:eastAsia="Trebuchet MS" w:cs="Arial"/>
          <w:sz w:val="24"/>
        </w:rPr>
      </w:pPr>
      <w:r w:rsidRPr="00B33353">
        <w:rPr>
          <w:rFonts w:eastAsia="Trebuchet MS" w:cs="Arial"/>
          <w:sz w:val="24"/>
        </w:rPr>
        <w:t xml:space="preserve">Inflation rates are a measure of how much the price of goods and services have increased over time. The government target for inflation is 2% but as of December 2024 is 2.5%. Although this is a reduction of 1.5% from January 2024 the inflation rate has fluctuated over the 12-month period, which causes uncertainty in the market as it is hard for businesses to establish the right prices and plan effectively (Bank of England, 2025). Inflation fluctuation has negatively affected MIW in a number of areas but primarily in the cost of labour and materials, and the difficultly to plan effectively (Outram, 2022). The increased costs have resulted in higher costs for completion of projects for the client, which in additional to the higher borrowing costs has resulted in a downturn in demand. This will remain the case until the rate of inflation reaches and is maintained at the government target. </w:t>
      </w:r>
    </w:p>
    <w:p w:rsidRPr="00B33353" w:rsidR="00233E10" w:rsidP="00B33353" w:rsidRDefault="00233E10" w14:paraId="6511905B" w14:textId="77777777">
      <w:pPr>
        <w:pStyle w:val="ListParagraph"/>
        <w:spacing w:line="276" w:lineRule="auto"/>
        <w:ind w:left="0"/>
        <w:rPr>
          <w:rFonts w:eastAsia="Trebuchet MS" w:cs="Arial"/>
          <w:sz w:val="24"/>
          <w:highlight w:val="yellow"/>
        </w:rPr>
      </w:pPr>
    </w:p>
    <w:p w:rsidRPr="00B33353" w:rsidR="00233E10" w:rsidP="00B33353" w:rsidRDefault="00233E10" w14:paraId="6DDBD13E" w14:textId="35A1A9E0">
      <w:pPr>
        <w:pStyle w:val="ListParagraph"/>
        <w:spacing w:line="276" w:lineRule="auto"/>
        <w:ind w:left="0"/>
        <w:rPr>
          <w:rFonts w:eastAsia="Trebuchet MS" w:cs="Arial"/>
          <w:sz w:val="24"/>
        </w:rPr>
      </w:pPr>
      <w:r w:rsidRPr="00B33353">
        <w:rPr>
          <w:rFonts w:eastAsia="Trebuchet MS" w:cs="Arial"/>
          <w:sz w:val="24"/>
        </w:rPr>
        <w:t>It is widely reported that there is a significant shortage of skilled labour shortages are a common problem in the construction industry. This is further impacted by a large number of skilled workers who are approaching retirement age without sufficient numbers of younger workers to replace them (Sullivan, 2024). As stated by Taylor and Woodhams (2022</w:t>
      </w:r>
      <w:r w:rsidRPr="00B33353" w:rsidR="0F6B5221">
        <w:rPr>
          <w:rFonts w:eastAsia="Trebuchet MS" w:cs="Arial"/>
          <w:sz w:val="24"/>
        </w:rPr>
        <w:t>a</w:t>
      </w:r>
      <w:r w:rsidRPr="00B33353">
        <w:rPr>
          <w:rFonts w:eastAsia="Trebuchet MS" w:cs="Arial"/>
          <w:sz w:val="24"/>
        </w:rPr>
        <w:t>) the 21</w:t>
      </w:r>
      <w:r w:rsidRPr="00B33353">
        <w:rPr>
          <w:rFonts w:eastAsia="Trebuchet MS" w:cs="Arial"/>
          <w:sz w:val="24"/>
          <w:vertAlign w:val="superscript"/>
        </w:rPr>
        <w:t>st</w:t>
      </w:r>
      <w:r w:rsidRPr="00B33353">
        <w:rPr>
          <w:rFonts w:eastAsia="Trebuchet MS" w:cs="Arial"/>
          <w:sz w:val="24"/>
        </w:rPr>
        <w:t xml:space="preserve"> century has seen major strides in upskilling the working age population, through university, apprenticeships and workplace qualifications. However, MIW has identified that there is a lack of specialised courses available within the business area. The effect on MIW and the wider construction industry, is delays on projects and increased costs, as the limited number of skilled workers demand a premium for their skills. This has a long-term impact on the business and options are reviewed regularly to reduce issues.</w:t>
      </w:r>
    </w:p>
    <w:p w:rsidRPr="00B33353" w:rsidR="00233E10" w:rsidP="00B33353" w:rsidRDefault="00233E10" w14:paraId="24F71DBA" w14:textId="77777777">
      <w:pPr>
        <w:pStyle w:val="ListParagraph"/>
        <w:spacing w:line="276" w:lineRule="auto"/>
        <w:ind w:left="0"/>
        <w:rPr>
          <w:rFonts w:eastAsia="Trebuchet MS" w:cs="Arial"/>
          <w:sz w:val="24"/>
          <w:highlight w:val="yellow"/>
        </w:rPr>
      </w:pPr>
    </w:p>
    <w:p w:rsidRPr="00B33353" w:rsidR="00233E10" w:rsidP="00B33353" w:rsidRDefault="00233E10" w14:paraId="373C391E" w14:textId="77777777">
      <w:pPr>
        <w:pStyle w:val="ListParagraph"/>
        <w:spacing w:line="276" w:lineRule="auto"/>
        <w:ind w:left="0"/>
        <w:rPr>
          <w:rFonts w:eastAsia="Trebuchet MS" w:cs="Arial"/>
          <w:sz w:val="24"/>
        </w:rPr>
      </w:pPr>
      <w:r w:rsidRPr="00B33353">
        <w:rPr>
          <w:rFonts w:eastAsia="Trebuchet MS" w:cs="Arial"/>
          <w:sz w:val="24"/>
        </w:rPr>
        <w:t xml:space="preserve">Priorities identified by MIW in response to the above factors, was to review policies and procedures to ensure the highest levels of compliance. This has enabled MIW to achieve CHAS Gold status on Constructionline, a construction industry platform. This accreditation has allowed MIW to tender for larger private commercial and Government contracts, which seem to have been less affected by the increased interest and inflation rates. MIW have also prioritised training of new skilled workers, by directly employing two young apprentices in addition to offering our skilled employees and key subcontractors’ incentives to ensure the apprentices receive the required training and support on site, especially where there are no available courses available. </w:t>
      </w:r>
    </w:p>
    <w:p w:rsidRPr="00B33353" w:rsidR="00233E10" w:rsidP="00B33353" w:rsidRDefault="00233E10" w14:paraId="5C8F3EBA" w14:textId="77777777">
      <w:pPr>
        <w:spacing w:line="276" w:lineRule="auto"/>
        <w:rPr>
          <w:rFonts w:cs="Arial"/>
          <w:sz w:val="24"/>
        </w:rPr>
      </w:pPr>
    </w:p>
    <w:p w:rsidRPr="000C666D" w:rsidR="00055471" w:rsidP="00055471" w:rsidRDefault="00055471" w14:paraId="703876A4" w14:textId="77777777">
      <w:pPr>
        <w:pStyle w:val="Heading1"/>
      </w:pPr>
      <w:r w:rsidRPr="000C666D">
        <w:lastRenderedPageBreak/>
        <w:t xml:space="preserve">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w:t>
      </w:r>
      <w:r w:rsidRPr="000C666D">
        <w:rPr>
          <w:bCs/>
        </w:rPr>
        <w:t>and</w:t>
      </w:r>
      <w:r w:rsidRPr="000C666D">
        <w:t xml:space="preserve"> assess how AI impacts work. (AC 1.4)</w:t>
      </w:r>
    </w:p>
    <w:p w:rsidRPr="00B33353" w:rsidR="00233E10" w:rsidP="00B33353" w:rsidRDefault="00233E10" w14:paraId="73639FE8" w14:textId="77777777">
      <w:pPr>
        <w:spacing w:line="276" w:lineRule="auto"/>
        <w:rPr>
          <w:rFonts w:cs="Arial"/>
          <w:sz w:val="24"/>
        </w:rPr>
      </w:pPr>
    </w:p>
    <w:p w:rsidRPr="00B33353" w:rsidR="00233E10" w:rsidP="00B33353" w:rsidRDefault="00233E10" w14:paraId="0EF93EBB" w14:textId="77777777">
      <w:pPr>
        <w:spacing w:line="276" w:lineRule="auto"/>
        <w:rPr>
          <w:rFonts w:eastAsia="Trebuchet MS" w:cs="Arial"/>
          <w:sz w:val="24"/>
        </w:rPr>
      </w:pPr>
      <w:r w:rsidRPr="00B33353">
        <w:rPr>
          <w:rFonts w:cs="Arial"/>
          <w:color w:val="000000" w:themeColor="text1"/>
          <w:sz w:val="24"/>
        </w:rPr>
        <w:t>AI is not currently utilised within my MIW, as the primary service is manual and skilled labour. There is also a barrier to utilising this technology as some of the directors and senior management have limited IT skills and prefer ‘old school’ methods of conducting business. However, with more requirements in relation to health and safety and contracts of service there is potential that AI can be utilised in these areas in the future. For example, design and construct contracts and research and method statements (RAMS). There is also potential for AI to be used in general administration including policies, employee handbooks and contracts of employment. This could potentially benefit the organisation by allowing individuals time to focus on other key areas including time on site and face to face customer engagement.</w:t>
      </w:r>
    </w:p>
    <w:p w:rsidRPr="00B33353" w:rsidR="00233E10" w:rsidP="00B33353" w:rsidRDefault="00233E10" w14:paraId="0AE852E5" w14:textId="77777777">
      <w:pPr>
        <w:spacing w:line="276" w:lineRule="auto"/>
        <w:rPr>
          <w:rFonts w:eastAsia="Trebuchet MS" w:cs="Arial"/>
          <w:sz w:val="24"/>
        </w:rPr>
      </w:pPr>
    </w:p>
    <w:p w:rsidRPr="00B33353" w:rsidR="00233E10" w:rsidP="00B33353" w:rsidRDefault="00233E10" w14:paraId="0DC0CF32" w14:textId="77777777">
      <w:pPr>
        <w:spacing w:line="276" w:lineRule="auto"/>
        <w:rPr>
          <w:rFonts w:eastAsia="Trebuchet MS" w:cs="Arial"/>
          <w:sz w:val="24"/>
        </w:rPr>
      </w:pPr>
      <w:r w:rsidRPr="00B33353">
        <w:rPr>
          <w:rFonts w:cs="Arial"/>
          <w:color w:val="000000" w:themeColor="text1"/>
          <w:sz w:val="24"/>
        </w:rPr>
        <w:t xml:space="preserve">There are numerous benefits to using AI within business, as </w:t>
      </w:r>
      <w:r w:rsidRPr="00B33353">
        <w:rPr>
          <w:rFonts w:eastAsia="Trebuchet MS" w:cs="Arial"/>
          <w:sz w:val="24"/>
        </w:rPr>
        <w:t>The Department of Education (2023)</w:t>
      </w:r>
      <w:r w:rsidRPr="00B33353">
        <w:rPr>
          <w:rFonts w:eastAsia="Trebuchet MS" w:cs="Arial"/>
          <w:b/>
          <w:bCs/>
          <w:sz w:val="24"/>
        </w:rPr>
        <w:t xml:space="preserve"> </w:t>
      </w:r>
      <w:r w:rsidRPr="00B33353">
        <w:rPr>
          <w:rFonts w:eastAsia="Trebuchet MS" w:cs="Arial"/>
          <w:sz w:val="24"/>
        </w:rPr>
        <w:t xml:space="preserve">paper states that with an estimated 10-30% of jobs being automatable through AI, it has the potential to increase productivity and have a positive impact on the UK economy. Furthermore, as reported by CIOB (2024) The availability of AI technologies within the construction industry could not only improve efficiency, but accessing these emerging technologies can potentially allow SMEs to grow and compete on a larger scale. With applications specific to the construction industry including analysing data in relation to procurement or identifying potential safety risks. </w:t>
      </w:r>
    </w:p>
    <w:p w:rsidRPr="00B33353" w:rsidR="00233E10" w:rsidP="00B33353" w:rsidRDefault="00233E10" w14:paraId="38D966E3" w14:textId="77777777">
      <w:pPr>
        <w:spacing w:line="276" w:lineRule="auto"/>
        <w:rPr>
          <w:rFonts w:eastAsia="Trebuchet MS" w:cs="Arial"/>
          <w:sz w:val="24"/>
        </w:rPr>
      </w:pPr>
    </w:p>
    <w:p w:rsidRPr="00B33353" w:rsidR="00233E10" w:rsidP="00B33353" w:rsidRDefault="00233E10" w14:paraId="074CF560" w14:textId="77777777">
      <w:pPr>
        <w:spacing w:line="276" w:lineRule="auto"/>
        <w:rPr>
          <w:rFonts w:cs="Arial"/>
          <w:color w:val="000000" w:themeColor="text1"/>
          <w:sz w:val="24"/>
        </w:rPr>
      </w:pPr>
      <w:r w:rsidRPr="00B33353">
        <w:rPr>
          <w:rFonts w:eastAsia="Trebuchet MS" w:cs="Arial"/>
          <w:sz w:val="24"/>
        </w:rPr>
        <w:t xml:space="preserve">However, </w:t>
      </w:r>
      <w:r w:rsidRPr="00B33353">
        <w:rPr>
          <w:rFonts w:cs="Arial"/>
          <w:color w:val="000000" w:themeColor="text1"/>
          <w:sz w:val="24"/>
        </w:rPr>
        <w:t xml:space="preserve">as outlined by </w:t>
      </w:r>
      <w:proofErr w:type="spellStart"/>
      <w:r w:rsidRPr="00B33353">
        <w:rPr>
          <w:rFonts w:cs="Arial"/>
          <w:color w:val="000000" w:themeColor="text1"/>
          <w:sz w:val="24"/>
        </w:rPr>
        <w:t>Mohdzaini</w:t>
      </w:r>
      <w:proofErr w:type="spellEnd"/>
      <w:r w:rsidRPr="00B33353">
        <w:rPr>
          <w:rFonts w:cs="Arial"/>
          <w:color w:val="000000" w:themeColor="text1"/>
          <w:sz w:val="24"/>
        </w:rPr>
        <w:t xml:space="preserve"> (2025) it is important for organisations to take a responsible approach to the adoption of AI and its success will rely heavily on the people profession. UK Government has proposed a framework for regulating AI, which is to be underpinned by the following five principles: </w:t>
      </w:r>
    </w:p>
    <w:p w:rsidRPr="00B33353" w:rsidR="00233E10" w:rsidP="00B33353" w:rsidRDefault="00233E10" w14:paraId="2E6E0E5C" w14:textId="77777777">
      <w:pPr>
        <w:spacing w:line="276" w:lineRule="auto"/>
        <w:rPr>
          <w:rFonts w:cs="Arial"/>
          <w:color w:val="000000" w:themeColor="text1"/>
          <w:sz w:val="24"/>
        </w:rPr>
      </w:pPr>
    </w:p>
    <w:p w:rsidRPr="00B33353" w:rsidR="00233E10" w:rsidP="00B33353" w:rsidRDefault="00233E10" w14:paraId="4F29B8E3" w14:textId="77777777">
      <w:pPr>
        <w:numPr>
          <w:ilvl w:val="0"/>
          <w:numId w:val="1"/>
        </w:numPr>
        <w:spacing w:line="276" w:lineRule="auto"/>
        <w:ind w:left="851"/>
        <w:rPr>
          <w:rFonts w:cs="Arial"/>
          <w:caps/>
          <w:color w:val="000000" w:themeColor="text1"/>
          <w:sz w:val="24"/>
        </w:rPr>
      </w:pPr>
      <w:r w:rsidRPr="00B33353">
        <w:rPr>
          <w:rFonts w:cs="Arial"/>
          <w:color w:val="000000" w:themeColor="text1"/>
          <w:sz w:val="24"/>
        </w:rPr>
        <w:t>safety, security and robustness</w:t>
      </w:r>
    </w:p>
    <w:p w:rsidRPr="00B33353" w:rsidR="00233E10" w:rsidP="00B33353" w:rsidRDefault="00233E10" w14:paraId="0EA6B1A9" w14:textId="77777777">
      <w:pPr>
        <w:numPr>
          <w:ilvl w:val="0"/>
          <w:numId w:val="1"/>
        </w:numPr>
        <w:spacing w:line="276" w:lineRule="auto"/>
        <w:ind w:left="851"/>
        <w:rPr>
          <w:rFonts w:cs="Arial"/>
          <w:caps/>
          <w:color w:val="000000" w:themeColor="text1"/>
          <w:sz w:val="24"/>
        </w:rPr>
      </w:pPr>
      <w:r w:rsidRPr="00B33353">
        <w:rPr>
          <w:rFonts w:cs="Arial"/>
          <w:color w:val="000000" w:themeColor="text1"/>
          <w:sz w:val="24"/>
        </w:rPr>
        <w:t>appropriate transparency and explainability</w:t>
      </w:r>
    </w:p>
    <w:p w:rsidRPr="00B33353" w:rsidR="00233E10" w:rsidP="00B33353" w:rsidRDefault="00233E10" w14:paraId="2BFA6807" w14:textId="77777777">
      <w:pPr>
        <w:numPr>
          <w:ilvl w:val="0"/>
          <w:numId w:val="1"/>
        </w:numPr>
        <w:spacing w:line="276" w:lineRule="auto"/>
        <w:ind w:left="851"/>
        <w:rPr>
          <w:rFonts w:cs="Arial"/>
          <w:caps/>
          <w:color w:val="000000" w:themeColor="text1"/>
          <w:sz w:val="24"/>
        </w:rPr>
      </w:pPr>
      <w:proofErr w:type="gramStart"/>
      <w:r w:rsidRPr="00B33353">
        <w:rPr>
          <w:rFonts w:cs="Arial"/>
          <w:color w:val="000000" w:themeColor="text1"/>
          <w:sz w:val="24"/>
        </w:rPr>
        <w:t>fairness;</w:t>
      </w:r>
      <w:proofErr w:type="gramEnd"/>
    </w:p>
    <w:p w:rsidRPr="00B33353" w:rsidR="00233E10" w:rsidP="00B33353" w:rsidRDefault="00233E10" w14:paraId="4075A0E5" w14:textId="77777777">
      <w:pPr>
        <w:numPr>
          <w:ilvl w:val="0"/>
          <w:numId w:val="1"/>
        </w:numPr>
        <w:spacing w:line="276" w:lineRule="auto"/>
        <w:ind w:left="851"/>
        <w:rPr>
          <w:rFonts w:cs="Arial"/>
          <w:caps/>
          <w:color w:val="000000" w:themeColor="text1"/>
          <w:sz w:val="24"/>
        </w:rPr>
      </w:pPr>
      <w:r w:rsidRPr="00B33353">
        <w:rPr>
          <w:rFonts w:cs="Arial"/>
          <w:color w:val="000000" w:themeColor="text1"/>
          <w:sz w:val="24"/>
        </w:rPr>
        <w:t>accountability and governance, and</w:t>
      </w:r>
    </w:p>
    <w:p w:rsidRPr="00B33353" w:rsidR="00233E10" w:rsidP="00B33353" w:rsidRDefault="00233E10" w14:paraId="7BAA4E8C" w14:textId="77777777">
      <w:pPr>
        <w:numPr>
          <w:ilvl w:val="0"/>
          <w:numId w:val="1"/>
        </w:numPr>
        <w:spacing w:line="276" w:lineRule="auto"/>
        <w:ind w:left="851"/>
        <w:rPr>
          <w:rFonts w:cs="Arial"/>
          <w:caps/>
          <w:color w:val="000000" w:themeColor="text1"/>
          <w:sz w:val="24"/>
        </w:rPr>
      </w:pPr>
      <w:r w:rsidRPr="00B33353">
        <w:rPr>
          <w:rFonts w:cs="Arial"/>
          <w:color w:val="000000" w:themeColor="text1"/>
          <w:sz w:val="24"/>
        </w:rPr>
        <w:t>contestability and redress.</w:t>
      </w:r>
    </w:p>
    <w:p w:rsidRPr="00B33353" w:rsidR="00233E10" w:rsidP="00B33353" w:rsidRDefault="00233E10" w14:paraId="4F945D80" w14:textId="77777777">
      <w:pPr>
        <w:pStyle w:val="NoSpacing"/>
        <w:spacing w:line="276" w:lineRule="auto"/>
        <w:ind w:left="851"/>
        <w:rPr>
          <w:rFonts w:cs="Arial"/>
          <w:sz w:val="24"/>
        </w:rPr>
      </w:pPr>
      <w:r w:rsidRPr="00B33353">
        <w:rPr>
          <w:rFonts w:cs="Arial"/>
          <w:sz w:val="24"/>
        </w:rPr>
        <w:t xml:space="preserve">(Department for Science, Innovation &amp; Technology, 2023) </w:t>
      </w:r>
    </w:p>
    <w:p w:rsidR="00233E10" w:rsidP="00B33353" w:rsidRDefault="00233E10" w14:paraId="784BCCB5" w14:textId="77777777">
      <w:pPr>
        <w:spacing w:line="276" w:lineRule="auto"/>
        <w:rPr>
          <w:rFonts w:cs="Arial"/>
          <w:sz w:val="24"/>
        </w:rPr>
      </w:pPr>
    </w:p>
    <w:p w:rsidRPr="00B33353" w:rsidR="003B3445" w:rsidP="00B33353" w:rsidRDefault="003B3445" w14:paraId="28847162" w14:textId="77777777">
      <w:pPr>
        <w:spacing w:line="276" w:lineRule="auto"/>
        <w:rPr>
          <w:rFonts w:cs="Arial"/>
          <w:sz w:val="24"/>
        </w:rPr>
      </w:pPr>
    </w:p>
    <w:p w:rsidRPr="000C666D" w:rsidR="003B3445" w:rsidP="003B3445" w:rsidRDefault="003B3445" w14:paraId="04F3E052" w14:textId="77777777">
      <w:pPr>
        <w:pStyle w:val="Heading1"/>
      </w:pPr>
      <w:r w:rsidRPr="000C666D">
        <w:lastRenderedPageBreak/>
        <w:t xml:space="preserve">Explain </w:t>
      </w:r>
      <w:r w:rsidRPr="63F179EE">
        <w:t>Charles Handy’s model of organisational culture</w:t>
      </w:r>
      <w:r w:rsidRPr="000C666D">
        <w:t xml:space="preserve"> </w:t>
      </w:r>
      <w:r w:rsidRPr="000C666D">
        <w:rPr>
          <w:bCs/>
        </w:rPr>
        <w:t>and</w:t>
      </w:r>
      <w:r w:rsidRPr="000C666D">
        <w:t xml:space="preserve"> explain David Rock’s SCARF theory. (AC 2.1)</w:t>
      </w:r>
    </w:p>
    <w:p w:rsidRPr="00B33353" w:rsidR="00233E10" w:rsidP="00B33353" w:rsidRDefault="00233E10" w14:paraId="67A827D2" w14:textId="77777777">
      <w:pPr>
        <w:spacing w:line="276" w:lineRule="auto"/>
        <w:rPr>
          <w:rFonts w:cs="Arial"/>
          <w:sz w:val="24"/>
        </w:rPr>
      </w:pPr>
    </w:p>
    <w:p w:rsidRPr="00B33353" w:rsidR="00233E10" w:rsidP="00B33353" w:rsidRDefault="00233E10" w14:paraId="74749C60" w14:textId="77777777">
      <w:pPr>
        <w:spacing w:line="276" w:lineRule="auto"/>
        <w:contextualSpacing/>
        <w:rPr>
          <w:rFonts w:eastAsia="Arial" w:cs="Arial"/>
          <w:b/>
          <w:bCs/>
          <w:sz w:val="24"/>
          <w:u w:val="single"/>
        </w:rPr>
      </w:pPr>
      <w:r w:rsidRPr="00B33353">
        <w:rPr>
          <w:rFonts w:eastAsia="Arial" w:cs="Arial"/>
          <w:b/>
          <w:bCs/>
          <w:sz w:val="24"/>
          <w:u w:val="single"/>
        </w:rPr>
        <w:t>Handy’s Model</w:t>
      </w:r>
    </w:p>
    <w:p w:rsidRPr="00B33353" w:rsidR="00233E10" w:rsidP="00B33353" w:rsidRDefault="00233E10" w14:paraId="38A0003E" w14:textId="77777777">
      <w:pPr>
        <w:spacing w:line="276" w:lineRule="auto"/>
        <w:contextualSpacing/>
        <w:rPr>
          <w:rFonts w:eastAsia="Arial" w:cs="Arial"/>
          <w:sz w:val="24"/>
        </w:rPr>
      </w:pPr>
    </w:p>
    <w:p w:rsidRPr="00B33353" w:rsidR="00233E10" w:rsidP="00B33353" w:rsidRDefault="00233E10" w14:paraId="6D361D9E" w14:textId="77777777">
      <w:pPr>
        <w:spacing w:line="276" w:lineRule="auto"/>
        <w:contextualSpacing/>
        <w:rPr>
          <w:rFonts w:eastAsia="Arial" w:cs="Arial"/>
          <w:sz w:val="24"/>
        </w:rPr>
      </w:pPr>
      <w:r w:rsidRPr="00B33353">
        <w:rPr>
          <w:rFonts w:eastAsia="Arial" w:cs="Arial"/>
          <w:sz w:val="24"/>
        </w:rPr>
        <w:t>For any organisation to have success, it must have a strong positive culture. As detailed by Waite, et al (2021) Charles Handy’s model intimates that an organisations unique culture comprises of four subcultures, which are Power, Task, Role and Person. Freedman (2024) suggests that each of these subculture's stem from a preconceived idea of different human motivation in addition to a presumed need for influence and power.</w:t>
      </w:r>
    </w:p>
    <w:p w:rsidRPr="00B33353" w:rsidR="00233E10" w:rsidP="00B33353" w:rsidRDefault="00233E10" w14:paraId="501B2118" w14:textId="77777777">
      <w:pPr>
        <w:spacing w:line="276" w:lineRule="auto"/>
        <w:contextualSpacing/>
        <w:rPr>
          <w:rFonts w:eastAsia="Arial" w:cs="Arial"/>
          <w:sz w:val="24"/>
        </w:rPr>
      </w:pPr>
    </w:p>
    <w:p w:rsidRPr="00B33353" w:rsidR="00233E10" w:rsidP="00B33353" w:rsidRDefault="00233E10" w14:paraId="3BD188BC" w14:textId="77777777">
      <w:pPr>
        <w:spacing w:line="276" w:lineRule="auto"/>
        <w:contextualSpacing/>
        <w:rPr>
          <w:rFonts w:eastAsia="Arial" w:cs="Arial"/>
          <w:sz w:val="24"/>
        </w:rPr>
      </w:pPr>
      <w:r w:rsidRPr="00B33353">
        <w:rPr>
          <w:rFonts w:eastAsia="Arial" w:cs="Arial"/>
          <w:sz w:val="24"/>
        </w:rPr>
        <w:t>Power Culture – within this formal culture decision making lies with just a few or one person, often the business founder or leader. Within this culture, employees follow instructions received from the leader. This culture can be represented as a spider's web where the leader is portrayed as the spider and when they move its shakes the web and all employees jump (Waite et al, 2021).</w:t>
      </w:r>
    </w:p>
    <w:p w:rsidRPr="00B33353" w:rsidR="00233E10" w:rsidP="00B33353" w:rsidRDefault="00233E10" w14:paraId="7077672A" w14:textId="77777777">
      <w:pPr>
        <w:spacing w:line="276" w:lineRule="auto"/>
        <w:contextualSpacing/>
        <w:rPr>
          <w:rFonts w:eastAsia="Arial" w:cs="Arial"/>
          <w:sz w:val="24"/>
        </w:rPr>
      </w:pPr>
    </w:p>
    <w:p w:rsidRPr="00B33353" w:rsidR="00233E10" w:rsidP="00B33353" w:rsidRDefault="00233E10" w14:paraId="2FBDB26A" w14:textId="77777777">
      <w:pPr>
        <w:spacing w:line="276" w:lineRule="auto"/>
        <w:contextualSpacing/>
        <w:rPr>
          <w:rFonts w:eastAsia="Arial" w:cs="Arial"/>
          <w:sz w:val="24"/>
        </w:rPr>
      </w:pPr>
      <w:r w:rsidRPr="00B33353">
        <w:rPr>
          <w:rFonts w:eastAsia="Arial" w:cs="Arial"/>
          <w:sz w:val="24"/>
        </w:rPr>
        <w:t>Task Culture – this culture is team orientated, focused on results and solutions where expertise is the key influencer. Waite, et al (2021) suggest that this culture is portrayed as a net, where teamwork is key and once the task is complete the team disbands.</w:t>
      </w:r>
    </w:p>
    <w:p w:rsidRPr="00B33353" w:rsidR="00233E10" w:rsidP="00B33353" w:rsidRDefault="00233E10" w14:paraId="1B72659A" w14:textId="77777777">
      <w:pPr>
        <w:spacing w:line="276" w:lineRule="auto"/>
        <w:contextualSpacing/>
        <w:rPr>
          <w:rFonts w:eastAsia="Arial" w:cs="Arial"/>
          <w:sz w:val="24"/>
        </w:rPr>
      </w:pPr>
    </w:p>
    <w:p w:rsidRPr="00B33353" w:rsidR="00233E10" w:rsidP="00B33353" w:rsidRDefault="00233E10" w14:paraId="0EB0774D" w14:textId="77777777">
      <w:pPr>
        <w:spacing w:line="276" w:lineRule="auto"/>
        <w:contextualSpacing/>
        <w:rPr>
          <w:rFonts w:eastAsia="Arial" w:cs="Arial"/>
          <w:sz w:val="24"/>
        </w:rPr>
      </w:pPr>
      <w:r w:rsidRPr="00B33353">
        <w:rPr>
          <w:rFonts w:eastAsia="Arial" w:cs="Arial"/>
          <w:sz w:val="24"/>
        </w:rPr>
        <w:t>Role Culture – a description of this culture is a temple with strong pillars representing the key functions within the organisation (Mullins, 2019). This culture has a hierarchical structure, with clear procedures, where employees have defined roles and responsibilities.</w:t>
      </w:r>
    </w:p>
    <w:p w:rsidRPr="00B33353" w:rsidR="00233E10" w:rsidP="00B33353" w:rsidRDefault="00233E10" w14:paraId="22DD7AD9" w14:textId="77777777">
      <w:pPr>
        <w:spacing w:line="276" w:lineRule="auto"/>
        <w:contextualSpacing/>
        <w:rPr>
          <w:rFonts w:eastAsia="Arial" w:cs="Arial"/>
          <w:sz w:val="24"/>
        </w:rPr>
      </w:pPr>
    </w:p>
    <w:p w:rsidRPr="00B33353" w:rsidR="00233E10" w:rsidP="00B33353" w:rsidRDefault="00233E10" w14:paraId="25BEA150" w14:textId="77777777">
      <w:pPr>
        <w:spacing w:line="276" w:lineRule="auto"/>
        <w:contextualSpacing/>
        <w:rPr>
          <w:rFonts w:eastAsia="Arial" w:cs="Arial"/>
          <w:sz w:val="24"/>
        </w:rPr>
      </w:pPr>
      <w:r w:rsidRPr="00B33353">
        <w:rPr>
          <w:rFonts w:eastAsia="Arial" w:cs="Arial"/>
          <w:sz w:val="24"/>
        </w:rPr>
        <w:t xml:space="preserve">Person Culture – This culture is where individuals work independently with very little structure. The organisation exists to support them by utilising shared resources such as office space or IT infrastructure (Personnel Today, 2023). </w:t>
      </w:r>
    </w:p>
    <w:p w:rsidRPr="00B33353" w:rsidR="00233E10" w:rsidP="00B33353" w:rsidRDefault="00233E10" w14:paraId="1D3F42AC" w14:textId="77777777">
      <w:pPr>
        <w:spacing w:line="276" w:lineRule="auto"/>
        <w:contextualSpacing/>
        <w:rPr>
          <w:rFonts w:eastAsia="Arial" w:cs="Arial"/>
          <w:sz w:val="24"/>
        </w:rPr>
      </w:pPr>
    </w:p>
    <w:p w:rsidRPr="00B33353" w:rsidR="00233E10" w:rsidP="00B33353" w:rsidRDefault="00233E10" w14:paraId="1EED7456" w14:textId="77777777">
      <w:pPr>
        <w:spacing w:line="276" w:lineRule="auto"/>
        <w:contextualSpacing/>
        <w:rPr>
          <w:rFonts w:eastAsia="Oxygen" w:cs="Arial"/>
          <w:color w:val="313131"/>
          <w:sz w:val="24"/>
        </w:rPr>
      </w:pPr>
      <w:r w:rsidRPr="00B33353">
        <w:rPr>
          <w:rFonts w:eastAsia="Arial" w:cs="Arial"/>
          <w:sz w:val="24"/>
        </w:rPr>
        <w:t>Although elements of all four may be present within an organisation, Waite, et al (2021) attest that one of these subcultures will dominate the others. Mullins (2019) supports this and states that it is likely that most large businesses are likely to have a mix of these cultures at varying areas within the organisation.</w:t>
      </w:r>
      <w:r w:rsidRPr="00B33353">
        <w:rPr>
          <w:rFonts w:eastAsia="Trebuchet MS" w:cs="Arial"/>
          <w:sz w:val="24"/>
        </w:rPr>
        <w:t xml:space="preserve"> </w:t>
      </w:r>
    </w:p>
    <w:p w:rsidRPr="00B33353" w:rsidR="00233E10" w:rsidP="00B33353" w:rsidRDefault="00233E10" w14:paraId="1694D565" w14:textId="77777777">
      <w:pPr>
        <w:spacing w:line="276" w:lineRule="auto"/>
        <w:contextualSpacing/>
        <w:rPr>
          <w:rFonts w:eastAsia="Arial" w:cs="Arial"/>
          <w:sz w:val="24"/>
        </w:rPr>
      </w:pPr>
    </w:p>
    <w:p w:rsidRPr="00B33353" w:rsidR="00233E10" w:rsidP="00B33353" w:rsidRDefault="00233E10" w14:paraId="66CB4879" w14:textId="77777777">
      <w:pPr>
        <w:spacing w:line="276" w:lineRule="auto"/>
        <w:contextualSpacing/>
        <w:rPr>
          <w:rFonts w:eastAsia="Arial" w:cs="Arial"/>
          <w:sz w:val="24"/>
          <w:u w:val="single"/>
        </w:rPr>
      </w:pPr>
      <w:r w:rsidRPr="00B33353">
        <w:rPr>
          <w:rFonts w:eastAsia="Arial" w:cs="Arial"/>
          <w:b/>
          <w:bCs/>
          <w:sz w:val="24"/>
          <w:u w:val="single"/>
        </w:rPr>
        <w:t>SCARF Theory</w:t>
      </w:r>
    </w:p>
    <w:p w:rsidRPr="00B33353" w:rsidR="00233E10" w:rsidP="00B33353" w:rsidRDefault="00233E10" w14:paraId="1FA8406C" w14:textId="77777777">
      <w:pPr>
        <w:spacing w:line="276" w:lineRule="auto"/>
        <w:rPr>
          <w:rFonts w:eastAsia="Trebuchet MS" w:cs="Arial"/>
          <w:sz w:val="24"/>
        </w:rPr>
      </w:pPr>
    </w:p>
    <w:p w:rsidRPr="00B33353" w:rsidR="00233E10" w:rsidP="00B33353" w:rsidRDefault="00233E10" w14:paraId="14BC2962" w14:textId="77777777">
      <w:pPr>
        <w:spacing w:line="276" w:lineRule="auto"/>
        <w:rPr>
          <w:rFonts w:eastAsia="Trebuchet MS" w:cs="Arial"/>
          <w:sz w:val="24"/>
        </w:rPr>
      </w:pPr>
      <w:r w:rsidRPr="00B33353">
        <w:rPr>
          <w:rFonts w:eastAsia="Trebuchet MS" w:cs="Arial"/>
          <w:sz w:val="24"/>
        </w:rPr>
        <w:t xml:space="preserve">Many people in leadership positions are logical and analytical thinkers. However, the brain is a social organ and even within a work environment remains shaped by social interactions. Therefore, interactions within a work environment can invoke a fight or flight response (Rock, 2011). Based on a neuroscience study Rock proposed a </w:t>
      </w:r>
      <w:r w:rsidRPr="00B33353">
        <w:rPr>
          <w:rFonts w:eastAsia="Trebuchet MS" w:cs="Arial"/>
          <w:sz w:val="24"/>
        </w:rPr>
        <w:lastRenderedPageBreak/>
        <w:t>model of five domains of social experience. These five domains are Status, Certainty, Autonomy, Relatedness and Fairness (Mullins, 2019).</w:t>
      </w:r>
    </w:p>
    <w:p w:rsidRPr="00B33353" w:rsidR="00233E10" w:rsidP="00B33353" w:rsidRDefault="00233E10" w14:paraId="118C4648" w14:textId="77777777">
      <w:pPr>
        <w:spacing w:line="276" w:lineRule="auto"/>
        <w:rPr>
          <w:rFonts w:eastAsia="Trebuchet MS" w:cs="Arial"/>
          <w:sz w:val="24"/>
        </w:rPr>
      </w:pPr>
    </w:p>
    <w:p w:rsidRPr="00B33353" w:rsidR="00233E10" w:rsidP="00B33353" w:rsidRDefault="00233E10" w14:paraId="4D70FC0A" w14:textId="77777777">
      <w:pPr>
        <w:pStyle w:val="ListParagraph"/>
        <w:numPr>
          <w:ilvl w:val="0"/>
          <w:numId w:val="2"/>
        </w:numPr>
        <w:spacing w:line="276" w:lineRule="auto"/>
        <w:rPr>
          <w:rFonts w:eastAsia="Libre Franklin" w:cs="Arial"/>
          <w:sz w:val="24"/>
        </w:rPr>
      </w:pPr>
      <w:r w:rsidRPr="00B33353">
        <w:rPr>
          <w:rFonts w:eastAsia="Trebuchet MS" w:cs="Arial"/>
          <w:sz w:val="24"/>
        </w:rPr>
        <w:t xml:space="preserve">Status – our relative importance to others. It is important for leaders to show mutual respect. </w:t>
      </w:r>
    </w:p>
    <w:p w:rsidRPr="00B33353" w:rsidR="00233E10" w:rsidP="00B33353" w:rsidRDefault="00233E10" w14:paraId="0281FB35" w14:textId="77777777">
      <w:pPr>
        <w:pStyle w:val="ListParagraph"/>
        <w:numPr>
          <w:ilvl w:val="0"/>
          <w:numId w:val="2"/>
        </w:numPr>
        <w:spacing w:line="276" w:lineRule="auto"/>
        <w:rPr>
          <w:rFonts w:eastAsia="Libre Franklin" w:cs="Arial"/>
          <w:sz w:val="24"/>
        </w:rPr>
      </w:pPr>
      <w:r w:rsidRPr="00B33353">
        <w:rPr>
          <w:rFonts w:eastAsia="Libre Franklin" w:cs="Arial"/>
          <w:sz w:val="24"/>
        </w:rPr>
        <w:t>Certainty – our ability to predict the future – it is important to provide clear timelines and expectations</w:t>
      </w:r>
    </w:p>
    <w:p w:rsidRPr="00B33353" w:rsidR="00233E10" w:rsidP="00B33353" w:rsidRDefault="00233E10" w14:paraId="4F8EBF20" w14:textId="77777777">
      <w:pPr>
        <w:pStyle w:val="ListParagraph"/>
        <w:numPr>
          <w:ilvl w:val="0"/>
          <w:numId w:val="2"/>
        </w:numPr>
        <w:shd w:val="clear" w:color="auto" w:fill="FFFFFF" w:themeFill="background1"/>
        <w:spacing w:line="276" w:lineRule="auto"/>
        <w:rPr>
          <w:rFonts w:eastAsia="Libre Franklin" w:cs="Arial"/>
          <w:sz w:val="24"/>
        </w:rPr>
      </w:pPr>
      <w:r w:rsidRPr="00B33353">
        <w:rPr>
          <w:rFonts w:eastAsia="Libre Franklin" w:cs="Arial"/>
          <w:sz w:val="24"/>
        </w:rPr>
        <w:t>Autonomy – our sense of control over events. It is important to empower and be collaborative.</w:t>
      </w:r>
    </w:p>
    <w:p w:rsidRPr="00B33353" w:rsidR="00233E10" w:rsidP="00B33353" w:rsidRDefault="00233E10" w14:paraId="3247022C" w14:textId="77777777">
      <w:pPr>
        <w:pStyle w:val="ListParagraph"/>
        <w:numPr>
          <w:ilvl w:val="0"/>
          <w:numId w:val="2"/>
        </w:numPr>
        <w:shd w:val="clear" w:color="auto" w:fill="FFFFFF" w:themeFill="background1"/>
        <w:spacing w:line="276" w:lineRule="auto"/>
        <w:rPr>
          <w:rFonts w:eastAsia="Libre Franklin" w:cs="Arial"/>
          <w:sz w:val="24"/>
        </w:rPr>
      </w:pPr>
      <w:r w:rsidRPr="00B33353">
        <w:rPr>
          <w:rFonts w:eastAsia="Libre Franklin" w:cs="Arial"/>
          <w:sz w:val="24"/>
        </w:rPr>
        <w:t>Relatedness – how safe we feel with others. It is important to build genuine connections and positive team culture</w:t>
      </w:r>
    </w:p>
    <w:p w:rsidRPr="00B33353" w:rsidR="00233E10" w:rsidP="00B33353" w:rsidRDefault="00233E10" w14:paraId="692B30C4" w14:textId="77777777">
      <w:pPr>
        <w:pStyle w:val="ListParagraph"/>
        <w:numPr>
          <w:ilvl w:val="0"/>
          <w:numId w:val="2"/>
        </w:numPr>
        <w:shd w:val="clear" w:color="auto" w:fill="FFFFFF" w:themeFill="background1"/>
        <w:spacing w:line="276" w:lineRule="auto"/>
        <w:rPr>
          <w:rFonts w:eastAsia="Libre Franklin" w:cs="Arial"/>
          <w:sz w:val="24"/>
        </w:rPr>
      </w:pPr>
      <w:r w:rsidRPr="00B33353">
        <w:rPr>
          <w:rFonts w:eastAsia="Libre Franklin" w:cs="Arial"/>
          <w:sz w:val="24"/>
        </w:rPr>
        <w:t>Fairness – how fair we perceive the exchanges between people to be. It is important to have transparency and clear rules that apply to everyone.</w:t>
      </w:r>
    </w:p>
    <w:p w:rsidRPr="00B33353" w:rsidR="00233E10" w:rsidP="00B33353" w:rsidRDefault="00233E10" w14:paraId="327EE640" w14:textId="77777777">
      <w:pPr>
        <w:spacing w:line="276" w:lineRule="auto"/>
        <w:rPr>
          <w:rFonts w:cs="Arial"/>
          <w:sz w:val="24"/>
        </w:rPr>
      </w:pPr>
    </w:p>
    <w:p w:rsidRPr="000C666D" w:rsidR="00522C27" w:rsidP="00522C27" w:rsidRDefault="00522C27" w14:paraId="40C2CB62" w14:textId="77777777">
      <w:pPr>
        <w:pStyle w:val="Heading1"/>
      </w:pPr>
      <w:r w:rsidRPr="004C054B">
        <w:t xml:space="preserve">Assess how employee selection </w:t>
      </w:r>
      <w:r w:rsidRPr="00F56966">
        <w:rPr>
          <w:bCs/>
        </w:rPr>
        <w:t>or</w:t>
      </w:r>
      <w:r w:rsidRPr="004C054B">
        <w:t xml:space="preserve"> employee development impacts organisational culture and behaviour in your organisation (or one with which you are familiar). (AC 2.2)</w:t>
      </w:r>
    </w:p>
    <w:p w:rsidRPr="00B33353" w:rsidR="007A5B4B" w:rsidP="00B33353" w:rsidRDefault="007A5B4B" w14:paraId="034D1A9D" w14:textId="77777777">
      <w:pPr>
        <w:spacing w:line="276" w:lineRule="auto"/>
        <w:rPr>
          <w:rFonts w:cs="Arial"/>
          <w:sz w:val="24"/>
        </w:rPr>
      </w:pPr>
    </w:p>
    <w:p w:rsidRPr="00B33353" w:rsidR="007A5B4B" w:rsidP="00B33353" w:rsidRDefault="007A5B4B" w14:paraId="07288DB9" w14:textId="77777777">
      <w:pPr>
        <w:spacing w:line="276" w:lineRule="auto"/>
        <w:rPr>
          <w:rFonts w:cs="Arial"/>
          <w:sz w:val="24"/>
        </w:rPr>
      </w:pPr>
      <w:r w:rsidRPr="00B33353">
        <w:rPr>
          <w:rFonts w:cs="Arial"/>
          <w:sz w:val="24"/>
        </w:rPr>
        <w:t xml:space="preserve">As argued by Young (2024) culture is important within the people profession as their work not only influences but is also influenced by it. Therefore, it must be managed and developed effectively. When considering new recruits, it is important that they match the organisations values and workstyle, as this will allow the individual to excel in their role and overall improvement in the organisational productivity (Martin, 2024). </w:t>
      </w:r>
    </w:p>
    <w:p w:rsidRPr="00B33353" w:rsidR="007A5B4B" w:rsidP="00B33353" w:rsidRDefault="007A5B4B" w14:paraId="39D1A59C" w14:textId="77777777">
      <w:pPr>
        <w:spacing w:line="276" w:lineRule="auto"/>
        <w:rPr>
          <w:rFonts w:cs="Arial"/>
          <w:sz w:val="24"/>
        </w:rPr>
      </w:pPr>
    </w:p>
    <w:p w:rsidRPr="00B33353" w:rsidR="007A5B4B" w:rsidP="00B33353" w:rsidRDefault="007A5B4B" w14:paraId="3ACB1C60" w14:textId="77777777">
      <w:pPr>
        <w:spacing w:line="276" w:lineRule="auto"/>
        <w:rPr>
          <w:rFonts w:cs="Arial"/>
          <w:sz w:val="24"/>
        </w:rPr>
      </w:pPr>
      <w:r w:rsidRPr="00B33353">
        <w:rPr>
          <w:rFonts w:cs="Arial"/>
          <w:sz w:val="24"/>
        </w:rPr>
        <w:t>MIW is a small family run business, with a very relaxed atmosphere, where all sections of the organisation work collaboratively, sharing skills and ideas. Most employees are long standing, and turnover is extremely low. However, in November 2024 a team member had a great opportunity for personal career development at another organisation, so recruitment was required. At this time there was very limited information in relation to recruitment processes, specifically person specification and job advertisements. During recruitment discussions, one key factor in addition to the skills and experience required to fulfil the role, was that the new recruit must fit in with the existing team.</w:t>
      </w:r>
    </w:p>
    <w:p w:rsidRPr="00B33353" w:rsidR="007A5B4B" w:rsidP="00B33353" w:rsidRDefault="007A5B4B" w14:paraId="1D0C6C63" w14:textId="77777777">
      <w:pPr>
        <w:spacing w:line="276" w:lineRule="auto"/>
        <w:rPr>
          <w:rFonts w:cs="Arial"/>
          <w:sz w:val="24"/>
        </w:rPr>
      </w:pPr>
    </w:p>
    <w:p w:rsidRPr="00B33353" w:rsidR="007A5B4B" w:rsidP="00B33353" w:rsidRDefault="007A5B4B" w14:paraId="00A6DFD2" w14:textId="77777777">
      <w:pPr>
        <w:spacing w:line="276" w:lineRule="auto"/>
        <w:rPr>
          <w:rFonts w:cs="Arial"/>
          <w:sz w:val="24"/>
        </w:rPr>
      </w:pPr>
      <w:r w:rsidRPr="00B33353">
        <w:rPr>
          <w:rFonts w:cs="Arial"/>
          <w:sz w:val="24"/>
        </w:rPr>
        <w:t>To achieve this the advertisement for the role focused on the company values and goals and the person specification emphasised open and collaborative team working. Shortlisting included these key points, and the interview process was informal and relaxed with typical scenarios members of a day to day within the organisation involving different team members. This allowed us to not only examine the candidates’ skills and experience of the role but if their ways of working and tackling problems complimented existing team members.</w:t>
      </w:r>
    </w:p>
    <w:p w:rsidRPr="00B33353" w:rsidR="007A5B4B" w:rsidP="00B33353" w:rsidRDefault="007A5B4B" w14:paraId="1CE52434" w14:textId="77777777">
      <w:pPr>
        <w:spacing w:line="276" w:lineRule="auto"/>
        <w:rPr>
          <w:rFonts w:cs="Arial"/>
          <w:sz w:val="24"/>
        </w:rPr>
      </w:pPr>
    </w:p>
    <w:p w:rsidRPr="00B33353" w:rsidR="007A5B4B" w:rsidP="00B33353" w:rsidRDefault="007A5B4B" w14:paraId="423F0827" w14:textId="1C40D3BE">
      <w:pPr>
        <w:spacing w:line="276" w:lineRule="auto"/>
        <w:rPr>
          <w:rFonts w:cs="Arial"/>
          <w:sz w:val="24"/>
        </w:rPr>
      </w:pPr>
      <w:r w:rsidRPr="00B33353">
        <w:rPr>
          <w:rFonts w:cs="Arial"/>
          <w:sz w:val="24"/>
        </w:rPr>
        <w:t>On this occasion this process has had a positive impact on MIW, and the new team member has settled into the new role. The key benefits of MIW hiring recruiting for a cultural fit in addition to role fit, is the new employee has similar workstyles and has been able to fit in with the team from day one. A further advantage is that the new employee’s personality matches the organisations culture, which as outlined by McNeill (2020) means that are more likely to be more confident in their role and work hard to achieve desired results. However, McNeill also states that there are disadvantages to hiring for cultural fit as if is not effectively it can cause raise more issues than benefits. For example, some organisations focus on personality fit rather that the skills and qualifications of the role. In this instance, although MIW did prioritise the personality fit the keys skills and experience were assessed in both the shortlisting and through scenarios during the interview process. However, it has been identified that the recruitment process adopted by MIW, is labour intensive and may not be sustainable in the future as the company grows.</w:t>
      </w:r>
    </w:p>
    <w:p w:rsidRPr="000C666D" w:rsidR="003E67E6" w:rsidP="003E67E6" w:rsidRDefault="003E67E6" w14:paraId="27BDDE3D" w14:textId="77777777">
      <w:pPr>
        <w:pStyle w:val="Heading1"/>
      </w:pPr>
      <w:r w:rsidRPr="000C666D">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rsidRPr="000C666D" w:rsidR="003E67E6" w:rsidP="003E67E6" w:rsidRDefault="003E67E6" w14:paraId="3A038368" w14:textId="77777777">
      <w:pPr>
        <w:pStyle w:val="ListParagraph"/>
        <w:rPr>
          <w:rFonts w:ascii="Trebuchet MS" w:hAnsi="Trebuchet MS" w:eastAsia="Arial" w:cs="Times New Roman"/>
        </w:rPr>
      </w:pPr>
    </w:p>
    <w:p w:rsidRPr="00B33353" w:rsidR="4FBFD571" w:rsidP="00B33353" w:rsidRDefault="4FBFD571" w14:paraId="5687780B" w14:textId="4708CF1C">
      <w:pPr>
        <w:spacing w:line="276" w:lineRule="auto"/>
        <w:rPr>
          <w:rFonts w:cs="Arial"/>
          <w:sz w:val="24"/>
        </w:rPr>
      </w:pPr>
      <w:r w:rsidRPr="00B33353">
        <w:rPr>
          <w:rFonts w:eastAsia="Arial" w:cs="Arial"/>
          <w:sz w:val="24"/>
        </w:rPr>
        <w:t>Kotter’s model of change is a proven process that has been utilised to successfully implement change. The model outlines eight steps to achieve change as identified in figure 1. As outline by Peters (2020) the Covid 19 pandemic caused significant change in employee's expectations in relation to flexible working and to implement any change, it is important that people professionals provide balance and support for both the organisation and the workforce.</w:t>
      </w:r>
    </w:p>
    <w:p w:rsidRPr="00B33353" w:rsidR="4FBFD571" w:rsidP="00B33353" w:rsidRDefault="4FBFD571" w14:paraId="2374CB58" w14:textId="07F68B9D">
      <w:pPr>
        <w:spacing w:line="276" w:lineRule="auto"/>
        <w:rPr>
          <w:rFonts w:cs="Arial"/>
          <w:sz w:val="24"/>
        </w:rPr>
      </w:pPr>
      <w:r w:rsidRPr="00B33353">
        <w:rPr>
          <w:rFonts w:eastAsia="Arial" w:cs="Arial"/>
          <w:sz w:val="24"/>
        </w:rPr>
        <w:t xml:space="preserve"> </w:t>
      </w:r>
    </w:p>
    <w:p w:rsidRPr="00B33353" w:rsidR="4FBFD571" w:rsidP="00B33353" w:rsidRDefault="4FBFD571" w14:paraId="73065D5A" w14:textId="03EC8E1E">
      <w:pPr>
        <w:spacing w:line="276" w:lineRule="auto"/>
        <w:rPr>
          <w:rFonts w:cs="Arial"/>
          <w:sz w:val="24"/>
        </w:rPr>
      </w:pPr>
      <w:r w:rsidRPr="00B33353">
        <w:rPr>
          <w:rFonts w:eastAsia="Arial" w:cs="Arial"/>
          <w:sz w:val="24"/>
        </w:rPr>
        <w:t>Figure 1.</w:t>
      </w:r>
    </w:p>
    <w:p w:rsidRPr="00B33353" w:rsidR="4FBFD571" w:rsidP="00B33353" w:rsidRDefault="4FBFD571" w14:paraId="48D8319D" w14:textId="723170D1">
      <w:pPr>
        <w:spacing w:line="276" w:lineRule="auto"/>
        <w:rPr>
          <w:rFonts w:cs="Arial"/>
          <w:sz w:val="24"/>
        </w:rPr>
      </w:pPr>
      <w:r w:rsidRPr="00B33353">
        <w:rPr>
          <w:rFonts w:eastAsia="Arial" w:cs="Arial"/>
          <w:sz w:val="24"/>
        </w:rPr>
        <w:t xml:space="preserve"> </w:t>
      </w:r>
    </w:p>
    <w:p w:rsidRPr="00B33353" w:rsidR="4FBFD571" w:rsidP="00B33353" w:rsidRDefault="4FBFD571" w14:paraId="2EC8406A" w14:textId="33ABC324">
      <w:pPr>
        <w:spacing w:line="276" w:lineRule="auto"/>
        <w:rPr>
          <w:rFonts w:cs="Arial"/>
          <w:sz w:val="24"/>
        </w:rPr>
      </w:pPr>
      <w:r w:rsidRPr="00B33353">
        <w:rPr>
          <w:rFonts w:cs="Arial"/>
          <w:noProof/>
          <w:sz w:val="24"/>
        </w:rPr>
        <w:drawing>
          <wp:inline distT="0" distB="0" distL="0" distR="0" wp14:anchorId="7932310B" wp14:editId="2C35FCED">
            <wp:extent cx="2870200" cy="2152650"/>
            <wp:effectExtent l="0" t="0" r="6350" b="0"/>
            <wp:docPr id="407426921" name="Picture 407426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871008" cy="2153256"/>
                    </a:xfrm>
                    <a:prstGeom prst="rect">
                      <a:avLst/>
                    </a:prstGeom>
                  </pic:spPr>
                </pic:pic>
              </a:graphicData>
            </a:graphic>
          </wp:inline>
        </w:drawing>
      </w:r>
    </w:p>
    <w:p w:rsidRPr="00B33353" w:rsidR="4FBFD571" w:rsidP="00B33353" w:rsidRDefault="4FBFD571" w14:paraId="1DD48EAF" w14:textId="33422921">
      <w:pPr>
        <w:spacing w:line="276" w:lineRule="auto"/>
        <w:rPr>
          <w:rFonts w:cs="Arial"/>
          <w:sz w:val="24"/>
        </w:rPr>
      </w:pPr>
      <w:r w:rsidRPr="00B33353">
        <w:rPr>
          <w:rFonts w:eastAsia="Arial" w:cs="Arial"/>
          <w:sz w:val="24"/>
        </w:rPr>
        <w:t>(Hole, 2021)</w:t>
      </w:r>
    </w:p>
    <w:p w:rsidRPr="00B33353" w:rsidR="4FBFD571" w:rsidP="00B33353" w:rsidRDefault="4FBFD571" w14:paraId="4325778D" w14:textId="5A3DEB0C">
      <w:pPr>
        <w:spacing w:line="276" w:lineRule="auto"/>
        <w:rPr>
          <w:rFonts w:cs="Arial"/>
          <w:sz w:val="24"/>
        </w:rPr>
      </w:pPr>
      <w:r w:rsidRPr="00B33353">
        <w:rPr>
          <w:rFonts w:eastAsia="Arial" w:cs="Arial"/>
          <w:sz w:val="24"/>
        </w:rPr>
        <w:lastRenderedPageBreak/>
        <w:t xml:space="preserve"> </w:t>
      </w:r>
    </w:p>
    <w:p w:rsidRPr="00B33353" w:rsidR="4FBFD571" w:rsidP="00B33353" w:rsidRDefault="4FBFD571" w14:paraId="46B375B7" w14:textId="1FD5A23D">
      <w:pPr>
        <w:spacing w:line="276" w:lineRule="auto"/>
        <w:rPr>
          <w:rFonts w:cs="Arial"/>
          <w:sz w:val="24"/>
        </w:rPr>
      </w:pPr>
      <w:r w:rsidRPr="00B33353">
        <w:rPr>
          <w:rFonts w:eastAsia="Arial" w:cs="Arial"/>
          <w:sz w:val="24"/>
        </w:rPr>
        <w:t xml:space="preserve"> To implement effective change required by the organisation people practitioners can apply Kotter's model to the task as follows:</w:t>
      </w:r>
    </w:p>
    <w:p w:rsidRPr="00B33353" w:rsidR="4FBFD571" w:rsidP="00B33353" w:rsidRDefault="4FBFD571" w14:paraId="232C6F5F" w14:textId="785A62B5">
      <w:pPr>
        <w:spacing w:line="276" w:lineRule="auto"/>
        <w:rPr>
          <w:rFonts w:cs="Arial"/>
          <w:sz w:val="24"/>
        </w:rPr>
      </w:pPr>
      <w:r w:rsidRPr="00B33353">
        <w:rPr>
          <w:rFonts w:eastAsia="Arial" w:cs="Arial"/>
          <w:color w:val="202020"/>
          <w:sz w:val="24"/>
        </w:rPr>
        <w:t xml:space="preserve"> </w:t>
      </w:r>
    </w:p>
    <w:p w:rsidRPr="00B33353" w:rsidR="4FBFD571" w:rsidP="00B33353" w:rsidRDefault="4FBFD571" w14:paraId="13AB6992" w14:textId="7D73D76D">
      <w:pPr>
        <w:spacing w:line="276" w:lineRule="auto"/>
        <w:rPr>
          <w:rFonts w:cs="Arial"/>
          <w:sz w:val="24"/>
        </w:rPr>
      </w:pPr>
      <w:r w:rsidRPr="00B33353">
        <w:rPr>
          <w:rFonts w:eastAsia="Arial" w:cs="Arial"/>
          <w:sz w:val="24"/>
        </w:rPr>
        <w:t xml:space="preserve">Create Urgency – to initiate this step the need for the change must be clearly communicated. As outlined by Hole (2021) management meetings with key organisation leaders and employee representation must be held and should include more than just statistics. It is imperative that factual reasons for the change, such as organisational improvement through increased productivity and improved employee wellbeing, resulting in future job satisfaction and security.  This step is essential and must not be rushed as without cooperation and motivation the process will fail (Kotter, 1995) </w:t>
      </w:r>
    </w:p>
    <w:p w:rsidRPr="00B33353" w:rsidR="4FBFD571" w:rsidP="00B33353" w:rsidRDefault="4FBFD571" w14:paraId="4B17F919" w14:textId="4D7B80C8">
      <w:pPr>
        <w:spacing w:line="276" w:lineRule="auto"/>
        <w:rPr>
          <w:rFonts w:cs="Arial"/>
          <w:sz w:val="24"/>
        </w:rPr>
      </w:pPr>
      <w:r w:rsidRPr="00B33353">
        <w:rPr>
          <w:rFonts w:eastAsia="Arial" w:cs="Arial"/>
          <w:sz w:val="24"/>
        </w:rPr>
        <w:t xml:space="preserve"> </w:t>
      </w:r>
    </w:p>
    <w:p w:rsidRPr="00B33353" w:rsidR="4FBFD571" w:rsidP="00B33353" w:rsidRDefault="4FBFD571" w14:paraId="587C79C2" w14:textId="42B39E75">
      <w:pPr>
        <w:spacing w:line="276" w:lineRule="auto"/>
        <w:rPr>
          <w:rFonts w:cs="Arial"/>
          <w:sz w:val="24"/>
        </w:rPr>
      </w:pPr>
      <w:r w:rsidRPr="00B33353">
        <w:rPr>
          <w:rFonts w:eastAsia="Arial" w:cs="Arial"/>
          <w:sz w:val="24"/>
        </w:rPr>
        <w:t xml:space="preserve">Once sufficient urgency has been established, the next step is to form a coalition of leaders, which do not necessarily follow the normal hierarchy of the company, who are positive for the change and fully understand and accept the need to implement. As detailed by Kotter, et al (2006) it is important for the coalition team to be a cohesive unit and to understand how each other work and think. </w:t>
      </w:r>
    </w:p>
    <w:p w:rsidRPr="00B33353" w:rsidR="4FBFD571" w:rsidP="00B33353" w:rsidRDefault="4FBFD571" w14:paraId="28651249" w14:textId="313E45A3">
      <w:pPr>
        <w:spacing w:line="276" w:lineRule="auto"/>
        <w:rPr>
          <w:rFonts w:cs="Arial"/>
          <w:sz w:val="24"/>
        </w:rPr>
      </w:pPr>
      <w:r w:rsidRPr="00B33353">
        <w:rPr>
          <w:rFonts w:eastAsia="Arial" w:cs="Arial"/>
          <w:sz w:val="24"/>
        </w:rPr>
        <w:t xml:space="preserve"> </w:t>
      </w:r>
    </w:p>
    <w:p w:rsidRPr="00B33353" w:rsidR="4FBFD571" w:rsidP="00B33353" w:rsidRDefault="4FBFD571" w14:paraId="18EF0F65" w14:textId="50AE6D5F">
      <w:pPr>
        <w:spacing w:line="276" w:lineRule="auto"/>
        <w:rPr>
          <w:rFonts w:cs="Arial"/>
          <w:sz w:val="24"/>
        </w:rPr>
      </w:pPr>
      <w:r w:rsidRPr="00B33353">
        <w:rPr>
          <w:rFonts w:eastAsia="Arial" w:cs="Arial"/>
          <w:sz w:val="24"/>
        </w:rPr>
        <w:t>Once this is achieved the team can then begin exploration and preparation for the development of a vision and create a strategy for implementing the change. During discussions there may be many potential solutions suggested and to it is important to link these to form an overall vision that people easily understand and remember (Hole, 2021).</w:t>
      </w:r>
    </w:p>
    <w:p w:rsidRPr="00B33353" w:rsidR="4FBFD571" w:rsidP="00B33353" w:rsidRDefault="4FBFD571" w14:paraId="6A67011D" w14:textId="7327CC92">
      <w:pPr>
        <w:spacing w:line="276" w:lineRule="auto"/>
        <w:rPr>
          <w:rFonts w:cs="Arial"/>
          <w:sz w:val="24"/>
        </w:rPr>
      </w:pPr>
      <w:r w:rsidRPr="00B33353">
        <w:rPr>
          <w:rFonts w:eastAsia="Arial" w:cs="Arial"/>
          <w:sz w:val="24"/>
        </w:rPr>
        <w:t xml:space="preserve"> </w:t>
      </w:r>
    </w:p>
    <w:p w:rsidRPr="00B33353" w:rsidR="4FBFD571" w:rsidP="00B33353" w:rsidRDefault="4FBFD571" w14:paraId="14C78CFD" w14:textId="7747F9D6">
      <w:pPr>
        <w:spacing w:line="276" w:lineRule="auto"/>
        <w:rPr>
          <w:rFonts w:cs="Arial"/>
          <w:sz w:val="24"/>
        </w:rPr>
      </w:pPr>
      <w:r w:rsidRPr="00B33353">
        <w:rPr>
          <w:rFonts w:eastAsia="Arial" w:cs="Arial"/>
          <w:sz w:val="24"/>
        </w:rPr>
        <w:t>Now that the climate for change has been created, it is now important to engage and enable the rest of the organisation. Kotter, et al (2006) attest that this stage can happen quickly and begins with communicating the vision. During this stage it is important to speak persuasively about the vision at every level and at every opportunity. It is also important to apply the vision to all areas and aspects of the organisation and confront any concerns openly and honestly.</w:t>
      </w:r>
    </w:p>
    <w:p w:rsidRPr="00B33353" w:rsidR="4FBFD571" w:rsidP="00B33353" w:rsidRDefault="4FBFD571" w14:paraId="424E9100" w14:textId="799F3753">
      <w:pPr>
        <w:spacing w:line="276" w:lineRule="auto"/>
        <w:rPr>
          <w:rFonts w:cs="Arial"/>
          <w:sz w:val="24"/>
        </w:rPr>
      </w:pPr>
      <w:r w:rsidRPr="00B33353">
        <w:rPr>
          <w:rFonts w:eastAsia="Arial" w:cs="Arial"/>
          <w:sz w:val="24"/>
        </w:rPr>
        <w:t xml:space="preserve"> </w:t>
      </w:r>
    </w:p>
    <w:p w:rsidRPr="00B33353" w:rsidR="4FBFD571" w:rsidP="00B33353" w:rsidRDefault="4FBFD571" w14:paraId="60C4D646" w14:textId="2D4015B1">
      <w:pPr>
        <w:spacing w:line="276" w:lineRule="auto"/>
        <w:rPr>
          <w:rFonts w:cs="Arial"/>
          <w:sz w:val="24"/>
        </w:rPr>
      </w:pPr>
      <w:r w:rsidRPr="00B33353">
        <w:rPr>
          <w:rFonts w:eastAsia="Arial" w:cs="Arial"/>
          <w:sz w:val="24"/>
        </w:rPr>
        <w:t>Once the vision has been communicated it is important to remove obstacles and empower others within the organisation to create further momentum for the change. At this stage it is key to identify any potential obstacles and act on them quickly and effectively. These obstacles could be individuals that have not bought into the change process or a policy or process issue.</w:t>
      </w:r>
    </w:p>
    <w:p w:rsidRPr="00B33353" w:rsidR="4FBFD571" w:rsidP="00B33353" w:rsidRDefault="4FBFD571" w14:paraId="2864FA90" w14:textId="6181EEF9">
      <w:pPr>
        <w:spacing w:line="276" w:lineRule="auto"/>
        <w:rPr>
          <w:rFonts w:cs="Arial"/>
          <w:sz w:val="24"/>
        </w:rPr>
      </w:pPr>
      <w:r w:rsidRPr="00B33353">
        <w:rPr>
          <w:rFonts w:eastAsia="Arial" w:cs="Arial"/>
          <w:sz w:val="24"/>
        </w:rPr>
        <w:t xml:space="preserve"> </w:t>
      </w:r>
    </w:p>
    <w:p w:rsidRPr="00B33353" w:rsidR="4FBFD571" w:rsidP="00B33353" w:rsidRDefault="4FBFD571" w14:paraId="1E440B7A" w14:textId="19694D19">
      <w:pPr>
        <w:spacing w:line="276" w:lineRule="auto"/>
        <w:rPr>
          <w:rFonts w:cs="Arial"/>
          <w:sz w:val="24"/>
        </w:rPr>
      </w:pPr>
      <w:r w:rsidRPr="00B33353">
        <w:rPr>
          <w:rFonts w:eastAsia="Arial" w:cs="Arial"/>
          <w:sz w:val="24"/>
        </w:rPr>
        <w:t xml:space="preserve">Success is a great motivation booster, so it is important that during any change process that there are short term achievable targets “Quick Wins” (Hole, 2021). In this step the change leaders must ensure to widely advertise successes as it will further support for the change (Cameron and Green, 2024). </w:t>
      </w:r>
    </w:p>
    <w:p w:rsidRPr="00B33353" w:rsidR="4FBFD571" w:rsidP="00B33353" w:rsidRDefault="4FBFD571" w14:paraId="6629505A" w14:textId="4CA127D9">
      <w:pPr>
        <w:spacing w:line="276" w:lineRule="auto"/>
        <w:rPr>
          <w:rFonts w:cs="Arial"/>
          <w:sz w:val="24"/>
        </w:rPr>
      </w:pPr>
      <w:r w:rsidRPr="00B33353">
        <w:rPr>
          <w:rFonts w:eastAsia="Arial" w:cs="Arial"/>
          <w:sz w:val="24"/>
        </w:rPr>
        <w:t xml:space="preserve"> </w:t>
      </w:r>
    </w:p>
    <w:p w:rsidRPr="00B33353" w:rsidR="4FBFD571" w:rsidP="00B33353" w:rsidRDefault="4FBFD571" w14:paraId="5D66F393" w14:textId="38453898">
      <w:pPr>
        <w:spacing w:line="276" w:lineRule="auto"/>
        <w:rPr>
          <w:rFonts w:cs="Arial"/>
          <w:sz w:val="24"/>
        </w:rPr>
      </w:pPr>
      <w:r w:rsidRPr="00B33353">
        <w:rPr>
          <w:rFonts w:eastAsia="Arial" w:cs="Arial"/>
          <w:sz w:val="24"/>
        </w:rPr>
        <w:lastRenderedPageBreak/>
        <w:t>At this step to continue building on the “quick wins” and drive the long-term change required, it is important to take the necessary time and keep learning and communicating as in steps 4 through 6. Failing to do this may risk people, losing motivation for the change and reverting to the old way of doing things. (Cameron and Green, 2024)</w:t>
      </w:r>
    </w:p>
    <w:p w:rsidRPr="00B33353" w:rsidR="4FBFD571" w:rsidP="00B33353" w:rsidRDefault="4FBFD571" w14:paraId="1838E646" w14:textId="00BA5ECD">
      <w:pPr>
        <w:spacing w:line="276" w:lineRule="auto"/>
        <w:rPr>
          <w:rFonts w:cs="Arial"/>
          <w:sz w:val="24"/>
        </w:rPr>
      </w:pPr>
      <w:r w:rsidRPr="00B33353">
        <w:rPr>
          <w:rFonts w:eastAsia="Arial" w:cs="Arial"/>
          <w:sz w:val="24"/>
        </w:rPr>
        <w:t xml:space="preserve"> </w:t>
      </w:r>
    </w:p>
    <w:p w:rsidRPr="00B33353" w:rsidR="4FBFD571" w:rsidP="00B33353" w:rsidRDefault="4FBFD571" w14:paraId="7C1B2E48" w14:textId="137583EB">
      <w:pPr>
        <w:spacing w:line="276" w:lineRule="auto"/>
        <w:rPr>
          <w:rFonts w:cs="Arial"/>
          <w:sz w:val="24"/>
        </w:rPr>
      </w:pPr>
      <w:r w:rsidRPr="00B33353">
        <w:rPr>
          <w:rFonts w:eastAsia="Arial" w:cs="Arial"/>
          <w:sz w:val="24"/>
        </w:rPr>
        <w:t>The final step is to embed the change and for this to be successful it should become part of the core culture and be visible at all levels of the organisation, including policies and processes. Maintain open avenues of communication and continue to highlight successes, this will ensure continuous effort and support from organisational leaders.</w:t>
      </w:r>
    </w:p>
    <w:p w:rsidRPr="000C666D" w:rsidR="001238A2" w:rsidP="001238A2" w:rsidRDefault="001238A2" w14:paraId="6659E931" w14:textId="77777777">
      <w:pPr>
        <w:pStyle w:val="Heading1"/>
      </w:pPr>
      <w:r w:rsidRPr="000C666D">
        <w:t>Using the Kubler-Ross change curve, discuss how change is experienced. (AC 2.4)</w:t>
      </w:r>
    </w:p>
    <w:p w:rsidRPr="00B33353" w:rsidR="0EDF5897" w:rsidP="00B33353" w:rsidRDefault="0EDF5897" w14:paraId="35155D53" w14:textId="7762A611">
      <w:pPr>
        <w:spacing w:line="276" w:lineRule="auto"/>
        <w:rPr>
          <w:rFonts w:cs="Arial"/>
          <w:sz w:val="24"/>
        </w:rPr>
      </w:pPr>
    </w:p>
    <w:p w:rsidRPr="00B33353" w:rsidR="00281B1C" w:rsidP="00B33353" w:rsidRDefault="00281B1C" w14:paraId="0B69E1D0" w14:textId="6AAAF7CB">
      <w:pPr>
        <w:spacing w:line="276" w:lineRule="auto"/>
        <w:rPr>
          <w:rFonts w:cs="Arial"/>
          <w:sz w:val="24"/>
        </w:rPr>
      </w:pPr>
      <w:r w:rsidRPr="00B33353">
        <w:rPr>
          <w:rFonts w:eastAsia="Arial" w:cs="Arial"/>
          <w:sz w:val="24"/>
        </w:rPr>
        <w:t xml:space="preserve">Initially devised in 1969 to explain the grieving process the Kubler-Ross change curve has now evolved and is now widely utilised by organisations and people professionals to understand how people react to and deal with change. This change model identifies that when dealing with change a person generally goes through five stages, which are denial, anger, bargaining, depression and then acceptance (Cameron and Green, 2024). </w:t>
      </w:r>
    </w:p>
    <w:p w:rsidRPr="00B33353" w:rsidR="00281B1C" w:rsidP="00B33353" w:rsidRDefault="00281B1C" w14:paraId="29334259" w14:textId="0ACB4D45">
      <w:pPr>
        <w:spacing w:line="276" w:lineRule="auto"/>
        <w:rPr>
          <w:rFonts w:cs="Arial"/>
          <w:sz w:val="24"/>
        </w:rPr>
      </w:pPr>
      <w:r w:rsidRPr="00B33353">
        <w:rPr>
          <w:rFonts w:eastAsia="Arial" w:cs="Arial"/>
          <w:sz w:val="24"/>
        </w:rPr>
        <w:t xml:space="preserve"> </w:t>
      </w:r>
    </w:p>
    <w:p w:rsidRPr="00B33353" w:rsidR="00281B1C" w:rsidP="00B33353" w:rsidRDefault="00281B1C" w14:paraId="414628AD" w14:textId="3945F57D">
      <w:pPr>
        <w:spacing w:line="276" w:lineRule="auto"/>
        <w:rPr>
          <w:rFonts w:cs="Arial"/>
          <w:sz w:val="24"/>
        </w:rPr>
      </w:pPr>
      <w:r w:rsidRPr="00B33353">
        <w:rPr>
          <w:rFonts w:eastAsia="Arial" w:cs="Arial"/>
          <w:sz w:val="24"/>
        </w:rPr>
        <w:t>During the denial stage individuals may not accept that the change is happening or indeed needed. This may result it in defiance, resistance and a reduction in performance. Following the curve once the individual has passed through the denial stage, they enter the anger stage. This may result in them airing negative opinions of the change through frustration. Then they move to the bargaining stage, during this stage the employee may experience uncertainty and to minimise the impact they may attempt to negotiate or attempt to find a compromise. When the negotiation fails before acceptance, the employee will enter the depression stage, during this stage the employee may become isolated and demotivated and possibly show signs of apathy. The employee will eventually reach the final stage of the curve model, which is acceptance. At this stage the employee will come to terms with the change and may start to explore potential opportunities, the change may offer them (Malik, 2024).</w:t>
      </w:r>
    </w:p>
    <w:p w:rsidRPr="00B33353" w:rsidR="00281B1C" w:rsidP="00B33353" w:rsidRDefault="00281B1C" w14:paraId="2448D9B8" w14:textId="2F734F69">
      <w:pPr>
        <w:spacing w:line="276" w:lineRule="auto"/>
        <w:rPr>
          <w:rFonts w:cs="Arial"/>
          <w:sz w:val="24"/>
        </w:rPr>
      </w:pPr>
      <w:r w:rsidRPr="00B33353">
        <w:rPr>
          <w:rFonts w:eastAsia="Arial" w:cs="Arial"/>
          <w:sz w:val="24"/>
        </w:rPr>
        <w:t xml:space="preserve"> </w:t>
      </w:r>
    </w:p>
    <w:p w:rsidRPr="00B33353" w:rsidR="00281B1C" w:rsidP="00B33353" w:rsidRDefault="00281B1C" w14:paraId="3F8F3F85" w14:textId="78ECCC1B">
      <w:pPr>
        <w:spacing w:line="276" w:lineRule="auto"/>
        <w:rPr>
          <w:rFonts w:cs="Arial"/>
          <w:sz w:val="24"/>
        </w:rPr>
      </w:pPr>
      <w:r w:rsidRPr="00B33353">
        <w:rPr>
          <w:rFonts w:eastAsia="Arial" w:cs="Arial"/>
          <w:sz w:val="24"/>
        </w:rPr>
        <w:t xml:space="preserve">When implementing change individuals may experience these stages at various levels, or may even repeat stages, and it is imperative for the successful implementation of the change that they are supported through each stage (Roberts, 2024). Andersen (2022) concurs and states that it is important to allow each employee time to process through the stages and allow them to experience each stage in their own way. It is also important to listen and address their concerns to </w:t>
      </w:r>
      <w:r w:rsidRPr="00B33353">
        <w:rPr>
          <w:rFonts w:eastAsia="Arial" w:cs="Arial"/>
          <w:sz w:val="24"/>
        </w:rPr>
        <w:lastRenderedPageBreak/>
        <w:t>enable them to move through the curve and change their mindset about the change being implemented.</w:t>
      </w:r>
    </w:p>
    <w:p w:rsidRPr="000C666D" w:rsidR="006850BF" w:rsidP="006850BF" w:rsidRDefault="006850BF" w14:paraId="08A0DC4D" w14:textId="77777777">
      <w:pPr>
        <w:pStyle w:val="Heading1"/>
      </w:pPr>
      <w:r w:rsidRPr="000C666D">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rsidRPr="00B33353" w:rsidR="0EDF5897" w:rsidP="00B33353" w:rsidRDefault="0EDF5897" w14:paraId="6B73707E" w14:textId="2F20455F">
      <w:pPr>
        <w:spacing w:line="276" w:lineRule="auto"/>
        <w:rPr>
          <w:rFonts w:cs="Arial"/>
          <w:sz w:val="24"/>
        </w:rPr>
      </w:pPr>
    </w:p>
    <w:p w:rsidRPr="00B33353" w:rsidR="2E0B5F5F" w:rsidP="00B33353" w:rsidRDefault="2E0B5F5F" w14:paraId="62150334" w14:textId="1D2AAB0A">
      <w:pPr>
        <w:spacing w:line="276" w:lineRule="auto"/>
        <w:rPr>
          <w:rFonts w:cs="Arial"/>
          <w:sz w:val="24"/>
        </w:rPr>
      </w:pPr>
      <w:r w:rsidRPr="00B33353">
        <w:rPr>
          <w:rFonts w:eastAsia="Arial" w:cs="Arial"/>
          <w:sz w:val="24"/>
        </w:rPr>
        <w:t xml:space="preserve">It could be argued that wellbeing at work is important as research identifies that employees that are emotionally, physically and mentally well at work are, more productive and focused (Adams, 2019). </w:t>
      </w:r>
      <w:proofErr w:type="spellStart"/>
      <w:r w:rsidRPr="00B33353">
        <w:rPr>
          <w:rFonts w:eastAsia="Arial" w:cs="Arial"/>
          <w:sz w:val="24"/>
        </w:rPr>
        <w:t>Suff</w:t>
      </w:r>
      <w:proofErr w:type="spellEnd"/>
      <w:r w:rsidRPr="00B33353">
        <w:rPr>
          <w:rFonts w:eastAsia="Arial" w:cs="Arial"/>
          <w:sz w:val="24"/>
        </w:rPr>
        <w:t xml:space="preserve"> (2024) attests that there are seven areas with the workplace that impact employee’s wellbeing, which are health, good work, values &amp; principles, personal growth, social, good lifestyle choices and financial wellbeing. Although the individual employee has some responsibility in relation to their overall wellbeing specifically within health and lifestyle, it is also important for organisations to know how to support them in work. </w:t>
      </w:r>
    </w:p>
    <w:p w:rsidRPr="00B33353" w:rsidR="2E0B5F5F" w:rsidP="00B33353" w:rsidRDefault="2E0B5F5F" w14:paraId="60E4B928" w14:textId="7A19BC86">
      <w:pPr>
        <w:spacing w:line="276" w:lineRule="auto"/>
        <w:rPr>
          <w:rFonts w:cs="Arial"/>
          <w:sz w:val="24"/>
        </w:rPr>
      </w:pPr>
      <w:r w:rsidRPr="00B33353">
        <w:rPr>
          <w:rFonts w:eastAsia="Arial" w:cs="Arial"/>
          <w:sz w:val="24"/>
        </w:rPr>
        <w:t xml:space="preserve"> </w:t>
      </w:r>
    </w:p>
    <w:p w:rsidRPr="00B33353" w:rsidR="2E0B5F5F" w:rsidP="00B33353" w:rsidRDefault="2E0B5F5F" w14:paraId="2A2B84DC" w14:textId="4DBD0F4E">
      <w:pPr>
        <w:spacing w:line="276" w:lineRule="auto"/>
        <w:rPr>
          <w:rFonts w:cs="Arial"/>
          <w:sz w:val="24"/>
        </w:rPr>
      </w:pPr>
      <w:r w:rsidRPr="00B33353">
        <w:rPr>
          <w:rFonts w:eastAsia="Arial" w:cs="Arial"/>
          <w:sz w:val="24"/>
        </w:rPr>
        <w:t>The area of ‘good work’ which refers to aspects of the job, are fundamental to employee wellbeing. CIPD (2024) define this as work that, is accessible to all, is fairly rewarded, offers work life balance, provides sufficient means to economically make a living, delivers a supportive environment, which is physically and mentally healthy, while offering them a voice and opportunity to develop. To ensure that these requirements are being covered organisations could implement programmes such as, employee assistance for mental health and / or a healthy eating initiative such as free fresh fruit available in the workplace. For fair reward competitive salaries are a good start point, which can be enhanced with benefits packages (</w:t>
      </w:r>
      <w:proofErr w:type="spellStart"/>
      <w:r w:rsidRPr="00B33353">
        <w:rPr>
          <w:rFonts w:eastAsia="Arial" w:cs="Arial"/>
          <w:sz w:val="24"/>
        </w:rPr>
        <w:t>Suff</w:t>
      </w:r>
      <w:proofErr w:type="spellEnd"/>
      <w:r w:rsidRPr="00B33353">
        <w:rPr>
          <w:rFonts w:eastAsia="Arial" w:cs="Arial"/>
          <w:sz w:val="24"/>
        </w:rPr>
        <w:t>, 2024).</w:t>
      </w:r>
    </w:p>
    <w:p w:rsidRPr="00B33353" w:rsidR="2E0B5F5F" w:rsidP="00B33353" w:rsidRDefault="2E0B5F5F" w14:paraId="78B38D0C" w14:textId="3EEBADAB">
      <w:pPr>
        <w:spacing w:line="276" w:lineRule="auto"/>
        <w:rPr>
          <w:rFonts w:cs="Arial"/>
          <w:sz w:val="24"/>
        </w:rPr>
      </w:pPr>
      <w:r w:rsidRPr="00B33353">
        <w:rPr>
          <w:rFonts w:eastAsia="Arial" w:cs="Arial"/>
          <w:sz w:val="24"/>
        </w:rPr>
        <w:t xml:space="preserve"> </w:t>
      </w:r>
    </w:p>
    <w:p w:rsidRPr="00B33353" w:rsidR="2E0B5F5F" w:rsidP="00B33353" w:rsidRDefault="2E0B5F5F" w14:paraId="092BD771" w14:textId="602BD3BD">
      <w:pPr>
        <w:spacing w:line="276" w:lineRule="auto"/>
        <w:rPr>
          <w:rFonts w:cs="Arial"/>
          <w:sz w:val="24"/>
        </w:rPr>
      </w:pPr>
      <w:r w:rsidRPr="00B33353">
        <w:rPr>
          <w:rFonts w:eastAsia="Arial" w:cs="Arial"/>
          <w:sz w:val="24"/>
        </w:rPr>
        <w:t xml:space="preserve">Although influenced by a variety of factors, quality HR, people management and leaders within the organisation are essential for overall wellbeing and good work (CIPD, 2024). Wellbeing should do more than just meet the minimum legal </w:t>
      </w:r>
      <w:r w:rsidRPr="00B33353" w:rsidR="01650C63">
        <w:rPr>
          <w:rFonts w:eastAsia="Arial" w:cs="Arial"/>
          <w:sz w:val="24"/>
        </w:rPr>
        <w:t>requirements,</w:t>
      </w:r>
      <w:r w:rsidRPr="00B33353">
        <w:rPr>
          <w:rFonts w:eastAsia="Arial" w:cs="Arial"/>
          <w:sz w:val="24"/>
        </w:rPr>
        <w:t xml:space="preserve"> and it is important for HR and people professionals to present a strong business case that reflects the positive impact wellbeing at work incentives have on recruitment, retention and absence management (Taylor and Woodhams, 2022).</w:t>
      </w:r>
    </w:p>
    <w:p w:rsidRPr="00B33353" w:rsidR="2E0B5F5F" w:rsidP="00B33353" w:rsidRDefault="2E0B5F5F" w14:paraId="49B63F3D" w14:textId="7FC9CBD5">
      <w:pPr>
        <w:spacing w:line="276" w:lineRule="auto"/>
        <w:rPr>
          <w:rFonts w:cs="Arial"/>
          <w:sz w:val="24"/>
        </w:rPr>
      </w:pPr>
      <w:r w:rsidRPr="00B33353">
        <w:rPr>
          <w:rFonts w:eastAsia="Arial" w:cs="Arial"/>
          <w:sz w:val="24"/>
        </w:rPr>
        <w:t>However, some organisations do not know how best to support people with their health and wellbeing as they do not understand what it means. There are also organisations that feel they are too busy to implement or do not see its importance (Cassidy, Wilkinson. and Pahl, 2023).</w:t>
      </w:r>
    </w:p>
    <w:p w:rsidRPr="00B33353" w:rsidR="007A5B4B" w:rsidP="00B33353" w:rsidRDefault="007A5B4B" w14:paraId="72C4F94F" w14:textId="2D17B0A3">
      <w:pPr>
        <w:spacing w:line="276" w:lineRule="auto"/>
        <w:rPr>
          <w:rFonts w:cs="Arial"/>
          <w:sz w:val="24"/>
        </w:rPr>
      </w:pPr>
    </w:p>
    <w:p w:rsidRPr="000C666D" w:rsidR="00EE4704" w:rsidP="00EE4704" w:rsidRDefault="00EE4704" w14:paraId="08DC017F" w14:textId="77777777">
      <w:pPr>
        <w:pStyle w:val="Heading1"/>
      </w:pPr>
      <w:r w:rsidRPr="000C666D">
        <w:lastRenderedPageBreak/>
        <w:t>Provide a brief overview of the employee lifecycle</w:t>
      </w:r>
      <w:r w:rsidRPr="000C666D">
        <w:rPr>
          <w:i/>
          <w:iCs/>
        </w:rPr>
        <w:t xml:space="preserve"> </w:t>
      </w:r>
      <w:r w:rsidRPr="000C666D">
        <w:t>and discuss people practice roles at the recruitment, development and separation stages of the lifecycle. (AC 3.1)</w:t>
      </w:r>
    </w:p>
    <w:p w:rsidRPr="00B33353" w:rsidR="00E31DD8" w:rsidP="00B33353" w:rsidRDefault="00E31DD8" w14:paraId="6BCC1629" w14:textId="77777777">
      <w:pPr>
        <w:spacing w:line="276" w:lineRule="auto"/>
        <w:rPr>
          <w:rFonts w:cs="Arial"/>
          <w:sz w:val="24"/>
        </w:rPr>
      </w:pPr>
    </w:p>
    <w:p w:rsidRPr="00B33353" w:rsidR="6DC90825" w:rsidP="00B33353" w:rsidRDefault="6DC90825" w14:paraId="334B14D5" w14:textId="2D0AC25A">
      <w:pPr>
        <w:spacing w:line="276" w:lineRule="auto"/>
        <w:rPr>
          <w:rFonts w:cs="Arial"/>
          <w:sz w:val="24"/>
        </w:rPr>
      </w:pPr>
      <w:r w:rsidRPr="00B33353">
        <w:rPr>
          <w:rFonts w:cs="Arial"/>
          <w:sz w:val="24"/>
        </w:rPr>
        <w:t xml:space="preserve">The employee lifecycle has six connected stages which are attraction, recruitment and selection, onboarding, development, retention and separation. It is important for people professionals to understand the impact each stage the lifecycle has on overall performance and the strategic goals of the organisation (Taylor and Woodham, 2022).  </w:t>
      </w:r>
    </w:p>
    <w:p w:rsidRPr="00B33353" w:rsidR="6DC90825" w:rsidP="00B33353" w:rsidRDefault="6DC90825" w14:paraId="2FB4CB63" w14:textId="106EFF48">
      <w:pPr>
        <w:spacing w:line="276" w:lineRule="auto"/>
        <w:rPr>
          <w:rFonts w:cs="Arial"/>
          <w:sz w:val="24"/>
        </w:rPr>
      </w:pPr>
      <w:r w:rsidRPr="00B33353">
        <w:rPr>
          <w:rFonts w:cs="Arial"/>
          <w:sz w:val="24"/>
        </w:rPr>
        <w:t xml:space="preserve"> </w:t>
      </w:r>
    </w:p>
    <w:p w:rsidRPr="00B33353" w:rsidR="6DC90825" w:rsidP="00B33353" w:rsidRDefault="6DC90825" w14:paraId="1A47F73A" w14:textId="689DAC94">
      <w:pPr>
        <w:spacing w:line="276" w:lineRule="auto"/>
        <w:rPr>
          <w:rFonts w:cs="Arial"/>
          <w:sz w:val="24"/>
        </w:rPr>
      </w:pPr>
      <w:r w:rsidRPr="00B33353">
        <w:rPr>
          <w:rFonts w:cs="Arial"/>
          <w:sz w:val="24"/>
        </w:rPr>
        <w:t xml:space="preserve">People practitioners have a vital role to play in the employee lifecycle and depending on the size of the organisation may provide services all six or just some of the stages (Waite et al, 2021). During recruitment, people practitioners can assist with job analysis, advertising and selection. During job analysis, whether the role is a new or existing could determine input required. When the role is existing a people professionals can review of current job description (JD) and person specification (PS). They can then get feedback from current people within the role to ensure that the JD and PS are still fit for purpose and respective of the current demands of the role. This can be completed through interviews and observation or questionnaires (Waite et al, 2021). The JD and PS formed from the analysis will be a key part of the advertisement and how and where to advertise. The people professional may use internal data held from employee engagement surveys to determine that the role is better suited for internal advertisement to allow opportunity for promotion within the organisation or externally. If external as part of the advertisement it is important to ensure that the overall brand of the organisation is represented, it clearly outlines the key elements of the role including minimum experience and qualifications required, and that the advertisement is posted in areas where it will attract the best pool of candidates, such as specialist recruitment sites. The selection process will again be determined by the skills and seniority of the role. People professionals can create selection criteria based on the JD and PS to review applicants against, this can assist in the reducing the applications volume sifting and longlisting (CIPD, 2024a). </w:t>
      </w:r>
    </w:p>
    <w:p w:rsidRPr="00B33353" w:rsidR="6DC90825" w:rsidP="00B33353" w:rsidRDefault="6DC90825" w14:paraId="71A8F691" w14:textId="5D62ECDA">
      <w:pPr>
        <w:spacing w:line="276" w:lineRule="auto"/>
        <w:rPr>
          <w:rFonts w:cs="Arial"/>
          <w:sz w:val="24"/>
        </w:rPr>
      </w:pPr>
      <w:r w:rsidRPr="00B33353">
        <w:rPr>
          <w:rFonts w:cs="Arial"/>
          <w:sz w:val="24"/>
        </w:rPr>
        <w:t xml:space="preserve"> </w:t>
      </w:r>
    </w:p>
    <w:p w:rsidRPr="00B33353" w:rsidR="6DC90825" w:rsidP="00B33353" w:rsidRDefault="6DC90825" w14:paraId="4BA3F8F6" w14:textId="62180F09">
      <w:pPr>
        <w:spacing w:line="276" w:lineRule="auto"/>
        <w:rPr>
          <w:rFonts w:cs="Arial"/>
          <w:sz w:val="24"/>
        </w:rPr>
      </w:pPr>
      <w:r w:rsidRPr="00B33353">
        <w:rPr>
          <w:rFonts w:cs="Arial"/>
          <w:sz w:val="24"/>
        </w:rPr>
        <w:t xml:space="preserve">A key part of people management role is to nurture employees to grow and develop with their role and the organisation, developing employees benefits the organisation through increased productivity, motivation and overall staff retention (Waite et al, 2021). People professionals can assist in developing management, performance and development review processes, that enable managers and individuals to identify learning and development needs. Armstrong and Taylor (2023) state that there are key stages to personal development planning which are analysis of the current situation, setting appropriate goals, preparing action plans and implementation of plan. People professionals can assist managers and add value to the organisation by implementing training where required. This may include training in policy aspect of the process, providing guidance and support in how to have conversations in relation </w:t>
      </w:r>
      <w:r w:rsidRPr="00B33353">
        <w:rPr>
          <w:rFonts w:cs="Arial"/>
          <w:sz w:val="24"/>
        </w:rPr>
        <w:lastRenderedPageBreak/>
        <w:t xml:space="preserve">to underperformance, providing quality feedback or developing skills in setting effective and objective goals (CIPD, 2025) </w:t>
      </w:r>
    </w:p>
    <w:p w:rsidRPr="00B33353" w:rsidR="6DC90825" w:rsidP="00B33353" w:rsidRDefault="6DC90825" w14:paraId="0F25A023" w14:textId="41FE4189">
      <w:pPr>
        <w:spacing w:line="276" w:lineRule="auto"/>
        <w:rPr>
          <w:rFonts w:cs="Arial"/>
          <w:sz w:val="24"/>
        </w:rPr>
      </w:pPr>
      <w:r w:rsidRPr="00B33353">
        <w:rPr>
          <w:rFonts w:cs="Arial"/>
          <w:sz w:val="24"/>
        </w:rPr>
        <w:t xml:space="preserve"> </w:t>
      </w:r>
    </w:p>
    <w:p w:rsidRPr="00B33353" w:rsidR="6DC90825" w:rsidP="00B33353" w:rsidRDefault="6DC90825" w14:paraId="0BB8CA29" w14:textId="17127544">
      <w:pPr>
        <w:spacing w:line="276" w:lineRule="auto"/>
        <w:rPr>
          <w:rFonts w:cs="Arial"/>
          <w:sz w:val="24"/>
        </w:rPr>
      </w:pPr>
      <w:r w:rsidRPr="00B33353">
        <w:rPr>
          <w:rFonts w:cs="Arial"/>
          <w:sz w:val="24"/>
        </w:rPr>
        <w:t xml:space="preserve">Throughout all areas the data is primarily collected through staff engagement surveys, interviews and questionnaires. Although these have the advantages, there are also disadvantages, for example as argued by Taylor and Woodman (2022) to ensure a good response rate from surveys and questionnaires it is important that they are not too bulky and that outcomes are actioned efficiently.  </w:t>
      </w:r>
    </w:p>
    <w:p w:rsidRPr="000C666D" w:rsidR="004571F8" w:rsidP="004571F8" w:rsidRDefault="004571F8" w14:paraId="3D567F1F" w14:textId="77777777">
      <w:pPr>
        <w:pStyle w:val="Heading1"/>
      </w:pPr>
      <w:r w:rsidRPr="000C666D">
        <w:t>Analyse how people practice supports organisational strategy through vertical integration and how people practice supports wider people strategies through horizontal integration. (AC 3.2)</w:t>
      </w:r>
    </w:p>
    <w:p w:rsidR="004571F8" w:rsidP="00B33353" w:rsidRDefault="004571F8" w14:paraId="504E9148" w14:textId="77777777">
      <w:pPr>
        <w:spacing w:line="276" w:lineRule="auto"/>
        <w:rPr>
          <w:rFonts w:cs="Arial"/>
          <w:sz w:val="24"/>
        </w:rPr>
      </w:pPr>
    </w:p>
    <w:p w:rsidRPr="00B33353" w:rsidR="00B33353" w:rsidP="00B33353" w:rsidRDefault="00B33353" w14:paraId="4881BBB2" w14:textId="45B87433">
      <w:pPr>
        <w:spacing w:line="276" w:lineRule="auto"/>
        <w:rPr>
          <w:rFonts w:cs="Arial"/>
          <w:sz w:val="24"/>
        </w:rPr>
      </w:pPr>
      <w:r w:rsidRPr="00B33353">
        <w:rPr>
          <w:rFonts w:cs="Arial"/>
          <w:sz w:val="24"/>
        </w:rPr>
        <w:t>People practitioners have an important and varied role within all aspects of the organisation. At a strategic level ensuring the HR strategies and activities are aligned with organisational strategic goals. The initial concept introduced by Walker in 1978 and was further developed in the works of Tichy et al in the 1980’s (Armstrong and Brown, 2019). At a practice level people practitioners have a responsibility to ensure systems and processes are aligned and coordinated through the stages of the employee lifecycle. It is argued that to be effective it is key to develop a system that encompasses both horizontal and vertical fit (Armstrong and Brown, 2019) </w:t>
      </w:r>
    </w:p>
    <w:p w:rsidRPr="00B33353" w:rsidR="00B33353" w:rsidP="00B33353" w:rsidRDefault="00B33353" w14:paraId="340A6A1E" w14:textId="77777777">
      <w:pPr>
        <w:spacing w:line="276" w:lineRule="auto"/>
        <w:rPr>
          <w:rFonts w:cs="Arial"/>
          <w:sz w:val="24"/>
        </w:rPr>
      </w:pPr>
      <w:r w:rsidRPr="00B33353">
        <w:rPr>
          <w:rFonts w:cs="Arial"/>
          <w:sz w:val="24"/>
        </w:rPr>
        <w:t> </w:t>
      </w:r>
    </w:p>
    <w:p w:rsidRPr="00B33353" w:rsidR="00B33353" w:rsidP="00B33353" w:rsidRDefault="00B33353" w14:paraId="0E95D233" w14:textId="77777777">
      <w:pPr>
        <w:spacing w:line="276" w:lineRule="auto"/>
        <w:rPr>
          <w:rFonts w:cs="Arial"/>
          <w:sz w:val="24"/>
        </w:rPr>
      </w:pPr>
      <w:r w:rsidRPr="00B33353">
        <w:rPr>
          <w:rFonts w:cs="Arial"/>
          <w:sz w:val="24"/>
        </w:rPr>
        <w:t>At a strategic level people practice can support the organisation to achieve objectives through vertical integration. This is achieved by aligning HR strategy with the organisational strategy, so that the two inform each other (Peters, 2024). For example, if the organisation implemented a strategy to grow market share, people practice could support this through a strategic workforce plan, looking at recruitment, training and performance management to improve efficiency throughout the organisation (CIPD, 2023a). Or if a technical company was looking to introduce a new application, people managers could assist with job design analysing the role and the competency skills required to fulfil the role (Singh, 2021).  However, Boxall and Purcell (2022) concluded from review of various research, that the success of vertical integration, can vary significantly across industries and organisational size, so it is important to consider the context and range of variables within different organisations. </w:t>
      </w:r>
    </w:p>
    <w:p w:rsidRPr="00B33353" w:rsidR="00B33353" w:rsidP="00B33353" w:rsidRDefault="00B33353" w14:paraId="24ADA514" w14:textId="77777777">
      <w:pPr>
        <w:spacing w:line="276" w:lineRule="auto"/>
        <w:rPr>
          <w:rFonts w:cs="Arial"/>
          <w:sz w:val="24"/>
        </w:rPr>
      </w:pPr>
      <w:r w:rsidRPr="00B33353">
        <w:rPr>
          <w:rFonts w:cs="Arial"/>
          <w:sz w:val="24"/>
        </w:rPr>
        <w:t> </w:t>
      </w:r>
    </w:p>
    <w:p w:rsidRPr="00B33353" w:rsidR="00B33353" w:rsidP="00B33353" w:rsidRDefault="00B33353" w14:paraId="34A2ACBC" w14:textId="77777777">
      <w:pPr>
        <w:spacing w:line="276" w:lineRule="auto"/>
        <w:rPr>
          <w:rFonts w:cs="Arial"/>
          <w:sz w:val="24"/>
          <w:lang w:val="en-US"/>
        </w:rPr>
      </w:pPr>
      <w:r w:rsidRPr="00B33353">
        <w:rPr>
          <w:rFonts w:cs="Arial"/>
          <w:sz w:val="24"/>
        </w:rPr>
        <w:t xml:space="preserve">Different from vertical integration, horizontal integration focuses on ensuring that internal HR policy and practices are designed well providing consistency and overall produce the required outcomes (Armstrong and Brown, 2019). To achieve horizontal integration, organisational practices such as recruitment, training, performance and reward management systems should be cohesive and complement not contradict each other. For example, if the training focuses on the importance and the strength of teamwork, then it is important for performance management practices to reward </w:t>
      </w:r>
      <w:r w:rsidRPr="00B33353">
        <w:rPr>
          <w:rFonts w:cs="Arial"/>
          <w:sz w:val="24"/>
        </w:rPr>
        <w:lastRenderedPageBreak/>
        <w:t>teamwork (Boxall and Purcell, 2022). Or where a retail company requires new recruits to have strong sales skills, it is important to have a reward system that rewards sales performance, to ensure that the individual remains engaged within the organisation reducing staff turnover. Although, in principle horizontal integration appears feasible, Boxall and Purcell (2022) argue that this is oversimplified understanding of how HR processes develop within different organisations.</w:t>
      </w:r>
      <w:r w:rsidRPr="00B33353">
        <w:rPr>
          <w:rFonts w:cs="Arial"/>
          <w:sz w:val="24"/>
          <w:lang w:val="en-US"/>
        </w:rPr>
        <w:t> </w:t>
      </w:r>
    </w:p>
    <w:p w:rsidRPr="000C666D" w:rsidR="00FE174C" w:rsidP="00FE174C" w:rsidRDefault="00FE174C" w14:paraId="729CD0D8" w14:textId="77777777">
      <w:pPr>
        <w:pStyle w:val="Heading1"/>
      </w:pPr>
      <w:r w:rsidRPr="000C666D">
        <w:t xml:space="preserve">An organisation is planning to introduce a </w:t>
      </w:r>
      <w:r>
        <w:t>four</w:t>
      </w:r>
      <w:r w:rsidRPr="000C666D">
        <w:t xml:space="preserve">-day working week. Discuss the processes the people function could use to consult and engage with managers and employees to understand their needs when moving from a </w:t>
      </w:r>
      <w:r>
        <w:t>five</w:t>
      </w:r>
      <w:r w:rsidRPr="000C666D">
        <w:t xml:space="preserve">-day to </w:t>
      </w:r>
      <w:r>
        <w:t>four</w:t>
      </w:r>
      <w:r w:rsidRPr="000C666D">
        <w:t>-day working week. (AC 3.3)</w:t>
      </w:r>
    </w:p>
    <w:p w:rsidRPr="00B33353" w:rsidR="42077677" w:rsidP="00B33353" w:rsidRDefault="42077677" w14:paraId="197B35DB" w14:textId="2783F309">
      <w:pPr>
        <w:spacing w:line="276" w:lineRule="auto"/>
        <w:rPr>
          <w:rFonts w:cs="Arial"/>
          <w:sz w:val="24"/>
        </w:rPr>
      </w:pPr>
    </w:p>
    <w:p w:rsidRPr="00B33353" w:rsidR="31E7222A" w:rsidP="00B33353" w:rsidRDefault="31E7222A" w14:paraId="040F8329" w14:textId="1B7A5008">
      <w:pPr>
        <w:spacing w:line="276" w:lineRule="auto"/>
        <w:rPr>
          <w:rFonts w:eastAsia="Open Sans" w:cs="Arial"/>
          <w:color w:val="000000" w:themeColor="text1"/>
          <w:sz w:val="24"/>
          <w:lang w:val="en-US"/>
        </w:rPr>
      </w:pPr>
      <w:r w:rsidRPr="00B33353">
        <w:rPr>
          <w:rFonts w:eastAsia="Open Sans" w:cs="Arial"/>
          <w:color w:val="000000" w:themeColor="text1"/>
          <w:sz w:val="24"/>
        </w:rPr>
        <w:t xml:space="preserve">To increase the probability of employees and representatives (stakeholders) understanding and accepting a change, it is important to consult with and listen to their views (ACAS, 2021). At the start of any consultation, it is important to identify key stakeholders. Creating a stakeholder engagement assessment matrix (See Figure </w:t>
      </w:r>
      <w:r w:rsidRPr="00B33353" w:rsidR="01539B3F">
        <w:rPr>
          <w:rFonts w:eastAsia="Open Sans" w:cs="Arial"/>
          <w:color w:val="000000" w:themeColor="text1"/>
          <w:sz w:val="24"/>
        </w:rPr>
        <w:t>2</w:t>
      </w:r>
      <w:r w:rsidRPr="00B33353">
        <w:rPr>
          <w:rFonts w:eastAsia="Open Sans" w:cs="Arial"/>
          <w:color w:val="000000" w:themeColor="text1"/>
          <w:sz w:val="24"/>
        </w:rPr>
        <w:t>.) can assist in identifying levels of engagement and communication required across different groups to ensure that the most effective process is utilised.</w:t>
      </w:r>
    </w:p>
    <w:p w:rsidRPr="00B33353" w:rsidR="42077677" w:rsidP="00B33353" w:rsidRDefault="42077677" w14:paraId="2C1A1F75" w14:textId="37A81215">
      <w:pPr>
        <w:spacing w:line="276" w:lineRule="auto"/>
        <w:rPr>
          <w:rFonts w:eastAsia="Open Sans" w:cs="Arial"/>
          <w:color w:val="000000" w:themeColor="text1"/>
          <w:sz w:val="24"/>
          <w:lang w:val="en-US"/>
        </w:rPr>
      </w:pPr>
    </w:p>
    <w:p w:rsidRPr="00B33353" w:rsidR="31E7222A" w:rsidP="00B33353" w:rsidRDefault="31E7222A" w14:paraId="1659F13D" w14:textId="5ED582D0">
      <w:pPr>
        <w:spacing w:line="276" w:lineRule="auto"/>
        <w:rPr>
          <w:rFonts w:eastAsia="Open Sans" w:cs="Arial"/>
          <w:color w:val="000000" w:themeColor="text1"/>
          <w:sz w:val="24"/>
          <w:lang w:val="en-US"/>
        </w:rPr>
      </w:pPr>
      <w:r w:rsidRPr="00B33353">
        <w:rPr>
          <w:rFonts w:eastAsia="Open Sans" w:cs="Arial"/>
          <w:color w:val="000000" w:themeColor="text1"/>
          <w:sz w:val="24"/>
        </w:rPr>
        <w:t xml:space="preserve">Figure </w:t>
      </w:r>
      <w:r w:rsidRPr="00B33353" w:rsidR="582663FA">
        <w:rPr>
          <w:rFonts w:eastAsia="Open Sans" w:cs="Arial"/>
          <w:color w:val="000000" w:themeColor="text1"/>
          <w:sz w:val="24"/>
        </w:rPr>
        <w:t>2</w:t>
      </w:r>
      <w:r w:rsidRPr="00B33353">
        <w:rPr>
          <w:rFonts w:eastAsia="Open Sans" w:cs="Arial"/>
          <w:color w:val="000000" w:themeColor="text1"/>
          <w:sz w:val="24"/>
        </w:rPr>
        <w:t>.</w:t>
      </w:r>
    </w:p>
    <w:p w:rsidRPr="00B33353" w:rsidR="31E7222A" w:rsidP="00B33353" w:rsidRDefault="31E7222A" w14:paraId="019E5570" w14:textId="7DC27FD9">
      <w:pPr>
        <w:spacing w:line="276" w:lineRule="auto"/>
        <w:rPr>
          <w:rFonts w:eastAsia="Arial" w:cs="Arial"/>
          <w:color w:val="000000" w:themeColor="text1"/>
          <w:sz w:val="24"/>
          <w:lang w:val="en-US"/>
        </w:rPr>
      </w:pPr>
      <w:r w:rsidRPr="00B33353">
        <w:rPr>
          <w:rFonts w:cs="Arial"/>
          <w:noProof/>
          <w:sz w:val="24"/>
        </w:rPr>
        <w:drawing>
          <wp:inline distT="0" distB="0" distL="0" distR="0" wp14:anchorId="2DF6D918" wp14:editId="15B2A31D">
            <wp:extent cx="2495550" cy="1819275"/>
            <wp:effectExtent l="0" t="0" r="0" b="0"/>
            <wp:docPr id="535050609" name="Picture 535050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95550" cy="1819275"/>
                    </a:xfrm>
                    <a:prstGeom prst="rect">
                      <a:avLst/>
                    </a:prstGeom>
                  </pic:spPr>
                </pic:pic>
              </a:graphicData>
            </a:graphic>
          </wp:inline>
        </w:drawing>
      </w:r>
      <w:r w:rsidRPr="00B33353">
        <w:rPr>
          <w:rFonts w:eastAsia="Arial" w:cs="Arial"/>
          <w:color w:val="000000" w:themeColor="text1"/>
          <w:sz w:val="24"/>
        </w:rPr>
        <w:t>Eduardo (2024)</w:t>
      </w:r>
      <w:r w:rsidRPr="00B33353">
        <w:rPr>
          <w:rFonts w:eastAsia="Open Sans" w:cs="Arial"/>
          <w:color w:val="000000" w:themeColor="text1"/>
          <w:sz w:val="24"/>
        </w:rPr>
        <w:t xml:space="preserve"> </w:t>
      </w:r>
    </w:p>
    <w:p w:rsidRPr="00B33353" w:rsidR="31E7222A" w:rsidP="00B33353" w:rsidRDefault="31E7222A" w14:paraId="53EF15E9" w14:textId="7BBCF1DE">
      <w:pPr>
        <w:spacing w:line="276" w:lineRule="auto"/>
        <w:rPr>
          <w:rFonts w:eastAsia="Arial" w:cs="Arial"/>
          <w:color w:val="000000" w:themeColor="text1"/>
          <w:sz w:val="24"/>
          <w:lang w:val="en-US"/>
        </w:rPr>
      </w:pPr>
      <w:r w:rsidRPr="00B33353">
        <w:rPr>
          <w:rFonts w:eastAsia="Arial" w:cs="Arial"/>
          <w:color w:val="000000" w:themeColor="text1"/>
          <w:sz w:val="24"/>
        </w:rPr>
        <w:t>Direct consultation with groups and individuals with a high interest in the proposed change is key. There are various processes that can implemented including surveys/ questionnaires, interviews and focus groups, or a combination of these. However, the process chosen may also depend on the size and structure of the organisation. For example, in a smaller organisation there may be limited resources both human and financial. Therefore, the process selected must be efficient and cost effective, while still producing required outcome. In this situation, the best processes maybe a questionnaire to identify level of understanding, support or concerns for potential change, could be circulated through digital and written forms. The quantitative data collated from the questionnaire responses could then be utilised to inform more in-depth discussions in focus groups to collect qualitative data. The combination of the data collected could then be utilised to identify positive aspects and any concerns and feedback in clear communications to stakeholders.</w:t>
      </w:r>
    </w:p>
    <w:p w:rsidRPr="00B33353" w:rsidR="42077677" w:rsidP="00B33353" w:rsidRDefault="42077677" w14:paraId="1CC53435" w14:textId="09617B49">
      <w:pPr>
        <w:spacing w:line="276" w:lineRule="auto"/>
        <w:rPr>
          <w:rFonts w:eastAsia="Arial" w:cs="Arial"/>
          <w:color w:val="000000" w:themeColor="text1"/>
          <w:sz w:val="24"/>
          <w:lang w:val="en-US"/>
        </w:rPr>
      </w:pPr>
    </w:p>
    <w:p w:rsidRPr="00B33353" w:rsidR="31E7222A" w:rsidP="5036BC58" w:rsidRDefault="31E7222A" w14:paraId="07E978CA" w14:textId="77419857" w14:noSpellErr="1">
      <w:pPr>
        <w:spacing w:line="276" w:lineRule="auto"/>
        <w:rPr>
          <w:rFonts w:eastAsia="Arial" w:cs="Arial"/>
          <w:color w:val="000000" w:themeColor="text1"/>
          <w:sz w:val="24"/>
          <w:szCs w:val="24"/>
          <w:lang w:val="en-US"/>
        </w:rPr>
      </w:pPr>
      <w:r w:rsidRPr="5036BC58" w:rsidR="31E7222A">
        <w:rPr>
          <w:rFonts w:eastAsia="Arial" w:cs="Arial"/>
          <w:color w:val="000000" w:themeColor="text1" w:themeTint="FF" w:themeShade="FF"/>
          <w:sz w:val="24"/>
          <w:szCs w:val="24"/>
        </w:rPr>
        <w:t xml:space="preserve">Although, the combination of these processes may provide more detailed data they do have advantages and disadvantages. Questionnaire advantages within a small organisation are that they offer a cost effective and convenient way to gather information </w:t>
      </w:r>
      <w:r w:rsidRPr="5036BC58" w:rsidR="31E7222A">
        <w:rPr>
          <w:rFonts w:eastAsia="Arial" w:cs="Arial"/>
          <w:color w:val="000000" w:themeColor="text1" w:themeTint="FF" w:themeShade="FF"/>
          <w:sz w:val="24"/>
          <w:szCs w:val="24"/>
        </w:rPr>
        <w:t>required</w:t>
      </w:r>
      <w:r w:rsidRPr="5036BC58" w:rsidR="31E7222A">
        <w:rPr>
          <w:rFonts w:eastAsia="Arial" w:cs="Arial"/>
          <w:color w:val="000000" w:themeColor="text1" w:themeTint="FF" w:themeShade="FF"/>
          <w:sz w:val="24"/>
          <w:szCs w:val="24"/>
        </w:rPr>
        <w:t xml:space="preserve"> and can be completed anonymously. However, questions may be subject to bias and if not written well can lead to closed, misleading or inaccurate information being collected. Furthermore, although responses are anonymous, individuals, specifically within a small organisation may not respond or respond truthfully as the fear their identity will be known (Miller, 2018). Focus groups like questionnaires can offer a cost-effective </w:t>
      </w:r>
      <w:r w:rsidRPr="5036BC58" w:rsidR="31E7222A">
        <w:rPr>
          <w:rFonts w:eastAsia="Arial" w:cs="Arial"/>
          <w:color w:val="000000" w:themeColor="text1" w:themeTint="FF" w:themeShade="FF"/>
          <w:sz w:val="24"/>
          <w:szCs w:val="24"/>
        </w:rPr>
        <w:t>option</w:t>
      </w:r>
      <w:r w:rsidRPr="5036BC58" w:rsidR="31E7222A">
        <w:rPr>
          <w:rFonts w:eastAsia="Arial" w:cs="Arial"/>
          <w:color w:val="000000" w:themeColor="text1" w:themeTint="FF" w:themeShade="FF"/>
          <w:sz w:val="24"/>
          <w:szCs w:val="24"/>
        </w:rPr>
        <w:t xml:space="preserve"> to gather more detailed information and allows interaction between the people practitioners and individuals. However, within a small organisation a group may </w:t>
      </w:r>
      <w:r w:rsidRPr="5036BC58" w:rsidR="31E7222A">
        <w:rPr>
          <w:rFonts w:eastAsia="Arial" w:cs="Arial"/>
          <w:color w:val="000000" w:themeColor="text1" w:themeTint="FF" w:themeShade="FF"/>
          <w:sz w:val="24"/>
          <w:szCs w:val="24"/>
        </w:rPr>
        <w:t>contain</w:t>
      </w:r>
      <w:r w:rsidRPr="5036BC58" w:rsidR="31E7222A">
        <w:rPr>
          <w:rFonts w:eastAsia="Arial" w:cs="Arial"/>
          <w:color w:val="000000" w:themeColor="text1" w:themeTint="FF" w:themeShade="FF"/>
          <w:sz w:val="24"/>
          <w:szCs w:val="24"/>
        </w:rPr>
        <w:t xml:space="preserve"> </w:t>
      </w:r>
      <w:r w:rsidRPr="5036BC58" w:rsidR="31E7222A">
        <w:rPr>
          <w:rFonts w:eastAsia="Arial" w:cs="Arial"/>
          <w:color w:val="000000" w:themeColor="text1" w:themeTint="FF" w:themeShade="FF"/>
          <w:sz w:val="24"/>
          <w:szCs w:val="24"/>
        </w:rPr>
        <w:t>different levels</w:t>
      </w:r>
      <w:r w:rsidRPr="5036BC58" w:rsidR="31E7222A">
        <w:rPr>
          <w:rFonts w:eastAsia="Arial" w:cs="Arial"/>
          <w:color w:val="000000" w:themeColor="text1" w:themeTint="FF" w:themeShade="FF"/>
          <w:sz w:val="24"/>
          <w:szCs w:val="24"/>
        </w:rPr>
        <w:t xml:space="preserve"> of management, which may result in some individuals not voicing their opinions.</w:t>
      </w:r>
    </w:p>
    <w:p w:rsidR="5036BC58" w:rsidRDefault="5036BC58" w14:paraId="22BECCEC" w14:textId="00A8AD1A">
      <w:r>
        <w:br w:type="page"/>
      </w:r>
    </w:p>
    <w:p w:rsidR="04725E31" w:rsidP="5036BC58" w:rsidRDefault="04725E31" w14:paraId="276EA3C7" w14:textId="4A1EA0F3">
      <w:pPr>
        <w:spacing w:before="0" w:beforeAutospacing="off" w:after="0" w:afterAutospacing="off" w:line="276" w:lineRule="auto"/>
        <w:rPr>
          <w:rFonts w:ascii="Arial" w:hAnsi="Arial" w:eastAsia="Arial" w:cs="Arial"/>
          <w:b w:val="1"/>
          <w:bCs w:val="1"/>
          <w:noProof w:val="0"/>
          <w:sz w:val="24"/>
          <w:szCs w:val="24"/>
          <w:u w:val="single"/>
          <w:lang w:val="en-GB"/>
        </w:rPr>
      </w:pPr>
      <w:r w:rsidRPr="5036BC58" w:rsidR="04725E31">
        <w:rPr>
          <w:rFonts w:ascii="Arial" w:hAnsi="Arial" w:eastAsia="Arial" w:cs="Arial"/>
          <w:b w:val="1"/>
          <w:bCs w:val="1"/>
          <w:noProof w:val="0"/>
          <w:sz w:val="24"/>
          <w:szCs w:val="24"/>
          <w:u w:val="single"/>
          <w:lang w:val="en-GB"/>
        </w:rPr>
        <w:t xml:space="preserve">Bibliography  </w:t>
      </w:r>
    </w:p>
    <w:p w:rsidR="04725E31" w:rsidP="5036BC58" w:rsidRDefault="04725E31" w14:paraId="30681C63" w14:textId="6081C558">
      <w:pPr>
        <w:spacing w:before="240" w:beforeAutospacing="off" w:after="240" w:afterAutospacing="off"/>
      </w:pPr>
      <w:r w:rsidRPr="5036BC58" w:rsidR="04725E31">
        <w:rPr>
          <w:rFonts w:ascii="Arial" w:hAnsi="Arial" w:eastAsia="Arial" w:cs="Arial"/>
          <w:noProof w:val="0"/>
          <w:sz w:val="24"/>
          <w:szCs w:val="24"/>
          <w:lang w:val="en-GB"/>
        </w:rPr>
        <w:t xml:space="preserve">ACAS (2021) Consulting employees and representatives, What consultation is. Available at: </w:t>
      </w:r>
      <w:hyperlink r:id="R1b4de5660f584ce5">
        <w:r w:rsidRPr="5036BC58" w:rsidR="04725E31">
          <w:rPr>
            <w:rStyle w:val="Hyperlink"/>
            <w:rFonts w:ascii="Arial" w:hAnsi="Arial" w:eastAsia="Arial" w:cs="Arial"/>
            <w:noProof w:val="0"/>
            <w:sz w:val="24"/>
            <w:szCs w:val="24"/>
            <w:lang w:val="en-GB"/>
          </w:rPr>
          <w:t>https://www.acas.org.uk/consulting-employees</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7AA7B855" w14:textId="333F1C56">
      <w:pPr>
        <w:spacing w:before="240" w:beforeAutospacing="off" w:after="240" w:afterAutospacing="off"/>
      </w:pPr>
      <w:r w:rsidRPr="5036BC58" w:rsidR="04725E31">
        <w:rPr>
          <w:rFonts w:ascii="Arial" w:hAnsi="Arial" w:eastAsia="Arial" w:cs="Arial"/>
          <w:noProof w:val="0"/>
          <w:sz w:val="24"/>
          <w:szCs w:val="24"/>
          <w:lang w:val="en-GB"/>
        </w:rPr>
        <w:t xml:space="preserve">Adams, J.M. (2019) The Value of Worker Well-Being. Public Health Reports®. 2019;134(6):583-586. doi:10.1177/0033354919878434. </w:t>
      </w:r>
    </w:p>
    <w:p w:rsidR="04725E31" w:rsidP="5036BC58" w:rsidRDefault="04725E31" w14:paraId="25210C32" w14:textId="71191193">
      <w:pPr>
        <w:spacing w:before="240" w:beforeAutospacing="off" w:after="240" w:afterAutospacing="off"/>
      </w:pPr>
      <w:r w:rsidRPr="5036BC58" w:rsidR="04725E31">
        <w:rPr>
          <w:rFonts w:ascii="Arial" w:hAnsi="Arial" w:eastAsia="Arial" w:cs="Arial"/>
          <w:noProof w:val="0"/>
          <w:sz w:val="24"/>
          <w:szCs w:val="24"/>
          <w:lang w:val="en-GB"/>
        </w:rPr>
        <w:t xml:space="preserve">Andersen, E. (2022) Change Is Hard. Here’s How to Make It Less Painful. Available at: </w:t>
      </w:r>
      <w:hyperlink r:id="Ref8bb91bb70b462b">
        <w:r w:rsidRPr="5036BC58" w:rsidR="04725E31">
          <w:rPr>
            <w:rStyle w:val="Hyperlink"/>
            <w:rFonts w:ascii="Arial" w:hAnsi="Arial" w:eastAsia="Arial" w:cs="Arial"/>
            <w:noProof w:val="0"/>
            <w:sz w:val="24"/>
            <w:szCs w:val="24"/>
            <w:lang w:val="en-GB"/>
          </w:rPr>
          <w:t>https://hbr.org/2022/04/change-is-hard-heres-how-to-make-it-less-painful</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5E22EEE7" w14:textId="5AD0687B">
      <w:pPr>
        <w:spacing w:before="240" w:beforeAutospacing="off" w:after="240" w:afterAutospacing="off"/>
      </w:pPr>
      <w:r w:rsidRPr="5036BC58" w:rsidR="04725E31">
        <w:rPr>
          <w:rFonts w:ascii="Arial" w:hAnsi="Arial" w:eastAsia="Arial" w:cs="Arial"/>
          <w:noProof w:val="0"/>
          <w:sz w:val="24"/>
          <w:szCs w:val="24"/>
          <w:lang w:val="en-GB"/>
        </w:rPr>
        <w:t xml:space="preserve">Anonymous (2023) ‘Four-Day Work Week Creates Stronger Workforce for The Morrison’ (2023) Business NH Magazine, 40(6), pp. 12–12. </w:t>
      </w:r>
    </w:p>
    <w:p w:rsidR="04725E31" w:rsidP="5036BC58" w:rsidRDefault="04725E31" w14:paraId="46CA950B" w14:textId="6973A02E">
      <w:pPr>
        <w:spacing w:before="240" w:beforeAutospacing="off" w:after="240" w:afterAutospacing="off"/>
      </w:pPr>
      <w:r w:rsidRPr="5036BC58" w:rsidR="04725E31">
        <w:rPr>
          <w:rFonts w:ascii="Arial" w:hAnsi="Arial" w:eastAsia="Arial" w:cs="Arial"/>
          <w:noProof w:val="0"/>
          <w:sz w:val="24"/>
          <w:szCs w:val="24"/>
          <w:lang w:val="en-GB"/>
        </w:rPr>
        <w:t xml:space="preserve">Armstrong, M. (2022). Armstrong’s handbook of learning and development: a guide to the theory and practice of L&amp;D. Kogan Page. </w:t>
      </w:r>
    </w:p>
    <w:p w:rsidR="04725E31" w:rsidP="5036BC58" w:rsidRDefault="04725E31" w14:paraId="504DF6FC" w14:textId="4BC9B109">
      <w:pPr>
        <w:spacing w:before="240" w:beforeAutospacing="off" w:after="240" w:afterAutospacing="off"/>
      </w:pPr>
      <w:r w:rsidRPr="5036BC58" w:rsidR="04725E31">
        <w:rPr>
          <w:rFonts w:ascii="Arial" w:hAnsi="Arial" w:eastAsia="Arial" w:cs="Arial"/>
          <w:noProof w:val="0"/>
          <w:sz w:val="24"/>
          <w:szCs w:val="24"/>
          <w:lang w:val="en-GB"/>
        </w:rPr>
        <w:t xml:space="preserve">Armstrong, M and Brown, D. (2019) Strategic Human Resource Management: Back to the future? Available at: </w:t>
      </w:r>
      <w:hyperlink r:id="Rd99f2683f60f4f56">
        <w:r w:rsidRPr="5036BC58" w:rsidR="04725E31">
          <w:rPr>
            <w:rStyle w:val="Hyperlink"/>
            <w:rFonts w:ascii="Arial" w:hAnsi="Arial" w:eastAsia="Arial" w:cs="Arial"/>
            <w:noProof w:val="0"/>
            <w:sz w:val="24"/>
            <w:szCs w:val="24"/>
            <w:lang w:val="en-GB"/>
          </w:rPr>
          <w:t>https://www.employment-studies.co.uk/system/files/resources/files/517_Strategic-Human-Resource-Management-Back-to-the-future-IES-CIPD-2019.pdf</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44F97AE3" w14:textId="5C8F8533">
      <w:pPr>
        <w:spacing w:before="240" w:beforeAutospacing="off" w:after="240" w:afterAutospacing="off"/>
      </w:pPr>
      <w:r w:rsidRPr="5036BC58" w:rsidR="04725E31">
        <w:rPr>
          <w:rFonts w:ascii="Arial" w:hAnsi="Arial" w:eastAsia="Arial" w:cs="Arial"/>
          <w:noProof w:val="0"/>
          <w:sz w:val="24"/>
          <w:szCs w:val="24"/>
          <w:lang w:val="en-GB"/>
        </w:rPr>
        <w:t xml:space="preserve">Armstrong, M. and Brown, D. (2024) Armstrong’s handbook of reward management practice: improving performance through reward. Seventh edition / Michael Armstrong with Duncan Brown. London: KoganPage. </w:t>
      </w:r>
    </w:p>
    <w:p w:rsidR="04725E31" w:rsidP="5036BC58" w:rsidRDefault="04725E31" w14:paraId="2F8A2301" w14:textId="49FCFB77">
      <w:pPr>
        <w:spacing w:before="240" w:beforeAutospacing="off" w:after="240" w:afterAutospacing="off"/>
      </w:pPr>
      <w:r w:rsidRPr="5036BC58" w:rsidR="04725E31">
        <w:rPr>
          <w:rFonts w:ascii="Arial" w:hAnsi="Arial" w:eastAsia="Arial" w:cs="Arial"/>
          <w:noProof w:val="0"/>
          <w:sz w:val="24"/>
          <w:szCs w:val="24"/>
          <w:lang w:val="en-GB"/>
        </w:rPr>
        <w:t xml:space="preserve">Armstrong, M. and Taylor, S. (2023) Armstrong’s handbook of human resource management practice: a guide to the theory and practice of people management. 16th edition. London; Kogan Page. </w:t>
      </w:r>
    </w:p>
    <w:p w:rsidR="04725E31" w:rsidP="5036BC58" w:rsidRDefault="04725E31" w14:paraId="3896F48B" w14:textId="0106798C">
      <w:pPr>
        <w:spacing w:before="240" w:beforeAutospacing="off" w:after="240" w:afterAutospacing="off"/>
      </w:pPr>
      <w:r w:rsidRPr="5036BC58" w:rsidR="04725E31">
        <w:rPr>
          <w:rFonts w:ascii="Arial" w:hAnsi="Arial" w:eastAsia="Arial" w:cs="Arial"/>
          <w:noProof w:val="0"/>
          <w:sz w:val="24"/>
          <w:szCs w:val="24"/>
          <w:lang w:val="en-GB"/>
        </w:rPr>
        <w:t xml:space="preserve">Ayling, L. and Suff, R. (2024) Absence measurement and management. Available at: </w:t>
      </w:r>
      <w:hyperlink r:id="R76bae05f3024473b">
        <w:r w:rsidRPr="5036BC58" w:rsidR="04725E31">
          <w:rPr>
            <w:rStyle w:val="Hyperlink"/>
            <w:rFonts w:ascii="Arial" w:hAnsi="Arial" w:eastAsia="Arial" w:cs="Arial"/>
            <w:noProof w:val="0"/>
            <w:sz w:val="24"/>
            <w:szCs w:val="24"/>
            <w:lang w:val="en-GB"/>
          </w:rPr>
          <w:t>https://www.cipd.org/uk/knowledge/factsheets/absence-factsheet/</w:t>
        </w:r>
      </w:hyperlink>
      <w:r w:rsidRPr="5036BC58" w:rsidR="04725E31">
        <w:rPr>
          <w:rFonts w:ascii="Arial" w:hAnsi="Arial" w:eastAsia="Arial" w:cs="Arial"/>
          <w:noProof w:val="0"/>
          <w:sz w:val="24"/>
          <w:szCs w:val="24"/>
          <w:lang w:val="en-GB"/>
        </w:rPr>
        <w:t xml:space="preserve">. (Accessed on: 9 November 2024) </w:t>
      </w:r>
    </w:p>
    <w:p w:rsidR="04725E31" w:rsidP="5036BC58" w:rsidRDefault="04725E31" w14:paraId="3BA07039" w14:textId="4FB6BE9E">
      <w:pPr>
        <w:spacing w:before="240" w:beforeAutospacing="off" w:after="240" w:afterAutospacing="off"/>
      </w:pPr>
      <w:r w:rsidRPr="5036BC58" w:rsidR="04725E31">
        <w:rPr>
          <w:rFonts w:ascii="Arial" w:hAnsi="Arial" w:eastAsia="Arial" w:cs="Arial"/>
          <w:noProof w:val="0"/>
          <w:sz w:val="24"/>
          <w:szCs w:val="24"/>
          <w:lang w:val="en-GB"/>
        </w:rPr>
        <w:t xml:space="preserve">Bank of England (2024) Interest rates and Bank Rate. Available at: </w:t>
      </w:r>
      <w:hyperlink r:id="Rd9a898a3122b4fdd">
        <w:r w:rsidRPr="5036BC58" w:rsidR="04725E31">
          <w:rPr>
            <w:rStyle w:val="Hyperlink"/>
            <w:rFonts w:ascii="Arial" w:hAnsi="Arial" w:eastAsia="Arial" w:cs="Arial"/>
            <w:noProof w:val="0"/>
            <w:sz w:val="24"/>
            <w:szCs w:val="24"/>
            <w:lang w:val="en-GB"/>
          </w:rPr>
          <w:t>https://www.bankofengland.co.uk/monetary-policy/the-interest-rate-bank-rate</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1C28B826" w14:textId="1D630E99">
      <w:pPr>
        <w:spacing w:before="240" w:beforeAutospacing="off" w:after="240" w:afterAutospacing="off"/>
      </w:pPr>
      <w:r w:rsidRPr="5036BC58" w:rsidR="04725E31">
        <w:rPr>
          <w:rFonts w:ascii="Arial" w:hAnsi="Arial" w:eastAsia="Arial" w:cs="Arial"/>
          <w:noProof w:val="0"/>
          <w:sz w:val="24"/>
          <w:szCs w:val="24"/>
          <w:lang w:val="en-GB"/>
        </w:rPr>
        <w:t xml:space="preserve">Bank of England (2025) Inflation and the 2% target. Available at: </w:t>
      </w:r>
      <w:hyperlink r:id="R0fca6b4643944b7b">
        <w:r w:rsidRPr="5036BC58" w:rsidR="04725E31">
          <w:rPr>
            <w:rStyle w:val="Hyperlink"/>
            <w:rFonts w:ascii="Arial" w:hAnsi="Arial" w:eastAsia="Arial" w:cs="Arial"/>
            <w:noProof w:val="0"/>
            <w:sz w:val="24"/>
            <w:szCs w:val="24"/>
            <w:lang w:val="en-GB"/>
          </w:rPr>
          <w:t>https://www.bankofengland.co.uk/monetary-policy/inflation</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426C9F13" w14:textId="55EFE83F">
      <w:pPr>
        <w:spacing w:before="240" w:beforeAutospacing="off" w:after="240" w:afterAutospacing="off"/>
      </w:pPr>
      <w:r w:rsidRPr="5036BC58" w:rsidR="04725E31">
        <w:rPr>
          <w:rFonts w:ascii="Arial" w:hAnsi="Arial" w:eastAsia="Arial" w:cs="Arial"/>
          <w:noProof w:val="0"/>
          <w:sz w:val="24"/>
          <w:szCs w:val="24"/>
          <w:lang w:val="en-GB"/>
        </w:rPr>
        <w:t xml:space="preserve">Boxall, P.F. and Purcell, J. (2022) Strategy and human resource management. 5th edition. London: Bloomsbury Academic. </w:t>
      </w:r>
    </w:p>
    <w:p w:rsidR="04725E31" w:rsidP="5036BC58" w:rsidRDefault="04725E31" w14:paraId="76BBC0EA" w14:textId="6FBC8A27">
      <w:pPr>
        <w:spacing w:before="240" w:beforeAutospacing="off" w:after="240" w:afterAutospacing="off"/>
      </w:pPr>
      <w:r w:rsidRPr="5036BC58" w:rsidR="04725E31">
        <w:rPr>
          <w:rFonts w:ascii="Arial" w:hAnsi="Arial" w:eastAsia="Arial" w:cs="Arial"/>
          <w:noProof w:val="0"/>
          <w:sz w:val="24"/>
          <w:szCs w:val="24"/>
          <w:lang w:val="en-GB"/>
        </w:rPr>
        <w:t xml:space="preserve">Bridgit (2025) 8 Construction risk factors affecting projects. Available at: </w:t>
      </w:r>
      <w:hyperlink r:id="R0acd01befd2d46c3">
        <w:r w:rsidRPr="5036BC58" w:rsidR="04725E31">
          <w:rPr>
            <w:rStyle w:val="Hyperlink"/>
            <w:rFonts w:ascii="Arial" w:hAnsi="Arial" w:eastAsia="Arial" w:cs="Arial"/>
            <w:noProof w:val="0"/>
            <w:sz w:val="24"/>
            <w:szCs w:val="24"/>
            <w:lang w:val="en-GB"/>
          </w:rPr>
          <w:t>https://gobridgit.com/blog/risks-in-construction-projects/</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35B5593A" w14:textId="1B2818E0">
      <w:pPr>
        <w:spacing w:before="240" w:beforeAutospacing="off" w:after="240" w:afterAutospacing="off"/>
      </w:pPr>
      <w:r w:rsidRPr="5036BC58" w:rsidR="04725E31">
        <w:rPr>
          <w:rFonts w:ascii="Arial" w:hAnsi="Arial" w:eastAsia="Arial" w:cs="Arial"/>
          <w:noProof w:val="0"/>
          <w:sz w:val="24"/>
          <w:szCs w:val="24"/>
          <w:lang w:val="en-GB"/>
        </w:rPr>
        <w:t xml:space="preserve">Buchanan, D.A. and Huczynski, A. (2016) Organizational behaviour. Ninth edition. Harlow, England; Pearson. </w:t>
      </w:r>
    </w:p>
    <w:p w:rsidR="04725E31" w:rsidP="5036BC58" w:rsidRDefault="04725E31" w14:paraId="2CC159E6" w14:textId="28B40816">
      <w:pPr>
        <w:spacing w:before="240" w:beforeAutospacing="off" w:after="240" w:afterAutospacing="off"/>
      </w:pPr>
      <w:r w:rsidRPr="5036BC58" w:rsidR="04725E31">
        <w:rPr>
          <w:rFonts w:ascii="Arial" w:hAnsi="Arial" w:eastAsia="Arial" w:cs="Arial"/>
          <w:noProof w:val="0"/>
          <w:sz w:val="24"/>
          <w:szCs w:val="24"/>
          <w:lang w:val="en-GB"/>
        </w:rPr>
        <w:t xml:space="preserve">Cameron, E. and Green, M. (2024) Making sense of change management: a complete guide to the models, tools and techniques of organizational change. Sixth edition. London; Kogan Page. </w:t>
      </w:r>
    </w:p>
    <w:p w:rsidR="04725E31" w:rsidP="5036BC58" w:rsidRDefault="04725E31" w14:paraId="7AB8FD40" w14:textId="79BEAD87">
      <w:pPr>
        <w:spacing w:before="240" w:beforeAutospacing="off" w:after="240" w:afterAutospacing="off"/>
      </w:pPr>
      <w:r w:rsidRPr="5036BC58" w:rsidR="04725E31">
        <w:rPr>
          <w:rFonts w:ascii="Arial" w:hAnsi="Arial" w:eastAsia="Arial" w:cs="Arial"/>
          <w:noProof w:val="0"/>
          <w:sz w:val="24"/>
          <w:szCs w:val="24"/>
          <w:lang w:val="en-GB"/>
        </w:rPr>
        <w:t xml:space="preserve">Cassidy, N., Wilkinson. K. and Pahl, N. (2023) Podcast 201: Embedding a principles-based wellbeing strategy. Available at: </w:t>
      </w:r>
      <w:hyperlink r:id="R642f1fe1e16843b3">
        <w:r w:rsidRPr="5036BC58" w:rsidR="04725E31">
          <w:rPr>
            <w:rStyle w:val="Hyperlink"/>
            <w:rFonts w:ascii="Arial" w:hAnsi="Arial" w:eastAsia="Arial" w:cs="Arial"/>
            <w:noProof w:val="0"/>
            <w:sz w:val="24"/>
            <w:szCs w:val="24"/>
            <w:lang w:val="en-GB"/>
          </w:rPr>
          <w:t>https://www.cipd.org/uk/knowledge/podcasts/principles-based-wellbeing/</w:t>
        </w:r>
      </w:hyperlink>
      <w:r w:rsidRPr="5036BC58" w:rsidR="04725E31">
        <w:rPr>
          <w:rFonts w:ascii="Arial" w:hAnsi="Arial" w:eastAsia="Arial" w:cs="Arial"/>
          <w:noProof w:val="0"/>
          <w:sz w:val="24"/>
          <w:szCs w:val="24"/>
          <w:lang w:val="en-GB"/>
        </w:rPr>
        <w:t xml:space="preserve">. (Accessed: January 202) </w:t>
      </w:r>
    </w:p>
    <w:p w:rsidR="04725E31" w:rsidP="5036BC58" w:rsidRDefault="04725E31" w14:paraId="26407846" w14:textId="3E7DC73E">
      <w:pPr>
        <w:spacing w:before="240" w:beforeAutospacing="off" w:after="240" w:afterAutospacing="off"/>
      </w:pPr>
      <w:r w:rsidRPr="5036BC58" w:rsidR="04725E31">
        <w:rPr>
          <w:rFonts w:ascii="Arial" w:hAnsi="Arial" w:eastAsia="Arial" w:cs="Arial"/>
          <w:noProof w:val="0"/>
          <w:sz w:val="24"/>
          <w:szCs w:val="24"/>
          <w:lang w:val="en-GB"/>
        </w:rPr>
        <w:t xml:space="preserve">Cattermole, G. (2019) ‘Developing the employee lifecycle to keep top talent’, Strategic HR review, 18(6), pp. 258–262. Available at: </w:t>
      </w:r>
      <w:hyperlink r:id="R976db68cef68413b">
        <w:r w:rsidRPr="5036BC58" w:rsidR="04725E31">
          <w:rPr>
            <w:rStyle w:val="Hyperlink"/>
            <w:rFonts w:ascii="Arial" w:hAnsi="Arial" w:eastAsia="Arial" w:cs="Arial"/>
            <w:noProof w:val="0"/>
            <w:sz w:val="24"/>
            <w:szCs w:val="24"/>
            <w:lang w:val="en-GB"/>
          </w:rPr>
          <w:t>https://doi.org/10.1108/SHR-05-2019-0042</w:t>
        </w:r>
      </w:hyperlink>
      <w:r w:rsidRPr="5036BC58" w:rsidR="04725E31">
        <w:rPr>
          <w:rFonts w:ascii="Arial" w:hAnsi="Arial" w:eastAsia="Arial" w:cs="Arial"/>
          <w:noProof w:val="0"/>
          <w:sz w:val="24"/>
          <w:szCs w:val="24"/>
          <w:lang w:val="en-GB"/>
        </w:rPr>
        <w:t xml:space="preserve">. </w:t>
      </w:r>
    </w:p>
    <w:p w:rsidR="04725E31" w:rsidP="5036BC58" w:rsidRDefault="04725E31" w14:paraId="372F1448" w14:textId="5EB6A7D0">
      <w:pPr>
        <w:spacing w:before="240" w:beforeAutospacing="off" w:after="240" w:afterAutospacing="off"/>
      </w:pPr>
      <w:r w:rsidRPr="5036BC58" w:rsidR="04725E31">
        <w:rPr>
          <w:rFonts w:ascii="Arial" w:hAnsi="Arial" w:eastAsia="Arial" w:cs="Arial"/>
          <w:noProof w:val="0"/>
          <w:sz w:val="24"/>
          <w:szCs w:val="24"/>
          <w:lang w:val="en-GB"/>
        </w:rPr>
        <w:t xml:space="preserve">CIOB (2024) Artificial Intelligence (AI) Playbook 2024. Available at: </w:t>
      </w:r>
      <w:hyperlink r:id="R1f464e6eab5c4c71">
        <w:r w:rsidRPr="5036BC58" w:rsidR="04725E31">
          <w:rPr>
            <w:rStyle w:val="Hyperlink"/>
            <w:rFonts w:ascii="Arial" w:hAnsi="Arial" w:eastAsia="Arial" w:cs="Arial"/>
            <w:noProof w:val="0"/>
            <w:sz w:val="24"/>
            <w:szCs w:val="24"/>
            <w:lang w:val="en-GB"/>
          </w:rPr>
          <w:t>https://d8.ciob.org/industry/research/AI-Playbook?utm_source=google&amp;utm_medium=website&amp;utm_campaign=AI_Playbook&amp;utm_id=AI+Playbook&amp;_gl=1*9khu3p*_gcl_au*MTQ5NTUxMjI1OS4xNzM5NTQ1ODA0*_ga*NjIwNTEyMjYxLjE3Mzk1NDU4MDQ.*_ga_F61MZQDHYK*MTczOTU0NTgwNC4xLjEuMTczOTU0NTgwNC42MC4wLjA</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7FE52E27" w14:textId="7DFD9449">
      <w:pPr>
        <w:spacing w:before="240" w:beforeAutospacing="off" w:after="240" w:afterAutospacing="off"/>
      </w:pPr>
      <w:r w:rsidRPr="5036BC58" w:rsidR="04725E31">
        <w:rPr>
          <w:rFonts w:ascii="Arial" w:hAnsi="Arial" w:eastAsia="Arial" w:cs="Arial"/>
          <w:noProof w:val="0"/>
          <w:sz w:val="24"/>
          <w:szCs w:val="24"/>
          <w:lang w:val="en-GB"/>
        </w:rPr>
        <w:t xml:space="preserve">CIPD (2014) Our minds at work Developing the behavioural science of HR. Available at: </w:t>
      </w:r>
      <w:hyperlink r:id="R0aef81126b2449a1">
        <w:r w:rsidRPr="5036BC58" w:rsidR="04725E31">
          <w:rPr>
            <w:rStyle w:val="Hyperlink"/>
            <w:rFonts w:ascii="Arial" w:hAnsi="Arial" w:eastAsia="Arial" w:cs="Arial"/>
            <w:noProof w:val="0"/>
            <w:sz w:val="24"/>
            <w:szCs w:val="24"/>
            <w:lang w:val="en-GB"/>
          </w:rPr>
          <w:t>https://www.cipd.org/globalassets/media/knowledge/knowledge-hub/guides/2023-pdfs/our-minds-at-work_2014-developing-behavioural-science-hr_tcm18-9731.pdf</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2E3C1DD3" w14:textId="589315C1">
      <w:pPr>
        <w:spacing w:before="240" w:beforeAutospacing="off" w:after="240" w:afterAutospacing="off"/>
      </w:pPr>
      <w:r w:rsidRPr="5036BC58" w:rsidR="04725E31">
        <w:rPr>
          <w:rFonts w:ascii="Arial" w:hAnsi="Arial" w:eastAsia="Arial" w:cs="Arial"/>
          <w:noProof w:val="0"/>
          <w:sz w:val="24"/>
          <w:szCs w:val="24"/>
          <w:lang w:val="en-GB"/>
        </w:rPr>
        <w:t xml:space="preserve">CIPD (2023) The Profession Map. Available at: </w:t>
      </w:r>
      <w:hyperlink r:id="Rd6e0219452884d1f">
        <w:r w:rsidRPr="5036BC58" w:rsidR="04725E31">
          <w:rPr>
            <w:rStyle w:val="Hyperlink"/>
            <w:rFonts w:ascii="Arial" w:hAnsi="Arial" w:eastAsia="Arial" w:cs="Arial"/>
            <w:noProof w:val="0"/>
            <w:sz w:val="24"/>
            <w:szCs w:val="24"/>
            <w:lang w:val="en-GB"/>
          </w:rPr>
          <w:t>https://www.cipd.org/globalassets/media/comms/the-people-profession/profession-map-pdfs/profession-map-nov-2024.pdf</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1444694C" w14:textId="7C0CE4C7">
      <w:pPr>
        <w:spacing w:before="240" w:beforeAutospacing="off" w:after="240" w:afterAutospacing="off"/>
      </w:pPr>
      <w:r w:rsidRPr="5036BC58" w:rsidR="04725E31">
        <w:rPr>
          <w:rFonts w:ascii="Arial" w:hAnsi="Arial" w:eastAsia="Arial" w:cs="Arial"/>
          <w:noProof w:val="0"/>
          <w:sz w:val="24"/>
          <w:szCs w:val="24"/>
          <w:lang w:val="en-GB"/>
        </w:rPr>
        <w:t xml:space="preserve">CIPD (2023a) Strategic workforce planning: Guide for people professionals. Available at: </w:t>
      </w:r>
      <w:hyperlink w:anchor="what-is-workforce-planning" r:id="Re6aca8143d654bfb">
        <w:r w:rsidRPr="5036BC58" w:rsidR="04725E31">
          <w:rPr>
            <w:rStyle w:val="Hyperlink"/>
            <w:rFonts w:ascii="Arial" w:hAnsi="Arial" w:eastAsia="Arial" w:cs="Arial"/>
            <w:noProof w:val="0"/>
            <w:sz w:val="24"/>
            <w:szCs w:val="24"/>
            <w:lang w:val="en-GB"/>
          </w:rPr>
          <w:t>https://www.cipd.org/uk/knowledge/guides/strategic-workforce-planning/#what-is-workforce-planning</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1A7475DA" w14:textId="354C52D7">
      <w:pPr>
        <w:spacing w:before="240" w:beforeAutospacing="off" w:after="240" w:afterAutospacing="off"/>
      </w:pPr>
      <w:r w:rsidRPr="5036BC58" w:rsidR="04725E31">
        <w:rPr>
          <w:rFonts w:ascii="Arial" w:hAnsi="Arial" w:eastAsia="Arial" w:cs="Arial"/>
          <w:noProof w:val="0"/>
          <w:sz w:val="24"/>
          <w:szCs w:val="24"/>
          <w:lang w:val="en-GB"/>
        </w:rPr>
        <w:t xml:space="preserve">CIPD (2024) CIPD Good Work Index. Available at: </w:t>
      </w:r>
      <w:hyperlink r:id="R45ed863510394f51">
        <w:r w:rsidRPr="5036BC58" w:rsidR="04725E31">
          <w:rPr>
            <w:rStyle w:val="Hyperlink"/>
            <w:rFonts w:ascii="Arial" w:hAnsi="Arial" w:eastAsia="Arial" w:cs="Arial"/>
            <w:noProof w:val="0"/>
            <w:sz w:val="24"/>
            <w:szCs w:val="24"/>
            <w:lang w:val="en-GB"/>
          </w:rPr>
          <w:t>https://www.cipd.org/uk/knowledge/reports/goodwork/</w:t>
        </w:r>
      </w:hyperlink>
      <w:r w:rsidRPr="5036BC58" w:rsidR="04725E31">
        <w:rPr>
          <w:rFonts w:ascii="Arial" w:hAnsi="Arial" w:eastAsia="Arial" w:cs="Arial"/>
          <w:noProof w:val="0"/>
          <w:sz w:val="24"/>
          <w:szCs w:val="24"/>
          <w:lang w:val="en-GB"/>
        </w:rPr>
        <w:t xml:space="preserve">. (Access: January 2025) </w:t>
      </w:r>
    </w:p>
    <w:p w:rsidR="04725E31" w:rsidP="5036BC58" w:rsidRDefault="04725E31" w14:paraId="70640B0A" w14:textId="32718B45">
      <w:pPr>
        <w:spacing w:before="240" w:beforeAutospacing="off" w:after="240" w:afterAutospacing="off"/>
      </w:pPr>
      <w:r w:rsidRPr="5036BC58" w:rsidR="04725E31">
        <w:rPr>
          <w:rFonts w:ascii="Arial" w:hAnsi="Arial" w:eastAsia="Arial" w:cs="Arial"/>
          <w:noProof w:val="0"/>
          <w:sz w:val="24"/>
          <w:szCs w:val="24"/>
          <w:lang w:val="en-GB"/>
        </w:rPr>
        <w:t xml:space="preserve">CIPD (2024a) Recruitment: An introduction. Available at: </w:t>
      </w:r>
      <w:hyperlink w:anchor="Keypointsrecruitment" r:id="R65ce76e1eb324e12">
        <w:r w:rsidRPr="5036BC58" w:rsidR="04725E31">
          <w:rPr>
            <w:rStyle w:val="Hyperlink"/>
            <w:rFonts w:ascii="Arial" w:hAnsi="Arial" w:eastAsia="Arial" w:cs="Arial"/>
            <w:noProof w:val="0"/>
            <w:sz w:val="24"/>
            <w:szCs w:val="24"/>
            <w:lang w:val="en-GB"/>
          </w:rPr>
          <w:t>https://www.cipd.org/uk/knowledge/factsheets/recruitment-factsheet/#Keypointsrecruitment</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21E57487" w14:textId="01640D5D">
      <w:pPr>
        <w:spacing w:before="240" w:beforeAutospacing="off" w:after="240" w:afterAutospacing="off"/>
      </w:pPr>
      <w:r w:rsidRPr="5036BC58" w:rsidR="04725E31">
        <w:rPr>
          <w:rFonts w:ascii="Arial" w:hAnsi="Arial" w:eastAsia="Arial" w:cs="Arial"/>
          <w:noProof w:val="0"/>
          <w:sz w:val="24"/>
          <w:szCs w:val="24"/>
          <w:lang w:val="en-GB"/>
        </w:rPr>
        <w:t>Department of Education (2023) The impact of AI on UK jobs and training. Available at:</w:t>
      </w:r>
      <w:hyperlink r:id="Ra34c649969d84e07">
        <w:r w:rsidRPr="5036BC58" w:rsidR="04725E31">
          <w:rPr>
            <w:rStyle w:val="Hyperlink"/>
            <w:rFonts w:ascii="Arial" w:hAnsi="Arial" w:eastAsia="Arial" w:cs="Arial"/>
            <w:noProof w:val="0"/>
            <w:sz w:val="24"/>
            <w:szCs w:val="24"/>
            <w:lang w:val="en-GB"/>
          </w:rPr>
          <w:t>https://assets.publishing.service.gov.uk/media/656856b8cc1ec500138eef49/Gov.UK_Impact_of_AI_on_UK_Jobs_and_Training.pdf</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6CD660FD" w14:textId="61FCF3D2">
      <w:pPr>
        <w:spacing w:before="240" w:beforeAutospacing="off" w:after="240" w:afterAutospacing="off"/>
      </w:pPr>
      <w:r w:rsidRPr="5036BC58" w:rsidR="04725E31">
        <w:rPr>
          <w:rFonts w:ascii="Arial" w:hAnsi="Arial" w:eastAsia="Arial" w:cs="Arial"/>
          <w:noProof w:val="0"/>
          <w:sz w:val="24"/>
          <w:szCs w:val="24"/>
          <w:lang w:val="en-GB"/>
        </w:rPr>
        <w:t xml:space="preserve">Department for Science &amp; Technology (2023) A pro-innovation approach to AI. Regulation. Available at: </w:t>
      </w:r>
      <w:hyperlink r:id="Rede3f82dcb87498d">
        <w:r w:rsidRPr="5036BC58" w:rsidR="04725E31">
          <w:rPr>
            <w:rStyle w:val="Hyperlink"/>
            <w:rFonts w:ascii="Arial" w:hAnsi="Arial" w:eastAsia="Arial" w:cs="Arial"/>
            <w:noProof w:val="0"/>
            <w:sz w:val="24"/>
            <w:szCs w:val="24"/>
            <w:lang w:val="en-GB"/>
          </w:rPr>
          <w:t>https://assets.publishing.service.gov.uk/media/64cb71a547915a00142a91c4/a-pro-innovation-approach-to-ai-regulation-amended-web-ready.pdf</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03C58216" w14:textId="409EC302">
      <w:pPr>
        <w:spacing w:before="240" w:beforeAutospacing="off" w:after="240" w:afterAutospacing="off"/>
      </w:pPr>
      <w:r w:rsidRPr="5036BC58" w:rsidR="04725E31">
        <w:rPr>
          <w:rFonts w:ascii="Arial" w:hAnsi="Arial" w:eastAsia="Arial" w:cs="Arial"/>
          <w:noProof w:val="0"/>
          <w:sz w:val="24"/>
          <w:szCs w:val="24"/>
          <w:lang w:val="en-GB"/>
        </w:rPr>
        <w:t xml:space="preserve">Dhand, P. (2018) Employee Life Cycle (ELC). Available at: </w:t>
      </w:r>
      <w:hyperlink r:id="R6f2e37044fa94627">
        <w:r w:rsidRPr="5036BC58" w:rsidR="04725E31">
          <w:rPr>
            <w:rStyle w:val="Hyperlink"/>
            <w:rFonts w:ascii="Arial" w:hAnsi="Arial" w:eastAsia="Arial" w:cs="Arial"/>
            <w:noProof w:val="0"/>
            <w:sz w:val="24"/>
            <w:szCs w:val="24"/>
            <w:lang w:val="en-GB"/>
          </w:rPr>
          <w:t>https://www.linkedin.com/pulse/employee-life-cycle-elc-prerna-dhand-mukherjee/</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53286FF3" w14:textId="44AD9B4A">
      <w:pPr>
        <w:spacing w:before="240" w:beforeAutospacing="off" w:after="240" w:afterAutospacing="off"/>
      </w:pPr>
      <w:r w:rsidRPr="5036BC58" w:rsidR="04725E31">
        <w:rPr>
          <w:rFonts w:ascii="Arial" w:hAnsi="Arial" w:eastAsia="Arial" w:cs="Arial"/>
          <w:noProof w:val="0"/>
          <w:sz w:val="24"/>
          <w:szCs w:val="24"/>
          <w:lang w:val="en-GB"/>
        </w:rPr>
        <w:t xml:space="preserve">Eduardo, C. M. (2024) Stakeholders Analysis: Power/Influence - Interest Matrix. Available at: </w:t>
      </w:r>
      <w:hyperlink r:id="R89039663281b4b1b">
        <w:r w:rsidRPr="5036BC58" w:rsidR="04725E31">
          <w:rPr>
            <w:rStyle w:val="Hyperlink"/>
            <w:rFonts w:ascii="Arial" w:hAnsi="Arial" w:eastAsia="Arial" w:cs="Arial"/>
            <w:noProof w:val="0"/>
            <w:sz w:val="24"/>
            <w:szCs w:val="24"/>
            <w:lang w:val="en-GB"/>
          </w:rPr>
          <w:t>https://www.linkedin.com/pulse/20141209102103-26759263-stakeholders-analysis-power-influence-interest-matrix/</w:t>
        </w:r>
      </w:hyperlink>
      <w:r w:rsidRPr="5036BC58" w:rsidR="04725E31">
        <w:rPr>
          <w:rFonts w:ascii="Arial" w:hAnsi="Arial" w:eastAsia="Arial" w:cs="Arial"/>
          <w:noProof w:val="0"/>
          <w:sz w:val="24"/>
          <w:szCs w:val="24"/>
          <w:lang w:val="en-GB"/>
        </w:rPr>
        <w:t xml:space="preserve">. (Accessed: February 2025) </w:t>
      </w:r>
    </w:p>
    <w:p w:rsidR="04725E31" w:rsidP="5036BC58" w:rsidRDefault="04725E31" w14:paraId="4FA46523" w14:textId="41994690">
      <w:pPr>
        <w:spacing w:before="240" w:beforeAutospacing="off" w:after="240" w:afterAutospacing="off"/>
      </w:pPr>
      <w:r w:rsidRPr="5036BC58" w:rsidR="04725E31">
        <w:rPr>
          <w:rFonts w:ascii="Arial" w:hAnsi="Arial" w:eastAsia="Arial" w:cs="Arial"/>
          <w:noProof w:val="0"/>
          <w:sz w:val="24"/>
          <w:szCs w:val="24"/>
          <w:lang w:val="en-GB"/>
        </w:rPr>
        <w:t xml:space="preserve">Ellis, C. (2023) ‘What Are Divisional Organizational Structures?’. Available at: </w:t>
      </w:r>
      <w:hyperlink r:id="R4a28325340444e59">
        <w:r w:rsidRPr="5036BC58" w:rsidR="04725E31">
          <w:rPr>
            <w:rStyle w:val="Hyperlink"/>
            <w:rFonts w:ascii="Arial" w:hAnsi="Arial" w:eastAsia="Arial" w:cs="Arial"/>
            <w:noProof w:val="0"/>
            <w:sz w:val="24"/>
            <w:szCs w:val="24"/>
            <w:lang w:val="en-GB"/>
          </w:rPr>
          <w:t>https://theorg.com/iterate/divisional-organizational-structures</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5340AA1A" w14:textId="7F6DA75E">
      <w:pPr>
        <w:spacing w:before="240" w:beforeAutospacing="off" w:after="240" w:afterAutospacing="off"/>
      </w:pPr>
      <w:r w:rsidRPr="5036BC58" w:rsidR="04725E31">
        <w:rPr>
          <w:rFonts w:ascii="Arial" w:hAnsi="Arial" w:eastAsia="Arial" w:cs="Arial"/>
          <w:noProof w:val="0"/>
          <w:sz w:val="24"/>
          <w:szCs w:val="24"/>
          <w:lang w:val="en-GB"/>
        </w:rPr>
        <w:t xml:space="preserve">Forbes (2023) 18 Overlooked Benefits of Returning To The Office For Work. Available at: </w:t>
      </w:r>
      <w:hyperlink r:id="Rb095416924334083">
        <w:r w:rsidRPr="5036BC58" w:rsidR="04725E31">
          <w:rPr>
            <w:rStyle w:val="Hyperlink"/>
            <w:rFonts w:ascii="Arial" w:hAnsi="Arial" w:eastAsia="Arial" w:cs="Arial"/>
            <w:noProof w:val="0"/>
            <w:sz w:val="24"/>
            <w:szCs w:val="24"/>
            <w:lang w:val="en-GB"/>
          </w:rPr>
          <w:t>https://www.forbes.com/councils/forbeshumanresourcescouncil/2023/12/26/18-overlooked-benefits-of-returning-to-the-office-for-work/</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1B792607" w14:textId="7C6B5164">
      <w:pPr>
        <w:spacing w:before="240" w:beforeAutospacing="off" w:after="240" w:afterAutospacing="off"/>
      </w:pPr>
      <w:r w:rsidRPr="5036BC58" w:rsidR="04725E31">
        <w:rPr>
          <w:rFonts w:ascii="Arial" w:hAnsi="Arial" w:eastAsia="Arial" w:cs="Arial"/>
          <w:noProof w:val="0"/>
          <w:sz w:val="24"/>
          <w:szCs w:val="24"/>
          <w:lang w:val="en-GB"/>
        </w:rPr>
        <w:t xml:space="preserve">Freedman, M. (2024) Management Theory of Charles Handy. Available at: </w:t>
      </w:r>
      <w:hyperlink r:id="Rab031357752f40c8">
        <w:r w:rsidRPr="5036BC58" w:rsidR="04725E31">
          <w:rPr>
            <w:rStyle w:val="Hyperlink"/>
            <w:rFonts w:ascii="Arial" w:hAnsi="Arial" w:eastAsia="Arial" w:cs="Arial"/>
            <w:noProof w:val="0"/>
            <w:sz w:val="24"/>
            <w:szCs w:val="24"/>
            <w:lang w:val="en-GB"/>
          </w:rPr>
          <w:t>https://www.business.com/articles/management-theory-of-charles-handy/</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46BFB288" w14:textId="1D8E6E68">
      <w:pPr>
        <w:spacing w:before="240" w:beforeAutospacing="off" w:after="240" w:afterAutospacing="off"/>
      </w:pPr>
      <w:r w:rsidRPr="5036BC58" w:rsidR="04725E31">
        <w:rPr>
          <w:rFonts w:ascii="Arial" w:hAnsi="Arial" w:eastAsia="Arial" w:cs="Arial"/>
          <w:noProof w:val="0"/>
          <w:sz w:val="24"/>
          <w:szCs w:val="24"/>
          <w:lang w:val="en-GB"/>
        </w:rPr>
        <w:t xml:space="preserve">Heery, E. and Noon, M. (2017) A dictionary of human resource management. 3 ed. Oxford: Oxford University Press. </w:t>
      </w:r>
    </w:p>
    <w:p w:rsidR="04725E31" w:rsidP="5036BC58" w:rsidRDefault="04725E31" w14:paraId="699440A2" w14:textId="388B83E9">
      <w:pPr>
        <w:spacing w:before="240" w:beforeAutospacing="off" w:after="240" w:afterAutospacing="off"/>
      </w:pPr>
      <w:r w:rsidRPr="5036BC58" w:rsidR="04725E31">
        <w:rPr>
          <w:rFonts w:ascii="Arial" w:hAnsi="Arial" w:eastAsia="Arial" w:cs="Arial"/>
          <w:noProof w:val="0"/>
          <w:sz w:val="24"/>
          <w:szCs w:val="24"/>
          <w:lang w:val="en-GB"/>
        </w:rPr>
        <w:t xml:space="preserve">Hole, G. A. (2021) How we used Kotter`s 8 step change model for the corporate turnaround of Lindorff Accounting Group. Available at: </w:t>
      </w:r>
      <w:hyperlink r:id="Rf5ff4c8117314d1f">
        <w:r w:rsidRPr="5036BC58" w:rsidR="04725E31">
          <w:rPr>
            <w:rStyle w:val="Hyperlink"/>
            <w:rFonts w:ascii="Arial" w:hAnsi="Arial" w:eastAsia="Arial" w:cs="Arial"/>
            <w:noProof w:val="0"/>
            <w:sz w:val="24"/>
            <w:szCs w:val="24"/>
            <w:lang w:val="en-GB"/>
          </w:rPr>
          <w:t>https://www.linkedin.com/pulse/how-we-used-kotters-8-step-change-model-corporate-hole-ph-d-mba</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7B626B3C" w14:textId="634FCD32">
      <w:pPr>
        <w:spacing w:before="240" w:beforeAutospacing="off" w:after="240" w:afterAutospacing="off"/>
      </w:pPr>
      <w:r w:rsidRPr="5036BC58" w:rsidR="04725E31">
        <w:rPr>
          <w:rFonts w:ascii="Arial" w:hAnsi="Arial" w:eastAsia="Arial" w:cs="Arial"/>
          <w:noProof w:val="0"/>
          <w:sz w:val="24"/>
          <w:szCs w:val="24"/>
          <w:lang w:val="en-GB"/>
        </w:rPr>
        <w:t xml:space="preserve">Horn, R. (2009) The business skills handbook. London: Chartered Institute of Personnel and Development. </w:t>
      </w:r>
    </w:p>
    <w:p w:rsidR="04725E31" w:rsidP="5036BC58" w:rsidRDefault="04725E31" w14:paraId="1C402EF7" w14:textId="3B50C693">
      <w:pPr>
        <w:spacing w:before="240" w:beforeAutospacing="off" w:after="240" w:afterAutospacing="off"/>
      </w:pPr>
      <w:r w:rsidRPr="5036BC58" w:rsidR="04725E31">
        <w:rPr>
          <w:rFonts w:ascii="Arial" w:hAnsi="Arial" w:eastAsia="Arial" w:cs="Arial"/>
          <w:noProof w:val="0"/>
          <w:sz w:val="24"/>
          <w:szCs w:val="24"/>
          <w:lang w:val="en-GB"/>
        </w:rPr>
        <w:t xml:space="preserve">Ingham, G. (Undated) The Importance of Looking After Employee Wellbeing. Available at: </w:t>
      </w:r>
      <w:hyperlink w:anchor=":~:text=Productivity:%20The%20Ripple%20Effect%20of,better%20outcomes%20for%20the%20business" r:id="R48f6d24ad7764c13">
        <w:r w:rsidRPr="5036BC58" w:rsidR="04725E31">
          <w:rPr>
            <w:rStyle w:val="Hyperlink"/>
            <w:rFonts w:ascii="Arial" w:hAnsi="Arial" w:eastAsia="Arial" w:cs="Arial"/>
            <w:noProof w:val="0"/>
            <w:sz w:val="24"/>
            <w:szCs w:val="24"/>
            <w:lang w:val="en-GB"/>
          </w:rPr>
          <w:t>https://www.lancashiremind.org.uk/the-importance-of-looking-after-employee-wellbeing/#:~:text=Productivity:%20The%20Ripple%20Effect%20of,better%20outcomes%20for%20the%20business</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7FAB80B7" w14:textId="5C3E524D">
      <w:pPr>
        <w:spacing w:before="240" w:beforeAutospacing="off" w:after="240" w:afterAutospacing="off"/>
      </w:pPr>
      <w:r w:rsidRPr="5036BC58" w:rsidR="04725E31">
        <w:rPr>
          <w:rFonts w:ascii="Arial" w:hAnsi="Arial" w:eastAsia="Arial" w:cs="Arial"/>
          <w:noProof w:val="0"/>
          <w:sz w:val="24"/>
          <w:szCs w:val="24"/>
          <w:lang w:val="en-GB"/>
        </w:rPr>
        <w:t xml:space="preserve">Jackson, B. (2023) Outstanding balance: why HR must learn to be sure-footed on the change curve (part one). Available at: </w:t>
      </w:r>
      <w:hyperlink r:id="Rdb6c7a35a61e419f">
        <w:r w:rsidRPr="5036BC58" w:rsidR="04725E31">
          <w:rPr>
            <w:rStyle w:val="Hyperlink"/>
            <w:rFonts w:ascii="Arial" w:hAnsi="Arial" w:eastAsia="Arial" w:cs="Arial"/>
            <w:noProof w:val="0"/>
            <w:sz w:val="24"/>
            <w:szCs w:val="24"/>
            <w:lang w:val="en-GB"/>
          </w:rPr>
          <w:t>https://www.hrmagazine.co.uk/content/features/outstanding-balance-why-hr-must-learn-to-be-sure-footed-on-the-change-curve-part-one/</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080616DC" w14:textId="41F7153F">
      <w:pPr>
        <w:spacing w:before="240" w:beforeAutospacing="off" w:after="240" w:afterAutospacing="off"/>
      </w:pPr>
      <w:r w:rsidRPr="5036BC58" w:rsidR="04725E31">
        <w:rPr>
          <w:rFonts w:ascii="Arial" w:hAnsi="Arial" w:eastAsia="Arial" w:cs="Arial"/>
          <w:noProof w:val="0"/>
          <w:sz w:val="24"/>
          <w:szCs w:val="24"/>
          <w:lang w:val="en-GB"/>
        </w:rPr>
        <w:t xml:space="preserve">Jakhongir, S. (2023) ‘Dawn of a New Era: History of Uzbekistan’s Higher Education System Transforms with Matrix Management’, Journal pendidikan Ilmu Sosial $b (Bandung. Online), 32(2), pp. 149–164. Available at: </w:t>
      </w:r>
      <w:hyperlink r:id="R6e5c20fa791e4d4f">
        <w:r w:rsidRPr="5036BC58" w:rsidR="04725E31">
          <w:rPr>
            <w:rStyle w:val="Hyperlink"/>
            <w:rFonts w:ascii="Arial" w:hAnsi="Arial" w:eastAsia="Arial" w:cs="Arial"/>
            <w:noProof w:val="0"/>
            <w:sz w:val="24"/>
            <w:szCs w:val="24"/>
            <w:lang w:val="en-GB"/>
          </w:rPr>
          <w:t>https://doi.org/10.17509/jpis.v32i2.61841</w:t>
        </w:r>
      </w:hyperlink>
      <w:r w:rsidRPr="5036BC58" w:rsidR="04725E31">
        <w:rPr>
          <w:rFonts w:ascii="Arial" w:hAnsi="Arial" w:eastAsia="Arial" w:cs="Arial"/>
          <w:noProof w:val="0"/>
          <w:sz w:val="24"/>
          <w:szCs w:val="24"/>
          <w:lang w:val="en-GB"/>
        </w:rPr>
        <w:t xml:space="preserve"> </w:t>
      </w:r>
    </w:p>
    <w:p w:rsidR="04725E31" w:rsidP="5036BC58" w:rsidRDefault="04725E31" w14:paraId="2A8A6C6B" w14:textId="4B3DD517">
      <w:pPr>
        <w:spacing w:before="240" w:beforeAutospacing="off" w:after="240" w:afterAutospacing="off"/>
      </w:pPr>
      <w:r w:rsidRPr="5036BC58" w:rsidR="04725E31">
        <w:rPr>
          <w:rFonts w:ascii="Arial" w:hAnsi="Arial" w:eastAsia="Arial" w:cs="Arial"/>
          <w:noProof w:val="0"/>
          <w:sz w:val="24"/>
          <w:szCs w:val="24"/>
          <w:lang w:val="en-GB"/>
        </w:rPr>
        <w:t xml:space="preserve">Kotter, J. (1995) Leading Change: Why Transformation Efforts Fail. Available at: </w:t>
      </w:r>
      <w:hyperlink r:id="R1ba7fcf7b8fb4886">
        <w:r w:rsidRPr="5036BC58" w:rsidR="04725E31">
          <w:rPr>
            <w:rStyle w:val="Hyperlink"/>
            <w:rFonts w:ascii="Arial" w:hAnsi="Arial" w:eastAsia="Arial" w:cs="Arial"/>
            <w:noProof w:val="0"/>
            <w:sz w:val="24"/>
            <w:szCs w:val="24"/>
            <w:lang w:val="en-GB"/>
          </w:rPr>
          <w:t>https://hbr.org/1995/05/leading-change-why-transformation-efforts-fail-2</w:t>
        </w:r>
      </w:hyperlink>
      <w:r w:rsidRPr="5036BC58" w:rsidR="04725E31">
        <w:rPr>
          <w:rFonts w:ascii="Arial" w:hAnsi="Arial" w:eastAsia="Arial" w:cs="Arial"/>
          <w:noProof w:val="0"/>
          <w:sz w:val="24"/>
          <w:szCs w:val="24"/>
          <w:lang w:val="en-GB"/>
        </w:rPr>
        <w:t xml:space="preserve">. (Accessed: December 2025) </w:t>
      </w:r>
    </w:p>
    <w:p w:rsidR="04725E31" w:rsidP="5036BC58" w:rsidRDefault="04725E31" w14:paraId="10AC5EAE" w14:textId="6FAF89DE">
      <w:pPr>
        <w:spacing w:before="240" w:beforeAutospacing="off" w:after="240" w:afterAutospacing="off"/>
      </w:pPr>
      <w:r w:rsidRPr="5036BC58" w:rsidR="04725E31">
        <w:rPr>
          <w:rFonts w:ascii="Arial" w:hAnsi="Arial" w:eastAsia="Arial" w:cs="Arial"/>
          <w:noProof w:val="0"/>
          <w:sz w:val="24"/>
          <w:szCs w:val="24"/>
          <w:lang w:val="en-GB"/>
        </w:rPr>
        <w:t xml:space="preserve">Kotter, J.P., Rathgeber, H. and Mueller, P. (2006) Our iceberg is melting: changing and succeeding under any conditions. London: Macmillan. </w:t>
      </w:r>
    </w:p>
    <w:p w:rsidR="04725E31" w:rsidP="5036BC58" w:rsidRDefault="04725E31" w14:paraId="21474F53" w14:textId="54114AA8">
      <w:pPr>
        <w:spacing w:before="240" w:beforeAutospacing="off" w:after="240" w:afterAutospacing="off"/>
      </w:pPr>
      <w:r w:rsidRPr="5036BC58" w:rsidR="04725E31">
        <w:rPr>
          <w:rFonts w:ascii="Arial" w:hAnsi="Arial" w:eastAsia="Arial" w:cs="Arial"/>
          <w:noProof w:val="0"/>
          <w:sz w:val="24"/>
          <w:szCs w:val="24"/>
          <w:lang w:val="en-GB"/>
        </w:rPr>
        <w:t xml:space="preserve">Krapp, M., Schultze, W. and Weiler, A. (2023) ‘Managerial performance evaluation and organizational form’, Contemporary accounting research, 40(3), pp. 1760–1794. Available at: </w:t>
      </w:r>
      <w:hyperlink r:id="Ra78d81928db5457e">
        <w:r w:rsidRPr="5036BC58" w:rsidR="04725E31">
          <w:rPr>
            <w:rStyle w:val="Hyperlink"/>
            <w:rFonts w:ascii="Arial" w:hAnsi="Arial" w:eastAsia="Arial" w:cs="Arial"/>
            <w:noProof w:val="0"/>
            <w:sz w:val="24"/>
            <w:szCs w:val="24"/>
            <w:lang w:val="en-GB"/>
          </w:rPr>
          <w:t>https://doi.org/10.1111/1911-3846.12873</w:t>
        </w:r>
      </w:hyperlink>
      <w:r w:rsidRPr="5036BC58" w:rsidR="04725E31">
        <w:rPr>
          <w:rFonts w:ascii="Arial" w:hAnsi="Arial" w:eastAsia="Arial" w:cs="Arial"/>
          <w:noProof w:val="0"/>
          <w:sz w:val="24"/>
          <w:szCs w:val="24"/>
          <w:lang w:val="en-GB"/>
        </w:rPr>
        <w:t xml:space="preserve">. </w:t>
      </w:r>
    </w:p>
    <w:p w:rsidR="04725E31" w:rsidP="5036BC58" w:rsidRDefault="04725E31" w14:paraId="1E09FA3A" w14:textId="656B122E">
      <w:pPr>
        <w:spacing w:before="240" w:beforeAutospacing="off" w:after="240" w:afterAutospacing="off"/>
      </w:pPr>
      <w:r w:rsidRPr="5036BC58" w:rsidR="04725E31">
        <w:rPr>
          <w:rFonts w:ascii="Arial" w:hAnsi="Arial" w:eastAsia="Arial" w:cs="Arial"/>
          <w:noProof w:val="0"/>
          <w:sz w:val="24"/>
          <w:szCs w:val="24"/>
          <w:lang w:val="en-GB"/>
        </w:rPr>
        <w:t xml:space="preserve">Malik, P. (2024) The Kübler Ross Change Curve in the Workplace (2024). Available at: </w:t>
      </w:r>
      <w:hyperlink r:id="R1aed386561c64d28">
        <w:r w:rsidRPr="5036BC58" w:rsidR="04725E31">
          <w:rPr>
            <w:rStyle w:val="Hyperlink"/>
            <w:rFonts w:ascii="Arial" w:hAnsi="Arial" w:eastAsia="Arial" w:cs="Arial"/>
            <w:noProof w:val="0"/>
            <w:sz w:val="24"/>
            <w:szCs w:val="24"/>
            <w:lang w:val="en-GB"/>
          </w:rPr>
          <w:t>https://whatfix.com/blog/kubler-ross-change-curve/</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6CA9C707" w14:textId="45B321E1">
      <w:pPr>
        <w:spacing w:before="240" w:beforeAutospacing="off" w:after="240" w:afterAutospacing="off"/>
      </w:pPr>
      <w:r w:rsidRPr="5036BC58" w:rsidR="04725E31">
        <w:rPr>
          <w:rFonts w:ascii="Arial" w:hAnsi="Arial" w:eastAsia="Arial" w:cs="Arial"/>
          <w:noProof w:val="0"/>
          <w:sz w:val="24"/>
          <w:szCs w:val="24"/>
          <w:lang w:val="en-GB"/>
        </w:rPr>
        <w:t xml:space="preserve">Martins, A. (2024) Why It’s Important New Hires Fit a Company’s Culture. </w:t>
      </w:r>
      <w:hyperlink r:id="R2c2ded99301c40b9">
        <w:r w:rsidRPr="5036BC58" w:rsidR="04725E31">
          <w:rPr>
            <w:rStyle w:val="Hyperlink"/>
            <w:rFonts w:ascii="Arial" w:hAnsi="Arial" w:eastAsia="Arial" w:cs="Arial"/>
            <w:noProof w:val="0"/>
            <w:sz w:val="24"/>
            <w:szCs w:val="24"/>
            <w:lang w:val="en-GB"/>
          </w:rPr>
          <w:t>https://www.business.com/articles/hire-for-cultural-fit/</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7CE57754" w14:textId="19498000">
      <w:pPr>
        <w:spacing w:before="240" w:beforeAutospacing="off" w:after="240" w:afterAutospacing="off"/>
      </w:pPr>
      <w:r w:rsidRPr="5036BC58" w:rsidR="04725E31">
        <w:rPr>
          <w:rFonts w:ascii="Arial" w:hAnsi="Arial" w:eastAsia="Arial" w:cs="Arial"/>
          <w:noProof w:val="0"/>
          <w:sz w:val="24"/>
          <w:szCs w:val="24"/>
          <w:lang w:val="en-GB"/>
        </w:rPr>
        <w:t xml:space="preserve">McCartney, C. (2023) Selection methods. Available at: </w:t>
      </w:r>
      <w:hyperlink r:id="Rb944c7ce3aee48f5">
        <w:r w:rsidRPr="5036BC58" w:rsidR="04725E31">
          <w:rPr>
            <w:rStyle w:val="Hyperlink"/>
            <w:rFonts w:ascii="Arial" w:hAnsi="Arial" w:eastAsia="Arial" w:cs="Arial"/>
            <w:noProof w:val="0"/>
            <w:sz w:val="24"/>
            <w:szCs w:val="24"/>
            <w:lang w:val="en-GB"/>
          </w:rPr>
          <w:t>https://www.cipd.org/uk/knowledge/factsheets/selection-factsheet/</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42307174" w14:textId="7D068917">
      <w:pPr>
        <w:spacing w:before="240" w:beforeAutospacing="off" w:after="240" w:afterAutospacing="off"/>
      </w:pPr>
      <w:r w:rsidRPr="5036BC58" w:rsidR="04725E31">
        <w:rPr>
          <w:rFonts w:ascii="Arial" w:hAnsi="Arial" w:eastAsia="Arial" w:cs="Arial"/>
          <w:noProof w:val="0"/>
          <w:sz w:val="24"/>
          <w:szCs w:val="24"/>
          <w:lang w:val="en-GB"/>
        </w:rPr>
        <w:t xml:space="preserve">McKinnon, I. (2020) The Impact of COVID-19 on the Construction Industry (According to Business Owners). Available at: </w:t>
      </w:r>
      <w:hyperlink r:id="R16f050ac3be945e3">
        <w:r w:rsidRPr="5036BC58" w:rsidR="04725E31">
          <w:rPr>
            <w:rStyle w:val="Hyperlink"/>
            <w:rFonts w:ascii="Arial" w:hAnsi="Arial" w:eastAsia="Arial" w:cs="Arial"/>
            <w:noProof w:val="0"/>
            <w:sz w:val="24"/>
            <w:szCs w:val="24"/>
            <w:lang w:val="en-GB"/>
          </w:rPr>
          <w:t>https://www.chas.co.uk/blog/covid-impact-on-construction-industry/</w:t>
        </w:r>
      </w:hyperlink>
      <w:r w:rsidRPr="5036BC58" w:rsidR="04725E31">
        <w:rPr>
          <w:rFonts w:ascii="Arial" w:hAnsi="Arial" w:eastAsia="Arial" w:cs="Arial"/>
          <w:noProof w:val="0"/>
          <w:sz w:val="24"/>
          <w:szCs w:val="24"/>
          <w:lang w:val="en-GB"/>
        </w:rPr>
        <w:t xml:space="preserve">. (Accessed: December 2025) </w:t>
      </w:r>
    </w:p>
    <w:p w:rsidR="04725E31" w:rsidP="5036BC58" w:rsidRDefault="04725E31" w14:paraId="2F067C6A" w14:textId="6508033C">
      <w:pPr>
        <w:spacing w:before="240" w:beforeAutospacing="off" w:after="240" w:afterAutospacing="off"/>
      </w:pPr>
      <w:r w:rsidRPr="5036BC58" w:rsidR="04725E31">
        <w:rPr>
          <w:rFonts w:ascii="Arial" w:hAnsi="Arial" w:eastAsia="Arial" w:cs="Arial"/>
          <w:noProof w:val="0"/>
          <w:sz w:val="24"/>
          <w:szCs w:val="24"/>
          <w:lang w:val="en-GB"/>
        </w:rPr>
        <w:t xml:space="preserve">McNeill, M. (2020) Human Resources: The Pros and Cons of Hiring for Cultural Fit. Available at: </w:t>
      </w:r>
      <w:hyperlink r:id="R2368e8a7766b45da">
        <w:r w:rsidRPr="5036BC58" w:rsidR="04725E31">
          <w:rPr>
            <w:rStyle w:val="Hyperlink"/>
            <w:rFonts w:ascii="Arial" w:hAnsi="Arial" w:eastAsia="Arial" w:cs="Arial"/>
            <w:noProof w:val="0"/>
            <w:sz w:val="24"/>
            <w:szCs w:val="24"/>
            <w:lang w:val="en-GB"/>
          </w:rPr>
          <w:t>https://www.icslearn.co.uk/blog/human-resources/the-pros-and-cons-of-hiring-for-cultural</w:t>
        </w:r>
      </w:hyperlink>
      <w:r w:rsidRPr="5036BC58" w:rsidR="04725E31">
        <w:rPr>
          <w:rFonts w:ascii="Arial" w:hAnsi="Arial" w:eastAsia="Arial" w:cs="Arial"/>
          <w:noProof w:val="0"/>
          <w:sz w:val="24"/>
          <w:szCs w:val="24"/>
          <w:lang w:val="en-GB"/>
        </w:rPr>
        <w:t xml:space="preserve"> fit/#:~:text=Con%3A%20Low%20Retention&amp;text=While%20there's%20never%20any%20concrete,than%20not%20choose%20to%20leave. (Accessed: January 2025) </w:t>
      </w:r>
    </w:p>
    <w:p w:rsidR="04725E31" w:rsidP="5036BC58" w:rsidRDefault="04725E31" w14:paraId="29829537" w14:textId="4433072B">
      <w:pPr>
        <w:spacing w:before="240" w:beforeAutospacing="off" w:after="240" w:afterAutospacing="off"/>
      </w:pPr>
      <w:r w:rsidRPr="5036BC58" w:rsidR="04725E31">
        <w:rPr>
          <w:rFonts w:ascii="Arial" w:hAnsi="Arial" w:eastAsia="Arial" w:cs="Arial"/>
          <w:noProof w:val="0"/>
          <w:sz w:val="24"/>
          <w:szCs w:val="24"/>
          <w:lang w:val="en-GB"/>
        </w:rPr>
        <w:t xml:space="preserve">Miller, B. (2018) Pros and Cons of Employee Engagement Surveys. Available at: </w:t>
      </w:r>
      <w:hyperlink r:id="R2497532bf8944fc3">
        <w:r w:rsidRPr="5036BC58" w:rsidR="04725E31">
          <w:rPr>
            <w:rStyle w:val="Hyperlink"/>
            <w:rFonts w:ascii="Arial" w:hAnsi="Arial" w:eastAsia="Arial" w:cs="Arial"/>
            <w:noProof w:val="0"/>
            <w:sz w:val="24"/>
            <w:szCs w:val="24"/>
            <w:lang w:val="en-GB"/>
          </w:rPr>
          <w:t>https://hrdailyadvisor.blr.com/2018/04/09/pros-cons-employee-engagement-surveys/</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30CF7071" w14:textId="7C524287">
      <w:pPr>
        <w:spacing w:before="240" w:beforeAutospacing="off" w:after="240" w:afterAutospacing="off"/>
      </w:pPr>
      <w:r w:rsidRPr="5036BC58" w:rsidR="04725E31">
        <w:rPr>
          <w:rFonts w:ascii="Arial" w:hAnsi="Arial" w:eastAsia="Arial" w:cs="Arial"/>
          <w:noProof w:val="0"/>
          <w:sz w:val="24"/>
          <w:szCs w:val="24"/>
          <w:lang w:val="en-GB"/>
        </w:rPr>
        <w:t xml:space="preserve">Mohdzaini, H. (2025) Briefing | AI in focus: Role of people professionals, regulation and the CIPD. Available at: </w:t>
      </w:r>
      <w:hyperlink r:id="Ra32347d000934664">
        <w:r w:rsidRPr="5036BC58" w:rsidR="04725E31">
          <w:rPr>
            <w:rStyle w:val="Hyperlink"/>
            <w:rFonts w:ascii="Arial" w:hAnsi="Arial" w:eastAsia="Arial" w:cs="Arial"/>
            <w:noProof w:val="0"/>
            <w:sz w:val="24"/>
            <w:szCs w:val="24"/>
            <w:lang w:val="en-GB"/>
          </w:rPr>
          <w:t>https://www.cipd.org/uk/views-and-insights/thought-leadership/insight/ai-people-professionals-cipd/</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07693F1A" w14:textId="491CB490">
      <w:pPr>
        <w:spacing w:before="240" w:beforeAutospacing="off" w:after="240" w:afterAutospacing="off"/>
      </w:pPr>
      <w:r w:rsidRPr="5036BC58" w:rsidR="04725E31">
        <w:rPr>
          <w:rFonts w:ascii="Arial" w:hAnsi="Arial" w:eastAsia="Arial" w:cs="Arial"/>
          <w:noProof w:val="0"/>
          <w:sz w:val="24"/>
          <w:szCs w:val="24"/>
          <w:lang w:val="en-GB"/>
        </w:rPr>
        <w:t xml:space="preserve">Mullins, L.J. and McLean, J.E. (2019) Organisational behaviour in the workplace. Twelfth edition. Harlow, United Kingdom: Pearson Education Limited. </w:t>
      </w:r>
    </w:p>
    <w:p w:rsidR="04725E31" w:rsidP="5036BC58" w:rsidRDefault="04725E31" w14:paraId="0F4A752A" w14:textId="2E733CB3">
      <w:pPr>
        <w:spacing w:before="240" w:beforeAutospacing="off" w:after="240" w:afterAutospacing="off"/>
      </w:pPr>
      <w:r w:rsidRPr="5036BC58" w:rsidR="04725E31">
        <w:rPr>
          <w:rFonts w:ascii="Arial" w:hAnsi="Arial" w:eastAsia="Arial" w:cs="Arial"/>
          <w:noProof w:val="0"/>
          <w:sz w:val="24"/>
          <w:szCs w:val="24"/>
          <w:lang w:val="en-GB"/>
        </w:rPr>
        <w:t xml:space="preserve">Outram, K. (2022) Inflation: The impact on the construction sector. Available at: </w:t>
      </w:r>
      <w:hyperlink r:id="Rfa3cf4dc935c488e">
        <w:r w:rsidRPr="5036BC58" w:rsidR="04725E31">
          <w:rPr>
            <w:rStyle w:val="Hyperlink"/>
            <w:rFonts w:ascii="Arial" w:hAnsi="Arial" w:eastAsia="Arial" w:cs="Arial"/>
            <w:noProof w:val="0"/>
            <w:sz w:val="24"/>
            <w:szCs w:val="24"/>
            <w:lang w:val="en-GB"/>
          </w:rPr>
          <w:t>https://www.marsh.com/en/industries/construction/insights/inflation-the-impact-on-the-construction-sector.html</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1AE9C031" w14:textId="5F8FDFBF">
      <w:pPr>
        <w:spacing w:before="240" w:beforeAutospacing="off" w:after="240" w:afterAutospacing="off"/>
      </w:pPr>
      <w:r w:rsidRPr="5036BC58" w:rsidR="04725E31">
        <w:rPr>
          <w:rFonts w:ascii="Arial" w:hAnsi="Arial" w:eastAsia="Arial" w:cs="Arial"/>
          <w:noProof w:val="0"/>
          <w:sz w:val="24"/>
          <w:szCs w:val="24"/>
          <w:lang w:val="en-GB"/>
        </w:rPr>
        <w:t xml:space="preserve">Paramahuru, T. (2024) Employee communication. Available at: </w:t>
      </w:r>
      <w:hyperlink w:anchor="what-is-employee-communication" r:id="R70d959a2fd8a4521">
        <w:r w:rsidRPr="5036BC58" w:rsidR="04725E31">
          <w:rPr>
            <w:rStyle w:val="Hyperlink"/>
            <w:rFonts w:ascii="Arial" w:hAnsi="Arial" w:eastAsia="Arial" w:cs="Arial"/>
            <w:noProof w:val="0"/>
            <w:sz w:val="24"/>
            <w:szCs w:val="24"/>
            <w:lang w:val="en-GB"/>
          </w:rPr>
          <w:t>https://www.cipd.org/uk/knowledge/factsheets/employee-communication/#what-is-employee-communication</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0F51C8FB" w14:textId="2568F55C">
      <w:pPr>
        <w:spacing w:before="240" w:beforeAutospacing="off" w:after="240" w:afterAutospacing="off"/>
      </w:pPr>
      <w:r w:rsidRPr="5036BC58" w:rsidR="04725E31">
        <w:rPr>
          <w:rFonts w:ascii="Arial" w:hAnsi="Arial" w:eastAsia="Arial" w:cs="Arial"/>
          <w:noProof w:val="0"/>
          <w:sz w:val="24"/>
          <w:szCs w:val="24"/>
          <w:lang w:val="en-GB"/>
        </w:rPr>
        <w:t xml:space="preserve">Personnel Today (2023) What are the models of organisational culture? Available at: </w:t>
      </w:r>
      <w:hyperlink r:id="R3887d4ef786c4b7f">
        <w:r w:rsidRPr="5036BC58" w:rsidR="04725E31">
          <w:rPr>
            <w:rStyle w:val="Hyperlink"/>
            <w:rFonts w:ascii="Arial" w:hAnsi="Arial" w:eastAsia="Arial" w:cs="Arial"/>
            <w:noProof w:val="0"/>
            <w:sz w:val="24"/>
            <w:szCs w:val="24"/>
            <w:lang w:val="en-GB"/>
          </w:rPr>
          <w:t>https://www.personneltoday.com/hr/what-are-the-organisational-culture-models/</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17CD7E04" w14:textId="0F6A87C8">
      <w:pPr>
        <w:spacing w:before="240" w:beforeAutospacing="off" w:after="240" w:afterAutospacing="off"/>
      </w:pPr>
      <w:r w:rsidRPr="5036BC58" w:rsidR="04725E31">
        <w:rPr>
          <w:rFonts w:ascii="Arial" w:hAnsi="Arial" w:eastAsia="Arial" w:cs="Arial"/>
          <w:noProof w:val="0"/>
          <w:sz w:val="24"/>
          <w:szCs w:val="24"/>
          <w:lang w:val="en-GB"/>
        </w:rPr>
        <w:t xml:space="preserve">Peters, R. (2020) What lessons can COVID-19 teach us about organisational change? Available at: </w:t>
      </w:r>
      <w:hyperlink r:id="R076418b876a54803">
        <w:r w:rsidRPr="5036BC58" w:rsidR="04725E31">
          <w:rPr>
            <w:rStyle w:val="Hyperlink"/>
            <w:rFonts w:ascii="Arial" w:hAnsi="Arial" w:eastAsia="Arial" w:cs="Arial"/>
            <w:noProof w:val="0"/>
            <w:sz w:val="24"/>
            <w:szCs w:val="24"/>
            <w:lang w:val="en-GB"/>
          </w:rPr>
          <w:t>https://www.cipd.org/uk/views-and-insights/thought-leadership/people-profession/lessons-covid-19-organisational-change?_gl=1*3wdxnz*_ga*MTExMDkyMTMyMi4xNjQxODA5OTg5*_ga_D9HN5GYHYY*MTY0ODU0NTUyNC4xMC4xLjE2NDg1NDU1MzIuMA</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2A9EC8F7" w14:textId="6A073BA3">
      <w:pPr>
        <w:spacing w:before="240" w:beforeAutospacing="off" w:after="240" w:afterAutospacing="off"/>
      </w:pPr>
      <w:r w:rsidRPr="5036BC58" w:rsidR="04725E31">
        <w:rPr>
          <w:rFonts w:ascii="Arial" w:hAnsi="Arial" w:eastAsia="Arial" w:cs="Arial"/>
          <w:noProof w:val="0"/>
          <w:sz w:val="24"/>
          <w:szCs w:val="24"/>
          <w:lang w:val="en-GB"/>
        </w:rPr>
        <w:t xml:space="preserve">Peter, R. (2024) Strategic human resource management. Available at: </w:t>
      </w:r>
      <w:hyperlink r:id="Raa0a8d5003ba46e5">
        <w:r w:rsidRPr="5036BC58" w:rsidR="04725E31">
          <w:rPr>
            <w:rStyle w:val="Hyperlink"/>
            <w:rFonts w:ascii="Arial" w:hAnsi="Arial" w:eastAsia="Arial" w:cs="Arial"/>
            <w:noProof w:val="0"/>
            <w:sz w:val="24"/>
            <w:szCs w:val="24"/>
            <w:lang w:val="en-GB"/>
          </w:rPr>
          <w:t>https://www.cipd.org/uk/knowledge/factsheets/strategic-hrm-factsheet/</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6BEA79ED" w14:textId="4F21BDEA">
      <w:pPr>
        <w:spacing w:before="240" w:beforeAutospacing="off" w:after="240" w:afterAutospacing="off"/>
      </w:pPr>
      <w:r w:rsidRPr="5036BC58" w:rsidR="04725E31">
        <w:rPr>
          <w:rFonts w:ascii="Arial" w:hAnsi="Arial" w:eastAsia="Arial" w:cs="Arial"/>
          <w:noProof w:val="0"/>
          <w:sz w:val="24"/>
          <w:szCs w:val="24"/>
          <w:lang w:val="en-GB"/>
        </w:rPr>
        <w:t xml:space="preserve">Riyanto, Y.E. (2000) ‘Delegation of authority, managerial initiatives, and the design of divisional structure: 1’, IDEAS Working Paper Series from RePEc [Preprint]. </w:t>
      </w:r>
    </w:p>
    <w:p w:rsidR="04725E31" w:rsidP="5036BC58" w:rsidRDefault="04725E31" w14:paraId="699875D2" w14:textId="34C82F3E">
      <w:pPr>
        <w:spacing w:before="240" w:beforeAutospacing="off" w:after="240" w:afterAutospacing="off"/>
      </w:pPr>
      <w:r w:rsidRPr="5036BC58" w:rsidR="04725E31">
        <w:rPr>
          <w:rFonts w:ascii="Arial" w:hAnsi="Arial" w:eastAsia="Arial" w:cs="Arial"/>
          <w:noProof w:val="0"/>
          <w:sz w:val="24"/>
          <w:szCs w:val="24"/>
          <w:lang w:val="en-GB"/>
        </w:rPr>
        <w:t xml:space="preserve">Robbins, S, and Judge, T. (2016) Organizational Behavior, EBook, Global Edition, Pearson Education, Limited, Harlow. Available from: ProQuest Ebook Central. [Accessed: January 2025]. </w:t>
      </w:r>
    </w:p>
    <w:p w:rsidR="04725E31" w:rsidP="5036BC58" w:rsidRDefault="04725E31" w14:paraId="22DCB137" w14:textId="3E44F8DA">
      <w:pPr>
        <w:spacing w:before="240" w:beforeAutospacing="off" w:after="240" w:afterAutospacing="off"/>
      </w:pPr>
      <w:r w:rsidRPr="5036BC58" w:rsidR="04725E31">
        <w:rPr>
          <w:rFonts w:ascii="Arial" w:hAnsi="Arial" w:eastAsia="Arial" w:cs="Arial"/>
          <w:noProof w:val="0"/>
          <w:sz w:val="24"/>
          <w:szCs w:val="24"/>
          <w:lang w:val="en-GB"/>
        </w:rPr>
        <w:t xml:space="preserve">Roberts, A. (2024) Change management: A guide for people professionals. Available at: </w:t>
      </w:r>
      <w:hyperlink w:anchor="models-for-change" r:id="Rc2e8026ec4b04f32">
        <w:r w:rsidRPr="5036BC58" w:rsidR="04725E31">
          <w:rPr>
            <w:rStyle w:val="Hyperlink"/>
            <w:rFonts w:ascii="Arial" w:hAnsi="Arial" w:eastAsia="Arial" w:cs="Arial"/>
            <w:noProof w:val="0"/>
            <w:sz w:val="24"/>
            <w:szCs w:val="24"/>
            <w:lang w:val="en-GB"/>
          </w:rPr>
          <w:t>https://www.cipd.org/uk/knowledge/guides/change-management/#models-for-change</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23351CA1" w14:textId="6C0CC24E">
      <w:pPr>
        <w:spacing w:before="240" w:beforeAutospacing="off" w:after="240" w:afterAutospacing="off"/>
      </w:pPr>
      <w:r w:rsidRPr="5036BC58" w:rsidR="04725E31">
        <w:rPr>
          <w:rFonts w:ascii="Arial" w:hAnsi="Arial" w:eastAsia="Arial" w:cs="Arial"/>
          <w:noProof w:val="0"/>
          <w:sz w:val="24"/>
          <w:szCs w:val="24"/>
          <w:lang w:val="en-GB"/>
        </w:rPr>
        <w:t xml:space="preserve">Rock, D. (2011) ‘NeuroLeadership’, Leadership Excellence Essentials, 28(8), pp. 11-. </w:t>
      </w:r>
    </w:p>
    <w:p w:rsidR="04725E31" w:rsidP="5036BC58" w:rsidRDefault="04725E31" w14:paraId="0AF6BC7B" w14:textId="213222CB">
      <w:pPr>
        <w:spacing w:before="240" w:beforeAutospacing="off" w:after="240" w:afterAutospacing="off"/>
      </w:pPr>
      <w:r w:rsidRPr="5036BC58" w:rsidR="04725E31">
        <w:rPr>
          <w:rFonts w:ascii="Arial" w:hAnsi="Arial" w:eastAsia="Arial" w:cs="Arial"/>
          <w:noProof w:val="0"/>
          <w:sz w:val="24"/>
          <w:szCs w:val="24"/>
          <w:lang w:val="en-GB"/>
        </w:rPr>
        <w:t xml:space="preserve">Schwencke, B. (2024) Why Cultural Assessments are Essential for Hiring the Right Talent. Available at: </w:t>
      </w:r>
      <w:hyperlink w:anchor=":~:text=Improved%20Team%20Dynamics%3A%20Hiring%20for,to%20employee%20satisfaction%20and%20retention" r:id="R49ca2b8b4fae44a2">
        <w:r w:rsidRPr="5036BC58" w:rsidR="04725E31">
          <w:rPr>
            <w:rStyle w:val="Hyperlink"/>
            <w:rFonts w:ascii="Arial" w:hAnsi="Arial" w:eastAsia="Arial" w:cs="Arial"/>
            <w:noProof w:val="0"/>
            <w:sz w:val="24"/>
            <w:szCs w:val="24"/>
            <w:lang w:val="en-GB"/>
          </w:rPr>
          <w:t>https://www.testpartnership.com/blog/why-cultural-assessments-essential-hiring.html#:~:text=Improved%20Team%20Dynamics%3A%20Hiring%20for,to%20employee%20satisfaction%20and%20retention</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11E5B8F3" w14:textId="47ED7C19">
      <w:pPr>
        <w:spacing w:before="240" w:beforeAutospacing="off" w:after="240" w:afterAutospacing="off"/>
      </w:pPr>
      <w:r w:rsidRPr="5036BC58" w:rsidR="04725E31">
        <w:rPr>
          <w:rFonts w:ascii="Arial" w:hAnsi="Arial" w:eastAsia="Arial" w:cs="Arial"/>
          <w:noProof w:val="0"/>
          <w:sz w:val="24"/>
          <w:szCs w:val="24"/>
          <w:lang w:val="en-GB"/>
        </w:rPr>
        <w:t xml:space="preserve">Singh, H. (2021) Lifecycle of an HR. Available at: </w:t>
      </w:r>
      <w:hyperlink r:id="Rc9820f5a183e4738">
        <w:r w:rsidRPr="5036BC58" w:rsidR="04725E31">
          <w:rPr>
            <w:rStyle w:val="Hyperlink"/>
            <w:rFonts w:ascii="Arial" w:hAnsi="Arial" w:eastAsia="Arial" w:cs="Arial"/>
            <w:noProof w:val="0"/>
            <w:sz w:val="24"/>
            <w:szCs w:val="24"/>
            <w:lang w:val="en-GB"/>
          </w:rPr>
          <w:t>https://www.linkedin.com/pulse/lifecycle-hr-harjot-singh/</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6D6FA81B" w14:textId="5F9A9BB6">
      <w:pPr>
        <w:spacing w:before="240" w:beforeAutospacing="off" w:after="240" w:afterAutospacing="off"/>
      </w:pPr>
      <w:r w:rsidRPr="5036BC58" w:rsidR="04725E31">
        <w:rPr>
          <w:rFonts w:ascii="Arial" w:hAnsi="Arial" w:eastAsia="Arial" w:cs="Arial"/>
          <w:noProof w:val="0"/>
          <w:sz w:val="24"/>
          <w:szCs w:val="24"/>
          <w:lang w:val="en-GB"/>
        </w:rPr>
        <w:t xml:space="preserve">Smith, M.J. (2021) The SCARF Model for Psychological Safety in Groups. Available at: </w:t>
      </w:r>
      <w:hyperlink w:anchor=":~:text=The%20SCARF%20Model%20was%20developed,the%20people%20we%20work%20with" r:id="R95438a8a92e64fa9">
        <w:r w:rsidRPr="5036BC58" w:rsidR="04725E31">
          <w:rPr>
            <w:rStyle w:val="Hyperlink"/>
            <w:rFonts w:ascii="Arial" w:hAnsi="Arial" w:eastAsia="Arial" w:cs="Arial"/>
            <w:noProof w:val="0"/>
            <w:sz w:val="24"/>
            <w:szCs w:val="24"/>
            <w:lang w:val="en-GB"/>
          </w:rPr>
          <w:t>https://commonslibrary.org/the-scarf-model-for-psychological-safety-in-groups/#:~:text=The%20SCARF%20Model%20was%20developed,the%20people%20we%20work%20with</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499321E1" w14:textId="207777C8">
      <w:pPr>
        <w:spacing w:before="240" w:beforeAutospacing="off" w:after="240" w:afterAutospacing="off"/>
      </w:pPr>
      <w:r w:rsidRPr="5036BC58" w:rsidR="04725E31">
        <w:rPr>
          <w:rFonts w:ascii="Arial" w:hAnsi="Arial" w:eastAsia="Arial" w:cs="Arial"/>
          <w:noProof w:val="0"/>
          <w:sz w:val="24"/>
          <w:szCs w:val="24"/>
          <w:lang w:val="en-GB"/>
        </w:rPr>
        <w:t xml:space="preserve">Stobierski, T (2020) Emergent vs. Deliberate Strategy: How &amp; When to Use Each. Available at: </w:t>
      </w:r>
      <w:hyperlink r:id="R0b332d1f9abd42e0">
        <w:r w:rsidRPr="5036BC58" w:rsidR="04725E31">
          <w:rPr>
            <w:rStyle w:val="Hyperlink"/>
            <w:rFonts w:ascii="Arial" w:hAnsi="Arial" w:eastAsia="Arial" w:cs="Arial"/>
            <w:noProof w:val="0"/>
            <w:sz w:val="24"/>
            <w:szCs w:val="24"/>
            <w:lang w:val="en-GB"/>
          </w:rPr>
          <w:t>https://online.hbs.edu/blog/post/emergent-vs-deliberate-strategy</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1367A66F" w14:textId="2CA0724E">
      <w:pPr>
        <w:spacing w:before="240" w:beforeAutospacing="off" w:after="240" w:afterAutospacing="off"/>
      </w:pPr>
      <w:r w:rsidRPr="5036BC58" w:rsidR="04725E31">
        <w:rPr>
          <w:rFonts w:ascii="Arial" w:hAnsi="Arial" w:eastAsia="Arial" w:cs="Arial"/>
          <w:noProof w:val="0"/>
          <w:sz w:val="24"/>
          <w:szCs w:val="24"/>
          <w:lang w:val="en-GB"/>
        </w:rPr>
        <w:t xml:space="preserve">Suff, R. (2021) Mapping the future of people's health at work – the UK Government responds. Available at: </w:t>
      </w:r>
      <w:hyperlink r:id="Rfb3e3819cdc64677">
        <w:r w:rsidRPr="5036BC58" w:rsidR="04725E31">
          <w:rPr>
            <w:rStyle w:val="Hyperlink"/>
            <w:rFonts w:ascii="Arial" w:hAnsi="Arial" w:eastAsia="Arial" w:cs="Arial"/>
            <w:noProof w:val="0"/>
            <w:sz w:val="24"/>
            <w:szCs w:val="24"/>
            <w:lang w:val="en-GB"/>
          </w:rPr>
          <w:t>https://www.cipd.org/uk/views-and-insights/thought-leadership/cipd-voice/mapping-future0-peoples-health-work-government-responds/</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1E059931" w14:textId="25940E2F">
      <w:pPr>
        <w:spacing w:before="240" w:beforeAutospacing="off" w:after="240" w:afterAutospacing="off"/>
      </w:pPr>
      <w:r w:rsidRPr="5036BC58" w:rsidR="04725E31">
        <w:rPr>
          <w:rFonts w:ascii="Arial" w:hAnsi="Arial" w:eastAsia="Arial" w:cs="Arial"/>
          <w:noProof w:val="0"/>
          <w:sz w:val="24"/>
          <w:szCs w:val="24"/>
          <w:lang w:val="en-GB"/>
        </w:rPr>
        <w:t xml:space="preserve">Suff, R (2024) Wellbeing at work. Available at: </w:t>
      </w:r>
      <w:hyperlink r:id="R81fd99e30ae34584">
        <w:r w:rsidRPr="5036BC58" w:rsidR="04725E31">
          <w:rPr>
            <w:rStyle w:val="Hyperlink"/>
            <w:rFonts w:ascii="Arial" w:hAnsi="Arial" w:eastAsia="Arial" w:cs="Arial"/>
            <w:noProof w:val="0"/>
            <w:sz w:val="24"/>
            <w:szCs w:val="24"/>
            <w:lang w:val="en-GB"/>
          </w:rPr>
          <w:t>https://www.cipd.org/uk/knowledge/factsheets/well-being-factsheet/</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4948CE1E" w14:textId="08D564C5">
      <w:pPr>
        <w:spacing w:before="240" w:beforeAutospacing="off" w:after="240" w:afterAutospacing="off"/>
      </w:pPr>
      <w:r w:rsidRPr="5036BC58" w:rsidR="04725E31">
        <w:rPr>
          <w:rFonts w:ascii="Arial" w:hAnsi="Arial" w:eastAsia="Arial" w:cs="Arial"/>
          <w:noProof w:val="0"/>
          <w:sz w:val="24"/>
          <w:szCs w:val="24"/>
          <w:lang w:val="en-GB"/>
        </w:rPr>
        <w:t xml:space="preserve">Sullivan, N (2024) 3 Challenges Facing the UK Construction Industry In 2024. Available at: </w:t>
      </w:r>
      <w:hyperlink r:id="R2be41d6a49624bbd">
        <w:r w:rsidRPr="5036BC58" w:rsidR="04725E31">
          <w:rPr>
            <w:rStyle w:val="Hyperlink"/>
            <w:rFonts w:ascii="Arial" w:hAnsi="Arial" w:eastAsia="Arial" w:cs="Arial"/>
            <w:noProof w:val="0"/>
            <w:sz w:val="24"/>
            <w:szCs w:val="24"/>
            <w:lang w:val="en-GB"/>
          </w:rPr>
          <w:t>https://www.chas.co.uk/blog/3-challenges-facing-the-uk-construction-industry-in-2024/</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6FF01101" w14:textId="13E704A8">
      <w:pPr>
        <w:spacing w:before="240" w:beforeAutospacing="off" w:after="240" w:afterAutospacing="off"/>
      </w:pPr>
      <w:r w:rsidRPr="5036BC58" w:rsidR="04725E31">
        <w:rPr>
          <w:rFonts w:ascii="Arial" w:hAnsi="Arial" w:eastAsia="Arial" w:cs="Arial"/>
          <w:noProof w:val="0"/>
          <w:sz w:val="24"/>
          <w:szCs w:val="24"/>
          <w:lang w:val="en-GB"/>
        </w:rPr>
        <w:t xml:space="preserve">Tarnoff, K.A., Bostwick, E.D. and Barnes, K.J. (2021) ‘Assessment resistance: using Kubler-Ross to understand and respond’, Organization management journal, 18(5), pp. 176–186. Available at: </w:t>
      </w:r>
      <w:hyperlink r:id="Rf690aa4e86014c1f">
        <w:r w:rsidRPr="5036BC58" w:rsidR="04725E31">
          <w:rPr>
            <w:rStyle w:val="Hyperlink"/>
            <w:rFonts w:ascii="Arial" w:hAnsi="Arial" w:eastAsia="Arial" w:cs="Arial"/>
            <w:noProof w:val="0"/>
            <w:sz w:val="24"/>
            <w:szCs w:val="24"/>
            <w:lang w:val="en-GB"/>
          </w:rPr>
          <w:t>https://doi.org/10.1108/OMJ-03-2021-1177</w:t>
        </w:r>
      </w:hyperlink>
      <w:r w:rsidRPr="5036BC58" w:rsidR="04725E31">
        <w:rPr>
          <w:rFonts w:ascii="Arial" w:hAnsi="Arial" w:eastAsia="Arial" w:cs="Arial"/>
          <w:noProof w:val="0"/>
          <w:sz w:val="24"/>
          <w:szCs w:val="24"/>
          <w:lang w:val="en-GB"/>
        </w:rPr>
        <w:t xml:space="preserve">. </w:t>
      </w:r>
    </w:p>
    <w:p w:rsidR="04725E31" w:rsidP="5036BC58" w:rsidRDefault="04725E31" w14:paraId="5B2E5748" w14:textId="43E8E39E">
      <w:pPr>
        <w:spacing w:before="240" w:beforeAutospacing="off" w:after="240" w:afterAutospacing="off"/>
      </w:pPr>
      <w:r w:rsidRPr="5036BC58" w:rsidR="04725E31">
        <w:rPr>
          <w:rFonts w:ascii="Arial" w:hAnsi="Arial" w:eastAsia="Arial" w:cs="Arial"/>
          <w:noProof w:val="0"/>
          <w:sz w:val="24"/>
          <w:szCs w:val="24"/>
          <w:lang w:val="en-GB"/>
        </w:rPr>
        <w:t xml:space="preserve">Taylor, S. and Woodhams, C. (2022) Human resource management: people and organisations. Third edition. London: KoganPage. </w:t>
      </w:r>
    </w:p>
    <w:p w:rsidR="04725E31" w:rsidP="5036BC58" w:rsidRDefault="04725E31" w14:paraId="4B4A5ED3" w14:textId="106FAC23">
      <w:pPr>
        <w:spacing w:before="240" w:beforeAutospacing="off" w:after="240" w:afterAutospacing="off"/>
      </w:pPr>
      <w:r w:rsidRPr="5036BC58" w:rsidR="04725E31">
        <w:rPr>
          <w:rFonts w:ascii="Arial" w:hAnsi="Arial" w:eastAsia="Arial" w:cs="Arial"/>
          <w:noProof w:val="0"/>
          <w:sz w:val="24"/>
          <w:szCs w:val="24"/>
          <w:lang w:val="en-GB"/>
        </w:rPr>
        <w:t xml:space="preserve">Taylor, S. and Woodhams, C. (eds) (2022a) Studying human resource management: a guide to the study, context and practice of HR. Third edition. London: KoganPage. </w:t>
      </w:r>
    </w:p>
    <w:p w:rsidR="04725E31" w:rsidP="5036BC58" w:rsidRDefault="04725E31" w14:paraId="170EC2EB" w14:textId="66A74C61">
      <w:pPr>
        <w:spacing w:before="240" w:beforeAutospacing="off" w:after="240" w:afterAutospacing="off"/>
      </w:pPr>
      <w:r w:rsidRPr="5036BC58" w:rsidR="04725E31">
        <w:rPr>
          <w:rFonts w:ascii="Arial" w:hAnsi="Arial" w:eastAsia="Arial" w:cs="Arial"/>
          <w:noProof w:val="0"/>
          <w:sz w:val="24"/>
          <w:szCs w:val="24"/>
          <w:lang w:val="en-GB"/>
        </w:rPr>
        <w:t xml:space="preserve">Tracey, H. (2024) Change management. Available at: </w:t>
      </w:r>
      <w:hyperlink r:id="Rc205c5b20f2b4877">
        <w:r w:rsidRPr="5036BC58" w:rsidR="04725E31">
          <w:rPr>
            <w:rStyle w:val="Hyperlink"/>
            <w:rFonts w:ascii="Arial" w:hAnsi="Arial" w:eastAsia="Arial" w:cs="Arial"/>
            <w:noProof w:val="0"/>
            <w:sz w:val="24"/>
            <w:szCs w:val="24"/>
            <w:lang w:val="en-GB"/>
          </w:rPr>
          <w:t>https://www.cipd.org/uk/knowledge/factsheets/change-management-factsheet/</w:t>
        </w:r>
      </w:hyperlink>
      <w:r w:rsidRPr="5036BC58" w:rsidR="04725E31">
        <w:rPr>
          <w:rFonts w:ascii="Arial" w:hAnsi="Arial" w:eastAsia="Arial" w:cs="Arial"/>
          <w:noProof w:val="0"/>
          <w:sz w:val="24"/>
          <w:szCs w:val="24"/>
          <w:lang w:val="en-GB"/>
        </w:rPr>
        <w:t xml:space="preserve">. (Accessed: January 2025) </w:t>
      </w:r>
    </w:p>
    <w:p w:rsidR="04725E31" w:rsidP="5036BC58" w:rsidRDefault="04725E31" w14:paraId="4302A1B7" w14:textId="1F685DAB">
      <w:pPr>
        <w:spacing w:before="240" w:beforeAutospacing="off" w:after="240" w:afterAutospacing="off"/>
      </w:pPr>
      <w:r w:rsidRPr="5036BC58" w:rsidR="04725E31">
        <w:rPr>
          <w:rFonts w:ascii="Arial" w:hAnsi="Arial" w:eastAsia="Arial" w:cs="Arial"/>
          <w:noProof w:val="0"/>
          <w:sz w:val="24"/>
          <w:szCs w:val="24"/>
          <w:lang w:val="en-GB"/>
        </w:rPr>
        <w:t xml:space="preserve">Waite, K. et al. (2021) People practice: a complete guide. London: KoganPage. </w:t>
      </w:r>
    </w:p>
    <w:p w:rsidR="04725E31" w:rsidP="5036BC58" w:rsidRDefault="04725E31" w14:paraId="7107EE92" w14:textId="1E1770CE">
      <w:pPr>
        <w:spacing w:before="240" w:beforeAutospacing="off" w:after="240" w:afterAutospacing="off"/>
      </w:pPr>
      <w:r w:rsidRPr="5036BC58" w:rsidR="04725E31">
        <w:rPr>
          <w:rFonts w:ascii="Arial" w:hAnsi="Arial" w:eastAsia="Arial" w:cs="Arial"/>
          <w:noProof w:val="0"/>
          <w:sz w:val="24"/>
          <w:szCs w:val="24"/>
          <w:lang w:val="en-GB"/>
        </w:rPr>
        <w:t xml:space="preserve">Weinfass, I. (2024) Construction worst-hit sector for insolvencies. Available at: </w:t>
      </w:r>
      <w:hyperlink w:anchor=":~:text=Companies%20that%20went%20under%20in,Group%2C%20Henry%20Construction%20and%20Readie" r:id="Rf9bc42a75aed4383">
        <w:r w:rsidRPr="5036BC58" w:rsidR="04725E31">
          <w:rPr>
            <w:rStyle w:val="Hyperlink"/>
            <w:rFonts w:ascii="Arial" w:hAnsi="Arial" w:eastAsia="Arial" w:cs="Arial"/>
            <w:noProof w:val="0"/>
            <w:sz w:val="24"/>
            <w:szCs w:val="24"/>
            <w:lang w:val="en-GB"/>
          </w:rPr>
          <w:t>https://www.constructionnews.co.uk/financial/construction-worst-hit-sector-for-insolvencies-18-06-2024/#:~:text=Companies%20that%20went%20under%20in,Group%2C%20Henry%20Construction%20and%20Readie</w:t>
        </w:r>
      </w:hyperlink>
      <w:r w:rsidRPr="5036BC58" w:rsidR="04725E31">
        <w:rPr>
          <w:rFonts w:ascii="Arial" w:hAnsi="Arial" w:eastAsia="Arial" w:cs="Arial"/>
          <w:noProof w:val="0"/>
          <w:sz w:val="24"/>
          <w:szCs w:val="24"/>
          <w:lang w:val="en-GB"/>
        </w:rPr>
        <w:t xml:space="preserve">. (Accessed: December 2024) </w:t>
      </w:r>
    </w:p>
    <w:p w:rsidR="04725E31" w:rsidP="5036BC58" w:rsidRDefault="04725E31" w14:paraId="6B22E80F" w14:textId="4D16A995">
      <w:pPr>
        <w:spacing w:before="240" w:beforeAutospacing="off" w:after="240" w:afterAutospacing="off"/>
      </w:pPr>
      <w:r w:rsidRPr="5036BC58" w:rsidR="04725E31">
        <w:rPr>
          <w:rFonts w:ascii="Arial" w:hAnsi="Arial" w:eastAsia="Arial" w:cs="Arial"/>
          <w:noProof w:val="0"/>
          <w:sz w:val="24"/>
          <w:szCs w:val="24"/>
          <w:lang w:val="en-GB"/>
        </w:rPr>
        <w:t>Young, J. (2024) Organisational climate and culture. Available at: Organisational climate and culture | Factsheets | CIPD. (Accessed: January 2025)</w:t>
      </w:r>
    </w:p>
    <w:p w:rsidR="5036BC58" w:rsidP="5036BC58" w:rsidRDefault="5036BC58" w14:paraId="496D41CA" w14:textId="77E129EF">
      <w:pPr>
        <w:pStyle w:val="Normal"/>
        <w:spacing w:line="276" w:lineRule="auto"/>
        <w:rPr>
          <w:rFonts w:eastAsia="Arial" w:cs="Arial"/>
          <w:color w:val="000000" w:themeColor="text1" w:themeTint="FF" w:themeShade="FF"/>
          <w:sz w:val="24"/>
          <w:szCs w:val="24"/>
        </w:rPr>
      </w:pPr>
    </w:p>
    <w:p w:rsidRPr="00B33353" w:rsidR="00E31DD8" w:rsidP="00B33353" w:rsidRDefault="00E31DD8" w14:paraId="4F619793" w14:textId="6E6A34D1">
      <w:pPr>
        <w:spacing w:line="276" w:lineRule="auto"/>
        <w:rPr>
          <w:rFonts w:cs="Arial"/>
          <w:sz w:val="24"/>
        </w:rPr>
      </w:pPr>
    </w:p>
    <w:sectPr w:rsidRPr="00B33353" w:rsidR="00E31DD8">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B0613" w:rsidP="002B0613" w:rsidRDefault="002B0613" w14:paraId="17884BAE" w14:textId="77777777">
      <w:pPr>
        <w:spacing w:line="240" w:lineRule="auto"/>
      </w:pPr>
      <w:r>
        <w:separator/>
      </w:r>
    </w:p>
  </w:endnote>
  <w:endnote w:type="continuationSeparator" w:id="0">
    <w:p w:rsidR="002B0613" w:rsidP="002B0613" w:rsidRDefault="002B0613" w14:paraId="12B26F8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Oxygen">
    <w:charset w:val="00"/>
    <w:family w:val="auto"/>
    <w:pitch w:val="variable"/>
    <w:sig w:usb0="A00000EF" w:usb1="4000204B" w:usb2="00000000" w:usb3="00000000" w:csb0="00000093" w:csb1="00000000"/>
  </w:font>
  <w:font w:name="Libre Franklin">
    <w:charset w:val="00"/>
    <w:family w:val="auto"/>
    <w:pitch w:val="variable"/>
    <w:sig w:usb0="A00000FF" w:usb1="4000205B" w:usb2="00000000" w:usb3="00000000" w:csb0="00000193"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B0613" w:rsidRDefault="00B86DE0" w14:paraId="2B6EB6AE" w14:textId="6B8EB567">
    <w:pPr>
      <w:pStyle w:val="Footer"/>
    </w:pPr>
    <w:r>
      <w:ptab w:alignment="center" w:relativeTo="margin" w:leader="none"/>
    </w:r>
    <w:r w:rsidR="00153512">
      <w:fldChar w:fldCharType="begin"/>
    </w:r>
    <w:r w:rsidR="00153512">
      <w:instrText>PAGE   \* MERGEFORMAT</w:instrText>
    </w:r>
    <w:r w:rsidR="00153512">
      <w:fldChar w:fldCharType="separate"/>
    </w:r>
    <w:r w:rsidR="00153512">
      <w:t>1</w:t>
    </w:r>
    <w:r w:rsidR="00153512">
      <w:fldChar w:fldCharType="end"/>
    </w:r>
    <w:r>
      <w:ptab w:alignment="right" w:relativeTo="margin" w:leader="none"/>
    </w:r>
    <w:r w:rsidR="003E2B58">
      <w:t>Claire Smith</w:t>
    </w:r>
  </w:p>
  <w:p w:rsidR="003E2B58" w:rsidP="00153512" w:rsidRDefault="00153512" w14:paraId="7B262968" w14:textId="0B50798F">
    <w:pPr>
      <w:pStyle w:val="Footer"/>
      <w:jc w:val="right"/>
    </w:pPr>
    <w:r>
      <w:t>CIPD Membership Number: 88340471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B0613" w:rsidP="002B0613" w:rsidRDefault="002B0613" w14:paraId="19132274" w14:textId="77777777">
      <w:pPr>
        <w:spacing w:line="240" w:lineRule="auto"/>
      </w:pPr>
      <w:r>
        <w:separator/>
      </w:r>
    </w:p>
  </w:footnote>
  <w:footnote w:type="continuationSeparator" w:id="0">
    <w:p w:rsidR="002B0613" w:rsidP="002B0613" w:rsidRDefault="002B0613" w14:paraId="4C5CF60E"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54991"/>
    <w:multiLevelType w:val="hybridMultilevel"/>
    <w:tmpl w:val="06B47976"/>
    <w:lvl w:ilvl="0" w:tplc="325C8484">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864DF4"/>
    <w:multiLevelType w:val="hybridMultilevel"/>
    <w:tmpl w:val="3556758A"/>
    <w:lvl w:ilvl="0" w:tplc="CC86C4B8">
      <w:start w:val="1"/>
      <w:numFmt w:val="decimal"/>
      <w:lvlText w:val="%1."/>
      <w:lvlJc w:val="left"/>
      <w:pPr>
        <w:ind w:left="720" w:hanging="360"/>
      </w:pPr>
    </w:lvl>
    <w:lvl w:ilvl="1" w:tplc="65B41B12">
      <w:start w:val="1"/>
      <w:numFmt w:val="lowerLetter"/>
      <w:lvlText w:val="%2."/>
      <w:lvlJc w:val="left"/>
      <w:pPr>
        <w:ind w:left="1440" w:hanging="360"/>
      </w:pPr>
    </w:lvl>
    <w:lvl w:ilvl="2" w:tplc="D828F8D8">
      <w:start w:val="1"/>
      <w:numFmt w:val="lowerRoman"/>
      <w:lvlText w:val="%3."/>
      <w:lvlJc w:val="right"/>
      <w:pPr>
        <w:ind w:left="2160" w:hanging="180"/>
      </w:pPr>
    </w:lvl>
    <w:lvl w:ilvl="3" w:tplc="FD925318">
      <w:start w:val="1"/>
      <w:numFmt w:val="decimal"/>
      <w:lvlText w:val="%4."/>
      <w:lvlJc w:val="left"/>
      <w:pPr>
        <w:ind w:left="2880" w:hanging="360"/>
      </w:pPr>
    </w:lvl>
    <w:lvl w:ilvl="4" w:tplc="4C526C5C">
      <w:start w:val="1"/>
      <w:numFmt w:val="lowerLetter"/>
      <w:lvlText w:val="%5."/>
      <w:lvlJc w:val="left"/>
      <w:pPr>
        <w:ind w:left="3600" w:hanging="360"/>
      </w:pPr>
    </w:lvl>
    <w:lvl w:ilvl="5" w:tplc="8E90B62E">
      <w:start w:val="1"/>
      <w:numFmt w:val="lowerRoman"/>
      <w:lvlText w:val="%6."/>
      <w:lvlJc w:val="right"/>
      <w:pPr>
        <w:ind w:left="4320" w:hanging="180"/>
      </w:pPr>
    </w:lvl>
    <w:lvl w:ilvl="6" w:tplc="9EC8F224">
      <w:start w:val="1"/>
      <w:numFmt w:val="decimal"/>
      <w:lvlText w:val="%7."/>
      <w:lvlJc w:val="left"/>
      <w:pPr>
        <w:ind w:left="5040" w:hanging="360"/>
      </w:pPr>
    </w:lvl>
    <w:lvl w:ilvl="7" w:tplc="10E69294">
      <w:start w:val="1"/>
      <w:numFmt w:val="lowerLetter"/>
      <w:lvlText w:val="%8."/>
      <w:lvlJc w:val="left"/>
      <w:pPr>
        <w:ind w:left="5760" w:hanging="360"/>
      </w:pPr>
    </w:lvl>
    <w:lvl w:ilvl="8" w:tplc="C952FEDE">
      <w:start w:val="1"/>
      <w:numFmt w:val="lowerRoman"/>
      <w:lvlText w:val="%9."/>
      <w:lvlJc w:val="right"/>
      <w:pPr>
        <w:ind w:left="6480" w:hanging="180"/>
      </w:pPr>
    </w:lvl>
  </w:abstractNum>
  <w:abstractNum w:abstractNumId="3" w15:restartNumberingAfterBreak="0">
    <w:nsid w:val="6E7F50FB"/>
    <w:multiLevelType w:val="multilevel"/>
    <w:tmpl w:val="F94427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2089308187">
    <w:abstractNumId w:val="3"/>
  </w:num>
  <w:num w:numId="2" w16cid:durableId="41104419">
    <w:abstractNumId w:val="2"/>
  </w:num>
  <w:num w:numId="3" w16cid:durableId="1099373750">
    <w:abstractNumId w:val="1"/>
  </w:num>
  <w:num w:numId="4" w16cid:durableId="726564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E10"/>
    <w:rsid w:val="00055471"/>
    <w:rsid w:val="00086F08"/>
    <w:rsid w:val="001238A2"/>
    <w:rsid w:val="00153512"/>
    <w:rsid w:val="00233E10"/>
    <w:rsid w:val="00281B1C"/>
    <w:rsid w:val="002B0613"/>
    <w:rsid w:val="00385A2D"/>
    <w:rsid w:val="003B3445"/>
    <w:rsid w:val="003E2B58"/>
    <w:rsid w:val="003E67E6"/>
    <w:rsid w:val="004571F8"/>
    <w:rsid w:val="00522C27"/>
    <w:rsid w:val="006850BF"/>
    <w:rsid w:val="007A5B4B"/>
    <w:rsid w:val="007D5399"/>
    <w:rsid w:val="00867665"/>
    <w:rsid w:val="00942A07"/>
    <w:rsid w:val="0096721A"/>
    <w:rsid w:val="00A33081"/>
    <w:rsid w:val="00A640F0"/>
    <w:rsid w:val="00B30D2B"/>
    <w:rsid w:val="00B33353"/>
    <w:rsid w:val="00B73F64"/>
    <w:rsid w:val="00B86DE0"/>
    <w:rsid w:val="00E31DD8"/>
    <w:rsid w:val="00EE4704"/>
    <w:rsid w:val="00FE174C"/>
    <w:rsid w:val="00FF6D8F"/>
    <w:rsid w:val="01539B3F"/>
    <w:rsid w:val="01650C63"/>
    <w:rsid w:val="04723E45"/>
    <w:rsid w:val="04725E31"/>
    <w:rsid w:val="069FE418"/>
    <w:rsid w:val="095BC194"/>
    <w:rsid w:val="0EDF5897"/>
    <w:rsid w:val="0F6B5221"/>
    <w:rsid w:val="104D383B"/>
    <w:rsid w:val="11CE4A5C"/>
    <w:rsid w:val="20C0911A"/>
    <w:rsid w:val="21DFC731"/>
    <w:rsid w:val="2E0B5F5F"/>
    <w:rsid w:val="31E7222A"/>
    <w:rsid w:val="3334053A"/>
    <w:rsid w:val="42077677"/>
    <w:rsid w:val="483EC112"/>
    <w:rsid w:val="4C0DB12D"/>
    <w:rsid w:val="4FBFD571"/>
    <w:rsid w:val="5036BC58"/>
    <w:rsid w:val="582663FA"/>
    <w:rsid w:val="5D3751DC"/>
    <w:rsid w:val="6DC90825"/>
    <w:rsid w:val="746C4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B3A93"/>
  <w15:chartTrackingRefBased/>
  <w15:docId w15:val="{8FC693A6-8BBA-4FAF-B29B-BD90C2C70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233E10"/>
    <w:pPr>
      <w:spacing w:after="0"/>
    </w:pPr>
    <w:rPr>
      <w:rFonts w:ascii="Arial" w:hAnsi="Arial"/>
      <w:kern w:val="0"/>
      <w:szCs w:val="24"/>
      <w14:ligatures w14:val="none"/>
    </w:rPr>
  </w:style>
  <w:style w:type="paragraph" w:styleId="Heading1">
    <w:name w:val="heading 1"/>
    <w:basedOn w:val="Normal"/>
    <w:next w:val="Normal"/>
    <w:link w:val="Heading1Char"/>
    <w:autoRedefine/>
    <w:uiPriority w:val="9"/>
    <w:qFormat/>
    <w:rsid w:val="00A33081"/>
    <w:pPr>
      <w:keepNext/>
      <w:keepLines/>
      <w:numPr>
        <w:numId w:val="4"/>
      </w:numPr>
      <w:spacing w:before="360" w:after="80"/>
      <w:ind w:left="284"/>
      <w:outlineLvl w:val="0"/>
    </w:pPr>
    <w:rPr>
      <w:rFonts w:eastAsia="Arial" w:cstheme="majorBidi"/>
      <w:b/>
      <w:sz w:val="24"/>
      <w:szCs w:val="40"/>
    </w:rPr>
  </w:style>
  <w:style w:type="paragraph" w:styleId="Heading2">
    <w:name w:val="heading 2"/>
    <w:basedOn w:val="Normal"/>
    <w:next w:val="Normal"/>
    <w:link w:val="Heading2Char"/>
    <w:uiPriority w:val="9"/>
    <w:semiHidden/>
    <w:unhideWhenUsed/>
    <w:qFormat/>
    <w:rsid w:val="00233E1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3E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3E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3E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3E1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3E1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3E1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3E10"/>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33081"/>
    <w:rPr>
      <w:rFonts w:ascii="Arial" w:hAnsi="Arial" w:eastAsia="Arial" w:cstheme="majorBidi"/>
      <w:b/>
      <w:kern w:val="0"/>
      <w:sz w:val="24"/>
      <w:szCs w:val="40"/>
      <w14:ligatures w14:val="none"/>
    </w:rPr>
  </w:style>
  <w:style w:type="character" w:styleId="Heading2Char" w:customStyle="1">
    <w:name w:val="Heading 2 Char"/>
    <w:basedOn w:val="DefaultParagraphFont"/>
    <w:link w:val="Heading2"/>
    <w:uiPriority w:val="9"/>
    <w:semiHidden/>
    <w:rsid w:val="00233E1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33E1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33E1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33E1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33E1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33E1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33E1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33E10"/>
    <w:rPr>
      <w:rFonts w:eastAsiaTheme="majorEastAsia" w:cstheme="majorBidi"/>
      <w:color w:val="272727" w:themeColor="text1" w:themeTint="D8"/>
    </w:rPr>
  </w:style>
  <w:style w:type="paragraph" w:styleId="Title">
    <w:name w:val="Title"/>
    <w:basedOn w:val="Normal"/>
    <w:next w:val="Normal"/>
    <w:link w:val="TitleChar"/>
    <w:uiPriority w:val="10"/>
    <w:qFormat/>
    <w:rsid w:val="00233E1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33E1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33E1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33E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E10"/>
    <w:pPr>
      <w:spacing w:before="160"/>
      <w:jc w:val="center"/>
    </w:pPr>
    <w:rPr>
      <w:i/>
      <w:iCs/>
      <w:color w:val="404040" w:themeColor="text1" w:themeTint="BF"/>
    </w:rPr>
  </w:style>
  <w:style w:type="character" w:styleId="QuoteChar" w:customStyle="1">
    <w:name w:val="Quote Char"/>
    <w:basedOn w:val="DefaultParagraphFont"/>
    <w:link w:val="Quote"/>
    <w:uiPriority w:val="29"/>
    <w:rsid w:val="00233E10"/>
    <w:rPr>
      <w:i/>
      <w:iCs/>
      <w:color w:val="404040" w:themeColor="text1" w:themeTint="BF"/>
    </w:rPr>
  </w:style>
  <w:style w:type="paragraph" w:styleId="ListParagraph">
    <w:name w:val="List Paragraph"/>
    <w:basedOn w:val="Normal"/>
    <w:link w:val="ListParagraphChar"/>
    <w:uiPriority w:val="34"/>
    <w:qFormat/>
    <w:rsid w:val="00233E10"/>
    <w:pPr>
      <w:ind w:left="720"/>
      <w:contextualSpacing/>
    </w:pPr>
  </w:style>
  <w:style w:type="character" w:styleId="IntenseEmphasis">
    <w:name w:val="Intense Emphasis"/>
    <w:basedOn w:val="DefaultParagraphFont"/>
    <w:uiPriority w:val="21"/>
    <w:qFormat/>
    <w:rsid w:val="00233E10"/>
    <w:rPr>
      <w:i/>
      <w:iCs/>
      <w:color w:val="0F4761" w:themeColor="accent1" w:themeShade="BF"/>
    </w:rPr>
  </w:style>
  <w:style w:type="paragraph" w:styleId="IntenseQuote">
    <w:name w:val="Intense Quote"/>
    <w:basedOn w:val="Normal"/>
    <w:next w:val="Normal"/>
    <w:link w:val="IntenseQuoteChar"/>
    <w:uiPriority w:val="30"/>
    <w:qFormat/>
    <w:rsid w:val="00233E1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33E10"/>
    <w:rPr>
      <w:i/>
      <w:iCs/>
      <w:color w:val="0F4761" w:themeColor="accent1" w:themeShade="BF"/>
    </w:rPr>
  </w:style>
  <w:style w:type="character" w:styleId="IntenseReference">
    <w:name w:val="Intense Reference"/>
    <w:basedOn w:val="DefaultParagraphFont"/>
    <w:uiPriority w:val="32"/>
    <w:qFormat/>
    <w:rsid w:val="00233E10"/>
    <w:rPr>
      <w:b/>
      <w:bCs/>
      <w:smallCaps/>
      <w:color w:val="0F4761" w:themeColor="accent1" w:themeShade="BF"/>
      <w:spacing w:val="5"/>
    </w:rPr>
  </w:style>
  <w:style w:type="paragraph" w:styleId="NoSpacing">
    <w:name w:val="No Spacing"/>
    <w:uiPriority w:val="1"/>
    <w:qFormat/>
    <w:rsid w:val="00233E10"/>
    <w:pPr>
      <w:spacing w:after="0" w:line="240" w:lineRule="auto"/>
    </w:pPr>
    <w:rPr>
      <w:rFonts w:ascii="Arial" w:hAnsi="Arial"/>
      <w:kern w:val="0"/>
      <w:szCs w:val="24"/>
      <w14:ligatures w14:val="none"/>
    </w:rPr>
  </w:style>
  <w:style w:type="character" w:styleId="ListParagraphChar" w:customStyle="1">
    <w:name w:val="List Paragraph Char"/>
    <w:basedOn w:val="DefaultParagraphFont"/>
    <w:link w:val="ListParagraph"/>
    <w:uiPriority w:val="34"/>
    <w:rsid w:val="00233E10"/>
  </w:style>
  <w:style w:type="paragraph" w:styleId="Header">
    <w:name w:val="header"/>
    <w:basedOn w:val="Normal"/>
    <w:link w:val="HeaderChar"/>
    <w:uiPriority w:val="99"/>
    <w:unhideWhenUsed/>
    <w:rsid w:val="002B0613"/>
    <w:pPr>
      <w:tabs>
        <w:tab w:val="center" w:pos="4513"/>
        <w:tab w:val="right" w:pos="9026"/>
      </w:tabs>
      <w:spacing w:line="240" w:lineRule="auto"/>
    </w:pPr>
  </w:style>
  <w:style w:type="character" w:styleId="HeaderChar" w:customStyle="1">
    <w:name w:val="Header Char"/>
    <w:basedOn w:val="DefaultParagraphFont"/>
    <w:link w:val="Header"/>
    <w:uiPriority w:val="99"/>
    <w:rsid w:val="002B0613"/>
    <w:rPr>
      <w:rFonts w:ascii="Arial" w:hAnsi="Arial"/>
      <w:kern w:val="0"/>
      <w:szCs w:val="24"/>
      <w14:ligatures w14:val="none"/>
    </w:rPr>
  </w:style>
  <w:style w:type="paragraph" w:styleId="Footer">
    <w:name w:val="footer"/>
    <w:basedOn w:val="Normal"/>
    <w:link w:val="FooterChar"/>
    <w:uiPriority w:val="99"/>
    <w:unhideWhenUsed/>
    <w:rsid w:val="002B0613"/>
    <w:pPr>
      <w:tabs>
        <w:tab w:val="center" w:pos="4513"/>
        <w:tab w:val="right" w:pos="9026"/>
      </w:tabs>
      <w:spacing w:line="240" w:lineRule="auto"/>
    </w:pPr>
  </w:style>
  <w:style w:type="character" w:styleId="FooterChar" w:customStyle="1">
    <w:name w:val="Footer Char"/>
    <w:basedOn w:val="DefaultParagraphFont"/>
    <w:link w:val="Footer"/>
    <w:uiPriority w:val="99"/>
    <w:rsid w:val="002B0613"/>
    <w:rPr>
      <w:rFonts w:ascii="Arial" w:hAnsi="Arial"/>
      <w:kern w:val="0"/>
      <w:szCs w:val="24"/>
      <w14:ligatures w14:val="none"/>
    </w:rPr>
  </w:style>
  <w:style w:type="character" w:styleId="Hyperlink">
    <w:uiPriority w:val="99"/>
    <w:name w:val="Hyperlink"/>
    <w:basedOn w:val="DefaultParagraphFont"/>
    <w:unhideWhenUsed/>
    <w:rsid w:val="5036BC5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2038681">
      <w:bodyDiv w:val="1"/>
      <w:marLeft w:val="0"/>
      <w:marRight w:val="0"/>
      <w:marTop w:val="0"/>
      <w:marBottom w:val="0"/>
      <w:divBdr>
        <w:top w:val="none" w:sz="0" w:space="0" w:color="auto"/>
        <w:left w:val="none" w:sz="0" w:space="0" w:color="auto"/>
        <w:bottom w:val="none" w:sz="0" w:space="0" w:color="auto"/>
        <w:right w:val="none" w:sz="0" w:space="0" w:color="auto"/>
      </w:divBdr>
      <w:divsChild>
        <w:div w:id="1292370998">
          <w:marLeft w:val="0"/>
          <w:marRight w:val="0"/>
          <w:marTop w:val="0"/>
          <w:marBottom w:val="0"/>
          <w:divBdr>
            <w:top w:val="none" w:sz="0" w:space="0" w:color="auto"/>
            <w:left w:val="none" w:sz="0" w:space="0" w:color="auto"/>
            <w:bottom w:val="none" w:sz="0" w:space="0" w:color="auto"/>
            <w:right w:val="none" w:sz="0" w:space="0" w:color="auto"/>
          </w:divBdr>
        </w:div>
        <w:div w:id="246620217">
          <w:marLeft w:val="0"/>
          <w:marRight w:val="0"/>
          <w:marTop w:val="0"/>
          <w:marBottom w:val="0"/>
          <w:divBdr>
            <w:top w:val="none" w:sz="0" w:space="0" w:color="auto"/>
            <w:left w:val="none" w:sz="0" w:space="0" w:color="auto"/>
            <w:bottom w:val="none" w:sz="0" w:space="0" w:color="auto"/>
            <w:right w:val="none" w:sz="0" w:space="0" w:color="auto"/>
          </w:divBdr>
        </w:div>
        <w:div w:id="883250249">
          <w:marLeft w:val="0"/>
          <w:marRight w:val="0"/>
          <w:marTop w:val="0"/>
          <w:marBottom w:val="0"/>
          <w:divBdr>
            <w:top w:val="none" w:sz="0" w:space="0" w:color="auto"/>
            <w:left w:val="none" w:sz="0" w:space="0" w:color="auto"/>
            <w:bottom w:val="none" w:sz="0" w:space="0" w:color="auto"/>
            <w:right w:val="none" w:sz="0" w:space="0" w:color="auto"/>
          </w:divBdr>
        </w:div>
        <w:div w:id="403066729">
          <w:marLeft w:val="0"/>
          <w:marRight w:val="0"/>
          <w:marTop w:val="0"/>
          <w:marBottom w:val="0"/>
          <w:divBdr>
            <w:top w:val="none" w:sz="0" w:space="0" w:color="auto"/>
            <w:left w:val="none" w:sz="0" w:space="0" w:color="auto"/>
            <w:bottom w:val="none" w:sz="0" w:space="0" w:color="auto"/>
            <w:right w:val="none" w:sz="0" w:space="0" w:color="auto"/>
          </w:divBdr>
        </w:div>
        <w:div w:id="532116354">
          <w:marLeft w:val="0"/>
          <w:marRight w:val="0"/>
          <w:marTop w:val="0"/>
          <w:marBottom w:val="0"/>
          <w:divBdr>
            <w:top w:val="none" w:sz="0" w:space="0" w:color="auto"/>
            <w:left w:val="none" w:sz="0" w:space="0" w:color="auto"/>
            <w:bottom w:val="none" w:sz="0" w:space="0" w:color="auto"/>
            <w:right w:val="none" w:sz="0" w:space="0" w:color="auto"/>
          </w:divBdr>
        </w:div>
      </w:divsChild>
    </w:div>
    <w:div w:id="1741562575">
      <w:bodyDiv w:val="1"/>
      <w:marLeft w:val="0"/>
      <w:marRight w:val="0"/>
      <w:marTop w:val="0"/>
      <w:marBottom w:val="0"/>
      <w:divBdr>
        <w:top w:val="none" w:sz="0" w:space="0" w:color="auto"/>
        <w:left w:val="none" w:sz="0" w:space="0" w:color="auto"/>
        <w:bottom w:val="none" w:sz="0" w:space="0" w:color="auto"/>
        <w:right w:val="none" w:sz="0" w:space="0" w:color="auto"/>
      </w:divBdr>
      <w:divsChild>
        <w:div w:id="429475253">
          <w:marLeft w:val="0"/>
          <w:marRight w:val="0"/>
          <w:marTop w:val="0"/>
          <w:marBottom w:val="0"/>
          <w:divBdr>
            <w:top w:val="none" w:sz="0" w:space="0" w:color="auto"/>
            <w:left w:val="none" w:sz="0" w:space="0" w:color="auto"/>
            <w:bottom w:val="none" w:sz="0" w:space="0" w:color="auto"/>
            <w:right w:val="none" w:sz="0" w:space="0" w:color="auto"/>
          </w:divBdr>
        </w:div>
        <w:div w:id="1364747078">
          <w:marLeft w:val="0"/>
          <w:marRight w:val="0"/>
          <w:marTop w:val="0"/>
          <w:marBottom w:val="0"/>
          <w:divBdr>
            <w:top w:val="none" w:sz="0" w:space="0" w:color="auto"/>
            <w:left w:val="none" w:sz="0" w:space="0" w:color="auto"/>
            <w:bottom w:val="none" w:sz="0" w:space="0" w:color="auto"/>
            <w:right w:val="none" w:sz="0" w:space="0" w:color="auto"/>
          </w:divBdr>
        </w:div>
        <w:div w:id="633221572">
          <w:marLeft w:val="0"/>
          <w:marRight w:val="0"/>
          <w:marTop w:val="0"/>
          <w:marBottom w:val="0"/>
          <w:divBdr>
            <w:top w:val="none" w:sz="0" w:space="0" w:color="auto"/>
            <w:left w:val="none" w:sz="0" w:space="0" w:color="auto"/>
            <w:bottom w:val="none" w:sz="0" w:space="0" w:color="auto"/>
            <w:right w:val="none" w:sz="0" w:space="0" w:color="auto"/>
          </w:divBdr>
        </w:div>
        <w:div w:id="1375501369">
          <w:marLeft w:val="0"/>
          <w:marRight w:val="0"/>
          <w:marTop w:val="0"/>
          <w:marBottom w:val="0"/>
          <w:divBdr>
            <w:top w:val="none" w:sz="0" w:space="0" w:color="auto"/>
            <w:left w:val="none" w:sz="0" w:space="0" w:color="auto"/>
            <w:bottom w:val="none" w:sz="0" w:space="0" w:color="auto"/>
            <w:right w:val="none" w:sz="0" w:space="0" w:color="auto"/>
          </w:divBdr>
        </w:div>
        <w:div w:id="8290537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image" Target="media/image1.jp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hyperlink" Target="https://www.acas.org.uk/consulting-employees" TargetMode="External" Id="R1b4de5660f584ce5" /><Relationship Type="http://schemas.openxmlformats.org/officeDocument/2006/relationships/hyperlink" Target="https://hbr.org/2022/04/change-is-hard-heres-how-to-make-it-less-painful" TargetMode="External" Id="Ref8bb91bb70b462b" /><Relationship Type="http://schemas.openxmlformats.org/officeDocument/2006/relationships/hyperlink" Target="https://www.employment-studies.co.uk/system/files/resources/files/517_Strategic-Human-Resource-Management-Back-to-the-future-IES-CIPD-2019.pdf" TargetMode="External" Id="Rd99f2683f60f4f56" /><Relationship Type="http://schemas.openxmlformats.org/officeDocument/2006/relationships/hyperlink" Target="https://www.cipd.org/uk/knowledge/factsheets/absence-factsheet/" TargetMode="External" Id="R76bae05f3024473b" /><Relationship Type="http://schemas.openxmlformats.org/officeDocument/2006/relationships/hyperlink" Target="https://www.bankofengland.co.uk/monetary-policy/the-interest-rate-bank-rate" TargetMode="External" Id="Rd9a898a3122b4fdd" /><Relationship Type="http://schemas.openxmlformats.org/officeDocument/2006/relationships/hyperlink" Target="https://www.bankofengland.co.uk/monetary-policy/inflation" TargetMode="External" Id="R0fca6b4643944b7b" /><Relationship Type="http://schemas.openxmlformats.org/officeDocument/2006/relationships/hyperlink" Target="https://gobridgit.com/blog/risks-in-construction-projects/" TargetMode="External" Id="R0acd01befd2d46c3" /><Relationship Type="http://schemas.openxmlformats.org/officeDocument/2006/relationships/hyperlink" Target="https://www.cipd.org/uk/knowledge/podcasts/principles-based-wellbeing/" TargetMode="External" Id="R642f1fe1e16843b3" /><Relationship Type="http://schemas.openxmlformats.org/officeDocument/2006/relationships/hyperlink" Target="https://doi.org/10.1108/SHR-05-2019-0042" TargetMode="External" Id="R976db68cef68413b" /><Relationship Type="http://schemas.openxmlformats.org/officeDocument/2006/relationships/hyperlink" Target="https://d8.ciob.org/industry/research/AI-Playbook?utm_source=google&amp;utm_medium=website&amp;utm_campaign=AI_Playbook&amp;utm_id=AI+Playbook&amp;_gl=1*9khu3p*_gcl_au*MTQ5NTUxMjI1OS4xNzM5NTQ1ODA0*_ga*NjIwNTEyMjYxLjE3Mzk1NDU4MDQ.*_ga_F61MZQDHYK*MTczOTU0NTgwNC4xLjEuMTczOTU0NTgwNC42MC4wLjA" TargetMode="External" Id="R1f464e6eab5c4c71" /><Relationship Type="http://schemas.openxmlformats.org/officeDocument/2006/relationships/hyperlink" Target="https://www.cipd.org/globalassets/media/knowledge/knowledge-hub/guides/2023-pdfs/our-minds-at-work_2014-developing-behavioural-science-hr_tcm18-9731.pdf" TargetMode="External" Id="R0aef81126b2449a1" /><Relationship Type="http://schemas.openxmlformats.org/officeDocument/2006/relationships/hyperlink" Target="https://www.cipd.org/globalassets/media/comms/the-people-profession/profession-map-pdfs/profession-map-nov-2024.pdf" TargetMode="External" Id="Rd6e0219452884d1f" /><Relationship Type="http://schemas.openxmlformats.org/officeDocument/2006/relationships/hyperlink" Target="https://www.cipd.org/uk/knowledge/guides/strategic-workforce-planning/" TargetMode="External" Id="Re6aca8143d654bfb" /><Relationship Type="http://schemas.openxmlformats.org/officeDocument/2006/relationships/hyperlink" Target="https://www.cipd.org/uk/knowledge/reports/goodwork/" TargetMode="External" Id="R45ed863510394f51" /><Relationship Type="http://schemas.openxmlformats.org/officeDocument/2006/relationships/hyperlink" Target="https://www.cipd.org/uk/knowledge/factsheets/recruitment-factsheet/" TargetMode="External" Id="R65ce76e1eb324e12" /><Relationship Type="http://schemas.openxmlformats.org/officeDocument/2006/relationships/hyperlink" Target="https://assets.publishing.service.gov.uk/media/656856b8cc1ec500138eef49/Gov.UK_Impact_of_AI_on_UK_Jobs_and_Training.pdf" TargetMode="External" Id="Ra34c649969d84e07" /><Relationship Type="http://schemas.openxmlformats.org/officeDocument/2006/relationships/hyperlink" Target="https://assets.publishing.service.gov.uk/media/64cb71a547915a00142a91c4/a-pro-innovation-approach-to-ai-regulation-amended-web-ready.pdf" TargetMode="External" Id="Rede3f82dcb87498d" /><Relationship Type="http://schemas.openxmlformats.org/officeDocument/2006/relationships/hyperlink" Target="https://www.linkedin.com/pulse/employee-life-cycle-elc-prerna-dhand-mukherjee/" TargetMode="External" Id="R6f2e37044fa94627" /><Relationship Type="http://schemas.openxmlformats.org/officeDocument/2006/relationships/hyperlink" Target="https://www.linkedin.com/pulse/20141209102103-26759263-stakeholders-analysis-power-influence-interest-matrix/" TargetMode="External" Id="R89039663281b4b1b" /><Relationship Type="http://schemas.openxmlformats.org/officeDocument/2006/relationships/hyperlink" Target="https://theorg.com/iterate/divisional-organizational-structures" TargetMode="External" Id="R4a28325340444e59" /><Relationship Type="http://schemas.openxmlformats.org/officeDocument/2006/relationships/hyperlink" Target="https://www.forbes.com/councils/forbeshumanresourcescouncil/2023/12/26/18-overlooked-benefits-of-returning-to-the-office-for-work/" TargetMode="External" Id="Rb095416924334083" /><Relationship Type="http://schemas.openxmlformats.org/officeDocument/2006/relationships/hyperlink" Target="https://www.business.com/articles/management-theory-of-charles-handy/" TargetMode="External" Id="Rab031357752f40c8" /><Relationship Type="http://schemas.openxmlformats.org/officeDocument/2006/relationships/hyperlink" Target="https://www.linkedin.com/pulse/how-we-used-kotters-8-step-change-model-corporate-hole-ph-d-mba" TargetMode="External" Id="Rf5ff4c8117314d1f" /><Relationship Type="http://schemas.openxmlformats.org/officeDocument/2006/relationships/hyperlink" Target="https://www.lancashiremind.org.uk/the-importance-of-looking-after-employee-wellbeing/" TargetMode="External" Id="R48f6d24ad7764c13" /><Relationship Type="http://schemas.openxmlformats.org/officeDocument/2006/relationships/hyperlink" Target="https://www.hrmagazine.co.uk/content/features/outstanding-balance-why-hr-must-learn-to-be-sure-footed-on-the-change-curve-part-one/" TargetMode="External" Id="Rdb6c7a35a61e419f" /><Relationship Type="http://schemas.openxmlformats.org/officeDocument/2006/relationships/hyperlink" Target="https://doi.org/10.17509/jpis.v32i2.61841" TargetMode="External" Id="R6e5c20fa791e4d4f" /><Relationship Type="http://schemas.openxmlformats.org/officeDocument/2006/relationships/hyperlink" Target="https://hbr.org/1995/05/leading-change-why-transformation-efforts-fail-2" TargetMode="External" Id="R1ba7fcf7b8fb4886" /><Relationship Type="http://schemas.openxmlformats.org/officeDocument/2006/relationships/hyperlink" Target="https://doi.org/10.1111/1911-3846.12873" TargetMode="External" Id="Ra78d81928db5457e" /><Relationship Type="http://schemas.openxmlformats.org/officeDocument/2006/relationships/hyperlink" Target="https://whatfix.com/blog/kubler-ross-change-curve/" TargetMode="External" Id="R1aed386561c64d28" /><Relationship Type="http://schemas.openxmlformats.org/officeDocument/2006/relationships/hyperlink" Target="https://www.business.com/articles/hire-for-cultural-fit/" TargetMode="External" Id="R2c2ded99301c40b9" /><Relationship Type="http://schemas.openxmlformats.org/officeDocument/2006/relationships/hyperlink" Target="https://www.cipd.org/uk/knowledge/factsheets/selection-factsheet/" TargetMode="External" Id="Rb944c7ce3aee48f5" /><Relationship Type="http://schemas.openxmlformats.org/officeDocument/2006/relationships/hyperlink" Target="https://www.chas.co.uk/blog/covid-impact-on-construction-industry/" TargetMode="External" Id="R16f050ac3be945e3" /><Relationship Type="http://schemas.openxmlformats.org/officeDocument/2006/relationships/hyperlink" Target="https://www.icslearn.co.uk/blog/human-resources/the-pros-and-cons-of-hiring-for-cultural" TargetMode="External" Id="R2368e8a7766b45da" /><Relationship Type="http://schemas.openxmlformats.org/officeDocument/2006/relationships/hyperlink" Target="https://hrdailyadvisor.blr.com/2018/04/09/pros-cons-employee-engagement-surveys/" TargetMode="External" Id="R2497532bf8944fc3" /><Relationship Type="http://schemas.openxmlformats.org/officeDocument/2006/relationships/hyperlink" Target="https://www.cipd.org/uk/views-and-insights/thought-leadership/insight/ai-people-professionals-cipd/" TargetMode="External" Id="Ra32347d000934664" /><Relationship Type="http://schemas.openxmlformats.org/officeDocument/2006/relationships/hyperlink" Target="https://www.marsh.com/en/industries/construction/insights/inflation-the-impact-on-the-construction-sector.html" TargetMode="External" Id="Rfa3cf4dc935c488e" /><Relationship Type="http://schemas.openxmlformats.org/officeDocument/2006/relationships/hyperlink" Target="https://www.cipd.org/uk/knowledge/factsheets/employee-communication/" TargetMode="External" Id="R70d959a2fd8a4521" /><Relationship Type="http://schemas.openxmlformats.org/officeDocument/2006/relationships/hyperlink" Target="https://www.personneltoday.com/hr/what-are-the-organisational-culture-models/" TargetMode="External" Id="R3887d4ef786c4b7f" /><Relationship Type="http://schemas.openxmlformats.org/officeDocument/2006/relationships/hyperlink" Target="https://www.cipd.org/uk/views-and-insights/thought-leadership/people-profession/lessons-covid-19-organisational-change?_gl=1*3wdxnz*_ga*MTExMDkyMTMyMi4xNjQxODA5OTg5*_ga_D9HN5GYHYY*MTY0ODU0NTUyNC4xMC4xLjE2NDg1NDU1MzIuMA" TargetMode="External" Id="R076418b876a54803" /><Relationship Type="http://schemas.openxmlformats.org/officeDocument/2006/relationships/hyperlink" Target="https://www.cipd.org/uk/knowledge/factsheets/strategic-hrm-factsheet/" TargetMode="External" Id="Raa0a8d5003ba46e5" /><Relationship Type="http://schemas.openxmlformats.org/officeDocument/2006/relationships/hyperlink" Target="https://www.cipd.org/uk/knowledge/guides/change-management/" TargetMode="External" Id="Rc2e8026ec4b04f32" /><Relationship Type="http://schemas.openxmlformats.org/officeDocument/2006/relationships/hyperlink" Target="https://www.testpartnership.com/blog/why-cultural-assessments-essential-hiring.html" TargetMode="External" Id="R49ca2b8b4fae44a2" /><Relationship Type="http://schemas.openxmlformats.org/officeDocument/2006/relationships/hyperlink" Target="https://www.linkedin.com/pulse/lifecycle-hr-harjot-singh/" TargetMode="External" Id="Rc9820f5a183e4738" /><Relationship Type="http://schemas.openxmlformats.org/officeDocument/2006/relationships/hyperlink" Target="https://commonslibrary.org/the-scarf-model-for-psychological-safety-in-groups/" TargetMode="External" Id="R95438a8a92e64fa9" /><Relationship Type="http://schemas.openxmlformats.org/officeDocument/2006/relationships/hyperlink" Target="https://online.hbs.edu/blog/post/emergent-vs-deliberate-strategy" TargetMode="External" Id="R0b332d1f9abd42e0" /><Relationship Type="http://schemas.openxmlformats.org/officeDocument/2006/relationships/hyperlink" Target="https://www.cipd.org/uk/views-and-insights/thought-leadership/cipd-voice/mapping-future0-peoples-health-work-government-responds/" TargetMode="External" Id="Rfb3e3819cdc64677" /><Relationship Type="http://schemas.openxmlformats.org/officeDocument/2006/relationships/hyperlink" Target="https://www.cipd.org/uk/knowledge/factsheets/well-being-factsheet/" TargetMode="External" Id="R81fd99e30ae34584" /><Relationship Type="http://schemas.openxmlformats.org/officeDocument/2006/relationships/hyperlink" Target="https://www.chas.co.uk/blog/3-challenges-facing-the-uk-construction-industry-in-2024/" TargetMode="External" Id="R2be41d6a49624bbd" /><Relationship Type="http://schemas.openxmlformats.org/officeDocument/2006/relationships/hyperlink" Target="https://doi.org/10.1108/OMJ-03-2021-1177" TargetMode="External" Id="Rf690aa4e86014c1f" /><Relationship Type="http://schemas.openxmlformats.org/officeDocument/2006/relationships/hyperlink" Target="https://www.cipd.org/uk/knowledge/factsheets/change-management-factsheet/" TargetMode="External" Id="Rc205c5b20f2b4877" /><Relationship Type="http://schemas.openxmlformats.org/officeDocument/2006/relationships/hyperlink" Target="https://www.constructionnews.co.uk/financial/construction-worst-hit-sector-for-insolvencies-18-06-2024/" TargetMode="External" Id="Rf9bc42a75aed43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2" ma:contentTypeDescription="Create a new document." ma:contentTypeScope="" ma:versionID="ee4fbff60de288256a84cc4683e0c649">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21c71f05a414f80b97b8bcf6816834e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5EBD8B-9F34-4365-A2AF-EF561E6C15EC}">
  <ds:schemaRefs>
    <ds:schemaRef ds:uri="http://schemas.microsoft.com/office/2006/metadata/properties"/>
    <ds:schemaRef ds:uri="http://purl.org/dc/elements/1.1/"/>
    <ds:schemaRef ds:uri="5b0da114-0538-4a78-995a-f0bd13903525"/>
    <ds:schemaRef ds:uri="http://purl.org/dc/dcmitype/"/>
    <ds:schemaRef ds:uri="076a45e5-8aef-46c2-8bf0-bde5428c276d"/>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terms/"/>
  </ds:schemaRefs>
</ds:datastoreItem>
</file>

<file path=customXml/itemProps2.xml><?xml version="1.0" encoding="utf-8"?>
<ds:datastoreItem xmlns:ds="http://schemas.openxmlformats.org/officeDocument/2006/customXml" ds:itemID="{34AC2FAA-649B-48BC-9807-5480079376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E10E37-689F-486A-A39D-EC4A7B86822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smith</dc:creator>
  <keywords/>
  <dc:description/>
  <lastModifiedBy>Claire Smith (0852214)</lastModifiedBy>
  <revision>3</revision>
  <dcterms:created xsi:type="dcterms:W3CDTF">2025-03-07T16:36:00.0000000Z</dcterms:created>
  <dcterms:modified xsi:type="dcterms:W3CDTF">2025-03-11T15:25:33.6681085Z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