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2D5FCF" w14:textId="56E55FA5" w:rsidR="00CE5510" w:rsidRDefault="00CE5510" w:rsidP="00CE5510">
      <w:pPr>
        <w:jc w:val="center"/>
        <w:rPr>
          <w:b/>
          <w:bCs/>
          <w:i/>
          <w:iCs/>
          <w:spacing w:val="5"/>
        </w:rPr>
      </w:pPr>
      <w:r w:rsidRPr="00CE5510">
        <w:rPr>
          <w:b/>
          <w:bCs/>
          <w:i/>
          <w:iCs/>
          <w:spacing w:val="5"/>
        </w:rPr>
        <w:t>Risk, Regulation, and Learning: The Influence of Risk-Averse Practice on Educators’ Decision-Making in UK Outdoor Education</w:t>
      </w:r>
      <w:r>
        <w:rPr>
          <w:b/>
          <w:bCs/>
          <w:i/>
          <w:iCs/>
          <w:spacing w:val="5"/>
        </w:rPr>
        <w:t>?</w:t>
      </w:r>
    </w:p>
    <w:p w14:paraId="0ECDF53E" w14:textId="635297AA" w:rsidR="00CE5510" w:rsidRDefault="00CE5510" w:rsidP="00CE5510">
      <w:pPr>
        <w:rPr>
          <w:spacing w:val="5"/>
          <w:sz w:val="28"/>
          <w:szCs w:val="28"/>
        </w:rPr>
      </w:pPr>
      <w:r w:rsidRPr="00CE5510">
        <w:rPr>
          <w:spacing w:val="5"/>
          <w:sz w:val="28"/>
          <w:szCs w:val="28"/>
        </w:rPr>
        <w:t>Main Research Question.</w:t>
      </w:r>
    </w:p>
    <w:p w14:paraId="47DD87EF" w14:textId="3893288A" w:rsidR="00CE5510" w:rsidRPr="00CE5510" w:rsidRDefault="00CE5510" w:rsidP="00CE5510">
      <w:pPr>
        <w:rPr>
          <w:spacing w:val="5"/>
        </w:rPr>
      </w:pPr>
      <w:r w:rsidRPr="00CE5510">
        <w:rPr>
          <w:spacing w:val="5"/>
        </w:rPr>
        <w:t>How does risk-averse practice in UK outdoor education affect experiences of risk and challenge?</w:t>
      </w:r>
    </w:p>
    <w:p w14:paraId="4C2DD7A4" w14:textId="3973B72F" w:rsidR="00E03E3D" w:rsidRDefault="00E03E3D" w:rsidP="00E03E3D">
      <w:pPr>
        <w:rPr>
          <w:sz w:val="28"/>
          <w:szCs w:val="28"/>
        </w:rPr>
      </w:pPr>
      <w:r w:rsidRPr="00E03E3D">
        <w:rPr>
          <w:sz w:val="28"/>
          <w:szCs w:val="28"/>
        </w:rPr>
        <w:t>Sub-Research Question</w:t>
      </w:r>
      <w:r>
        <w:rPr>
          <w:sz w:val="28"/>
          <w:szCs w:val="28"/>
        </w:rPr>
        <w:t>.</w:t>
      </w:r>
    </w:p>
    <w:p w14:paraId="0A1A4544" w14:textId="256C274B" w:rsidR="00604868" w:rsidRPr="00CE5510" w:rsidRDefault="00604868" w:rsidP="00E03E3D">
      <w:r w:rsidRPr="00CE5510">
        <w:t>How do outdoor educators in the UK understand and manage risk within the current institutional and regulatory expectations?</w:t>
      </w:r>
    </w:p>
    <w:p w14:paraId="6C4A1220" w14:textId="2782EF81" w:rsidR="00780D7A" w:rsidRDefault="00780D7A" w:rsidP="00E03E3D">
      <w:pPr>
        <w:rPr>
          <w:sz w:val="28"/>
          <w:szCs w:val="28"/>
        </w:rPr>
      </w:pPr>
      <w:r>
        <w:rPr>
          <w:sz w:val="28"/>
          <w:szCs w:val="28"/>
        </w:rPr>
        <w:t>Introduction and rationale:</w:t>
      </w:r>
    </w:p>
    <w:p w14:paraId="4AD10884" w14:textId="389AEC1D" w:rsidR="005D6322" w:rsidRDefault="0020507A" w:rsidP="00E03E3D">
      <w:r w:rsidRPr="0020507A">
        <w:t>I chose these research questions because I believe that risk and challenge are key central principles of outdoor education</w:t>
      </w:r>
      <w:r w:rsidR="00E4730D">
        <w:t xml:space="preserve">, and </w:t>
      </w:r>
      <w:r w:rsidR="00922C67">
        <w:t>that the importance of risk extends to</w:t>
      </w:r>
      <w:r w:rsidR="00E4730D">
        <w:t xml:space="preserve"> learning, resilience, and personal development</w:t>
      </w:r>
      <w:r w:rsidR="00230B2B">
        <w:t>.</w:t>
      </w:r>
      <w:r w:rsidR="006A7446">
        <w:t xml:space="preserve"> I have </w:t>
      </w:r>
      <w:r w:rsidR="000C3115">
        <w:t xml:space="preserve">seen </w:t>
      </w:r>
      <w:r w:rsidR="000D663B">
        <w:t xml:space="preserve">this </w:t>
      </w:r>
      <w:r w:rsidR="006A7446">
        <w:t xml:space="preserve">within my personal experience as a high </w:t>
      </w:r>
      <w:r w:rsidR="007509B7">
        <w:t>ropes</w:t>
      </w:r>
      <w:r w:rsidR="006A7446">
        <w:t xml:space="preserve"> instructor</w:t>
      </w:r>
      <w:r w:rsidR="00B05B70">
        <w:t xml:space="preserve">, where </w:t>
      </w:r>
      <w:r w:rsidR="000D663B">
        <w:t>I</w:t>
      </w:r>
      <w:r w:rsidR="00B05B70">
        <w:t xml:space="preserve"> </w:t>
      </w:r>
      <w:r w:rsidR="007509B7">
        <w:t>regularly work</w:t>
      </w:r>
      <w:r w:rsidR="00B05B70">
        <w:t xml:space="preserve"> with </w:t>
      </w:r>
      <w:r w:rsidR="00580A91">
        <w:t>individuals</w:t>
      </w:r>
      <w:r w:rsidR="00B05B70">
        <w:t xml:space="preserve"> who face perceived risk fears such as height, instability, and fear of falling</w:t>
      </w:r>
      <w:r w:rsidR="001878C0">
        <w:t>,</w:t>
      </w:r>
      <w:r w:rsidR="00B05B70">
        <w:t xml:space="preserve"> even when the actual risk is </w:t>
      </w:r>
      <w:r w:rsidR="000D663B">
        <w:t xml:space="preserve">carefully </w:t>
      </w:r>
      <w:r w:rsidR="00A5187E">
        <w:t>managed</w:t>
      </w:r>
      <w:r w:rsidR="007509B7">
        <w:t>.</w:t>
      </w:r>
      <w:r w:rsidR="00B05B70">
        <w:t xml:space="preserve"> </w:t>
      </w:r>
      <w:r w:rsidR="002C40BE">
        <w:t>While participants are outside their comfort zone, learning is at its strongest, helping to lower anxiety a</w:t>
      </w:r>
      <w:r w:rsidR="00201324">
        <w:t>nd</w:t>
      </w:r>
      <w:r w:rsidR="002C40BE">
        <w:t xml:space="preserve"> improve cognitive growth</w:t>
      </w:r>
      <w:r>
        <w:t xml:space="preserve"> </w:t>
      </w:r>
      <w:r w:rsidR="00201324">
        <w:t xml:space="preserve">while also keeping them focused and attentive, which heightens emotional engagement and makes learning more memorable and meaningful (Anbar, 2023). </w:t>
      </w:r>
    </w:p>
    <w:p w14:paraId="67DFB62B" w14:textId="43492237" w:rsidR="00201324" w:rsidRDefault="001C4782" w:rsidP="00E03E3D">
      <w:r>
        <w:t xml:space="preserve">An article by Angela Garden (2022) </w:t>
      </w:r>
      <w:r w:rsidR="00624F36">
        <w:t>discusses how the growth of risk-averse practices has</w:t>
      </w:r>
      <w:r w:rsidR="00624F36" w:rsidRPr="00624F36">
        <w:t xml:space="preserve"> become increasingly prominent in UK outdoor education, with a growing emphasis on safeguarding and harm prevention. This emphasis has affected children’s key skill development as well as their understanding and attitudes towards risk and risk-taking.</w:t>
      </w:r>
    </w:p>
    <w:p w14:paraId="6FE06363" w14:textId="309F0700" w:rsidR="009A716B" w:rsidRDefault="00C06389" w:rsidP="00C06389">
      <w:r w:rsidRPr="00C06389">
        <w:t>Risk and challenge have long been considered integral components of outdoor education, contributing to learners’ personal, social, and emotional development.</w:t>
      </w:r>
    </w:p>
    <w:p w14:paraId="6EE69C02" w14:textId="632CBA25" w:rsidR="00997E4F" w:rsidRDefault="00736E92" w:rsidP="00C06389">
      <w:r>
        <w:t xml:space="preserve">Several institutional policies and frameworks in the UK directly relate to my research focus on risk, regulation, and learning within outdoor education, particularly in how risk-averse practice influences educators' decision-making and </w:t>
      </w:r>
      <w:r w:rsidR="004D1D37" w:rsidRPr="0054448B">
        <w:t>what they can offer learners</w:t>
      </w:r>
      <w:r w:rsidR="004D1D37">
        <w:t xml:space="preserve">. </w:t>
      </w:r>
      <w:r>
        <w:t>These policies guide and influence how organisations and schools see, manage, and mitigate risk, sometimes in ways that can hold back learning opportunities.</w:t>
      </w:r>
      <w:r w:rsidR="00997E4F">
        <w:t xml:space="preserve">  </w:t>
      </w:r>
      <w:r w:rsidR="00C06389" w:rsidRPr="00C06389">
        <w:t>Within the UK</w:t>
      </w:r>
      <w:r w:rsidR="007509B7">
        <w:t>,</w:t>
      </w:r>
      <w:r w:rsidR="00C06389" w:rsidRPr="00C06389">
        <w:t xml:space="preserve"> increasing regulatory requirements and safeguarding responsibilities have contributed to </w:t>
      </w:r>
      <w:r w:rsidR="009A716B">
        <w:t>a more risk-averse approach in</w:t>
      </w:r>
      <w:r w:rsidR="00C06389" w:rsidRPr="00C06389">
        <w:t xml:space="preserve"> educational settings.</w:t>
      </w:r>
    </w:p>
    <w:p w14:paraId="398C8198" w14:textId="471A4949" w:rsidR="00C06389" w:rsidRPr="00997E4F" w:rsidRDefault="007A3631" w:rsidP="00C06389">
      <w:r>
        <w:t xml:space="preserve"> </w:t>
      </w:r>
      <w:r w:rsidR="00C06389" w:rsidRPr="00C06389">
        <w:t xml:space="preserve">In response, risk–benefit approaches have emerged as an alternative framework, seeking to balance hazard management with the educational value of exposure to challenge. This section reviews UK-based literature exploring risk–benefit approaches in </w:t>
      </w:r>
      <w:r w:rsidR="00C06389" w:rsidRPr="00C06389">
        <w:lastRenderedPageBreak/>
        <w:t>outdoor education, focusing on conceptual frameworks, educator decision-making, and the implications for learner experience.</w:t>
      </w:r>
    </w:p>
    <w:p w14:paraId="52753DB3" w14:textId="3BE30F32" w:rsidR="00C06389" w:rsidRPr="00C06389" w:rsidRDefault="00C06389" w:rsidP="00C06389">
      <w:r w:rsidRPr="00C06389">
        <w:t>Risk–benefit assessment has been widely promoted in the UK as a means of moving beyond deficit-based risk assessment models that focus solely on hazard elimination. Gill (2016) argues that traditional risk assessments often fail to recognise the developmental benefits associated with risk-taking, such as confidence, resilience, and independence. Instead, risk-benefit assessment seeks to weigh the likelihood and severity of harm against the potential learning and developmental gains associated with an activity (Gill, 2016).</w:t>
      </w:r>
    </w:p>
    <w:p w14:paraId="76CCEC58" w14:textId="77777777" w:rsidR="00C06389" w:rsidRPr="00C06389" w:rsidRDefault="00C06389" w:rsidP="00C06389">
      <w:r w:rsidRPr="00C06389">
        <w:t>Within outdoor learning, this approach reframes risk as a pedagogical tool rather than a problem to be removed. Gill (2016) highlights that managed exposure to uncertainty and challenge can support children’s emotional regulation, decision-making, and problem-solving skills. This perspective aligns with UK outdoor education practice, where perceived risk is often high while actual risk is carefully controlled through professional judgement and safety systems. As such, risk–benefit approaches provide a theoretical foundation for understanding how risk can be both ethically managed and educationally purposeful.</w:t>
      </w:r>
    </w:p>
    <w:p w14:paraId="3AB09582" w14:textId="413BC6CE" w:rsidR="00C06389" w:rsidRPr="00C06389" w:rsidRDefault="00C06389" w:rsidP="00C06389">
      <w:r w:rsidRPr="00C06389">
        <w:t xml:space="preserve">Several UK studies highlight how educators’ perceptions of risk and institutional expectations shape decision-making in outdoor education contexts. Research focusing on Forest School practice has been particularly influential in this area. </w:t>
      </w:r>
      <w:r w:rsidR="007B13C8">
        <w:t>Connolly and Haughton</w:t>
      </w:r>
      <w:r w:rsidRPr="00C06389">
        <w:t xml:space="preserve"> (2015) found that practitioners’ approaches to risk are strongly influenced by their professional identities, prior experiences, and organisational cultures. Educators </w:t>
      </w:r>
      <w:r w:rsidR="008603F9">
        <w:t>often navigate the tension between their belief in the value of risky play and external pressures related</w:t>
      </w:r>
      <w:r w:rsidRPr="00C06389">
        <w:t xml:space="preserve"> to accountability, inspection, and safeguarding.</w:t>
      </w:r>
    </w:p>
    <w:p w14:paraId="23647192" w14:textId="1A184BB4" w:rsidR="00C06389" w:rsidRPr="00C06389" w:rsidRDefault="00C06389" w:rsidP="00C06389">
      <w:r w:rsidRPr="00C06389">
        <w:t xml:space="preserve">Further research by </w:t>
      </w:r>
      <w:r w:rsidR="00CC4D4F">
        <w:t>Garden</w:t>
      </w:r>
      <w:r w:rsidRPr="00C06389">
        <w:t xml:space="preserve"> (2022) explores how risk is co-constructed within UK Forest School settings. Their study demonstrates that risk–benefit approaches are not static frameworks but negotiated processes shaped by space, environment, and relationships. Educators make moment-by-moment decisions that balance safety with children’s autonomy, often relying on tacit knowledge and contextual judgement rather than rigid procedures (</w:t>
      </w:r>
      <w:r w:rsidR="00815C59">
        <w:t>Garden</w:t>
      </w:r>
      <w:r w:rsidRPr="00C06389">
        <w:t>, 2022).</w:t>
      </w:r>
    </w:p>
    <w:p w14:paraId="5F65C39B" w14:textId="45009D81" w:rsidR="00C06389" w:rsidRPr="00C06389" w:rsidRDefault="001F6044" w:rsidP="00C06389">
      <w:r>
        <w:t xml:space="preserve">Van </w:t>
      </w:r>
      <w:r w:rsidR="00F31E13">
        <w:t>Rooijen</w:t>
      </w:r>
      <w:r>
        <w:t xml:space="preserve"> and Newstead</w:t>
      </w:r>
      <w:r w:rsidR="00C06389" w:rsidRPr="00C06389">
        <w:t xml:space="preserve"> (2016) similarly identify that </w:t>
      </w:r>
      <w:r w:rsidR="004E2A58">
        <w:t>broader cultural narratives of safety and responsibility shape professional attitudes towards risk-taking</w:t>
      </w:r>
      <w:r w:rsidR="00C06389" w:rsidRPr="00C06389">
        <w:t>. Their findings suggest that even when risk–benefit frameworks are formally adopted, educators may still act cautiously due to fear of blame or litigation.</w:t>
      </w:r>
      <w:r w:rsidR="0027456D">
        <w:t xml:space="preserve"> </w:t>
      </w:r>
      <w:r w:rsidR="00C06389" w:rsidRPr="00C06389">
        <w:t xml:space="preserve">This highlights how institutional risk aversion can indirectly constrain pedagogical practice, influencing which activities are offered and how </w:t>
      </w:r>
      <w:r w:rsidR="00D04588">
        <w:t>challenges are framed for</w:t>
      </w:r>
      <w:r w:rsidR="00C06389" w:rsidRPr="00C06389">
        <w:t xml:space="preserve"> learners.</w:t>
      </w:r>
    </w:p>
    <w:p w14:paraId="6D72E226" w14:textId="37B055FF" w:rsidR="00C06389" w:rsidRPr="00C06389" w:rsidRDefault="00C06389" w:rsidP="00C06389">
      <w:r w:rsidRPr="00C06389">
        <w:t xml:space="preserve">The literature also identifies structural and organisational barriers that limit the implementation of risk–benefit approaches in UK outdoor education. A study </w:t>
      </w:r>
      <w:r w:rsidR="000F53D3">
        <w:t xml:space="preserve">examining </w:t>
      </w:r>
      <w:r w:rsidR="000F53D3">
        <w:lastRenderedPageBreak/>
        <w:t xml:space="preserve">outdoor learning in UK secondary schools found that risk assessment requirements, time constraints, and concerns about behaviour management </w:t>
      </w:r>
      <w:r w:rsidRPr="00C06389">
        <w:t xml:space="preserve">were significant factors influencing teachers’ decisions to avoid outdoor activities (Williams </w:t>
      </w:r>
      <w:r w:rsidR="009773B8">
        <w:t>and Scott 2019</w:t>
      </w:r>
      <w:r w:rsidRPr="00C06389">
        <w:t>). While teachers recognised the educational value of outdoor learning, perceived risks and administrative burdens often outweighed perceived benefits.</w:t>
      </w:r>
    </w:p>
    <w:p w14:paraId="06B91926" w14:textId="3BCAC84C" w:rsidR="00C06389" w:rsidRPr="00C06389" w:rsidRDefault="00C06389" w:rsidP="00C06389">
      <w:r w:rsidRPr="00C06389">
        <w:t>These findings suggest that risk aversion is not solely an individual educator issue but is embedded within institutional systems. Gill (2016) notes that organisations often prioritise demonstrable safety compliance over less tangible learning outcomes, reinforcing conservative interpretations of risk management. Consequently, risk–benefit approaches may be promoted rhetorically while remaining difficult to enact in practice.</w:t>
      </w:r>
    </w:p>
    <w:p w14:paraId="58FA8CB5" w14:textId="23B2CC4B" w:rsidR="00C06389" w:rsidRDefault="00C06389" w:rsidP="00C06389">
      <w:r w:rsidRPr="00C06389">
        <w:t xml:space="preserve">Although much of the UK literature focuses on educators, some studies provide insight into how risk-averse or risk-inclusive practices affect learners. Research on risky outdoor play in Scotland </w:t>
      </w:r>
      <w:r w:rsidR="007A16E4">
        <w:t>suggests that when adults perceive risk as unacceptable, children’s opportunities for challenge and exploration are significantly reduced (McCrorie et al.,</w:t>
      </w:r>
      <w:r w:rsidRPr="00C06389">
        <w:t xml:space="preserve"> </w:t>
      </w:r>
      <w:r w:rsidR="008C6961">
        <w:t>2025</w:t>
      </w:r>
      <w:r w:rsidRPr="00C06389">
        <w:t xml:space="preserve">). </w:t>
      </w:r>
      <w:r w:rsidR="008716C6" w:rsidRPr="0054448B">
        <w:t xml:space="preserve">Educators, parents and practitioners are </w:t>
      </w:r>
      <w:r w:rsidR="001F7A99" w:rsidRPr="0054448B">
        <w:t xml:space="preserve">less likely </w:t>
      </w:r>
      <w:r w:rsidR="001346AB" w:rsidRPr="0054448B">
        <w:t>to</w:t>
      </w:r>
      <w:r w:rsidR="001F7A99" w:rsidRPr="0054448B">
        <w:t xml:space="preserve"> provide opportunities when they feel the risk outweighs the benefits</w:t>
      </w:r>
      <w:r w:rsidR="002A4C1E" w:rsidRPr="0054448B">
        <w:t>,</w:t>
      </w:r>
      <w:r w:rsidR="001346AB" w:rsidRPr="0054448B">
        <w:t xml:space="preserve"> as their own fears of being held responsible should something occur</w:t>
      </w:r>
      <w:r w:rsidR="001346AB">
        <w:t xml:space="preserve">.  </w:t>
      </w:r>
      <w:r w:rsidRPr="00C06389">
        <w:t>Conversely, environments that adopt a risk–benefit perspective are more likely to support children’s confidence, physical competence, and engagement</w:t>
      </w:r>
      <w:r w:rsidR="002A4C1E">
        <w:t xml:space="preserve">, </w:t>
      </w:r>
      <w:r w:rsidR="002A4C1E" w:rsidRPr="0054448B">
        <w:t>and in turn, job satisfaction, and positive experiences for the educators and practitioners</w:t>
      </w:r>
      <w:r w:rsidRPr="0054448B">
        <w:t>.</w:t>
      </w:r>
    </w:p>
    <w:p w14:paraId="742EDE53" w14:textId="77777777" w:rsidR="007D502B" w:rsidRPr="00C06389" w:rsidRDefault="007D502B" w:rsidP="00C06389"/>
    <w:p w14:paraId="65C5706E" w14:textId="66363479" w:rsidR="009F4A05" w:rsidRPr="0005782D" w:rsidRDefault="009F4A05" w:rsidP="00E03E3D">
      <w:pPr>
        <w:rPr>
          <w:sz w:val="28"/>
          <w:szCs w:val="28"/>
        </w:rPr>
      </w:pPr>
      <w:r w:rsidRPr="0005782D">
        <w:rPr>
          <w:sz w:val="28"/>
          <w:szCs w:val="28"/>
        </w:rPr>
        <w:t>Aims</w:t>
      </w:r>
    </w:p>
    <w:p w14:paraId="6967447C" w14:textId="47246822" w:rsidR="00E269B9" w:rsidRDefault="0064465C" w:rsidP="00E03E3D">
      <w:r>
        <w:t>This study aims</w:t>
      </w:r>
      <w:r w:rsidR="00E269B9">
        <w:t xml:space="preserve"> to explore how risk-averse practices in UK outdoor education influen</w:t>
      </w:r>
      <w:r w:rsidR="0005782D">
        <w:t xml:space="preserve">ce educators’ </w:t>
      </w:r>
      <w:r w:rsidR="00EB1506">
        <w:t>decision-making</w:t>
      </w:r>
      <w:r w:rsidR="00870ECA">
        <w:t xml:space="preserve">. </w:t>
      </w:r>
      <w:r w:rsidR="00FC222C">
        <w:t xml:space="preserve">The objective of this study </w:t>
      </w:r>
      <w:r w:rsidR="000766BD">
        <w:t>is</w:t>
      </w:r>
      <w:r w:rsidR="00FC222C">
        <w:t xml:space="preserve"> to explore how UK outdoor educators interpret </w:t>
      </w:r>
      <w:r w:rsidR="000766BD">
        <w:t>risk alongside managing it within institutional and regulatory frameworks.</w:t>
      </w:r>
      <w:r w:rsidR="00870ECA">
        <w:t xml:space="preserve"> </w:t>
      </w:r>
    </w:p>
    <w:p w14:paraId="1F995EBF" w14:textId="77777777" w:rsidR="00AE4EED" w:rsidRDefault="00AE4EED" w:rsidP="00E03E3D">
      <w:pPr>
        <w:rPr>
          <w:sz w:val="28"/>
          <w:szCs w:val="28"/>
        </w:rPr>
      </w:pPr>
    </w:p>
    <w:p w14:paraId="56339DD8" w14:textId="77077A38" w:rsidR="00D31009" w:rsidRPr="00D31009" w:rsidRDefault="00D31009" w:rsidP="00AF771F">
      <w:pPr>
        <w:rPr>
          <w:sz w:val="28"/>
          <w:szCs w:val="28"/>
        </w:rPr>
      </w:pPr>
      <w:r w:rsidRPr="00D31009">
        <w:rPr>
          <w:sz w:val="28"/>
          <w:szCs w:val="28"/>
        </w:rPr>
        <w:t>M</w:t>
      </w:r>
      <w:r>
        <w:rPr>
          <w:sz w:val="28"/>
          <w:szCs w:val="28"/>
        </w:rPr>
        <w:t xml:space="preserve">ethodology </w:t>
      </w:r>
    </w:p>
    <w:p w14:paraId="50AAB4AB" w14:textId="41F7B071" w:rsidR="00AF771F" w:rsidRPr="00AF771F" w:rsidRDefault="00AF771F" w:rsidP="00AF771F">
      <w:r w:rsidRPr="00AF771F">
        <w:t xml:space="preserve">Qualitative research is </w:t>
      </w:r>
      <w:r w:rsidR="006B072A">
        <w:t>suitable for this study, as it</w:t>
      </w:r>
      <w:r w:rsidRPr="00AF771F">
        <w:t xml:space="preserve"> focuses on understanding experiences, perceptions, and decision-making processes rather than measuring outcomes or testing hypotheses</w:t>
      </w:r>
      <w:r w:rsidR="007603B8">
        <w:t xml:space="preserve"> (</w:t>
      </w:r>
      <w:r w:rsidR="001B5E77">
        <w:t>Hassan, 2024)</w:t>
      </w:r>
      <w:r w:rsidRPr="00AF771F">
        <w:t>.</w:t>
      </w:r>
    </w:p>
    <w:p w14:paraId="56E4B9D9" w14:textId="12CD20E9" w:rsidR="00AF771F" w:rsidRPr="00AF771F" w:rsidRDefault="00AF771F" w:rsidP="00AF771F">
      <w:r w:rsidRPr="00AF771F">
        <w:t>The qualitative approach allows the research to explore how risk-averse practices are interpreted and enacted by outdoor educators</w:t>
      </w:r>
      <w:r w:rsidR="00BF3B4C">
        <w:t xml:space="preserve">. </w:t>
      </w:r>
      <w:r w:rsidRPr="00AF771F">
        <w:t xml:space="preserve">This design supports an in-depth examination of the relationship between institutional expectations </w:t>
      </w:r>
      <w:r w:rsidR="00BF3B4C">
        <w:t xml:space="preserve">and </w:t>
      </w:r>
      <w:r w:rsidRPr="00AF771F">
        <w:t>professional judgement</w:t>
      </w:r>
      <w:r w:rsidR="00BF3B4C">
        <w:t xml:space="preserve">, </w:t>
      </w:r>
      <w:r w:rsidRPr="00AF771F">
        <w:t>which is central to the research aims.</w:t>
      </w:r>
    </w:p>
    <w:p w14:paraId="4D6F4ACA" w14:textId="2715FDA2" w:rsidR="00737685" w:rsidRDefault="00AF771F" w:rsidP="00AF771F">
      <w:r w:rsidRPr="00AF771F">
        <w:lastRenderedPageBreak/>
        <w:t xml:space="preserve">The study is underpinned by an </w:t>
      </w:r>
      <w:r w:rsidRPr="00CD2291">
        <w:t>interpretivist research philosophy</w:t>
      </w:r>
      <w:r w:rsidRPr="00AF771F">
        <w:t xml:space="preserve">, which </w:t>
      </w:r>
      <w:r w:rsidR="007E1036">
        <w:t>suggests</w:t>
      </w:r>
      <w:r w:rsidR="003A2591">
        <w:t xml:space="preserve"> that reality is socially constructed and that meaning is created through individual experiences and interactions</w:t>
      </w:r>
      <w:r w:rsidRPr="00AF771F">
        <w:t>.</w:t>
      </w:r>
      <w:r w:rsidR="00737685">
        <w:t xml:space="preserve"> </w:t>
      </w:r>
      <w:r w:rsidRPr="00AF771F">
        <w:t xml:space="preserve">An </w:t>
      </w:r>
      <w:r w:rsidRPr="004008D4">
        <w:t>interpretivist</w:t>
      </w:r>
      <w:r w:rsidRPr="00AF771F">
        <w:t xml:space="preserve"> approach is particularly </w:t>
      </w:r>
      <w:r w:rsidR="00481BEE">
        <w:t>suitable for addressing the sub-research question (</w:t>
      </w:r>
      <w:r w:rsidR="00B43808">
        <w:t>Nickerson</w:t>
      </w:r>
      <w:r w:rsidR="00481BEE">
        <w:t>, 2024)</w:t>
      </w:r>
      <w:r w:rsidRPr="00AF771F">
        <w:t>.</w:t>
      </w:r>
    </w:p>
    <w:p w14:paraId="3E13710F" w14:textId="435FCE04" w:rsidR="00AF771F" w:rsidRPr="00AF771F" w:rsidRDefault="00AF771F" w:rsidP="00AF771F">
      <w:r w:rsidRPr="00AF771F">
        <w:t xml:space="preserve"> The sub-question</w:t>
      </w:r>
      <w:r w:rsidR="00585DB0">
        <w:t xml:space="preserve"> is: How</w:t>
      </w:r>
      <w:r w:rsidRPr="00AF771F">
        <w:t xml:space="preserve"> do outdoor educators in the UK understand and manage risk within current institutional and regulatory expectations?</w:t>
      </w:r>
      <w:r w:rsidR="003A2591">
        <w:t xml:space="preserve"> </w:t>
      </w:r>
      <w:r w:rsidR="00AD4BD7">
        <w:t>This r</w:t>
      </w:r>
      <w:r w:rsidR="00C66ACC">
        <w:t>equires</w:t>
      </w:r>
      <w:r w:rsidRPr="00AF771F">
        <w:t xml:space="preserve"> exploration of educators’ subjective interpretations of policy, safeguarding, and professional responsibility. </w:t>
      </w:r>
    </w:p>
    <w:p w14:paraId="4D3E9723" w14:textId="715EE71B" w:rsidR="00AF771F" w:rsidRPr="00AF771F" w:rsidRDefault="00191824" w:rsidP="00AF771F">
      <w:r>
        <w:t xml:space="preserve">I would seek to engage with </w:t>
      </w:r>
      <w:r w:rsidR="00367FAE">
        <w:t xml:space="preserve">practitioners, </w:t>
      </w:r>
      <w:r w:rsidR="00367FAE" w:rsidRPr="00AF771F">
        <w:t>UK</w:t>
      </w:r>
      <w:r w:rsidR="00AF771F" w:rsidRPr="00AF771F">
        <w:t xml:space="preserve"> outdoor educators working in formal or informal outdoor education settings, such as schools, outdoor education centres, or charitable organisations. These participants are selected due to their responsibility for planning, managing, and delivering activities that involve elements of risk and challenge. Their perspectives are essential for understanding how risk-averse practices influence decision-making within regulatory and institutional contexts.</w:t>
      </w:r>
    </w:p>
    <w:p w14:paraId="3301BE15" w14:textId="428DDF75" w:rsidR="00AF771F" w:rsidRPr="00AF771F" w:rsidRDefault="00AF771F" w:rsidP="00AF771F">
      <w:r w:rsidRPr="00691613">
        <w:t>A purposive sampling strategy</w:t>
      </w:r>
      <w:r w:rsidRPr="00AF771F">
        <w:t xml:space="preserve"> is used to ensure that participants have relevant experience of risk-managed outdoor education. Educators are selected based on their professional involvement in planning or delivering outdoor activities where risk assessment and safeguarding are integral to practice</w:t>
      </w:r>
      <w:r w:rsidR="00503A5A">
        <w:t xml:space="preserve"> </w:t>
      </w:r>
      <w:r w:rsidR="00FE37E0">
        <w:t>(Hassan, 2024)</w:t>
      </w:r>
      <w:r w:rsidRPr="00AF771F">
        <w:t xml:space="preserve">. </w:t>
      </w:r>
    </w:p>
    <w:p w14:paraId="65D75080" w14:textId="559AE4F2" w:rsidR="00AF771F" w:rsidRDefault="00AF771F" w:rsidP="00AF771F">
      <w:r w:rsidRPr="00AF771F">
        <w:t xml:space="preserve">Purposive sampling is appropriate </w:t>
      </w:r>
      <w:r w:rsidR="00C66ACC">
        <w:t>for this study, as it aims to generate rich, context-specific insights rather than statistically generali</w:t>
      </w:r>
      <w:r w:rsidR="00A7458C">
        <w:t>s</w:t>
      </w:r>
      <w:r w:rsidR="00EA0578">
        <w:t>ed</w:t>
      </w:r>
      <w:r w:rsidRPr="00AF771F">
        <w:t xml:space="preserve"> findings. By intentionally selecting participants with direct experience</w:t>
      </w:r>
      <w:r w:rsidR="006B4F4A">
        <w:t>,</w:t>
      </w:r>
      <w:r w:rsidRPr="00AF771F">
        <w:t xml:space="preserve"> </w:t>
      </w:r>
      <w:r w:rsidR="00862535">
        <w:t>the research can more effectively explore how risk-averse practices operate</w:t>
      </w:r>
      <w:r w:rsidRPr="00AF771F">
        <w:t xml:space="preserve"> in real-world educational contexts.</w:t>
      </w:r>
      <w:r w:rsidR="004C3290">
        <w:t xml:space="preserve"> I will be contacting my participants </w:t>
      </w:r>
      <w:r w:rsidR="00CF0709">
        <w:t>through my contacts within the high ropes industry, which will allow me to gather a wide range of answers due to people’s diverse experiences</w:t>
      </w:r>
      <w:r w:rsidR="0030232D">
        <w:t>.</w:t>
      </w:r>
    </w:p>
    <w:p w14:paraId="2301C823" w14:textId="016F6542" w:rsidR="00F213B5" w:rsidRPr="00F213B5" w:rsidRDefault="00F213B5" w:rsidP="00AF771F">
      <w:pPr>
        <w:rPr>
          <w:sz w:val="28"/>
          <w:szCs w:val="28"/>
        </w:rPr>
      </w:pPr>
      <w:r>
        <w:rPr>
          <w:sz w:val="28"/>
          <w:szCs w:val="28"/>
        </w:rPr>
        <w:t>Data collection</w:t>
      </w:r>
    </w:p>
    <w:p w14:paraId="53D0EA5A" w14:textId="507E4BD3" w:rsidR="00AF771F" w:rsidRPr="00AF771F" w:rsidRDefault="008D58D1" w:rsidP="00AF771F">
      <w:r>
        <w:t xml:space="preserve">The data will be </w:t>
      </w:r>
      <w:r w:rsidR="00862535">
        <w:t>collected using questionnaires that contain</w:t>
      </w:r>
      <w:r w:rsidR="00AF771F" w:rsidRPr="00AF771F">
        <w:t xml:space="preserve"> predominantly open-ended questions. This method is chosen to allow participants to reflect on and articulate their experiences in their own words while providing a consistent structure across participant groups.</w:t>
      </w:r>
    </w:p>
    <w:p w14:paraId="01904B4B" w14:textId="3B0BEC25" w:rsidR="00AF771F" w:rsidRPr="00AF771F" w:rsidRDefault="00AF771F" w:rsidP="00AF771F">
      <w:r w:rsidRPr="00AF771F">
        <w:t>Educator questionnaires are designed to address the sub-research question by exploring how participants understand risk, how they navigate institutional and regulatory expectations, and how these factors influence their professional decisions. Questions also explore perceived tensions between safety requirements and educational aims.</w:t>
      </w:r>
    </w:p>
    <w:p w14:paraId="38DC6A18" w14:textId="26204CBA" w:rsidR="00AF771F" w:rsidRDefault="00AF771F" w:rsidP="00AF771F">
      <w:r w:rsidRPr="00FC5CF0">
        <w:t xml:space="preserve">Questionnaires offer practical and ethical </w:t>
      </w:r>
      <w:r w:rsidR="000A474D" w:rsidRPr="00FC5CF0">
        <w:t>advantages</w:t>
      </w:r>
      <w:r w:rsidR="00691613" w:rsidRPr="00FC5CF0">
        <w:t>, as they allow participants to respond privately and reduce the influence of power dynamics that may be present in face-to-face methods,</w:t>
      </w:r>
      <w:r w:rsidRPr="00AF771F">
        <w:t xml:space="preserve"> such as interviews.</w:t>
      </w:r>
      <w:r w:rsidR="00E63027">
        <w:t xml:space="preserve"> </w:t>
      </w:r>
      <w:r w:rsidR="00E63027" w:rsidRPr="00E63027">
        <w:t xml:space="preserve">Questionnaires offer several advantages over </w:t>
      </w:r>
      <w:r w:rsidR="00E63027" w:rsidRPr="00E63027">
        <w:lastRenderedPageBreak/>
        <w:t xml:space="preserve">interviews, particularly in terms of practicality and scale. They are cost-effective and efficient, </w:t>
      </w:r>
      <w:r w:rsidR="00CF0709">
        <w:t>mainly</w:t>
      </w:r>
      <w:r w:rsidR="00E63027" w:rsidRPr="00E63027">
        <w:t xml:space="preserve"> when distributed online, allowing researchers to reach larger sample sizes with fewer resources. The anonymity they provide can reduce social desirability bias, encouraging more honest responses, particularly when exploring sensitive topics. In addition, questionnaires offer a high level of standardisation, as all participants respond to the same questions, and the use of closed questions generates quantifiable data that is straightforward to analyse. Their format also enables a broad reach, making it easier to collect data from geographically dispersed populations. However, questionnaires also have </w:t>
      </w:r>
      <w:r w:rsidR="00E63027" w:rsidRPr="00357315">
        <w:t>notable limitations</w:t>
      </w:r>
      <w:r w:rsidR="00E63027" w:rsidRPr="00E63027">
        <w:t xml:space="preserve"> when compared to interviews. They often lack depth, as responses are restricted to pre-set questions and may fail to capture nuance or detailed explanations. There is also a risk of misinterpretation, as respondents cannot seek immediate clarification if questions are unclear, which may compromise </w:t>
      </w:r>
      <w:r w:rsidR="00035B19">
        <w:t>the accuracy of the data</w:t>
      </w:r>
      <w:r w:rsidR="00E63027" w:rsidRPr="00E63027">
        <w:t>. Furthermore, response rates can be lower, as participants may be less motivated to complete questionnaires, and literacy or accessibility issues can act as additional barriers to participation</w:t>
      </w:r>
      <w:r w:rsidR="00DB19D3">
        <w:t xml:space="preserve"> (Hecker and Kalpokas, no date)</w:t>
      </w:r>
      <w:r w:rsidR="00E63027" w:rsidRPr="00E63027">
        <w:t>.</w:t>
      </w:r>
    </w:p>
    <w:p w14:paraId="227E7DF2" w14:textId="0A6BED41" w:rsidR="008C0BC6" w:rsidRPr="008C0BC6" w:rsidRDefault="008C0BC6" w:rsidP="00AF771F">
      <w:pPr>
        <w:rPr>
          <w:sz w:val="28"/>
          <w:szCs w:val="28"/>
        </w:rPr>
      </w:pPr>
      <w:r w:rsidRPr="008C0BC6">
        <w:rPr>
          <w:sz w:val="28"/>
          <w:szCs w:val="28"/>
        </w:rPr>
        <w:t>Ethics</w:t>
      </w:r>
    </w:p>
    <w:p w14:paraId="557FDD59" w14:textId="1FF89002" w:rsidR="00AF771F" w:rsidRPr="00AF771F" w:rsidRDefault="00AF771F" w:rsidP="00AF771F">
      <w:r w:rsidRPr="00DE78B9">
        <w:t>Ethical considerations are central to this study</w:t>
      </w:r>
      <w:r w:rsidR="00862535" w:rsidRPr="00DE78B9">
        <w:t>, given</w:t>
      </w:r>
      <w:r w:rsidRPr="00DE78B9">
        <w:t xml:space="preserve"> the involvement and the focus on risk-related experiences. Informed consent is obtained from all participants </w:t>
      </w:r>
      <w:r w:rsidR="006659B6" w:rsidRPr="00DE78B9">
        <w:t>before</w:t>
      </w:r>
      <w:r w:rsidRPr="00DE78B9">
        <w:t xml:space="preserve"> </w:t>
      </w:r>
      <w:r w:rsidR="00862535" w:rsidRPr="00DE78B9">
        <w:t xml:space="preserve">the commencement of </w:t>
      </w:r>
      <w:r w:rsidRPr="00DE78B9">
        <w:t>data collection</w:t>
      </w:r>
      <w:r w:rsidR="00DA75AF">
        <w:t xml:space="preserve"> </w:t>
      </w:r>
      <w:r w:rsidR="005E2063">
        <w:t>(UWTSD</w:t>
      </w:r>
      <w:r w:rsidR="00DA75AF">
        <w:t>, no date)</w:t>
      </w:r>
      <w:r w:rsidRPr="00DE78B9">
        <w:t>.</w:t>
      </w:r>
      <w:r w:rsidRPr="00AF771F">
        <w:t xml:space="preserve"> </w:t>
      </w:r>
    </w:p>
    <w:p w14:paraId="255B7979" w14:textId="521B4C4F" w:rsidR="00AF771F" w:rsidRPr="00AF771F" w:rsidRDefault="00AF771F" w:rsidP="00AF771F">
      <w:r w:rsidRPr="00AF771F">
        <w:t>Participation is voluntary, and participants are informed of their right to withdraw at any time without penalty</w:t>
      </w:r>
      <w:r w:rsidR="006659B6">
        <w:t xml:space="preserve"> or consequence</w:t>
      </w:r>
      <w:r w:rsidRPr="00AF771F">
        <w:t>. Anonymity and confidentiality are maintained by removing identifying details and using pseudonyms in all written outputs. Data is securely stored in line with institutional data protection requirements.</w:t>
      </w:r>
    </w:p>
    <w:p w14:paraId="414FDE24" w14:textId="6E7708F7" w:rsidR="00AF771F" w:rsidRPr="00AF771F" w:rsidRDefault="00AF771F" w:rsidP="00AF771F">
      <w:r w:rsidRPr="00AF771F">
        <w:t xml:space="preserve">Care is taken to manage power dynamics. Questions are framed neutrally to avoid encouraging </w:t>
      </w:r>
      <w:r w:rsidR="00E90985" w:rsidRPr="00AF771F">
        <w:t>responses</w:t>
      </w:r>
      <w:r w:rsidRPr="00AF771F">
        <w:t xml:space="preserve"> or presenting risk-taking as inherently positive or negative.</w:t>
      </w:r>
    </w:p>
    <w:p w14:paraId="04163A46" w14:textId="173A370C" w:rsidR="00AF771F" w:rsidRPr="00AF771F" w:rsidRDefault="00AF771F" w:rsidP="00AF771F">
      <w:r w:rsidRPr="00AF771F">
        <w:t xml:space="preserve">Ethical approval is obtained through the appropriate institutional review process, and the research complies with </w:t>
      </w:r>
      <w:r w:rsidR="006659B6">
        <w:t>the relevant safeguarding procedures for</w:t>
      </w:r>
      <w:r w:rsidRPr="00AF771F">
        <w:t xml:space="preserve"> UK outdoor education contexts.</w:t>
      </w:r>
    </w:p>
    <w:p w14:paraId="49887E5D" w14:textId="3A055E47" w:rsidR="00AF771F" w:rsidRPr="00AF771F" w:rsidRDefault="00AF771F" w:rsidP="00AF771F">
      <w:r w:rsidRPr="00AF771F">
        <w:t>As a qualitative study</w:t>
      </w:r>
      <w:r w:rsidR="001400E7">
        <w:t>,</w:t>
      </w:r>
      <w:r w:rsidR="00237A0F">
        <w:t xml:space="preserve"> it </w:t>
      </w:r>
      <w:r w:rsidRPr="00AF771F">
        <w:t>provide</w:t>
      </w:r>
      <w:r w:rsidR="00237A0F">
        <w:t>s an</w:t>
      </w:r>
      <w:r w:rsidRPr="00AF771F">
        <w:t xml:space="preserve"> in-depth insight into how risk-averse practices are experienced and interpreted within specific contexts. Another limitation is the potential for bias in self-reported data, as participants may present idealised accounts of practice or experience.</w:t>
      </w:r>
    </w:p>
    <w:p w14:paraId="7B2621D6" w14:textId="77777777" w:rsidR="00DA75AF" w:rsidRDefault="00AF771F" w:rsidP="00DA75AF">
      <w:r w:rsidRPr="00AF771F">
        <w:t xml:space="preserve">To enhance credibility, the researcher engages in reflexivity, acknowledging their own positionality and potential assumptions regarding risk and outdoor education. Transparent reporting of research design, sampling, and analysis decisions further supports trustworthiness. These measures </w:t>
      </w:r>
      <w:r w:rsidR="00E90985">
        <w:t xml:space="preserve">enhance the study’s contribution to </w:t>
      </w:r>
      <w:r w:rsidR="00E90985">
        <w:lastRenderedPageBreak/>
        <w:t>understanding how risk-averse practices influence</w:t>
      </w:r>
      <w:r w:rsidRPr="00AF771F">
        <w:t xml:space="preserve"> learning, engagement, and personal development in </w:t>
      </w:r>
      <w:r w:rsidR="008D58D1">
        <w:t>the UK outdoor education sector</w:t>
      </w:r>
      <w:r w:rsidRPr="00AF771F">
        <w:t>.</w:t>
      </w:r>
    </w:p>
    <w:p w14:paraId="21E4501F" w14:textId="37F63398" w:rsidR="00E67669" w:rsidRDefault="00D67BB3" w:rsidP="00DA75AF">
      <w:pPr>
        <w:jc w:val="center"/>
        <w:rPr>
          <w:sz w:val="32"/>
          <w:szCs w:val="32"/>
        </w:rPr>
      </w:pPr>
      <w:r w:rsidRPr="00D67BB3">
        <w:rPr>
          <w:sz w:val="32"/>
          <w:szCs w:val="32"/>
        </w:rPr>
        <w:t>Reference List</w:t>
      </w:r>
    </w:p>
    <w:p w14:paraId="1FB9BECE" w14:textId="77777777" w:rsidR="00DA75AF" w:rsidRPr="00DA75AF" w:rsidRDefault="00DA75AF" w:rsidP="00503A5A"/>
    <w:p w14:paraId="73DD4A36" w14:textId="3722C0D6" w:rsidR="00590B8B" w:rsidRPr="00590B8B" w:rsidRDefault="00590B8B" w:rsidP="00590B8B">
      <w:r w:rsidRPr="00590B8B">
        <w:t>Anbar, D. (2023)</w:t>
      </w:r>
      <w:r w:rsidR="00CF0709">
        <w:t>.</w:t>
      </w:r>
      <w:r w:rsidRPr="00590B8B">
        <w:t xml:space="preserve"> </w:t>
      </w:r>
      <w:r w:rsidRPr="00590B8B">
        <w:rPr>
          <w:i/>
          <w:iCs/>
        </w:rPr>
        <w:t>Why stepping outside your comfort zone promotes learning</w:t>
      </w:r>
      <w:r w:rsidRPr="00590B8B">
        <w:t xml:space="preserve">, </w:t>
      </w:r>
      <w:r w:rsidRPr="00590B8B">
        <w:rPr>
          <w:i/>
          <w:iCs/>
        </w:rPr>
        <w:t>Psychology Today</w:t>
      </w:r>
      <w:r w:rsidRPr="00590B8B">
        <w:t xml:space="preserve">. Available at: https://www.psychologytoday.com/us/blog/understanding-hypnosis/202312/why-stepping-outside-your-comfort-zone-promotes-learning?msockid=3318911cd2626e162e6b84c1d3a96fe9 (Accessed: 28 December 2025). </w:t>
      </w:r>
    </w:p>
    <w:p w14:paraId="0B750211" w14:textId="77777777" w:rsidR="00590B8B" w:rsidRPr="00590B8B" w:rsidRDefault="00590B8B" w:rsidP="00590B8B">
      <w:r w:rsidRPr="00590B8B">
        <w:t xml:space="preserve">Connolly, M. and Haughton, C. (2015) ‘The perception, management and performance of Risk Amongst Forest School Educators’, </w:t>
      </w:r>
      <w:r w:rsidRPr="00590B8B">
        <w:rPr>
          <w:i/>
          <w:iCs/>
        </w:rPr>
        <w:t>British Journal of Sociology of Education</w:t>
      </w:r>
      <w:r w:rsidRPr="00590B8B">
        <w:t xml:space="preserve">, 38(2), pp. 105–124. doi:10.1080/01425692.2015.1073098. </w:t>
      </w:r>
    </w:p>
    <w:p w14:paraId="22DCF0D0" w14:textId="77777777" w:rsidR="00590B8B" w:rsidRPr="00590B8B" w:rsidRDefault="00590B8B" w:rsidP="00590B8B">
      <w:r w:rsidRPr="00590B8B">
        <w:t xml:space="preserve">Garden, A. (2022) ‘The case for space in the co-construction of risk in UK forest schools’, </w:t>
      </w:r>
      <w:r w:rsidRPr="00590B8B">
        <w:rPr>
          <w:i/>
          <w:iCs/>
        </w:rPr>
        <w:t>Education 3-13</w:t>
      </w:r>
      <w:r w:rsidRPr="00590B8B">
        <w:t xml:space="preserve">, 51(8), pp. 1281–1292. doi:10.1080/03004279.2022.2066148. </w:t>
      </w:r>
    </w:p>
    <w:p w14:paraId="110F1C9A" w14:textId="18136907" w:rsidR="00590B8B" w:rsidRPr="00590B8B" w:rsidRDefault="00590B8B" w:rsidP="00590B8B">
      <w:r w:rsidRPr="00590B8B">
        <w:t>Gill, T. (2016)</w:t>
      </w:r>
      <w:r w:rsidR="00343AEF">
        <w:t>.</w:t>
      </w:r>
      <w:r w:rsidRPr="00590B8B">
        <w:t xml:space="preserve"> </w:t>
      </w:r>
      <w:r w:rsidRPr="00590B8B">
        <w:rPr>
          <w:i/>
          <w:iCs/>
        </w:rPr>
        <w:t>Balancing risks and benefits in outdoor learning and play</w:t>
      </w:r>
      <w:r w:rsidRPr="00590B8B">
        <w:t xml:space="preserve">, </w:t>
      </w:r>
      <w:r w:rsidRPr="00590B8B">
        <w:rPr>
          <w:i/>
          <w:iCs/>
        </w:rPr>
        <w:t>Outdoor Classroom Day</w:t>
      </w:r>
      <w:r w:rsidRPr="00590B8B">
        <w:t xml:space="preserve">. Available at: https://outdoorclassroomday.com/wp-content/uploads/2016/08/OCDay-Balancing-Risks-and-Benefits.pdf (Accessed: 28 December 2025). </w:t>
      </w:r>
    </w:p>
    <w:p w14:paraId="0BC90CE6" w14:textId="580B05BB" w:rsidR="00590B8B" w:rsidRPr="00590B8B" w:rsidRDefault="00590B8B" w:rsidP="00590B8B">
      <w:r w:rsidRPr="00590B8B">
        <w:t>Hassan, M. (2024a)</w:t>
      </w:r>
      <w:r w:rsidR="00343AEF">
        <w:t>.</w:t>
      </w:r>
      <w:r w:rsidRPr="00590B8B">
        <w:t xml:space="preserve"> </w:t>
      </w:r>
      <w:r w:rsidRPr="00590B8B">
        <w:rPr>
          <w:i/>
          <w:iCs/>
        </w:rPr>
        <w:t>Purposive sampling - methods, types and examples</w:t>
      </w:r>
      <w:r w:rsidRPr="00590B8B">
        <w:t xml:space="preserve">, </w:t>
      </w:r>
      <w:r w:rsidRPr="00590B8B">
        <w:rPr>
          <w:i/>
          <w:iCs/>
        </w:rPr>
        <w:t>Research Method</w:t>
      </w:r>
      <w:r w:rsidRPr="00590B8B">
        <w:t xml:space="preserve">. Available at: https://researchmethod.net/purposive-sampling/ (Accessed: 07 January 2026). </w:t>
      </w:r>
    </w:p>
    <w:p w14:paraId="3B009BF0" w14:textId="324E83FF" w:rsidR="00590B8B" w:rsidRPr="00590B8B" w:rsidRDefault="00590B8B" w:rsidP="00590B8B">
      <w:r w:rsidRPr="00590B8B">
        <w:t>Hassan, M. (2024b)</w:t>
      </w:r>
      <w:r w:rsidR="00343AEF">
        <w:t>.</w:t>
      </w:r>
      <w:r w:rsidRPr="00590B8B">
        <w:t xml:space="preserve"> </w:t>
      </w:r>
      <w:r w:rsidRPr="00590B8B">
        <w:rPr>
          <w:i/>
          <w:iCs/>
        </w:rPr>
        <w:t>Qualitative research - methods, analysis types and guide</w:t>
      </w:r>
      <w:r w:rsidRPr="00590B8B">
        <w:t xml:space="preserve">, </w:t>
      </w:r>
      <w:r w:rsidRPr="00590B8B">
        <w:rPr>
          <w:i/>
          <w:iCs/>
        </w:rPr>
        <w:t>Research Method</w:t>
      </w:r>
      <w:r w:rsidRPr="00590B8B">
        <w:t xml:space="preserve">. Available at: https://researchmethod.net/qualitative-research/ (Accessed: 07 January 2026). </w:t>
      </w:r>
    </w:p>
    <w:p w14:paraId="216B0B80" w14:textId="13DE3F76" w:rsidR="00590B8B" w:rsidRPr="00590B8B" w:rsidRDefault="00590B8B" w:rsidP="00590B8B">
      <w:r w:rsidRPr="00590B8B">
        <w:t>Hecker, J. and Kalpokas, N. (2025)</w:t>
      </w:r>
      <w:r w:rsidR="00343AEF">
        <w:t>.</w:t>
      </w:r>
      <w:r w:rsidRPr="00590B8B">
        <w:t xml:space="preserve"> </w:t>
      </w:r>
      <w:r w:rsidRPr="00590B8B">
        <w:rPr>
          <w:i/>
          <w:iCs/>
        </w:rPr>
        <w:t>The guide to interview analysis</w:t>
      </w:r>
      <w:r w:rsidRPr="00590B8B">
        <w:t xml:space="preserve">, </w:t>
      </w:r>
      <w:proofErr w:type="spellStart"/>
      <w:r w:rsidRPr="00590B8B">
        <w:rPr>
          <w:i/>
          <w:iCs/>
        </w:rPr>
        <w:t>ATLAS.ti</w:t>
      </w:r>
      <w:proofErr w:type="spellEnd"/>
      <w:r w:rsidRPr="00590B8B">
        <w:t xml:space="preserve">. Available at: https://atlasti.com/guides/interview-analysis-guide (Accessed: 07 January 2026). </w:t>
      </w:r>
    </w:p>
    <w:p w14:paraId="22A4E1A7" w14:textId="77777777" w:rsidR="00590B8B" w:rsidRPr="00590B8B" w:rsidRDefault="00590B8B" w:rsidP="00590B8B">
      <w:r w:rsidRPr="00590B8B">
        <w:t xml:space="preserve">McCrorie, P. </w:t>
      </w:r>
      <w:r w:rsidRPr="00590B8B">
        <w:rPr>
          <w:i/>
          <w:iCs/>
        </w:rPr>
        <w:t>et al.</w:t>
      </w:r>
      <w:r w:rsidRPr="00590B8B">
        <w:t xml:space="preserve"> (2025) ‘Risky outdoor play in the early years: How are parental and practitioner perceptions of danger and benefits associated with young children’s outdoor play experiences?’, </w:t>
      </w:r>
      <w:r w:rsidRPr="00590B8B">
        <w:rPr>
          <w:i/>
          <w:iCs/>
        </w:rPr>
        <w:t>International Journal of Play</w:t>
      </w:r>
      <w:r w:rsidRPr="00590B8B">
        <w:t xml:space="preserve">, 14(2), pp. 120–138. doi:10.1080/21594937.2025.2508649. </w:t>
      </w:r>
    </w:p>
    <w:p w14:paraId="2A718754" w14:textId="08F823AD" w:rsidR="00590B8B" w:rsidRPr="00590B8B" w:rsidRDefault="00590B8B" w:rsidP="00590B8B">
      <w:r w:rsidRPr="00590B8B">
        <w:t>Nickerson, C. (2024)</w:t>
      </w:r>
      <w:r w:rsidR="00343AEF">
        <w:t>.</w:t>
      </w:r>
      <w:r w:rsidRPr="00590B8B">
        <w:t xml:space="preserve"> </w:t>
      </w:r>
      <w:r w:rsidRPr="00590B8B">
        <w:rPr>
          <w:i/>
          <w:iCs/>
        </w:rPr>
        <w:t>Interpretivism Paradigm &amp; Research Philosophy</w:t>
      </w:r>
      <w:r w:rsidRPr="00590B8B">
        <w:t xml:space="preserve">, </w:t>
      </w:r>
      <w:r w:rsidRPr="00590B8B">
        <w:rPr>
          <w:i/>
          <w:iCs/>
        </w:rPr>
        <w:t>Simply Psychology</w:t>
      </w:r>
      <w:r w:rsidRPr="00590B8B">
        <w:t xml:space="preserve">. Available at: https://www.simplypsychology.org/interpretivism-paradigm.html (Accessed: 07 January 2026). </w:t>
      </w:r>
    </w:p>
    <w:p w14:paraId="60617C2D" w14:textId="77777777" w:rsidR="00590B8B" w:rsidRPr="00590B8B" w:rsidRDefault="00590B8B" w:rsidP="00590B8B">
      <w:r w:rsidRPr="00590B8B">
        <w:lastRenderedPageBreak/>
        <w:t xml:space="preserve">UWTSD (2025) </w:t>
      </w:r>
      <w:r w:rsidRPr="00590B8B">
        <w:rPr>
          <w:i/>
          <w:iCs/>
        </w:rPr>
        <w:t>Research integrity and ethics</w:t>
      </w:r>
      <w:r w:rsidRPr="00590B8B">
        <w:t xml:space="preserve">, </w:t>
      </w:r>
      <w:r w:rsidRPr="00590B8B">
        <w:rPr>
          <w:i/>
          <w:iCs/>
        </w:rPr>
        <w:t>University of Wales Trinity Saint David</w:t>
      </w:r>
      <w:r w:rsidRPr="00590B8B">
        <w:t xml:space="preserve">. Available at: https://www.uwtsd.ac.uk/research/research-integrity-and-ethics (Accessed: 07 January 2026). </w:t>
      </w:r>
    </w:p>
    <w:p w14:paraId="16E5C250" w14:textId="514D6933" w:rsidR="00590B8B" w:rsidRPr="00590B8B" w:rsidRDefault="00343AEF" w:rsidP="00590B8B">
      <w:r>
        <w:t>Van</w:t>
      </w:r>
      <w:r w:rsidR="00590B8B" w:rsidRPr="00590B8B">
        <w:t xml:space="preserve"> </w:t>
      </w:r>
      <w:proofErr w:type="spellStart"/>
      <w:r w:rsidR="00590B8B" w:rsidRPr="00590B8B">
        <w:t>Rooijen</w:t>
      </w:r>
      <w:proofErr w:type="spellEnd"/>
      <w:r w:rsidR="00590B8B" w:rsidRPr="00590B8B">
        <w:t xml:space="preserve">, M. and Newstead, S. (2016) ‘Influencing factors on professional attitudes towards risk-taking in children’s Play: A narrative review’, </w:t>
      </w:r>
      <w:r w:rsidR="00590B8B" w:rsidRPr="00590B8B">
        <w:rPr>
          <w:i/>
          <w:iCs/>
        </w:rPr>
        <w:t>Early Child Development and Care</w:t>
      </w:r>
      <w:r w:rsidR="00590B8B" w:rsidRPr="00590B8B">
        <w:t xml:space="preserve">, 187(5–6), pp. 946–957. doi:10.1080/03004430.2016.1204607. </w:t>
      </w:r>
    </w:p>
    <w:p w14:paraId="075C2320" w14:textId="77777777" w:rsidR="00590B8B" w:rsidRPr="00590B8B" w:rsidRDefault="00590B8B" w:rsidP="00590B8B">
      <w:r w:rsidRPr="00590B8B">
        <w:t xml:space="preserve">Williams, R.T. and Scott, C.D. (2019) ‘The current state of Outdoor Learning in a U.K secondary setting: Exploring the benefits, drawbacks and recommendations’, </w:t>
      </w:r>
      <w:r w:rsidRPr="00590B8B">
        <w:rPr>
          <w:i/>
          <w:iCs/>
        </w:rPr>
        <w:t>ABC Journal of Advanced Research</w:t>
      </w:r>
      <w:r w:rsidRPr="00590B8B">
        <w:t>, 8(2), pp. 109–122. doi:10.18034/</w:t>
      </w:r>
      <w:proofErr w:type="gramStart"/>
      <w:r w:rsidRPr="00590B8B">
        <w:t>abcjar.v</w:t>
      </w:r>
      <w:proofErr w:type="gramEnd"/>
      <w:r w:rsidRPr="00590B8B">
        <w:t xml:space="preserve">8i2.537. </w:t>
      </w:r>
    </w:p>
    <w:p w14:paraId="67C8A873" w14:textId="77777777" w:rsidR="00D67BB3" w:rsidRPr="00D67BB3" w:rsidRDefault="00D67BB3" w:rsidP="00D67BB3"/>
    <w:p w14:paraId="67075984" w14:textId="77777777" w:rsidR="00AE4EED" w:rsidRPr="008803E7" w:rsidRDefault="00AE4EED" w:rsidP="00E03E3D">
      <w:pPr>
        <w:rPr>
          <w:sz w:val="28"/>
          <w:szCs w:val="28"/>
        </w:rPr>
      </w:pPr>
    </w:p>
    <w:sectPr w:rsidR="00AE4EED" w:rsidRPr="008803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E3D"/>
    <w:rsid w:val="00003D5A"/>
    <w:rsid w:val="00004983"/>
    <w:rsid w:val="00020B0E"/>
    <w:rsid w:val="000347AE"/>
    <w:rsid w:val="00035B19"/>
    <w:rsid w:val="000440D1"/>
    <w:rsid w:val="00044205"/>
    <w:rsid w:val="00045BBA"/>
    <w:rsid w:val="0005782D"/>
    <w:rsid w:val="000678B7"/>
    <w:rsid w:val="000766BD"/>
    <w:rsid w:val="00080A37"/>
    <w:rsid w:val="000A474D"/>
    <w:rsid w:val="000B7594"/>
    <w:rsid w:val="000C3115"/>
    <w:rsid w:val="000D6150"/>
    <w:rsid w:val="000D663B"/>
    <w:rsid w:val="000F26E4"/>
    <w:rsid w:val="000F53D3"/>
    <w:rsid w:val="00105F8A"/>
    <w:rsid w:val="001160E3"/>
    <w:rsid w:val="00126A20"/>
    <w:rsid w:val="001346AB"/>
    <w:rsid w:val="001400E7"/>
    <w:rsid w:val="00145973"/>
    <w:rsid w:val="001818C2"/>
    <w:rsid w:val="001878C0"/>
    <w:rsid w:val="00191824"/>
    <w:rsid w:val="001A054D"/>
    <w:rsid w:val="001A38E5"/>
    <w:rsid w:val="001B5E77"/>
    <w:rsid w:val="001C4782"/>
    <w:rsid w:val="001F03A7"/>
    <w:rsid w:val="001F6044"/>
    <w:rsid w:val="001F7A99"/>
    <w:rsid w:val="00201324"/>
    <w:rsid w:val="0020507A"/>
    <w:rsid w:val="00214187"/>
    <w:rsid w:val="00230B2B"/>
    <w:rsid w:val="00237A0F"/>
    <w:rsid w:val="002470D0"/>
    <w:rsid w:val="0027456D"/>
    <w:rsid w:val="002A4BF8"/>
    <w:rsid w:val="002A4C1E"/>
    <w:rsid w:val="002B2B60"/>
    <w:rsid w:val="002B3B5C"/>
    <w:rsid w:val="002C40BE"/>
    <w:rsid w:val="002E3298"/>
    <w:rsid w:val="0030232D"/>
    <w:rsid w:val="003152A1"/>
    <w:rsid w:val="00317E46"/>
    <w:rsid w:val="00343AEF"/>
    <w:rsid w:val="0034624F"/>
    <w:rsid w:val="00357315"/>
    <w:rsid w:val="00367FAE"/>
    <w:rsid w:val="0037583F"/>
    <w:rsid w:val="00394893"/>
    <w:rsid w:val="003A2591"/>
    <w:rsid w:val="003E0119"/>
    <w:rsid w:val="004008D4"/>
    <w:rsid w:val="00411DF4"/>
    <w:rsid w:val="004256B5"/>
    <w:rsid w:val="00460C5D"/>
    <w:rsid w:val="00481BEE"/>
    <w:rsid w:val="004A0BFF"/>
    <w:rsid w:val="004B5BCD"/>
    <w:rsid w:val="004C3290"/>
    <w:rsid w:val="004D09B1"/>
    <w:rsid w:val="004D1D37"/>
    <w:rsid w:val="004D7FEA"/>
    <w:rsid w:val="004E2A58"/>
    <w:rsid w:val="00503A5A"/>
    <w:rsid w:val="005237E4"/>
    <w:rsid w:val="00531F54"/>
    <w:rsid w:val="0054448B"/>
    <w:rsid w:val="00565261"/>
    <w:rsid w:val="00580A91"/>
    <w:rsid w:val="00585DB0"/>
    <w:rsid w:val="00590B8B"/>
    <w:rsid w:val="005D6322"/>
    <w:rsid w:val="005E2063"/>
    <w:rsid w:val="00604868"/>
    <w:rsid w:val="006057C9"/>
    <w:rsid w:val="00621585"/>
    <w:rsid w:val="00624F36"/>
    <w:rsid w:val="0064465C"/>
    <w:rsid w:val="00644B2A"/>
    <w:rsid w:val="00653CFD"/>
    <w:rsid w:val="006659B6"/>
    <w:rsid w:val="00687E69"/>
    <w:rsid w:val="00691613"/>
    <w:rsid w:val="006A7446"/>
    <w:rsid w:val="006B072A"/>
    <w:rsid w:val="006B4F4A"/>
    <w:rsid w:val="006E20F9"/>
    <w:rsid w:val="00703ED1"/>
    <w:rsid w:val="00736E92"/>
    <w:rsid w:val="00737685"/>
    <w:rsid w:val="007509B7"/>
    <w:rsid w:val="00751CB7"/>
    <w:rsid w:val="00755205"/>
    <w:rsid w:val="007603B8"/>
    <w:rsid w:val="007627ED"/>
    <w:rsid w:val="00763CCE"/>
    <w:rsid w:val="00780D7A"/>
    <w:rsid w:val="00790369"/>
    <w:rsid w:val="0079615C"/>
    <w:rsid w:val="007A16E4"/>
    <w:rsid w:val="007A3631"/>
    <w:rsid w:val="007B13C8"/>
    <w:rsid w:val="007D502B"/>
    <w:rsid w:val="007E1036"/>
    <w:rsid w:val="007F7E09"/>
    <w:rsid w:val="00815C59"/>
    <w:rsid w:val="008526BC"/>
    <w:rsid w:val="008538C3"/>
    <w:rsid w:val="0085512C"/>
    <w:rsid w:val="0085703C"/>
    <w:rsid w:val="008603F9"/>
    <w:rsid w:val="00862535"/>
    <w:rsid w:val="00870ECA"/>
    <w:rsid w:val="008716C6"/>
    <w:rsid w:val="00873BAE"/>
    <w:rsid w:val="008803E7"/>
    <w:rsid w:val="008C0BC6"/>
    <w:rsid w:val="008C6961"/>
    <w:rsid w:val="008D58D1"/>
    <w:rsid w:val="00922C67"/>
    <w:rsid w:val="009773B8"/>
    <w:rsid w:val="00997E4F"/>
    <w:rsid w:val="009A6034"/>
    <w:rsid w:val="009A716B"/>
    <w:rsid w:val="009B1DAA"/>
    <w:rsid w:val="009D10DE"/>
    <w:rsid w:val="009F4A05"/>
    <w:rsid w:val="00A061FD"/>
    <w:rsid w:val="00A46C77"/>
    <w:rsid w:val="00A5187E"/>
    <w:rsid w:val="00A7458C"/>
    <w:rsid w:val="00A90641"/>
    <w:rsid w:val="00A9077C"/>
    <w:rsid w:val="00AB6435"/>
    <w:rsid w:val="00AD4BD7"/>
    <w:rsid w:val="00AE4EED"/>
    <w:rsid w:val="00AF771F"/>
    <w:rsid w:val="00B05B70"/>
    <w:rsid w:val="00B15548"/>
    <w:rsid w:val="00B16F9E"/>
    <w:rsid w:val="00B31C78"/>
    <w:rsid w:val="00B43808"/>
    <w:rsid w:val="00B520F5"/>
    <w:rsid w:val="00B557F5"/>
    <w:rsid w:val="00B877B3"/>
    <w:rsid w:val="00B975F6"/>
    <w:rsid w:val="00BF2001"/>
    <w:rsid w:val="00BF3B4C"/>
    <w:rsid w:val="00BF7D7D"/>
    <w:rsid w:val="00C06389"/>
    <w:rsid w:val="00C3360B"/>
    <w:rsid w:val="00C35CA1"/>
    <w:rsid w:val="00C66ACC"/>
    <w:rsid w:val="00C73DA2"/>
    <w:rsid w:val="00C751A8"/>
    <w:rsid w:val="00C925DB"/>
    <w:rsid w:val="00CC4D4F"/>
    <w:rsid w:val="00CD14FC"/>
    <w:rsid w:val="00CD2291"/>
    <w:rsid w:val="00CE5510"/>
    <w:rsid w:val="00CF0709"/>
    <w:rsid w:val="00CF1F66"/>
    <w:rsid w:val="00D04588"/>
    <w:rsid w:val="00D26B3E"/>
    <w:rsid w:val="00D31009"/>
    <w:rsid w:val="00D67BB3"/>
    <w:rsid w:val="00D74920"/>
    <w:rsid w:val="00D85369"/>
    <w:rsid w:val="00DA75AF"/>
    <w:rsid w:val="00DB19D3"/>
    <w:rsid w:val="00DE78B9"/>
    <w:rsid w:val="00E03E3D"/>
    <w:rsid w:val="00E14ED9"/>
    <w:rsid w:val="00E269B9"/>
    <w:rsid w:val="00E4011C"/>
    <w:rsid w:val="00E4730D"/>
    <w:rsid w:val="00E63027"/>
    <w:rsid w:val="00E67669"/>
    <w:rsid w:val="00E90985"/>
    <w:rsid w:val="00E92B0A"/>
    <w:rsid w:val="00EA0578"/>
    <w:rsid w:val="00EB1506"/>
    <w:rsid w:val="00F074C4"/>
    <w:rsid w:val="00F213B5"/>
    <w:rsid w:val="00F30C91"/>
    <w:rsid w:val="00F31E13"/>
    <w:rsid w:val="00FC222C"/>
    <w:rsid w:val="00FC5CF0"/>
    <w:rsid w:val="00FD6279"/>
    <w:rsid w:val="00FE1E0D"/>
    <w:rsid w:val="00FE37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531D3"/>
  <w15:chartTrackingRefBased/>
  <w15:docId w15:val="{06482C31-3EE4-420B-887A-98A868BAB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E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3E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3E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3E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3E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3E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3E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3E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3E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E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3E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3E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3E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3E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3E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3E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3E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3E3D"/>
    <w:rPr>
      <w:rFonts w:eastAsiaTheme="majorEastAsia" w:cstheme="majorBidi"/>
      <w:color w:val="272727" w:themeColor="text1" w:themeTint="D8"/>
    </w:rPr>
  </w:style>
  <w:style w:type="paragraph" w:styleId="Title">
    <w:name w:val="Title"/>
    <w:basedOn w:val="Normal"/>
    <w:next w:val="Normal"/>
    <w:link w:val="TitleChar"/>
    <w:uiPriority w:val="10"/>
    <w:qFormat/>
    <w:rsid w:val="00E03E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3E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3E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3E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3E3D"/>
    <w:pPr>
      <w:spacing w:before="160"/>
      <w:jc w:val="center"/>
    </w:pPr>
    <w:rPr>
      <w:i/>
      <w:iCs/>
      <w:color w:val="404040" w:themeColor="text1" w:themeTint="BF"/>
    </w:rPr>
  </w:style>
  <w:style w:type="character" w:customStyle="1" w:styleId="QuoteChar">
    <w:name w:val="Quote Char"/>
    <w:basedOn w:val="DefaultParagraphFont"/>
    <w:link w:val="Quote"/>
    <w:uiPriority w:val="29"/>
    <w:rsid w:val="00E03E3D"/>
    <w:rPr>
      <w:i/>
      <w:iCs/>
      <w:color w:val="404040" w:themeColor="text1" w:themeTint="BF"/>
    </w:rPr>
  </w:style>
  <w:style w:type="paragraph" w:styleId="ListParagraph">
    <w:name w:val="List Paragraph"/>
    <w:basedOn w:val="Normal"/>
    <w:uiPriority w:val="34"/>
    <w:qFormat/>
    <w:rsid w:val="00E03E3D"/>
    <w:pPr>
      <w:ind w:left="720"/>
      <w:contextualSpacing/>
    </w:pPr>
  </w:style>
  <w:style w:type="character" w:styleId="IntenseEmphasis">
    <w:name w:val="Intense Emphasis"/>
    <w:basedOn w:val="DefaultParagraphFont"/>
    <w:uiPriority w:val="21"/>
    <w:qFormat/>
    <w:rsid w:val="00E03E3D"/>
    <w:rPr>
      <w:i/>
      <w:iCs/>
      <w:color w:val="0F4761" w:themeColor="accent1" w:themeShade="BF"/>
    </w:rPr>
  </w:style>
  <w:style w:type="paragraph" w:styleId="IntenseQuote">
    <w:name w:val="Intense Quote"/>
    <w:basedOn w:val="Normal"/>
    <w:next w:val="Normal"/>
    <w:link w:val="IntenseQuoteChar"/>
    <w:uiPriority w:val="30"/>
    <w:qFormat/>
    <w:rsid w:val="00E03E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3E3D"/>
    <w:rPr>
      <w:i/>
      <w:iCs/>
      <w:color w:val="0F4761" w:themeColor="accent1" w:themeShade="BF"/>
    </w:rPr>
  </w:style>
  <w:style w:type="character" w:styleId="IntenseReference">
    <w:name w:val="Intense Reference"/>
    <w:basedOn w:val="DefaultParagraphFont"/>
    <w:uiPriority w:val="32"/>
    <w:qFormat/>
    <w:rsid w:val="00E03E3D"/>
    <w:rPr>
      <w:b/>
      <w:bCs/>
      <w:smallCaps/>
      <w:color w:val="0F4761" w:themeColor="accent1" w:themeShade="BF"/>
      <w:spacing w:val="5"/>
    </w:rPr>
  </w:style>
  <w:style w:type="character" w:styleId="BookTitle">
    <w:name w:val="Book Title"/>
    <w:basedOn w:val="DefaultParagraphFont"/>
    <w:uiPriority w:val="33"/>
    <w:qFormat/>
    <w:rsid w:val="00E03E3D"/>
    <w:rPr>
      <w:b/>
      <w:bCs/>
      <w:i/>
      <w:iCs/>
      <w:spacing w:val="5"/>
    </w:rPr>
  </w:style>
  <w:style w:type="character" w:styleId="CommentReference">
    <w:name w:val="annotation reference"/>
    <w:basedOn w:val="DefaultParagraphFont"/>
    <w:uiPriority w:val="99"/>
    <w:semiHidden/>
    <w:unhideWhenUsed/>
    <w:rsid w:val="005D6322"/>
    <w:rPr>
      <w:sz w:val="16"/>
      <w:szCs w:val="16"/>
    </w:rPr>
  </w:style>
  <w:style w:type="paragraph" w:styleId="CommentText">
    <w:name w:val="annotation text"/>
    <w:basedOn w:val="Normal"/>
    <w:link w:val="CommentTextChar"/>
    <w:uiPriority w:val="99"/>
    <w:unhideWhenUsed/>
    <w:rsid w:val="005D6322"/>
    <w:pPr>
      <w:spacing w:line="240" w:lineRule="auto"/>
    </w:pPr>
    <w:rPr>
      <w:sz w:val="20"/>
      <w:szCs w:val="20"/>
    </w:rPr>
  </w:style>
  <w:style w:type="character" w:customStyle="1" w:styleId="CommentTextChar">
    <w:name w:val="Comment Text Char"/>
    <w:basedOn w:val="DefaultParagraphFont"/>
    <w:link w:val="CommentText"/>
    <w:uiPriority w:val="99"/>
    <w:rsid w:val="005D6322"/>
    <w:rPr>
      <w:sz w:val="20"/>
      <w:szCs w:val="20"/>
    </w:rPr>
  </w:style>
  <w:style w:type="paragraph" w:styleId="CommentSubject">
    <w:name w:val="annotation subject"/>
    <w:basedOn w:val="CommentText"/>
    <w:next w:val="CommentText"/>
    <w:link w:val="CommentSubjectChar"/>
    <w:uiPriority w:val="99"/>
    <w:semiHidden/>
    <w:unhideWhenUsed/>
    <w:rsid w:val="005D6322"/>
    <w:rPr>
      <w:b/>
      <w:bCs/>
    </w:rPr>
  </w:style>
  <w:style w:type="character" w:customStyle="1" w:styleId="CommentSubjectChar">
    <w:name w:val="Comment Subject Char"/>
    <w:basedOn w:val="CommentTextChar"/>
    <w:link w:val="CommentSubject"/>
    <w:uiPriority w:val="99"/>
    <w:semiHidden/>
    <w:rsid w:val="005D6322"/>
    <w:rPr>
      <w:b/>
      <w:bCs/>
      <w:sz w:val="20"/>
      <w:szCs w:val="20"/>
    </w:rPr>
  </w:style>
  <w:style w:type="character" w:styleId="Hyperlink">
    <w:name w:val="Hyperlink"/>
    <w:basedOn w:val="DefaultParagraphFont"/>
    <w:uiPriority w:val="99"/>
    <w:unhideWhenUsed/>
    <w:rsid w:val="005D6322"/>
    <w:rPr>
      <w:color w:val="467886" w:themeColor="hyperlink"/>
      <w:u w:val="single"/>
    </w:rPr>
  </w:style>
  <w:style w:type="character" w:styleId="UnresolvedMention">
    <w:name w:val="Unresolved Mention"/>
    <w:basedOn w:val="DefaultParagraphFont"/>
    <w:uiPriority w:val="99"/>
    <w:semiHidden/>
    <w:unhideWhenUsed/>
    <w:rsid w:val="005D63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1427</TotalTime>
  <Pages>7</Pages>
  <Words>2427</Words>
  <Characters>13834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Ensor (2317067)</dc:creator>
  <cp:keywords/>
  <dc:description/>
  <cp:lastModifiedBy>Lewis Ensor (2317067)</cp:lastModifiedBy>
  <cp:revision>77</cp:revision>
  <dcterms:created xsi:type="dcterms:W3CDTF">2026-01-08T09:52:00Z</dcterms:created>
  <dcterms:modified xsi:type="dcterms:W3CDTF">2026-01-09T10:33:00Z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822c8bef-1c50-4a1d-be4f-5d5d7fad47f3</vt:lpwstr>
  </property>
</Properties>
</file>