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F4EC4" w14:textId="77777777" w:rsidR="008C3FF3" w:rsidRPr="007B0536" w:rsidRDefault="008C3FF3" w:rsidP="008C3FF3">
      <w:pPr>
        <w:pStyle w:val="Heading2"/>
        <w:jc w:val="center"/>
        <w:rPr>
          <w:sz w:val="32"/>
          <w:szCs w:val="32"/>
        </w:rPr>
      </w:pPr>
      <w:bookmarkStart w:id="0" w:name="_Toc131438789"/>
      <w:r w:rsidRPr="007B0536">
        <w:rPr>
          <w:sz w:val="32"/>
          <w:szCs w:val="32"/>
        </w:rPr>
        <w:t>University of Wales Trinity St David</w:t>
      </w:r>
      <w:bookmarkEnd w:id="0"/>
    </w:p>
    <w:p w14:paraId="0FADB1D0" w14:textId="77777777" w:rsidR="008C3FF3" w:rsidRDefault="008C3FF3" w:rsidP="008C3FF3">
      <w:pPr>
        <w:jc w:val="center"/>
        <w:rPr>
          <w:rFonts w:ascii="Times New Roman" w:hAnsi="Times New Roman" w:cs="Times New Roman"/>
          <w:b/>
          <w:sz w:val="24"/>
          <w:szCs w:val="24"/>
        </w:rPr>
      </w:pPr>
      <w:r>
        <w:rPr>
          <w:b/>
          <w:noProof/>
        </w:rPr>
        <w:drawing>
          <wp:inline distT="0" distB="0" distL="0" distR="0" wp14:anchorId="024F7AC9" wp14:editId="3E263175">
            <wp:extent cx="1743075" cy="1714500"/>
            <wp:effectExtent l="0" t="0" r="0" b="0"/>
            <wp:docPr id="135647368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73681" name="Picture 1"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3075" cy="1714500"/>
                    </a:xfrm>
                    <a:prstGeom prst="rect">
                      <a:avLst/>
                    </a:prstGeom>
                    <a:noFill/>
                    <a:ln>
                      <a:noFill/>
                    </a:ln>
                  </pic:spPr>
                </pic:pic>
              </a:graphicData>
            </a:graphic>
          </wp:inline>
        </w:drawing>
      </w:r>
    </w:p>
    <w:p w14:paraId="158B2EBD" w14:textId="77777777" w:rsidR="008C3FF3" w:rsidRDefault="008C3FF3" w:rsidP="008C3FF3">
      <w:pPr>
        <w:jc w:val="center"/>
        <w:rPr>
          <w:rFonts w:ascii="Times New Roman" w:hAnsi="Times New Roman" w:cs="Times New Roman"/>
          <w:b/>
          <w:sz w:val="24"/>
          <w:szCs w:val="24"/>
        </w:rPr>
      </w:pPr>
    </w:p>
    <w:p w14:paraId="178CC8A7" w14:textId="140292DC" w:rsidR="008C3FF3" w:rsidRPr="00B74EFC" w:rsidRDefault="008C3FF3" w:rsidP="008C3FF3">
      <w:pPr>
        <w:jc w:val="center"/>
        <w:rPr>
          <w:rFonts w:ascii="Times New Roman" w:hAnsi="Times New Roman" w:cs="Times New Roman"/>
          <w:b/>
          <w:sz w:val="32"/>
          <w:szCs w:val="32"/>
          <w:lang w:val="en-GB"/>
        </w:rPr>
      </w:pPr>
      <w:r w:rsidRPr="00B74EFC">
        <w:rPr>
          <w:rFonts w:ascii="Times New Roman" w:hAnsi="Times New Roman" w:cs="Times New Roman"/>
          <w:b/>
          <w:sz w:val="32"/>
          <w:szCs w:val="32"/>
        </w:rPr>
        <w:t xml:space="preserve">Assignment </w:t>
      </w:r>
      <w:r w:rsidR="00C3292B" w:rsidRPr="00B74EFC">
        <w:rPr>
          <w:rFonts w:ascii="Times New Roman" w:hAnsi="Times New Roman" w:cs="Times New Roman"/>
          <w:b/>
          <w:sz w:val="32"/>
          <w:szCs w:val="32"/>
          <w:lang w:val="en-GB"/>
        </w:rPr>
        <w:t>1</w:t>
      </w:r>
    </w:p>
    <w:p w14:paraId="0EFA66CB" w14:textId="2919FB43" w:rsidR="008C3FF3" w:rsidRPr="00B74EFC" w:rsidRDefault="008C3FF3" w:rsidP="008C3FF3">
      <w:pPr>
        <w:jc w:val="center"/>
        <w:rPr>
          <w:rFonts w:ascii="Times New Roman" w:hAnsi="Times New Roman" w:cs="Times New Roman"/>
          <w:b/>
          <w:sz w:val="32"/>
          <w:szCs w:val="32"/>
        </w:rPr>
      </w:pPr>
      <w:r w:rsidRPr="00B74EFC">
        <w:rPr>
          <w:rFonts w:ascii="Times New Roman" w:hAnsi="Times New Roman" w:cs="Times New Roman"/>
          <w:b/>
          <w:sz w:val="32"/>
          <w:szCs w:val="32"/>
        </w:rPr>
        <w:t xml:space="preserve">Report: </w:t>
      </w:r>
      <w:r w:rsidR="00C3292B" w:rsidRPr="00B74EFC">
        <w:rPr>
          <w:rFonts w:ascii="Times New Roman" w:hAnsi="Times New Roman" w:cs="Times New Roman"/>
          <w:b/>
          <w:sz w:val="32"/>
          <w:szCs w:val="32"/>
          <w:lang w:val="en-GB"/>
        </w:rPr>
        <w:t>2500</w:t>
      </w:r>
      <w:r w:rsidRPr="00B74EFC">
        <w:rPr>
          <w:rFonts w:ascii="Times New Roman" w:hAnsi="Times New Roman" w:cs="Times New Roman"/>
          <w:b/>
          <w:sz w:val="32"/>
          <w:szCs w:val="32"/>
        </w:rPr>
        <w:t xml:space="preserve"> words</w:t>
      </w:r>
    </w:p>
    <w:p w14:paraId="37462F19" w14:textId="77777777" w:rsidR="008C3FF3" w:rsidRPr="00B74EFC" w:rsidRDefault="008C3FF3" w:rsidP="008C3FF3">
      <w:pPr>
        <w:jc w:val="center"/>
        <w:rPr>
          <w:rFonts w:ascii="Times New Roman" w:hAnsi="Times New Roman" w:cs="Times New Roman"/>
          <w:b/>
          <w:sz w:val="32"/>
          <w:szCs w:val="32"/>
        </w:rPr>
      </w:pPr>
      <w:r w:rsidRPr="00B74EFC">
        <w:rPr>
          <w:rFonts w:ascii="Times New Roman" w:hAnsi="Times New Roman" w:cs="Times New Roman"/>
          <w:b/>
          <w:sz w:val="32"/>
          <w:szCs w:val="32"/>
        </w:rPr>
        <w:t>Name: Petar Mitev (2122707)</w:t>
      </w:r>
    </w:p>
    <w:p w14:paraId="49CBCA21" w14:textId="3E34E229" w:rsidR="00032F56" w:rsidRPr="00032F56" w:rsidRDefault="00032F56" w:rsidP="00032F56">
      <w:pPr>
        <w:jc w:val="center"/>
        <w:rPr>
          <w:rFonts w:ascii="Times New Roman" w:hAnsi="Times New Roman" w:cs="Times New Roman"/>
          <w:b/>
          <w:sz w:val="32"/>
          <w:szCs w:val="32"/>
          <w:lang w:val="en-GB"/>
        </w:rPr>
      </w:pPr>
      <w:r>
        <w:rPr>
          <w:rFonts w:ascii="Times New Roman" w:hAnsi="Times New Roman" w:cs="Times New Roman"/>
          <w:b/>
          <w:sz w:val="32"/>
          <w:szCs w:val="32"/>
          <w:lang w:val="en-GB"/>
        </w:rPr>
        <w:t xml:space="preserve">Module: International business </w:t>
      </w:r>
      <w:r w:rsidR="000E7416">
        <w:rPr>
          <w:rFonts w:ascii="Times New Roman" w:hAnsi="Times New Roman" w:cs="Times New Roman"/>
          <w:b/>
          <w:sz w:val="32"/>
          <w:szCs w:val="32"/>
          <w:lang w:val="en-GB"/>
        </w:rPr>
        <w:t>communications</w:t>
      </w:r>
    </w:p>
    <w:p w14:paraId="69F3C843" w14:textId="07725FA4" w:rsidR="008841C5" w:rsidRDefault="008C3FF3" w:rsidP="00032F56">
      <w:pPr>
        <w:jc w:val="center"/>
        <w:rPr>
          <w:rFonts w:ascii="Times New Roman" w:hAnsi="Times New Roman" w:cs="Times New Roman"/>
          <w:b/>
          <w:sz w:val="32"/>
          <w:szCs w:val="32"/>
          <w:lang w:val="en-GB"/>
        </w:rPr>
      </w:pPr>
      <w:r w:rsidRPr="00B74EFC">
        <w:rPr>
          <w:rFonts w:ascii="Times New Roman" w:hAnsi="Times New Roman" w:cs="Times New Roman"/>
          <w:b/>
          <w:sz w:val="32"/>
          <w:szCs w:val="32"/>
        </w:rPr>
        <w:t>Lecturer:</w:t>
      </w:r>
      <w:r w:rsidRPr="00B74EFC">
        <w:rPr>
          <w:rFonts w:ascii="Times New Roman" w:hAnsi="Times New Roman" w:cs="Times New Roman"/>
          <w:color w:val="000000" w:themeColor="text1"/>
          <w:kern w:val="24"/>
          <w:sz w:val="32"/>
          <w:szCs w:val="32"/>
          <w:lang w:val="en-GB" w:eastAsia="bg-BG"/>
        </w:rPr>
        <w:t xml:space="preserve"> </w:t>
      </w:r>
      <w:r w:rsidR="00032F56" w:rsidRPr="00032F56">
        <w:rPr>
          <w:rFonts w:ascii="Times New Roman" w:hAnsi="Times New Roman" w:cs="Times New Roman"/>
          <w:b/>
          <w:sz w:val="32"/>
          <w:szCs w:val="32"/>
          <w:lang w:val="en-GB"/>
        </w:rPr>
        <w:t>Dr Charles Nwaogwugwu</w:t>
      </w:r>
      <w:r w:rsidR="00032F56">
        <w:rPr>
          <w:rFonts w:ascii="Times New Roman" w:hAnsi="Times New Roman" w:cs="Times New Roman"/>
          <w:b/>
          <w:sz w:val="32"/>
          <w:szCs w:val="32"/>
          <w:lang w:val="en-GB"/>
        </w:rPr>
        <w:t xml:space="preserve"> </w:t>
      </w:r>
      <w:r w:rsidR="00032F56" w:rsidRPr="00032F56">
        <w:rPr>
          <w:rFonts w:ascii="Times New Roman" w:hAnsi="Times New Roman" w:cs="Times New Roman"/>
          <w:b/>
          <w:sz w:val="32"/>
          <w:szCs w:val="32"/>
          <w:lang w:val="en-GB"/>
        </w:rPr>
        <w:t>Zainab Atta</w:t>
      </w:r>
    </w:p>
    <w:p w14:paraId="39FBAEEC" w14:textId="77777777" w:rsidR="00032F56" w:rsidRPr="00032F56" w:rsidRDefault="00032F56" w:rsidP="00032F56">
      <w:pPr>
        <w:jc w:val="center"/>
        <w:rPr>
          <w:rFonts w:ascii="Times New Roman" w:hAnsi="Times New Roman" w:cs="Times New Roman"/>
          <w:b/>
          <w:sz w:val="32"/>
          <w:szCs w:val="32"/>
          <w:lang w:val="en-GB"/>
        </w:rPr>
      </w:pPr>
    </w:p>
    <w:p w14:paraId="5F24BC94" w14:textId="77777777" w:rsidR="00476D58" w:rsidRDefault="00476D58" w:rsidP="00136DF1">
      <w:pPr>
        <w:rPr>
          <w:rFonts w:ascii="Times New Roman" w:hAnsi="Times New Roman" w:cs="Times New Roman"/>
          <w:b/>
          <w:bCs/>
          <w:sz w:val="24"/>
          <w:szCs w:val="24"/>
        </w:rPr>
      </w:pPr>
    </w:p>
    <w:p w14:paraId="429C1B2F" w14:textId="77777777" w:rsidR="00476D58" w:rsidRDefault="00476D58" w:rsidP="00136DF1">
      <w:pPr>
        <w:rPr>
          <w:rFonts w:ascii="Times New Roman" w:hAnsi="Times New Roman" w:cs="Times New Roman"/>
          <w:b/>
          <w:bCs/>
          <w:sz w:val="24"/>
          <w:szCs w:val="24"/>
        </w:rPr>
      </w:pPr>
    </w:p>
    <w:p w14:paraId="18099AF0" w14:textId="77777777" w:rsidR="00476D58" w:rsidRDefault="00476D58" w:rsidP="00136DF1">
      <w:pPr>
        <w:rPr>
          <w:rFonts w:ascii="Times New Roman" w:hAnsi="Times New Roman" w:cs="Times New Roman"/>
          <w:b/>
          <w:bCs/>
          <w:sz w:val="24"/>
          <w:szCs w:val="24"/>
        </w:rPr>
      </w:pPr>
    </w:p>
    <w:p w14:paraId="1590464A" w14:textId="77777777" w:rsidR="00476D58" w:rsidRDefault="00476D58" w:rsidP="00136DF1">
      <w:pPr>
        <w:rPr>
          <w:rFonts w:ascii="Times New Roman" w:hAnsi="Times New Roman" w:cs="Times New Roman"/>
          <w:b/>
          <w:bCs/>
          <w:sz w:val="24"/>
          <w:szCs w:val="24"/>
        </w:rPr>
      </w:pPr>
    </w:p>
    <w:p w14:paraId="27A727F9" w14:textId="77777777" w:rsidR="00476D58" w:rsidRDefault="00476D58" w:rsidP="00136DF1">
      <w:pPr>
        <w:rPr>
          <w:rFonts w:ascii="Times New Roman" w:hAnsi="Times New Roman" w:cs="Times New Roman"/>
          <w:b/>
          <w:bCs/>
          <w:sz w:val="24"/>
          <w:szCs w:val="24"/>
        </w:rPr>
      </w:pPr>
    </w:p>
    <w:p w14:paraId="102626D7" w14:textId="77777777" w:rsidR="00476D58" w:rsidRDefault="00476D58" w:rsidP="00136DF1">
      <w:pPr>
        <w:rPr>
          <w:rFonts w:ascii="Times New Roman" w:hAnsi="Times New Roman" w:cs="Times New Roman"/>
          <w:b/>
          <w:bCs/>
          <w:sz w:val="24"/>
          <w:szCs w:val="24"/>
        </w:rPr>
      </w:pPr>
    </w:p>
    <w:p w14:paraId="55D72C21" w14:textId="77777777" w:rsidR="00476D58" w:rsidRDefault="00476D58" w:rsidP="00136DF1">
      <w:pPr>
        <w:rPr>
          <w:rFonts w:ascii="Times New Roman" w:hAnsi="Times New Roman" w:cs="Times New Roman"/>
          <w:b/>
          <w:bCs/>
          <w:sz w:val="24"/>
          <w:szCs w:val="24"/>
        </w:rPr>
      </w:pPr>
    </w:p>
    <w:p w14:paraId="2C664857" w14:textId="77777777" w:rsidR="00476D58" w:rsidRDefault="00476D58" w:rsidP="00136DF1">
      <w:pPr>
        <w:rPr>
          <w:rFonts w:ascii="Times New Roman" w:hAnsi="Times New Roman" w:cs="Times New Roman"/>
          <w:b/>
          <w:bCs/>
          <w:sz w:val="24"/>
          <w:szCs w:val="24"/>
        </w:rPr>
      </w:pPr>
    </w:p>
    <w:p w14:paraId="624C2A7B" w14:textId="77777777" w:rsidR="00476D58" w:rsidRDefault="00476D58" w:rsidP="00136DF1">
      <w:pPr>
        <w:rPr>
          <w:rFonts w:ascii="Times New Roman" w:hAnsi="Times New Roman" w:cs="Times New Roman"/>
          <w:b/>
          <w:bCs/>
          <w:sz w:val="24"/>
          <w:szCs w:val="24"/>
        </w:rPr>
      </w:pPr>
    </w:p>
    <w:p w14:paraId="5CABDDEE" w14:textId="77777777" w:rsidR="00476D58" w:rsidRDefault="00476D58" w:rsidP="00136DF1">
      <w:pPr>
        <w:rPr>
          <w:rFonts w:ascii="Times New Roman" w:hAnsi="Times New Roman" w:cs="Times New Roman"/>
          <w:b/>
          <w:bCs/>
          <w:sz w:val="24"/>
          <w:szCs w:val="24"/>
        </w:rPr>
      </w:pPr>
    </w:p>
    <w:p w14:paraId="3BBF62BA" w14:textId="77777777" w:rsidR="00476D58" w:rsidRDefault="00476D58" w:rsidP="00136DF1">
      <w:pPr>
        <w:rPr>
          <w:rFonts w:ascii="Times New Roman" w:hAnsi="Times New Roman" w:cs="Times New Roman"/>
          <w:b/>
          <w:bCs/>
          <w:sz w:val="24"/>
          <w:szCs w:val="24"/>
        </w:rPr>
      </w:pPr>
    </w:p>
    <w:p w14:paraId="543E545F" w14:textId="77777777" w:rsidR="00476D58" w:rsidRDefault="00476D58" w:rsidP="00136DF1">
      <w:pPr>
        <w:rPr>
          <w:rFonts w:ascii="Times New Roman" w:hAnsi="Times New Roman" w:cs="Times New Roman"/>
          <w:b/>
          <w:bCs/>
          <w:sz w:val="24"/>
          <w:szCs w:val="24"/>
        </w:rPr>
      </w:pPr>
    </w:p>
    <w:p w14:paraId="4F4E732D" w14:textId="77777777" w:rsidR="00476D58" w:rsidRDefault="00476D58" w:rsidP="00136DF1">
      <w:pPr>
        <w:rPr>
          <w:rFonts w:ascii="Times New Roman" w:hAnsi="Times New Roman" w:cs="Times New Roman"/>
          <w:b/>
          <w:bCs/>
          <w:sz w:val="24"/>
          <w:szCs w:val="24"/>
        </w:rPr>
      </w:pPr>
    </w:p>
    <w:p w14:paraId="03BE366F" w14:textId="77777777" w:rsidR="00476D58" w:rsidRDefault="00476D58" w:rsidP="00136DF1">
      <w:pPr>
        <w:rPr>
          <w:rFonts w:ascii="Times New Roman" w:hAnsi="Times New Roman" w:cs="Times New Roman"/>
          <w:b/>
          <w:bCs/>
          <w:sz w:val="24"/>
          <w:szCs w:val="24"/>
        </w:rPr>
      </w:pPr>
    </w:p>
    <w:sdt>
      <w:sdtPr>
        <w:rPr>
          <w:rFonts w:ascii="Times New Roman" w:eastAsiaTheme="minorHAnsi" w:hAnsi="Times New Roman" w:cs="Times New Roman"/>
          <w:caps w:val="0"/>
          <w:kern w:val="2"/>
          <w:sz w:val="24"/>
          <w:szCs w:val="24"/>
          <w:lang w:val="en-GB"/>
          <w14:ligatures w14:val="standardContextual"/>
        </w:rPr>
        <w:id w:val="-604966975"/>
        <w:docPartObj>
          <w:docPartGallery w:val="Table of Contents"/>
          <w:docPartUnique/>
        </w:docPartObj>
      </w:sdtPr>
      <w:sdtEndPr>
        <w:rPr>
          <w:rFonts w:eastAsiaTheme="minorEastAsia"/>
          <w:b/>
          <w:bCs/>
          <w:noProof/>
          <w:kern w:val="0"/>
          <w:lang w:val="bg-BG"/>
          <w14:ligatures w14:val="none"/>
        </w:rPr>
      </w:sdtEndPr>
      <w:sdtContent>
        <w:p w14:paraId="29701C6C" w14:textId="77777777" w:rsidR="00476D58" w:rsidRPr="00476D58" w:rsidRDefault="00476D58" w:rsidP="00476D58">
          <w:pPr>
            <w:pStyle w:val="TOCHeading"/>
            <w:spacing w:line="360" w:lineRule="auto"/>
            <w:jc w:val="both"/>
            <w:rPr>
              <w:rFonts w:ascii="Times New Roman" w:hAnsi="Times New Roman" w:cs="Times New Roman"/>
              <w:sz w:val="24"/>
              <w:szCs w:val="24"/>
            </w:rPr>
          </w:pPr>
          <w:r w:rsidRPr="00476D58">
            <w:rPr>
              <w:rFonts w:ascii="Times New Roman" w:hAnsi="Times New Roman" w:cs="Times New Roman"/>
              <w:sz w:val="24"/>
              <w:szCs w:val="24"/>
            </w:rPr>
            <w:t>Table of Contents</w:t>
          </w:r>
        </w:p>
        <w:p w14:paraId="4CFF22CA" w14:textId="13A70850" w:rsidR="00476D58" w:rsidRPr="00476D58" w:rsidRDefault="00476D58" w:rsidP="00476D58">
          <w:pPr>
            <w:pStyle w:val="TOC1"/>
            <w:tabs>
              <w:tab w:val="right" w:leader="dot" w:pos="9350"/>
            </w:tabs>
            <w:spacing w:line="360" w:lineRule="auto"/>
            <w:jc w:val="both"/>
            <w:rPr>
              <w:rFonts w:ascii="Times New Roman" w:hAnsi="Times New Roman" w:cs="Times New Roman"/>
              <w:noProof/>
              <w:sz w:val="24"/>
              <w:szCs w:val="24"/>
            </w:rPr>
          </w:pPr>
          <w:r w:rsidRPr="00476D58">
            <w:rPr>
              <w:rFonts w:ascii="Times New Roman" w:hAnsi="Times New Roman" w:cs="Times New Roman"/>
              <w:sz w:val="24"/>
              <w:szCs w:val="24"/>
            </w:rPr>
            <w:t>1.</w:t>
          </w:r>
          <w:r w:rsidRPr="00476D58">
            <w:rPr>
              <w:rFonts w:ascii="Times New Roman" w:hAnsi="Times New Roman" w:cs="Times New Roman"/>
              <w:sz w:val="24"/>
              <w:szCs w:val="24"/>
            </w:rPr>
            <w:fldChar w:fldCharType="begin"/>
          </w:r>
          <w:r w:rsidRPr="00476D58">
            <w:rPr>
              <w:rFonts w:ascii="Times New Roman" w:hAnsi="Times New Roman" w:cs="Times New Roman"/>
              <w:sz w:val="24"/>
              <w:szCs w:val="24"/>
            </w:rPr>
            <w:instrText xml:space="preserve"> TOC \o "1-3" \h \z \u </w:instrText>
          </w:r>
          <w:r w:rsidRPr="00476D58">
            <w:rPr>
              <w:rFonts w:ascii="Times New Roman" w:hAnsi="Times New Roman" w:cs="Times New Roman"/>
              <w:sz w:val="24"/>
              <w:szCs w:val="24"/>
            </w:rPr>
            <w:fldChar w:fldCharType="separate"/>
          </w:r>
          <w:hyperlink w:anchor="_Toc151387936" w:history="1">
            <w:r w:rsidRPr="00476D58">
              <w:rPr>
                <w:rStyle w:val="Hyperlink"/>
                <w:rFonts w:ascii="Times New Roman" w:hAnsi="Times New Roman" w:cs="Times New Roman"/>
                <w:noProof/>
                <w:color w:val="auto"/>
                <w:sz w:val="24"/>
                <w:szCs w:val="24"/>
                <w:u w:val="none"/>
              </w:rPr>
              <w:t>Introduction</w:t>
            </w:r>
            <w:r w:rsidRPr="00476D58">
              <w:rPr>
                <w:rFonts w:ascii="Times New Roman" w:hAnsi="Times New Roman" w:cs="Times New Roman"/>
                <w:noProof/>
                <w:webHidden/>
                <w:sz w:val="24"/>
                <w:szCs w:val="24"/>
              </w:rPr>
              <w:t>…………………………………………………………………………………..</w:t>
            </w:r>
            <w:r w:rsidR="000E7416">
              <w:rPr>
                <w:rFonts w:ascii="Times New Roman" w:hAnsi="Times New Roman" w:cs="Times New Roman"/>
                <w:noProof/>
                <w:webHidden/>
                <w:sz w:val="24"/>
                <w:szCs w:val="24"/>
              </w:rPr>
              <w:t>3</w:t>
            </w:r>
          </w:hyperlink>
        </w:p>
        <w:p w14:paraId="72E68B20" w14:textId="7053DF20" w:rsidR="00476D58" w:rsidRPr="00476D58" w:rsidRDefault="00476D58" w:rsidP="00476D58">
          <w:pPr>
            <w:rPr>
              <w:rFonts w:ascii="Times New Roman" w:hAnsi="Times New Roman" w:cs="Times New Roman"/>
              <w:sz w:val="24"/>
              <w:szCs w:val="24"/>
            </w:rPr>
          </w:pPr>
          <w:r w:rsidRPr="00476D58">
            <w:rPr>
              <w:rFonts w:ascii="Times New Roman" w:hAnsi="Times New Roman" w:cs="Times New Roman"/>
              <w:noProof/>
              <w:sz w:val="24"/>
              <w:szCs w:val="24"/>
              <w:lang w:val="en-GB"/>
            </w:rPr>
            <w:t>2.</w:t>
          </w:r>
          <w:r w:rsidR="000E7416">
            <w:rPr>
              <w:rFonts w:ascii="Times New Roman" w:hAnsi="Times New Roman" w:cs="Times New Roman"/>
              <w:noProof/>
              <w:sz w:val="24"/>
              <w:szCs w:val="24"/>
              <w:lang w:val="en-GB"/>
            </w:rPr>
            <w:t xml:space="preserve"> </w:t>
          </w:r>
          <w:hyperlink w:anchor="_Toc151387937" w:history="1">
            <w:r w:rsidRPr="00476D58">
              <w:rPr>
                <w:rFonts w:ascii="Times New Roman" w:hAnsi="Times New Roman" w:cs="Times New Roman"/>
                <w:sz w:val="24"/>
                <w:szCs w:val="24"/>
              </w:rPr>
              <w:t>Organization</w:t>
            </w:r>
            <w:r w:rsidR="000E7416">
              <w:rPr>
                <w:rFonts w:ascii="Times New Roman" w:hAnsi="Times New Roman" w:cs="Times New Roman"/>
                <w:sz w:val="24"/>
                <w:szCs w:val="24"/>
                <w:lang w:val="en-GB"/>
              </w:rPr>
              <w:t xml:space="preserve"> </w:t>
            </w:r>
            <w:r w:rsidRPr="00476D58">
              <w:rPr>
                <w:rFonts w:ascii="Times New Roman" w:hAnsi="Times New Roman" w:cs="Times New Roman"/>
                <w:sz w:val="24"/>
                <w:szCs w:val="24"/>
              </w:rPr>
              <w:t>Introductio</w:t>
            </w:r>
            <w:r w:rsidRPr="00476D58">
              <w:rPr>
                <w:rFonts w:ascii="Times New Roman" w:hAnsi="Times New Roman" w:cs="Times New Roman"/>
                <w:sz w:val="24"/>
                <w:szCs w:val="24"/>
                <w:lang w:val="en-GB"/>
              </w:rPr>
              <w:t>n…</w:t>
            </w:r>
            <w:r w:rsidRPr="00476D58">
              <w:rPr>
                <w:rFonts w:ascii="Times New Roman" w:hAnsi="Times New Roman" w:cs="Times New Roman"/>
                <w:noProof/>
                <w:webHidden/>
                <w:sz w:val="24"/>
                <w:szCs w:val="24"/>
                <w:lang w:val="en-GB"/>
              </w:rPr>
              <w:t>………………………………………………</w:t>
            </w:r>
            <w:r w:rsidR="000E7416">
              <w:rPr>
                <w:rFonts w:ascii="Times New Roman" w:hAnsi="Times New Roman" w:cs="Times New Roman"/>
                <w:noProof/>
                <w:webHidden/>
                <w:sz w:val="24"/>
                <w:szCs w:val="24"/>
                <w:lang w:val="en-GB"/>
              </w:rPr>
              <w:t xml:space="preserve"> </w:t>
            </w:r>
            <w:r w:rsidRPr="00476D58">
              <w:rPr>
                <w:rFonts w:ascii="Times New Roman" w:hAnsi="Times New Roman" w:cs="Times New Roman"/>
                <w:noProof/>
                <w:webHidden/>
                <w:sz w:val="24"/>
                <w:szCs w:val="24"/>
                <w:lang w:val="en-GB"/>
              </w:rPr>
              <w:t>……………......</w:t>
            </w:r>
            <w:r w:rsidR="000E7416">
              <w:rPr>
                <w:rFonts w:ascii="Times New Roman" w:hAnsi="Times New Roman" w:cs="Times New Roman"/>
                <w:noProof/>
                <w:webHidden/>
                <w:sz w:val="24"/>
                <w:szCs w:val="24"/>
                <w:lang w:val="en-GB"/>
              </w:rPr>
              <w:t>3</w:t>
            </w:r>
          </w:hyperlink>
        </w:p>
        <w:p w14:paraId="11745279" w14:textId="77777777" w:rsidR="00476D58" w:rsidRPr="00476D58" w:rsidRDefault="00476D58" w:rsidP="00476D58">
          <w:pPr>
            <w:rPr>
              <w:rFonts w:ascii="Times New Roman" w:hAnsi="Times New Roman" w:cs="Times New Roman"/>
              <w:sz w:val="24"/>
              <w:szCs w:val="24"/>
            </w:rPr>
          </w:pPr>
          <w:r w:rsidRPr="00476D58">
            <w:rPr>
              <w:rFonts w:ascii="Times New Roman" w:hAnsi="Times New Roman" w:cs="Times New Roman"/>
              <w:noProof/>
              <w:sz w:val="24"/>
              <w:szCs w:val="24"/>
              <w:lang w:val="en-GB"/>
            </w:rPr>
            <w:t>3.</w:t>
          </w:r>
          <w:hyperlink w:anchor="_Toc151387938" w:history="1">
            <w:r w:rsidRPr="00476D58">
              <w:rPr>
                <w:rFonts w:ascii="Times New Roman" w:hAnsi="Times New Roman" w:cs="Times New Roman"/>
                <w:sz w:val="24"/>
                <w:szCs w:val="24"/>
              </w:rPr>
              <w:t>Assessment of Germany and Spai</w:t>
            </w:r>
            <w:r w:rsidRPr="00476D58">
              <w:rPr>
                <w:rFonts w:ascii="Times New Roman" w:hAnsi="Times New Roman" w:cs="Times New Roman"/>
                <w:sz w:val="24"/>
                <w:szCs w:val="24"/>
                <w:lang w:val="en-GB"/>
              </w:rPr>
              <w:t>n ……………………………………………………….…</w:t>
            </w:r>
            <w:r w:rsidRPr="00476D58">
              <w:rPr>
                <w:rFonts w:ascii="Times New Roman" w:hAnsi="Times New Roman" w:cs="Times New Roman"/>
                <w:noProof/>
                <w:webHidden/>
                <w:sz w:val="24"/>
                <w:szCs w:val="24"/>
                <w:lang w:val="en-GB"/>
              </w:rPr>
              <w:t>3</w:t>
            </w:r>
          </w:hyperlink>
        </w:p>
        <w:p w14:paraId="368CAB92" w14:textId="57ADB09E" w:rsidR="00476D58" w:rsidRPr="00476D58" w:rsidRDefault="00476D58" w:rsidP="00476D58">
          <w:pPr>
            <w:rPr>
              <w:rFonts w:ascii="Times New Roman" w:hAnsi="Times New Roman" w:cs="Times New Roman"/>
              <w:sz w:val="24"/>
              <w:szCs w:val="24"/>
              <w:lang w:val="en-GB"/>
            </w:rPr>
          </w:pPr>
          <w:r w:rsidRPr="00476D58">
            <w:rPr>
              <w:rFonts w:ascii="Times New Roman" w:hAnsi="Times New Roman" w:cs="Times New Roman"/>
              <w:b/>
              <w:bCs/>
              <w:noProof/>
              <w:sz w:val="24"/>
              <w:szCs w:val="24"/>
            </w:rPr>
            <w:fldChar w:fldCharType="end"/>
          </w:r>
          <w:r w:rsidRPr="00476D58">
            <w:rPr>
              <w:rFonts w:ascii="Times New Roman" w:hAnsi="Times New Roman" w:cs="Times New Roman"/>
              <w:b/>
              <w:bCs/>
              <w:noProof/>
              <w:sz w:val="24"/>
              <w:szCs w:val="24"/>
              <w:lang w:val="en-GB"/>
            </w:rPr>
            <w:t>4.</w:t>
          </w:r>
          <w:r w:rsidRPr="00476D58">
            <w:rPr>
              <w:rFonts w:ascii="Times New Roman" w:hAnsi="Times New Roman" w:cs="Times New Roman"/>
              <w:sz w:val="24"/>
              <w:szCs w:val="24"/>
            </w:rPr>
            <w:t>Comparative Analysis: Germany vs. Spain</w:t>
          </w:r>
          <w:r w:rsidRPr="00476D58">
            <w:rPr>
              <w:rFonts w:ascii="Times New Roman" w:hAnsi="Times New Roman" w:cs="Times New Roman"/>
              <w:sz w:val="24"/>
              <w:szCs w:val="24"/>
              <w:lang w:val="en-GB"/>
            </w:rPr>
            <w:t>………………………………………………….</w:t>
          </w:r>
          <w:r w:rsidR="000E7416">
            <w:rPr>
              <w:rFonts w:ascii="Times New Roman" w:hAnsi="Times New Roman" w:cs="Times New Roman"/>
              <w:sz w:val="24"/>
              <w:szCs w:val="24"/>
              <w:lang w:val="en-GB"/>
            </w:rPr>
            <w:t>5</w:t>
          </w:r>
        </w:p>
        <w:p w14:paraId="4D9EE20B" w14:textId="26A85036" w:rsidR="00476D58" w:rsidRPr="00476D58" w:rsidRDefault="00476D58" w:rsidP="00476D58">
          <w:pPr>
            <w:rPr>
              <w:rFonts w:ascii="Times New Roman" w:hAnsi="Times New Roman" w:cs="Times New Roman"/>
              <w:sz w:val="24"/>
              <w:szCs w:val="24"/>
              <w:lang w:val="en-GB"/>
            </w:rPr>
          </w:pPr>
          <w:r w:rsidRPr="00476D58">
            <w:rPr>
              <w:rFonts w:ascii="Times New Roman" w:hAnsi="Times New Roman" w:cs="Times New Roman"/>
              <w:sz w:val="24"/>
              <w:szCs w:val="24"/>
              <w:lang w:val="en-GB"/>
            </w:rPr>
            <w:t>5.</w:t>
          </w:r>
          <w:r w:rsidRPr="00476D58">
            <w:rPr>
              <w:rFonts w:ascii="Times New Roman" w:hAnsi="Times New Roman" w:cs="Times New Roman"/>
              <w:sz w:val="24"/>
              <w:szCs w:val="24"/>
            </w:rPr>
            <w:t>Recommendations for Expansion into Spain</w:t>
          </w:r>
          <w:r w:rsidRPr="00476D58">
            <w:rPr>
              <w:rFonts w:ascii="Times New Roman" w:hAnsi="Times New Roman" w:cs="Times New Roman"/>
              <w:sz w:val="24"/>
              <w:szCs w:val="24"/>
              <w:lang w:val="en-GB"/>
            </w:rPr>
            <w:t>………………………………………………..</w:t>
          </w:r>
          <w:r w:rsidR="000E7416">
            <w:rPr>
              <w:rFonts w:ascii="Times New Roman" w:hAnsi="Times New Roman" w:cs="Times New Roman"/>
              <w:sz w:val="24"/>
              <w:szCs w:val="24"/>
              <w:lang w:val="en-GB"/>
            </w:rPr>
            <w:t>7</w:t>
          </w:r>
        </w:p>
        <w:p w14:paraId="6352B050" w14:textId="16ADC443" w:rsidR="00476D58" w:rsidRPr="00476D58" w:rsidRDefault="00476D58" w:rsidP="00476D58">
          <w:pPr>
            <w:rPr>
              <w:rFonts w:ascii="Times New Roman" w:hAnsi="Times New Roman" w:cs="Times New Roman"/>
              <w:sz w:val="24"/>
              <w:szCs w:val="24"/>
              <w:lang w:val="en-GB"/>
            </w:rPr>
          </w:pPr>
          <w:r w:rsidRPr="00476D58">
            <w:rPr>
              <w:rFonts w:ascii="Times New Roman" w:hAnsi="Times New Roman" w:cs="Times New Roman"/>
              <w:sz w:val="24"/>
              <w:szCs w:val="24"/>
            </w:rPr>
            <w:t>Conclusion</w:t>
          </w:r>
          <w:r w:rsidRPr="00476D58">
            <w:rPr>
              <w:rFonts w:ascii="Times New Roman" w:hAnsi="Times New Roman" w:cs="Times New Roman"/>
              <w:sz w:val="24"/>
              <w:szCs w:val="24"/>
              <w:lang w:val="en-GB"/>
            </w:rPr>
            <w:t>……………………………………………………………………………………..</w:t>
          </w:r>
          <w:r w:rsidR="000E7416">
            <w:rPr>
              <w:rFonts w:ascii="Times New Roman" w:hAnsi="Times New Roman" w:cs="Times New Roman"/>
              <w:sz w:val="24"/>
              <w:szCs w:val="24"/>
              <w:lang w:val="en-GB"/>
            </w:rPr>
            <w:t>8</w:t>
          </w:r>
        </w:p>
        <w:p w14:paraId="7642D19D" w14:textId="7ACAF26C" w:rsidR="00476D58" w:rsidRPr="00476D58" w:rsidRDefault="00476D58" w:rsidP="00476D58">
          <w:pPr>
            <w:rPr>
              <w:rFonts w:ascii="Times New Roman" w:hAnsi="Times New Roman" w:cs="Times New Roman"/>
              <w:sz w:val="24"/>
              <w:szCs w:val="24"/>
              <w:lang w:val="en-GB"/>
            </w:rPr>
          </w:pPr>
          <w:r w:rsidRPr="00476D58">
            <w:rPr>
              <w:rFonts w:ascii="Times New Roman" w:hAnsi="Times New Roman" w:cs="Times New Roman"/>
              <w:sz w:val="24"/>
              <w:szCs w:val="24"/>
              <w:lang w:val="en-GB"/>
            </w:rPr>
            <w:t>References……………………………………………………………………………………...</w:t>
          </w:r>
          <w:r w:rsidR="000E7416">
            <w:rPr>
              <w:rFonts w:ascii="Times New Roman" w:hAnsi="Times New Roman" w:cs="Times New Roman"/>
              <w:sz w:val="24"/>
              <w:szCs w:val="24"/>
              <w:lang w:val="en-GB"/>
            </w:rPr>
            <w:t>9</w:t>
          </w:r>
        </w:p>
        <w:p w14:paraId="7C706B18" w14:textId="77777777" w:rsidR="00476D58" w:rsidRPr="00476D58" w:rsidRDefault="00476D58" w:rsidP="00476D58">
          <w:pPr>
            <w:rPr>
              <w:rFonts w:ascii="Times New Roman" w:hAnsi="Times New Roman" w:cs="Times New Roman"/>
              <w:sz w:val="24"/>
              <w:szCs w:val="24"/>
            </w:rPr>
          </w:pPr>
        </w:p>
        <w:p w14:paraId="7FC969AE" w14:textId="77777777" w:rsidR="00476D58" w:rsidRPr="00476D58" w:rsidRDefault="00000000" w:rsidP="00476D58">
          <w:pPr>
            <w:spacing w:line="360" w:lineRule="auto"/>
            <w:jc w:val="both"/>
            <w:rPr>
              <w:rFonts w:ascii="Times New Roman" w:hAnsi="Times New Roman" w:cs="Times New Roman"/>
              <w:b/>
              <w:bCs/>
              <w:noProof/>
              <w:sz w:val="24"/>
              <w:szCs w:val="24"/>
            </w:rPr>
          </w:pPr>
        </w:p>
      </w:sdtContent>
    </w:sdt>
    <w:p w14:paraId="6CE8430D" w14:textId="77777777" w:rsidR="00476D58" w:rsidRPr="00476D58" w:rsidRDefault="00476D58" w:rsidP="00476D58">
      <w:pPr>
        <w:rPr>
          <w:rFonts w:ascii="Times New Roman" w:hAnsi="Times New Roman" w:cs="Times New Roman"/>
          <w:b/>
          <w:bCs/>
          <w:sz w:val="24"/>
          <w:szCs w:val="24"/>
        </w:rPr>
      </w:pPr>
    </w:p>
    <w:p w14:paraId="256139E4" w14:textId="77777777" w:rsidR="00476D58" w:rsidRPr="00476D58" w:rsidRDefault="00476D58" w:rsidP="00476D58">
      <w:pPr>
        <w:rPr>
          <w:rFonts w:ascii="Times New Roman" w:hAnsi="Times New Roman" w:cs="Times New Roman"/>
          <w:b/>
          <w:bCs/>
          <w:sz w:val="24"/>
          <w:szCs w:val="24"/>
        </w:rPr>
      </w:pPr>
    </w:p>
    <w:p w14:paraId="79E0F789" w14:textId="77777777" w:rsidR="00476D58" w:rsidRDefault="00476D58" w:rsidP="00136DF1">
      <w:pPr>
        <w:rPr>
          <w:rFonts w:ascii="Times New Roman" w:hAnsi="Times New Roman" w:cs="Times New Roman"/>
          <w:b/>
          <w:bCs/>
          <w:sz w:val="24"/>
          <w:szCs w:val="24"/>
        </w:rPr>
      </w:pPr>
    </w:p>
    <w:p w14:paraId="7FC92ED3" w14:textId="77777777" w:rsidR="00476D58" w:rsidRDefault="00476D58" w:rsidP="00136DF1">
      <w:pPr>
        <w:rPr>
          <w:rFonts w:ascii="Times New Roman" w:hAnsi="Times New Roman" w:cs="Times New Roman"/>
          <w:b/>
          <w:bCs/>
          <w:sz w:val="24"/>
          <w:szCs w:val="24"/>
        </w:rPr>
      </w:pPr>
    </w:p>
    <w:p w14:paraId="45AE5F4E" w14:textId="77777777" w:rsidR="00476D58" w:rsidRDefault="00476D58" w:rsidP="00136DF1">
      <w:pPr>
        <w:rPr>
          <w:rFonts w:ascii="Times New Roman" w:hAnsi="Times New Roman" w:cs="Times New Roman"/>
          <w:b/>
          <w:bCs/>
          <w:sz w:val="24"/>
          <w:szCs w:val="24"/>
        </w:rPr>
      </w:pPr>
    </w:p>
    <w:p w14:paraId="6BCFDA25" w14:textId="77777777" w:rsidR="00476D58" w:rsidRDefault="00476D58" w:rsidP="00136DF1">
      <w:pPr>
        <w:rPr>
          <w:rFonts w:ascii="Times New Roman" w:hAnsi="Times New Roman" w:cs="Times New Roman"/>
          <w:b/>
          <w:bCs/>
          <w:sz w:val="24"/>
          <w:szCs w:val="24"/>
        </w:rPr>
      </w:pPr>
    </w:p>
    <w:p w14:paraId="6F8EACCB" w14:textId="77777777" w:rsidR="00476D58" w:rsidRDefault="00476D58" w:rsidP="00136DF1">
      <w:pPr>
        <w:rPr>
          <w:rFonts w:ascii="Times New Roman" w:hAnsi="Times New Roman" w:cs="Times New Roman"/>
          <w:b/>
          <w:bCs/>
          <w:sz w:val="24"/>
          <w:szCs w:val="24"/>
        </w:rPr>
      </w:pPr>
    </w:p>
    <w:p w14:paraId="2C4A420F" w14:textId="77777777" w:rsidR="00476D58" w:rsidRDefault="00476D58" w:rsidP="00136DF1">
      <w:pPr>
        <w:rPr>
          <w:rFonts w:ascii="Times New Roman" w:hAnsi="Times New Roman" w:cs="Times New Roman"/>
          <w:b/>
          <w:bCs/>
          <w:sz w:val="24"/>
          <w:szCs w:val="24"/>
        </w:rPr>
      </w:pPr>
    </w:p>
    <w:p w14:paraId="7F80A708" w14:textId="77777777" w:rsidR="00476D58" w:rsidRDefault="00476D58" w:rsidP="00136DF1">
      <w:pPr>
        <w:rPr>
          <w:rFonts w:ascii="Times New Roman" w:hAnsi="Times New Roman" w:cs="Times New Roman"/>
          <w:b/>
          <w:bCs/>
          <w:sz w:val="24"/>
          <w:szCs w:val="24"/>
        </w:rPr>
      </w:pPr>
    </w:p>
    <w:p w14:paraId="3B84050F" w14:textId="77777777" w:rsidR="00476D58" w:rsidRDefault="00476D58" w:rsidP="00136DF1">
      <w:pPr>
        <w:rPr>
          <w:rFonts w:ascii="Times New Roman" w:hAnsi="Times New Roman" w:cs="Times New Roman"/>
          <w:b/>
          <w:bCs/>
          <w:sz w:val="24"/>
          <w:szCs w:val="24"/>
        </w:rPr>
      </w:pPr>
    </w:p>
    <w:p w14:paraId="1AB709A7" w14:textId="77777777" w:rsidR="00476D58" w:rsidRDefault="00476D58" w:rsidP="00136DF1">
      <w:pPr>
        <w:rPr>
          <w:rFonts w:ascii="Times New Roman" w:hAnsi="Times New Roman" w:cs="Times New Roman"/>
          <w:b/>
          <w:bCs/>
          <w:sz w:val="24"/>
          <w:szCs w:val="24"/>
        </w:rPr>
      </w:pPr>
    </w:p>
    <w:p w14:paraId="6519D076" w14:textId="77777777" w:rsidR="00476D58" w:rsidRDefault="00476D58" w:rsidP="00136DF1">
      <w:pPr>
        <w:rPr>
          <w:rFonts w:ascii="Times New Roman" w:hAnsi="Times New Roman" w:cs="Times New Roman"/>
          <w:b/>
          <w:bCs/>
          <w:sz w:val="24"/>
          <w:szCs w:val="24"/>
        </w:rPr>
      </w:pPr>
    </w:p>
    <w:p w14:paraId="22F7E7BB" w14:textId="77777777" w:rsidR="00476D58" w:rsidRDefault="00476D58" w:rsidP="00136DF1">
      <w:pPr>
        <w:rPr>
          <w:rFonts w:ascii="Times New Roman" w:hAnsi="Times New Roman" w:cs="Times New Roman"/>
          <w:b/>
          <w:bCs/>
          <w:sz w:val="24"/>
          <w:szCs w:val="24"/>
        </w:rPr>
      </w:pPr>
    </w:p>
    <w:p w14:paraId="59F44624" w14:textId="77777777" w:rsidR="00476D58" w:rsidRDefault="00476D58" w:rsidP="00136DF1">
      <w:pPr>
        <w:rPr>
          <w:rFonts w:ascii="Times New Roman" w:hAnsi="Times New Roman" w:cs="Times New Roman"/>
          <w:b/>
          <w:bCs/>
          <w:sz w:val="24"/>
          <w:szCs w:val="24"/>
        </w:rPr>
      </w:pPr>
    </w:p>
    <w:p w14:paraId="61E99EA3" w14:textId="77777777" w:rsidR="00476D58" w:rsidRDefault="00476D58" w:rsidP="00136DF1">
      <w:pPr>
        <w:rPr>
          <w:rFonts w:ascii="Times New Roman" w:hAnsi="Times New Roman" w:cs="Times New Roman"/>
          <w:b/>
          <w:bCs/>
          <w:sz w:val="24"/>
          <w:szCs w:val="24"/>
        </w:rPr>
      </w:pPr>
    </w:p>
    <w:p w14:paraId="3E504B93" w14:textId="77777777" w:rsidR="00476D58" w:rsidRDefault="00476D58" w:rsidP="00136DF1">
      <w:pPr>
        <w:rPr>
          <w:rFonts w:ascii="Times New Roman" w:hAnsi="Times New Roman" w:cs="Times New Roman"/>
          <w:b/>
          <w:bCs/>
          <w:sz w:val="24"/>
          <w:szCs w:val="24"/>
        </w:rPr>
      </w:pPr>
    </w:p>
    <w:p w14:paraId="3581CD21" w14:textId="77777777" w:rsidR="00476D58" w:rsidRPr="00476D58" w:rsidRDefault="00476D58" w:rsidP="00136DF1">
      <w:pPr>
        <w:rPr>
          <w:rFonts w:ascii="Times New Roman" w:hAnsi="Times New Roman" w:cs="Times New Roman"/>
          <w:b/>
          <w:bCs/>
          <w:sz w:val="24"/>
          <w:szCs w:val="24"/>
        </w:rPr>
      </w:pPr>
    </w:p>
    <w:p w14:paraId="400C92AE" w14:textId="77777777" w:rsidR="008841C5" w:rsidRPr="00476D58" w:rsidRDefault="008841C5" w:rsidP="00136DF1">
      <w:pPr>
        <w:rPr>
          <w:rFonts w:ascii="Times New Roman" w:hAnsi="Times New Roman" w:cs="Times New Roman"/>
          <w:b/>
          <w:bCs/>
          <w:sz w:val="24"/>
          <w:szCs w:val="24"/>
        </w:rPr>
      </w:pPr>
    </w:p>
    <w:p w14:paraId="6D5E3EAA" w14:textId="77777777" w:rsidR="00476D58" w:rsidRDefault="00476D58" w:rsidP="00136DF1">
      <w:pPr>
        <w:rPr>
          <w:rFonts w:ascii="Times New Roman" w:hAnsi="Times New Roman" w:cs="Times New Roman"/>
          <w:b/>
          <w:bCs/>
          <w:sz w:val="24"/>
          <w:szCs w:val="24"/>
        </w:rPr>
      </w:pPr>
    </w:p>
    <w:p w14:paraId="63E00402"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lastRenderedPageBreak/>
        <w:t xml:space="preserve">Introduction </w:t>
      </w:r>
    </w:p>
    <w:p w14:paraId="2406A37C"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In today's increasingly worldwide corporate climate, multinational corporations are always exploring chances for development beyond their native markets. The selection of a suitable nation for such expansion is a vital choice that can substantially impact the company's long-term performance and growth trajectory. This choice involves a full awareness of the global business scene, including economic stability, regulatory frameworks, market potential, and cultural compatibility. For British enterprises, particularly those in the real estate sector, growing into the European Union (EU) brings a unique mix of possibilities and problems. The EU's single market gives access to different economies with a combined population of over 500 million potential customers, but it also comprises a vast range of regulatory frameworks, languages, and cultural traditions.</w:t>
      </w:r>
    </w:p>
    <w:p w14:paraId="2DBA8EF6" w14:textId="77777777" w:rsidR="00E35CC2" w:rsidRPr="00E35CC2" w:rsidRDefault="00E35CC2" w:rsidP="00E35CC2">
      <w:pPr>
        <w:rPr>
          <w:rFonts w:ascii="Times New Roman" w:hAnsi="Times New Roman" w:cs="Times New Roman"/>
          <w:sz w:val="24"/>
          <w:szCs w:val="24"/>
        </w:rPr>
      </w:pPr>
    </w:p>
    <w:p w14:paraId="690B2EB5"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"Global Estates PLC," a renowned British real estate company, sits at the vanguard of this expansion effort. With a broad portfolio that comprises commercial, residential, and industrial properties across the United Kingdom, Global Estates PLC has proven a remarkable understanding for navigating complicated real estate markets and providing value to its stakeholders. The company's success is backed by its strategic approach to business growth, stressing market research, sustainability, and innovation. As Global Estates PLC aims to grow its presence into the EU, it confronts the problem of picking a nation that not only provides a promising real estate market but also coincides with its strategic objectives and corporate spirit. This needs a comprehensive examination of possible markets, including criteria such as economic growth rates, real estate market maturity, regulatory landscape, and cultural fit. The ultimate objective is to locate an EU-based country where Global Estates PLC may harness its experience to stimulate growth, generate value, and contribute positively to the local economy and community.</w:t>
      </w:r>
    </w:p>
    <w:p w14:paraId="6D0BD08F"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 xml:space="preserve">Organization Introduction </w:t>
      </w:r>
    </w:p>
    <w:p w14:paraId="794CF2FC"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"Global Estates PLC" is a prominent British multinational corporation that has built itself a noteworthy position in the real estate market. With its beginnings stretching back over two decades, the firm has risen from a domestic player into a competitive force in the worldwide real estate industry. Global Estates PLC specializes in a broad spectrum of real estate services, including property development, investment, management, and sales. The company's portfolio is varied, encompassing residential, commercial, and industrial buildings. This diversity illustrates Global Estates PLC's dedication to catering to a wide range of market demands and its flexibility to react to the ever-changing dynamics of the real estate business.</w:t>
      </w:r>
    </w:p>
    <w:p w14:paraId="1812A343"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A major pillar of Global Estates PLC is its focus to sustainability and innovation. The firm prides itself on incorporating eco-friendly methods and cutting-edge technology into its operations, striving to not only boost efficiency and profitability but also to contribute positively to the communities it serves. Global Estates PLC's worldwide footprint covers multiple nations, with successful initiatives in locations that display strong economic development and stable political conditions.</w:t>
      </w:r>
    </w:p>
    <w:p w14:paraId="1E0E029B"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 xml:space="preserve">As Global Estates PLC looks toward the future, it has picked the European Union (EU) as a critical location for its next phase of growth. The EU market is tempting because to its </w:t>
      </w:r>
      <w:r w:rsidRPr="00E35CC2">
        <w:rPr>
          <w:rFonts w:ascii="Times New Roman" w:hAnsi="Times New Roman" w:cs="Times New Roman"/>
          <w:sz w:val="24"/>
          <w:szCs w:val="24"/>
        </w:rPr>
        <w:lastRenderedPageBreak/>
        <w:t>rigorous legislative frameworks, considerable market size, and the potential for economic synergy. Global Estates PLC's strategic aims for development within the EU are driven by the desire to harness its significant knowledge and creative techniques to tap into new prospects. The firm intends to build a solid footing in the EU, growing its impact and continuing its legacy of delivering excellent value to its clients and stakeholders. This growth is considered not simply as an economic opportunity, but as a chance to enhance worldwide Estates PLC's purpose of providing sustainable, creative, and community-focused real estate solutions on a worldwide scale.</w:t>
      </w:r>
    </w:p>
    <w:p w14:paraId="1A86AFCE" w14:textId="77777777" w:rsidR="00E35CC2" w:rsidRPr="00E35CC2" w:rsidRDefault="00E35CC2" w:rsidP="00E35CC2">
      <w:pPr>
        <w:rPr>
          <w:rFonts w:ascii="Times New Roman" w:hAnsi="Times New Roman" w:cs="Times New Roman"/>
          <w:sz w:val="24"/>
          <w:szCs w:val="24"/>
        </w:rPr>
      </w:pPr>
    </w:p>
    <w:p w14:paraId="3C132DDB"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Assessment of Germany and Spain</w:t>
      </w:r>
    </w:p>
    <w:p w14:paraId="46D2F0FE"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Germany's economy is the powerhouse of Europe, typified by its engineering competence, manufacturing prowess, and export-oriented corporate style. The real estate market is broad, with significant demand in both residential and commercial sectors, notably in major regions like Berlin, Frankfurt, and Munich. High levels of employment, steady economic development, and a stable political atmosphere make Germany an appealing place for real estate investment.</w:t>
      </w:r>
    </w:p>
    <w:p w14:paraId="25741039"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Cultural Dimensions</w:t>
      </w:r>
    </w:p>
    <w:p w14:paraId="709F2D46"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According to Hofstede's cultural dimensions, Germany displays a high degree of Individualism (IDV), suggesting that personal achievements and individual rights are highly prized. Its Uncertainty Avoidance (UAI) score is likewise high, demonstrating a culture that relies on rules, laws, and regulations to handle the future's uncertainty. The Masculinity (MAS) score is moderate, suggesting a combination of competitive and cooperative tendencies in society. These cultural aspects support the German approach to business, stressing efficiency, punctuality, and direct communication.</w:t>
      </w:r>
    </w:p>
    <w:p w14:paraId="2598DD14"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Communication Barriers</w:t>
      </w:r>
    </w:p>
    <w:p w14:paraId="74660B79"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The predominant language of Germany is German, and while English is commonly accepted in corporate circles, fluency varies. The formal corporate culture in Germany encourages clear, simple communication and conformity to established norms. Legal and regulatory systems are complex, requiring meticulous navigation to maintain compliance, particularly for overseas enterprises. Understanding these cultural nuances and communication preferences is essential for British businesses to succeed in the German market.</w:t>
      </w:r>
    </w:p>
    <w:p w14:paraId="09D31E8A"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Spain: Economic and Real Estate Market Insights</w:t>
      </w:r>
    </w:p>
    <w:p w14:paraId="03475819"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Spain's economy is noted for its robust tourist industry, large agricultural production, and a burgeoning technological sector. The real estate market has recovered from the 2008 financial crisis, with increasing demand in both residential and commercial spaces, particularly in cities like Madrid, Barcelona, and Valencia. Spain's lifestyle, climate, and cultural diversity make it an enticing choice for real estate investors and firms wishing to expand their operations.</w:t>
      </w:r>
    </w:p>
    <w:p w14:paraId="630B60E4" w14:textId="77777777" w:rsidR="00E35CC2" w:rsidRPr="00E35CC2" w:rsidRDefault="00E35CC2" w:rsidP="00E35CC2">
      <w:pPr>
        <w:rPr>
          <w:rFonts w:ascii="Times New Roman" w:hAnsi="Times New Roman" w:cs="Times New Roman"/>
          <w:sz w:val="24"/>
          <w:szCs w:val="24"/>
        </w:rPr>
      </w:pPr>
    </w:p>
    <w:p w14:paraId="41AC8542" w14:textId="77777777" w:rsidR="00E35CC2" w:rsidRPr="00E35CC2" w:rsidRDefault="00E35CC2" w:rsidP="00E35CC2">
      <w:pPr>
        <w:rPr>
          <w:rFonts w:ascii="Times New Roman" w:hAnsi="Times New Roman" w:cs="Times New Roman"/>
          <w:sz w:val="24"/>
          <w:szCs w:val="24"/>
        </w:rPr>
      </w:pPr>
    </w:p>
    <w:p w14:paraId="12811689"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lastRenderedPageBreak/>
        <w:t>Cultural Insights</w:t>
      </w:r>
    </w:p>
    <w:p w14:paraId="7D4A4C46"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Spain scores lower on Hofstede’s Individualism index compared to Germany, indicating a more collectivist society where personal relationships and community ties are important. Its Uncertainty Avoidance index is moderate, suggesting a flexible approach to rules and ambiguity. Spain's lower Masculinity score points to a society that prioritizes work-life balance and the quality of life over outright competition and success.</w:t>
      </w:r>
    </w:p>
    <w:p w14:paraId="265D16B6"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Communication Challenges</w:t>
      </w:r>
    </w:p>
    <w:p w14:paraId="5C3D1291"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The Spanish language is essential for business operations in Spain, and while English is increasingly common, especially among younger generations, it's not universally spoken. Spanish business culture emphasizes personal relationships, often requiring more time to build trust and finalize agreements. This can challenge British businesses accustomed to more transactional interactions. Additionally, Spain's administrative processes can be cumbersome, with regional variations adding another layer of complexity.</w:t>
      </w:r>
    </w:p>
    <w:p w14:paraId="2DFE2556"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Comparative Analysis and Strategic Implications</w:t>
      </w:r>
    </w:p>
    <w:p w14:paraId="09EB13DC"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When comparing Germany and Spain, it's clear that each offers unique opportunities and challenges for British real estate businesses. Germany's stable economy and strong demand for real estate make it an attractive but competitive market. The need for precision and formality in business interactions aligns well with British professionalism but requires adaptation to local norms. Spain, with its recovering real estate market and emphasis on personal relationships, offers a warmer, albeit slower-paced, business environment.</w:t>
      </w:r>
    </w:p>
    <w:p w14:paraId="1A659A91"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For a British real estate multinational like "Global Estates PLC," navigating these markets requires a nuanced approach. In Germany, success hinges on understanding and adhering to formal business practices and regulatory requirements. In Spain, building strong local partnerships and being prepared to navigate bureaucratic hurdles with patience are key. Both markets demand a deep understanding of local cultures and consumer expectations, underlining the importance of cultural agility and flexibility in global expansion strategies.</w:t>
      </w:r>
    </w:p>
    <w:p w14:paraId="46E776A1"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Comparative Analysis: Germany vs. Spain</w:t>
      </w:r>
    </w:p>
    <w:p w14:paraId="38BEE30B"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Market Potential</w:t>
      </w:r>
    </w:p>
    <w:p w14:paraId="0E18EDB2"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Germany is Europe's largest economy and a global leader in various industrial and technological sectors. Its real estate market is characterized by robust demand, high levels of transparency, and a stable investment climate. The country's strong economic foundations, including a significant industrial base, a highly skilled workforce, and an advanced infrastructure, contribute to a conducive environment for real estate development and investment. Germany's strategic location in Europe further enhances its attractiveness to businesses looking to tap into the European market.</w:t>
      </w:r>
    </w:p>
    <w:p w14:paraId="6D639130"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 xml:space="preserve">Spain, on the other hand, offers a dynamic and diverse economic environment with a strong focus on tourism, agriculture, and services. The Spanish real estate market has rebounded strongly from the economic downturn, driven by increasing domestic and international demand. Spain's appeal lies in its diverse landscapes, rich cultural heritage, and favorable climate, making it an attractive destination for residential and commercial real estate </w:t>
      </w:r>
      <w:r w:rsidRPr="00E35CC2">
        <w:rPr>
          <w:rFonts w:ascii="Times New Roman" w:hAnsi="Times New Roman" w:cs="Times New Roman"/>
          <w:sz w:val="24"/>
          <w:szCs w:val="24"/>
        </w:rPr>
        <w:lastRenderedPageBreak/>
        <w:t>investments. The country's ongoing economic recovery and improvements in the labor market contribute to its potential as a growing market for real estate ventures.</w:t>
      </w:r>
    </w:p>
    <w:p w14:paraId="1FC5E23D"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Cultural and Communication Barriers</w:t>
      </w:r>
    </w:p>
    <w:p w14:paraId="0585051F"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Germany's business culture is marked by formality, punctuality, and a direct style of communication. The emphasis on structure, rules, and efficiency can pose challenges to businesses unfamiliar with the German market. Navigating these cultural norms requires a clear understanding of business etiquette and legal regulations. Language, while not a significant barrier due to widespread English proficiency in business circles, can still be an obstacle in more localized settings or when dealing with bureaucratic procedures.</w:t>
      </w:r>
    </w:p>
    <w:p w14:paraId="5B222A43"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Spain presents a more relationship-oriented business culture, where personal connections and trust are paramount. The importance of social interactions and a more informal approach to business can be challenging for those accustomed to more transactional or formal business practices. Communication barriers in Spain often stem from language, with a greater reliance on Spanish in both business and administrative contexts. Understanding and adapting to these cultural nuances are crucial for successful business operations in Spain.</w:t>
      </w:r>
    </w:p>
    <w:p w14:paraId="48BC286D"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Risks and Opportunities</w:t>
      </w:r>
    </w:p>
    <w:p w14:paraId="7567C080"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In Germany, the primary risks are related to the regulatory environment and the competitive nature of the market. The high level of regulation, while providing stability and transparency, can also result in complex compliance requirements. However, the opportunities in the German market are significant, with a strong demand for real estate across various sectors and a highly developed economic infrastructure supporting business growth.</w:t>
      </w:r>
    </w:p>
    <w:p w14:paraId="2850E5B6"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Spain offers a more volatile environment, with economic and political fluctuations presenting potential risks. However, these are counterbalanced by significant opportunities, particularly in the tourism and residential sectors, where Spain's lifestyle and climate offer unique selling points. The improving economic landscape and government incentives for foreign investment also present opportunities for businesses willing to navigate the complexities of the Spanish market.</w:t>
      </w:r>
    </w:p>
    <w:p w14:paraId="428950A8"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Job Prospects and Diversity</w:t>
      </w:r>
    </w:p>
    <w:p w14:paraId="28E81932"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Germany's labor market is one of the strongest in Europe, with low unemployment and a high demand for skilled labor. The country's focus on innovation and technology drives demand in these sectors, offering diverse job prospects. Germany's multicultural society and high standard of living attract talent from around the world, contributing to a diverse and dynamic workforce.</w:t>
      </w:r>
    </w:p>
    <w:p w14:paraId="12D8F794" w14:textId="0765BD49"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Spain, with its recovering economy, is seeing improvements in job prospects, particularly in services, tourism, and technology sectors. The country's diverse cultural landscape and emphasis on work-life balance make it an attractive destination for international talent, enhancing workforce diversity. Spain's commitment to social inclusion and diversity in the workplace further enriches its labor market.</w:t>
      </w:r>
    </w:p>
    <w:p w14:paraId="289E9C3E"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Recommendations for Expansion into Spain</w:t>
      </w:r>
    </w:p>
    <w:p w14:paraId="67DCC831"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lastRenderedPageBreak/>
        <w:t>Overcoming Communication Barriers</w:t>
      </w:r>
    </w:p>
    <w:p w14:paraId="1BF8FF8E"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Language Training: To facilitate effective communication and integration into the Spanish market, it is recommended that "Global Estates PLC" invests in comprehensive Spanish language training for its key staff. This training should go beyond basic language skills to include specific real estate and business terminology used in Spain.</w:t>
      </w:r>
    </w:p>
    <w:p w14:paraId="3A70B8D0"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Hiring Local Experts: Employing local professionals who understand the Spanish real estate market, legal requirements, and business culture can bridge gaps in knowledge and communication. Local experts can serve as mediators, translators, and advisors, ensuring smoother operations and negotiations.</w:t>
      </w:r>
    </w:p>
    <w:p w14:paraId="116ECF51"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Cultural Sensitivity Training: Organizing workshops and training sessions on Spanish business etiquette, cultural norms, and social practices will prepare the company's staff for more effective interactions with local partners, clients, and authorities. Emphasizing the importance of personal relationships and networking in Spain, these sessions can help in adapting business strategies to suit local expectations.</w:t>
      </w:r>
    </w:p>
    <w:p w14:paraId="63142267"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Establishing Local Partnerships: Forming strategic alliances with Spanish companies can provide valuable insights into the local market, facilitate entry into tightly-knit business networks, and enhance credibility. Partnerships with local real estate firms, construction companies, and marketing agencies can leverage local expertise and resources for mutual benefit.</w:t>
      </w:r>
    </w:p>
    <w:p w14:paraId="1678AA4E"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Ensuring a Positive Environment for Business Growth and Workforce Integration</w:t>
      </w:r>
    </w:p>
    <w:p w14:paraId="2E2A207E"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Community Engagement: Engaging with the local community and stakeholders through CSR activities, sponsorships, and participation in local events can build a positive brand image and foster community support. Initiatives that contribute to local development, sustainability, and social welfare will demonstrate the company's commitment to being a responsible and integrated member of the community.</w:t>
      </w:r>
    </w:p>
    <w:p w14:paraId="212D576B"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Flexible Work Practices: Adopting flexible work practices that align with the Spanish emphasis on work-life balance can attract and retain talent. This includes flexible hours, telecommuting options, and understanding local customs such as the siesta.</w:t>
      </w:r>
    </w:p>
    <w:p w14:paraId="637F6EF3"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Diversity and Inclusion Policies: Implementing policies that promote diversity, inclusion, and equal opportunities within the workforce will not only comply with local regulations but also enrich the company culture. These policies should address hiring practices, career development, and workplace environment, ensuring that all employees feel valued and supported.</w:t>
      </w:r>
    </w:p>
    <w:p w14:paraId="2AD03A45"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Continuous Market Research: The Spanish real estate market is dynamic, with regional variations and shifting trends. Continuous market research and analysis will help "Global Estates PLC" to keep ahead of trends, modify tactics accordingly, and uncover new chances for growth.</w:t>
      </w:r>
    </w:p>
    <w:p w14:paraId="11582251"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 xml:space="preserve">Regulatory Compliance and Risk Management: Staying educated about and compliance with Spanish legal and regulatory standards is crucial. Investing in risk management measures and </w:t>
      </w:r>
      <w:r w:rsidRPr="00E35CC2">
        <w:rPr>
          <w:rFonts w:ascii="Times New Roman" w:hAnsi="Times New Roman" w:cs="Times New Roman"/>
          <w:sz w:val="24"/>
          <w:szCs w:val="24"/>
        </w:rPr>
        <w:lastRenderedPageBreak/>
        <w:t>legal guidance helps lessen any legal and financial risks connected with real estate investments and activities in Spain.</w:t>
      </w:r>
    </w:p>
    <w:p w14:paraId="7D292835"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 xml:space="preserve">Conclusion </w:t>
      </w:r>
    </w:p>
    <w:p w14:paraId="2EF86E98"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In ending this extensive examination, it's evident that strategic foreign development needs careful evaluation of various elements, including market potential, cultural subtleties, communication difficulties, and regulatory frameworks. The comparative comparison of Germany and Spain revealed the various benefits and problems each nation brings, eventually directing the suggestion for "Global Estates PLC" to grow into the Spanish real estate market. This choice was driven by Spain's dynamic market, defined by a growing demand in both residential and commercial sectors, reinforced by its attraction to international investors and a reviving economy.</w:t>
      </w:r>
    </w:p>
    <w:p w14:paraId="0BB78215"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The choice of Spain emphasises the vital relevance of cultural knowledge and good communication in international company operations. Spain's corporate culture, with its focus on personal ties and informal negotiation approaches, demands a specialised strategy. "Global Estates PLC" must emphasise language training, recruit local specialists, and engage in cultural sensitivity training to traverse this situation successfully. Establishing local alliances will also be crucial in accessing networks and exploiting local market expertise.</w:t>
      </w:r>
    </w:p>
    <w:p w14:paraId="1A061056"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Furthermore, this growth approach illustrates the requirement of strategic planning that fits the complexity of operating in a foreign market. From resolving legal and regulatory compliance to adjusting workplace practices to match local norms and beliefs, "Global Estates PLC" must utilise a diverse strategy. Ensuring a healthy climate for corporate growth and worker integration in Spain will need continued commitment to community engagement, diversity, and flexible work practices.</w:t>
      </w:r>
    </w:p>
    <w:p w14:paraId="75AD6943" w14:textId="77777777" w:rsidR="00E35CC2" w:rsidRPr="00E35CC2" w:rsidRDefault="00E35CC2" w:rsidP="00E35CC2">
      <w:pPr>
        <w:rPr>
          <w:rFonts w:ascii="Times New Roman" w:hAnsi="Times New Roman" w:cs="Times New Roman"/>
          <w:sz w:val="24"/>
          <w:szCs w:val="24"/>
        </w:rPr>
      </w:pPr>
      <w:r w:rsidRPr="00E35CC2">
        <w:rPr>
          <w:rFonts w:ascii="Times New Roman" w:hAnsi="Times New Roman" w:cs="Times New Roman"/>
          <w:sz w:val="24"/>
          <w:szCs w:val="24"/>
        </w:rPr>
        <w:t>In summary, the choice to expand into Spain, along with a strategic focus on cultural integration, communication excellence, and detailed market analysis, sets "Global Estates PLC" for successful expansion in the European real estate sector. This strategy not only boosts the company's market presence but also contributes to its reputation as a culturally competent and globally competitive firm.</w:t>
      </w:r>
    </w:p>
    <w:p w14:paraId="18AC2E1F" w14:textId="77777777" w:rsidR="00E35CC2" w:rsidRPr="00E35CC2" w:rsidRDefault="00E35CC2" w:rsidP="00E35CC2">
      <w:pPr>
        <w:rPr>
          <w:rFonts w:ascii="Times New Roman" w:hAnsi="Times New Roman" w:cs="Times New Roman"/>
          <w:b/>
          <w:bCs/>
          <w:sz w:val="24"/>
          <w:szCs w:val="24"/>
        </w:rPr>
      </w:pPr>
    </w:p>
    <w:p w14:paraId="27FF0110" w14:textId="77777777" w:rsidR="008841C5" w:rsidRPr="00476D58" w:rsidRDefault="008841C5" w:rsidP="00836ABA">
      <w:pPr>
        <w:rPr>
          <w:rFonts w:ascii="Times New Roman" w:hAnsi="Times New Roman" w:cs="Times New Roman"/>
          <w:sz w:val="24"/>
          <w:szCs w:val="24"/>
        </w:rPr>
      </w:pPr>
    </w:p>
    <w:p w14:paraId="1CBF4730" w14:textId="77777777" w:rsidR="008841C5" w:rsidRPr="00476D58" w:rsidRDefault="008841C5" w:rsidP="00836ABA">
      <w:pPr>
        <w:rPr>
          <w:rFonts w:ascii="Times New Roman" w:hAnsi="Times New Roman" w:cs="Times New Roman"/>
          <w:sz w:val="24"/>
          <w:szCs w:val="24"/>
        </w:rPr>
      </w:pPr>
    </w:p>
    <w:p w14:paraId="29E0DE67" w14:textId="77777777" w:rsidR="008841C5" w:rsidRPr="00476D58" w:rsidRDefault="008841C5" w:rsidP="00836ABA">
      <w:pPr>
        <w:rPr>
          <w:rFonts w:ascii="Times New Roman" w:hAnsi="Times New Roman" w:cs="Times New Roman"/>
          <w:sz w:val="24"/>
          <w:szCs w:val="24"/>
        </w:rPr>
      </w:pPr>
    </w:p>
    <w:p w14:paraId="2CAD9F69" w14:textId="77777777" w:rsidR="008841C5" w:rsidRPr="00476D58" w:rsidRDefault="008841C5" w:rsidP="00836ABA">
      <w:pPr>
        <w:rPr>
          <w:rFonts w:ascii="Times New Roman" w:hAnsi="Times New Roman" w:cs="Times New Roman"/>
          <w:sz w:val="24"/>
          <w:szCs w:val="24"/>
        </w:rPr>
      </w:pPr>
    </w:p>
    <w:p w14:paraId="15CC5435" w14:textId="77777777" w:rsidR="008841C5" w:rsidRPr="00476D58" w:rsidRDefault="008841C5" w:rsidP="00836ABA">
      <w:pPr>
        <w:rPr>
          <w:rFonts w:ascii="Times New Roman" w:hAnsi="Times New Roman" w:cs="Times New Roman"/>
          <w:sz w:val="24"/>
          <w:szCs w:val="24"/>
        </w:rPr>
      </w:pPr>
    </w:p>
    <w:p w14:paraId="243BED93" w14:textId="77777777" w:rsidR="008841C5" w:rsidRPr="00476D58" w:rsidRDefault="008841C5" w:rsidP="00836ABA">
      <w:pPr>
        <w:rPr>
          <w:rFonts w:ascii="Times New Roman" w:hAnsi="Times New Roman" w:cs="Times New Roman"/>
          <w:sz w:val="24"/>
          <w:szCs w:val="24"/>
        </w:rPr>
      </w:pPr>
    </w:p>
    <w:p w14:paraId="04530FF1" w14:textId="77777777" w:rsidR="00E35CC2" w:rsidRDefault="00E35CC2" w:rsidP="00836ABA">
      <w:pPr>
        <w:rPr>
          <w:rFonts w:ascii="Times New Roman" w:hAnsi="Times New Roman" w:cs="Times New Roman"/>
          <w:b/>
          <w:bCs/>
          <w:sz w:val="24"/>
          <w:szCs w:val="24"/>
        </w:rPr>
      </w:pPr>
    </w:p>
    <w:p w14:paraId="5067B066" w14:textId="77777777" w:rsidR="00D21779" w:rsidRDefault="00D21779" w:rsidP="00836ABA">
      <w:pPr>
        <w:rPr>
          <w:rFonts w:ascii="Times New Roman" w:hAnsi="Times New Roman" w:cs="Times New Roman"/>
          <w:b/>
          <w:bCs/>
          <w:sz w:val="24"/>
          <w:szCs w:val="24"/>
        </w:rPr>
      </w:pPr>
    </w:p>
    <w:p w14:paraId="0F9F41F2" w14:textId="78683289" w:rsidR="00136DF1" w:rsidRPr="00476D58" w:rsidRDefault="00136DF1" w:rsidP="00836ABA">
      <w:pPr>
        <w:rPr>
          <w:rFonts w:ascii="Times New Roman" w:hAnsi="Times New Roman" w:cs="Times New Roman"/>
          <w:b/>
          <w:bCs/>
          <w:sz w:val="24"/>
          <w:szCs w:val="24"/>
        </w:rPr>
      </w:pPr>
      <w:r w:rsidRPr="00476D58">
        <w:rPr>
          <w:rFonts w:ascii="Times New Roman" w:hAnsi="Times New Roman" w:cs="Times New Roman"/>
          <w:b/>
          <w:bCs/>
          <w:sz w:val="24"/>
          <w:szCs w:val="24"/>
        </w:rPr>
        <w:lastRenderedPageBreak/>
        <w:t>References:</w:t>
      </w:r>
    </w:p>
    <w:p w14:paraId="6BB1A5B2" w14:textId="77777777" w:rsidR="00136DF1" w:rsidRPr="00476D58" w:rsidRDefault="00136DF1" w:rsidP="00136DF1">
      <w:pPr>
        <w:rPr>
          <w:rFonts w:ascii="Times New Roman" w:hAnsi="Times New Roman" w:cs="Times New Roman"/>
          <w:sz w:val="24"/>
          <w:szCs w:val="24"/>
        </w:rPr>
      </w:pPr>
      <w:r w:rsidRPr="00476D58">
        <w:rPr>
          <w:rFonts w:ascii="Times New Roman" w:hAnsi="Times New Roman" w:cs="Times New Roman"/>
          <w:sz w:val="24"/>
          <w:szCs w:val="24"/>
        </w:rPr>
        <w:t>Hofstede, G. (2001). Culture's Consequences: Comparing Values, Behaviors, Institutions, and Organizations Across Nations. Sage Publications.</w:t>
      </w:r>
    </w:p>
    <w:p w14:paraId="192E9421" w14:textId="77777777" w:rsidR="00136DF1" w:rsidRPr="00476D58" w:rsidRDefault="00136DF1" w:rsidP="00136DF1">
      <w:pPr>
        <w:rPr>
          <w:rFonts w:ascii="Times New Roman" w:hAnsi="Times New Roman" w:cs="Times New Roman"/>
          <w:sz w:val="24"/>
          <w:szCs w:val="24"/>
        </w:rPr>
      </w:pPr>
      <w:r w:rsidRPr="00476D58">
        <w:rPr>
          <w:rFonts w:ascii="Times New Roman" w:hAnsi="Times New Roman" w:cs="Times New Roman"/>
          <w:sz w:val="24"/>
          <w:szCs w:val="24"/>
        </w:rPr>
        <w:t>Jandt, F.E. (2017). An Introduction to Intercultural Communication: Identities in a Global Community. Sage Publications.</w:t>
      </w:r>
    </w:p>
    <w:p w14:paraId="2AF57036" w14:textId="77777777" w:rsidR="00136DF1" w:rsidRPr="00476D58" w:rsidRDefault="00136DF1" w:rsidP="00136DF1">
      <w:pPr>
        <w:rPr>
          <w:rFonts w:ascii="Times New Roman" w:hAnsi="Times New Roman" w:cs="Times New Roman"/>
          <w:sz w:val="24"/>
          <w:szCs w:val="24"/>
        </w:rPr>
      </w:pPr>
      <w:r w:rsidRPr="00476D58">
        <w:rPr>
          <w:rFonts w:ascii="Times New Roman" w:hAnsi="Times New Roman" w:cs="Times New Roman"/>
          <w:sz w:val="24"/>
          <w:szCs w:val="24"/>
        </w:rPr>
        <w:t>The Economist Intelligence Unit. (2023). Country Reports. [For up-to-date economic and political analysis].</w:t>
      </w:r>
    </w:p>
    <w:p w14:paraId="24DE8044" w14:textId="77777777" w:rsidR="00136DF1" w:rsidRPr="00476D58" w:rsidRDefault="00136DF1" w:rsidP="00136DF1">
      <w:pPr>
        <w:rPr>
          <w:rFonts w:ascii="Times New Roman" w:hAnsi="Times New Roman" w:cs="Times New Roman"/>
          <w:sz w:val="24"/>
          <w:szCs w:val="24"/>
        </w:rPr>
      </w:pPr>
      <w:r w:rsidRPr="00476D58">
        <w:rPr>
          <w:rFonts w:ascii="Times New Roman" w:hAnsi="Times New Roman" w:cs="Times New Roman"/>
          <w:sz w:val="24"/>
          <w:szCs w:val="24"/>
        </w:rPr>
        <w:t>Eurostat. European Union Statistics on Income and Living Conditions (EU-SILC). [For demographic and social context data].</w:t>
      </w:r>
    </w:p>
    <w:p w14:paraId="06EB7079" w14:textId="77777777" w:rsidR="00136DF1" w:rsidRPr="00476D58" w:rsidRDefault="00136DF1" w:rsidP="00136DF1">
      <w:pPr>
        <w:rPr>
          <w:rFonts w:ascii="Times New Roman" w:hAnsi="Times New Roman" w:cs="Times New Roman"/>
          <w:sz w:val="24"/>
          <w:szCs w:val="24"/>
        </w:rPr>
      </w:pPr>
      <w:r w:rsidRPr="00476D58">
        <w:rPr>
          <w:rFonts w:ascii="Times New Roman" w:hAnsi="Times New Roman" w:cs="Times New Roman"/>
          <w:sz w:val="24"/>
          <w:szCs w:val="24"/>
        </w:rPr>
        <w:t>PwC Real Estate 2020: Building the Future. [For insights into global real estate trends and projections].</w:t>
      </w:r>
    </w:p>
    <w:p w14:paraId="1146752D" w14:textId="77777777" w:rsidR="00136DF1" w:rsidRPr="00476D58" w:rsidRDefault="00136DF1" w:rsidP="00136DF1">
      <w:pPr>
        <w:rPr>
          <w:rFonts w:ascii="Times New Roman" w:hAnsi="Times New Roman" w:cs="Times New Roman"/>
          <w:sz w:val="24"/>
          <w:szCs w:val="24"/>
        </w:rPr>
      </w:pPr>
      <w:r w:rsidRPr="00476D58">
        <w:rPr>
          <w:rFonts w:ascii="Times New Roman" w:hAnsi="Times New Roman" w:cs="Times New Roman"/>
          <w:sz w:val="24"/>
          <w:szCs w:val="24"/>
        </w:rPr>
        <w:t>European Real Estate Association. (2023). Market Analysis Reports. [For detailed real estate market analysis in EU countries].</w:t>
      </w:r>
    </w:p>
    <w:p w14:paraId="570A010F" w14:textId="77777777" w:rsidR="00136DF1" w:rsidRPr="00476D58" w:rsidRDefault="00136DF1" w:rsidP="00136DF1">
      <w:pPr>
        <w:rPr>
          <w:rFonts w:ascii="Times New Roman" w:hAnsi="Times New Roman" w:cs="Times New Roman"/>
          <w:sz w:val="24"/>
          <w:szCs w:val="24"/>
        </w:rPr>
      </w:pPr>
      <w:r w:rsidRPr="00476D58">
        <w:rPr>
          <w:rFonts w:ascii="Times New Roman" w:hAnsi="Times New Roman" w:cs="Times New Roman"/>
          <w:sz w:val="24"/>
          <w:szCs w:val="24"/>
        </w:rPr>
        <w:t>Samovar, L.A., Porter, R.E., &amp; McDaniel, E.R. (2015). Communication Between Cultures. Cengage Learning.</w:t>
      </w:r>
    </w:p>
    <w:p w14:paraId="35D781C1" w14:textId="77777777" w:rsidR="00136DF1" w:rsidRPr="00476D58" w:rsidRDefault="00136DF1" w:rsidP="00136DF1">
      <w:pPr>
        <w:rPr>
          <w:rFonts w:ascii="Times New Roman" w:hAnsi="Times New Roman" w:cs="Times New Roman"/>
          <w:sz w:val="24"/>
          <w:szCs w:val="24"/>
        </w:rPr>
      </w:pPr>
      <w:r w:rsidRPr="00476D58">
        <w:rPr>
          <w:rFonts w:ascii="Times New Roman" w:hAnsi="Times New Roman" w:cs="Times New Roman"/>
          <w:sz w:val="24"/>
          <w:szCs w:val="24"/>
        </w:rPr>
        <w:t>KPMG International. (2023). High Growth Markets International Acquisition Tracker. [For insights into international business expansion and acquisition trends].</w:t>
      </w:r>
    </w:p>
    <w:sectPr w:rsidR="00136DF1" w:rsidRPr="00476D58">
      <w:headerReference w:type="default" r:id="rId9"/>
      <w:foot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B16C1" w14:textId="77777777" w:rsidR="00BD1A7D" w:rsidRDefault="00BD1A7D" w:rsidP="00116D90">
      <w:pPr>
        <w:spacing w:after="0" w:line="240" w:lineRule="auto"/>
      </w:pPr>
      <w:r>
        <w:separator/>
      </w:r>
    </w:p>
  </w:endnote>
  <w:endnote w:type="continuationSeparator" w:id="0">
    <w:p w14:paraId="7AA4C20D" w14:textId="77777777" w:rsidR="00BD1A7D" w:rsidRDefault="00BD1A7D" w:rsidP="00116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153385"/>
      <w:docPartObj>
        <w:docPartGallery w:val="Page Numbers (Bottom of Page)"/>
        <w:docPartUnique/>
      </w:docPartObj>
    </w:sdtPr>
    <w:sdtEndPr>
      <w:rPr>
        <w:noProof/>
      </w:rPr>
    </w:sdtEndPr>
    <w:sdtContent>
      <w:p w14:paraId="30B980DB" w14:textId="77777777" w:rsidR="00B93131" w:rsidRDefault="00B93131">
        <w:pPr>
          <w:pStyle w:val="Footer"/>
          <w:jc w:val="center"/>
        </w:pPr>
      </w:p>
      <w:p w14:paraId="61FC91B6" w14:textId="77777777" w:rsidR="00B93131" w:rsidRDefault="00B93131" w:rsidP="00B93131">
        <w:pPr>
          <w:pStyle w:val="Footer"/>
        </w:pPr>
      </w:p>
      <w:p w14:paraId="06AF8BE0" w14:textId="0600A668" w:rsidR="00B93131" w:rsidRDefault="00B93131" w:rsidP="00B93131">
        <w:pPr>
          <w:pStyle w:val="Footer"/>
        </w:pPr>
        <w:r>
          <w:fldChar w:fldCharType="begin"/>
        </w:r>
        <w:r>
          <w:instrText xml:space="preserve"> PAGE   \* MERGEFORMAT </w:instrText>
        </w:r>
        <w:r>
          <w:fldChar w:fldCharType="separate"/>
        </w:r>
        <w:r>
          <w:rPr>
            <w:noProof/>
          </w:rPr>
          <w:t>2</w:t>
        </w:r>
        <w:r>
          <w:rPr>
            <w:noProof/>
          </w:rPr>
          <w:fldChar w:fldCharType="end"/>
        </w:r>
      </w:p>
    </w:sdtContent>
  </w:sdt>
  <w:p w14:paraId="41A1CE00" w14:textId="2BCCE3A7" w:rsidR="00116D90" w:rsidRDefault="00116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118DE" w14:textId="77777777" w:rsidR="00BD1A7D" w:rsidRDefault="00BD1A7D" w:rsidP="00116D90">
      <w:pPr>
        <w:spacing w:after="0" w:line="240" w:lineRule="auto"/>
      </w:pPr>
      <w:r>
        <w:separator/>
      </w:r>
    </w:p>
  </w:footnote>
  <w:footnote w:type="continuationSeparator" w:id="0">
    <w:p w14:paraId="7AE93DAF" w14:textId="77777777" w:rsidR="00BD1A7D" w:rsidRDefault="00BD1A7D" w:rsidP="00116D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9881B0" w14:textId="57916CB9" w:rsidR="00476D58" w:rsidRDefault="00476D58">
    <w:pPr>
      <w:pStyle w:val="Header"/>
    </w:pPr>
  </w:p>
  <w:p w14:paraId="510ED07A" w14:textId="4060AB1E" w:rsidR="00476D58" w:rsidRDefault="00476D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862C58"/>
    <w:multiLevelType w:val="multilevel"/>
    <w:tmpl w:val="F3A2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91510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EB4"/>
    <w:rsid w:val="00032F56"/>
    <w:rsid w:val="000B2195"/>
    <w:rsid w:val="000E7416"/>
    <w:rsid w:val="00116D90"/>
    <w:rsid w:val="00136DF1"/>
    <w:rsid w:val="00437AB8"/>
    <w:rsid w:val="00475940"/>
    <w:rsid w:val="00476D58"/>
    <w:rsid w:val="004B2B46"/>
    <w:rsid w:val="004C4EB4"/>
    <w:rsid w:val="004E03A0"/>
    <w:rsid w:val="00764098"/>
    <w:rsid w:val="007C340C"/>
    <w:rsid w:val="00836ABA"/>
    <w:rsid w:val="008841C5"/>
    <w:rsid w:val="008C3FF3"/>
    <w:rsid w:val="008F2383"/>
    <w:rsid w:val="009102B7"/>
    <w:rsid w:val="00B74EFC"/>
    <w:rsid w:val="00B93131"/>
    <w:rsid w:val="00BD1A7D"/>
    <w:rsid w:val="00BE0490"/>
    <w:rsid w:val="00C3292B"/>
    <w:rsid w:val="00D21779"/>
    <w:rsid w:val="00DA4815"/>
    <w:rsid w:val="00DD6B9B"/>
    <w:rsid w:val="00E35CC2"/>
    <w:rsid w:val="00ED504D"/>
    <w:rsid w:val="00F16A3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664A12"/>
  <w15:docId w15:val="{B4526C93-1DBD-410B-BA49-636E7757C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A37"/>
  </w:style>
  <w:style w:type="paragraph" w:styleId="Heading1">
    <w:name w:val="heading 1"/>
    <w:basedOn w:val="Normal"/>
    <w:next w:val="Normal"/>
    <w:link w:val="Heading1Char"/>
    <w:uiPriority w:val="9"/>
    <w:qFormat/>
    <w:rsid w:val="00F16A37"/>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F16A37"/>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F16A37"/>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F16A37"/>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F16A37"/>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F16A37"/>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F16A37"/>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F16A37"/>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F16A37"/>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16A37"/>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F16A37"/>
    <w:rPr>
      <w:rFonts w:asciiTheme="majorHAnsi" w:eastAsiaTheme="majorEastAsia" w:hAnsiTheme="majorHAnsi" w:cstheme="majorBidi"/>
      <w:caps/>
    </w:rPr>
  </w:style>
  <w:style w:type="character" w:customStyle="1" w:styleId="Heading1Char">
    <w:name w:val="Heading 1 Char"/>
    <w:basedOn w:val="DefaultParagraphFont"/>
    <w:link w:val="Heading1"/>
    <w:uiPriority w:val="9"/>
    <w:rsid w:val="00F16A37"/>
    <w:rPr>
      <w:rFonts w:asciiTheme="majorHAnsi" w:eastAsiaTheme="majorEastAsia" w:hAnsiTheme="majorHAnsi" w:cstheme="majorBidi"/>
      <w:caps/>
      <w:sz w:val="36"/>
      <w:szCs w:val="36"/>
    </w:rPr>
  </w:style>
  <w:style w:type="paragraph" w:styleId="TOCHeading">
    <w:name w:val="TOC Heading"/>
    <w:basedOn w:val="Heading1"/>
    <w:next w:val="Normal"/>
    <w:uiPriority w:val="39"/>
    <w:unhideWhenUsed/>
    <w:qFormat/>
    <w:rsid w:val="00F16A37"/>
    <w:pPr>
      <w:outlineLvl w:val="9"/>
    </w:pPr>
  </w:style>
  <w:style w:type="paragraph" w:styleId="TOC1">
    <w:name w:val="toc 1"/>
    <w:basedOn w:val="Normal"/>
    <w:next w:val="Normal"/>
    <w:autoRedefine/>
    <w:uiPriority w:val="39"/>
    <w:unhideWhenUsed/>
    <w:rsid w:val="004E03A0"/>
    <w:pPr>
      <w:spacing w:after="100"/>
    </w:pPr>
    <w:rPr>
      <w:kern w:val="2"/>
      <w:lang w:val="en-GB"/>
      <w14:ligatures w14:val="standardContextual"/>
    </w:rPr>
  </w:style>
  <w:style w:type="character" w:styleId="Hyperlink">
    <w:name w:val="Hyperlink"/>
    <w:basedOn w:val="DefaultParagraphFont"/>
    <w:uiPriority w:val="99"/>
    <w:unhideWhenUsed/>
    <w:rsid w:val="004E03A0"/>
    <w:rPr>
      <w:color w:val="0000FF" w:themeColor="hyperlink"/>
      <w:u w:val="single"/>
    </w:rPr>
  </w:style>
  <w:style w:type="character" w:customStyle="1" w:styleId="Heading2Char">
    <w:name w:val="Heading 2 Char"/>
    <w:basedOn w:val="DefaultParagraphFont"/>
    <w:link w:val="Heading2"/>
    <w:uiPriority w:val="9"/>
    <w:semiHidden/>
    <w:rsid w:val="00F16A37"/>
    <w:rPr>
      <w:rFonts w:asciiTheme="majorHAnsi" w:eastAsiaTheme="majorEastAsia" w:hAnsiTheme="majorHAnsi" w:cstheme="majorBidi"/>
      <w:caps/>
      <w:sz w:val="28"/>
      <w:szCs w:val="28"/>
    </w:rPr>
  </w:style>
  <w:style w:type="character" w:customStyle="1" w:styleId="Heading5Char">
    <w:name w:val="Heading 5 Char"/>
    <w:basedOn w:val="DefaultParagraphFont"/>
    <w:link w:val="Heading5"/>
    <w:uiPriority w:val="9"/>
    <w:semiHidden/>
    <w:rsid w:val="00F16A37"/>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F16A37"/>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F16A37"/>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F16A37"/>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F16A37"/>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F16A37"/>
    <w:pPr>
      <w:spacing w:line="240" w:lineRule="auto"/>
    </w:pPr>
    <w:rPr>
      <w:b/>
      <w:bCs/>
      <w:smallCaps/>
      <w:color w:val="595959" w:themeColor="text1" w:themeTint="A6"/>
    </w:rPr>
  </w:style>
  <w:style w:type="paragraph" w:styleId="Title">
    <w:name w:val="Title"/>
    <w:basedOn w:val="Normal"/>
    <w:next w:val="Normal"/>
    <w:link w:val="TitleChar"/>
    <w:uiPriority w:val="10"/>
    <w:qFormat/>
    <w:rsid w:val="00F16A37"/>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F16A37"/>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F16A37"/>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F16A37"/>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F16A37"/>
    <w:rPr>
      <w:b/>
      <w:bCs/>
    </w:rPr>
  </w:style>
  <w:style w:type="character" w:styleId="Emphasis">
    <w:name w:val="Emphasis"/>
    <w:basedOn w:val="DefaultParagraphFont"/>
    <w:uiPriority w:val="20"/>
    <w:qFormat/>
    <w:rsid w:val="00F16A37"/>
    <w:rPr>
      <w:i/>
      <w:iCs/>
    </w:rPr>
  </w:style>
  <w:style w:type="paragraph" w:styleId="NoSpacing">
    <w:name w:val="No Spacing"/>
    <w:uiPriority w:val="1"/>
    <w:qFormat/>
    <w:rsid w:val="00F16A37"/>
    <w:pPr>
      <w:spacing w:after="0" w:line="240" w:lineRule="auto"/>
    </w:pPr>
  </w:style>
  <w:style w:type="paragraph" w:styleId="Quote">
    <w:name w:val="Quote"/>
    <w:basedOn w:val="Normal"/>
    <w:next w:val="Normal"/>
    <w:link w:val="QuoteChar"/>
    <w:uiPriority w:val="29"/>
    <w:qFormat/>
    <w:rsid w:val="00F16A37"/>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F16A37"/>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F16A37"/>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F16A37"/>
    <w:rPr>
      <w:color w:val="404040" w:themeColor="text1" w:themeTint="BF"/>
      <w:sz w:val="32"/>
      <w:szCs w:val="32"/>
    </w:rPr>
  </w:style>
  <w:style w:type="character" w:styleId="SubtleEmphasis">
    <w:name w:val="Subtle Emphasis"/>
    <w:basedOn w:val="DefaultParagraphFont"/>
    <w:uiPriority w:val="19"/>
    <w:qFormat/>
    <w:rsid w:val="00F16A37"/>
    <w:rPr>
      <w:i/>
      <w:iCs/>
      <w:color w:val="595959" w:themeColor="text1" w:themeTint="A6"/>
    </w:rPr>
  </w:style>
  <w:style w:type="character" w:styleId="IntenseEmphasis">
    <w:name w:val="Intense Emphasis"/>
    <w:basedOn w:val="DefaultParagraphFont"/>
    <w:uiPriority w:val="21"/>
    <w:qFormat/>
    <w:rsid w:val="00F16A37"/>
    <w:rPr>
      <w:b/>
      <w:bCs/>
      <w:i/>
      <w:iCs/>
    </w:rPr>
  </w:style>
  <w:style w:type="character" w:styleId="SubtleReference">
    <w:name w:val="Subtle Reference"/>
    <w:basedOn w:val="DefaultParagraphFont"/>
    <w:uiPriority w:val="31"/>
    <w:qFormat/>
    <w:rsid w:val="00F16A3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16A37"/>
    <w:rPr>
      <w:b/>
      <w:bCs/>
      <w:caps w:val="0"/>
      <w:smallCaps/>
      <w:color w:val="auto"/>
      <w:spacing w:val="3"/>
      <w:u w:val="single"/>
    </w:rPr>
  </w:style>
  <w:style w:type="character" w:styleId="BookTitle">
    <w:name w:val="Book Title"/>
    <w:basedOn w:val="DefaultParagraphFont"/>
    <w:uiPriority w:val="33"/>
    <w:qFormat/>
    <w:rsid w:val="00F16A37"/>
    <w:rPr>
      <w:b/>
      <w:bCs/>
      <w:smallCaps/>
      <w:spacing w:val="7"/>
    </w:rPr>
  </w:style>
  <w:style w:type="paragraph" w:styleId="Header">
    <w:name w:val="header"/>
    <w:basedOn w:val="Normal"/>
    <w:link w:val="HeaderChar"/>
    <w:uiPriority w:val="99"/>
    <w:unhideWhenUsed/>
    <w:rsid w:val="00116D90"/>
    <w:pPr>
      <w:tabs>
        <w:tab w:val="center" w:pos="4536"/>
        <w:tab w:val="right" w:pos="9072"/>
      </w:tabs>
      <w:spacing w:after="0" w:line="240" w:lineRule="auto"/>
    </w:pPr>
  </w:style>
  <w:style w:type="character" w:customStyle="1" w:styleId="HeaderChar">
    <w:name w:val="Header Char"/>
    <w:basedOn w:val="DefaultParagraphFont"/>
    <w:link w:val="Header"/>
    <w:uiPriority w:val="99"/>
    <w:rsid w:val="00116D90"/>
  </w:style>
  <w:style w:type="paragraph" w:styleId="Footer">
    <w:name w:val="footer"/>
    <w:basedOn w:val="Normal"/>
    <w:link w:val="FooterChar"/>
    <w:uiPriority w:val="99"/>
    <w:unhideWhenUsed/>
    <w:rsid w:val="00116D90"/>
    <w:pPr>
      <w:tabs>
        <w:tab w:val="center" w:pos="4536"/>
        <w:tab w:val="right" w:pos="9072"/>
      </w:tabs>
      <w:spacing w:after="0" w:line="240" w:lineRule="auto"/>
    </w:pPr>
  </w:style>
  <w:style w:type="character" w:customStyle="1" w:styleId="FooterChar">
    <w:name w:val="Footer Char"/>
    <w:basedOn w:val="DefaultParagraphFont"/>
    <w:link w:val="Footer"/>
    <w:uiPriority w:val="99"/>
    <w:rsid w:val="00116D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056045">
      <w:bodyDiv w:val="1"/>
      <w:marLeft w:val="0"/>
      <w:marRight w:val="0"/>
      <w:marTop w:val="0"/>
      <w:marBottom w:val="0"/>
      <w:divBdr>
        <w:top w:val="none" w:sz="0" w:space="0" w:color="auto"/>
        <w:left w:val="none" w:sz="0" w:space="0" w:color="auto"/>
        <w:bottom w:val="none" w:sz="0" w:space="0" w:color="auto"/>
        <w:right w:val="none" w:sz="0" w:space="0" w:color="auto"/>
      </w:divBdr>
    </w:div>
    <w:div w:id="279921945">
      <w:bodyDiv w:val="1"/>
      <w:marLeft w:val="0"/>
      <w:marRight w:val="0"/>
      <w:marTop w:val="0"/>
      <w:marBottom w:val="0"/>
      <w:divBdr>
        <w:top w:val="none" w:sz="0" w:space="0" w:color="auto"/>
        <w:left w:val="none" w:sz="0" w:space="0" w:color="auto"/>
        <w:bottom w:val="none" w:sz="0" w:space="0" w:color="auto"/>
        <w:right w:val="none" w:sz="0" w:space="0" w:color="auto"/>
      </w:divBdr>
    </w:div>
    <w:div w:id="831138071">
      <w:bodyDiv w:val="1"/>
      <w:marLeft w:val="0"/>
      <w:marRight w:val="0"/>
      <w:marTop w:val="0"/>
      <w:marBottom w:val="0"/>
      <w:divBdr>
        <w:top w:val="none" w:sz="0" w:space="0" w:color="auto"/>
        <w:left w:val="none" w:sz="0" w:space="0" w:color="auto"/>
        <w:bottom w:val="none" w:sz="0" w:space="0" w:color="auto"/>
        <w:right w:val="none" w:sz="0" w:space="0" w:color="auto"/>
      </w:divBdr>
    </w:div>
    <w:div w:id="1217006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544438-AA85-4A18-A49C-4FA03F14D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2908</Words>
  <Characters>16577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petar mitev</cp:lastModifiedBy>
  <cp:revision>4</cp:revision>
  <dcterms:created xsi:type="dcterms:W3CDTF">2024-03-06T21:20:00Z</dcterms:created>
  <dcterms:modified xsi:type="dcterms:W3CDTF">2024-03-06T21:34:00Z</dcterms:modified>
</cp:coreProperties>
</file>