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8EB27F" w14:textId="77777777" w:rsidR="009E1D98" w:rsidRDefault="00000000">
      <w:pPr>
        <w:spacing w:after="240" w:line="360" w:lineRule="auto"/>
      </w:pPr>
      <w:r>
        <w:t>Name: Cristian Lungu</w:t>
      </w:r>
    </w:p>
    <w:p w14:paraId="2462A4B4" w14:textId="77777777" w:rsidR="009E1D98" w:rsidRDefault="00000000">
      <w:pPr>
        <w:spacing w:after="240" w:line="360" w:lineRule="auto"/>
      </w:pPr>
      <w:r>
        <w:t>Student Id: 2212206</w:t>
      </w:r>
    </w:p>
    <w:p w14:paraId="77555CD0" w14:textId="77777777" w:rsidR="009E1D98" w:rsidRDefault="00000000">
      <w:pPr>
        <w:spacing w:after="240" w:line="360" w:lineRule="auto"/>
      </w:pPr>
      <w:r>
        <w:t>Module: Data Handling &amp; Business Intelligence</w:t>
      </w:r>
    </w:p>
    <w:p w14:paraId="20D68615" w14:textId="77777777" w:rsidR="009E1D98" w:rsidRDefault="00000000">
      <w:pPr>
        <w:spacing w:after="240" w:line="360" w:lineRule="auto"/>
        <w:rPr>
          <w:rFonts w:ascii="Roboto" w:eastAsia="Roboto" w:hAnsi="Roboto" w:cs="Roboto"/>
          <w:sz w:val="26"/>
          <w:szCs w:val="26"/>
        </w:rPr>
      </w:pPr>
      <w:r>
        <w:t>Moule Id: LCBB5000</w:t>
      </w:r>
    </w:p>
    <w:sdt>
      <w:sdtPr>
        <w:id w:val="189965341"/>
        <w:docPartObj>
          <w:docPartGallery w:val="Table of Contents"/>
          <w:docPartUnique/>
        </w:docPartObj>
      </w:sdtPr>
      <w:sdtContent>
        <w:p w14:paraId="60E2AA78" w14:textId="77777777" w:rsidR="009E1D98" w:rsidRDefault="00000000">
          <w:pPr>
            <w:widowControl w:val="0"/>
            <w:spacing w:before="60" w:line="240" w:lineRule="auto"/>
            <w:rPr>
              <w:color w:val="1155CC"/>
              <w:u w:val="single"/>
            </w:rPr>
          </w:pPr>
          <w:r>
            <w:fldChar w:fldCharType="begin"/>
          </w:r>
          <w:r>
            <w:instrText xml:space="preserve"> TOC \h \u \z \n \t "Heading 1,1,Heading 2,2,Heading 3,3,Heading 4,4,Heading 5,5,Heading 6,6,"</w:instrText>
          </w:r>
          <w:r>
            <w:fldChar w:fldCharType="separate"/>
          </w:r>
          <w:hyperlink w:anchor="_gjdgxs">
            <w:r>
              <w:rPr>
                <w:color w:val="1155CC"/>
                <w:u w:val="single"/>
              </w:rPr>
              <w:t>Task 1</w:t>
            </w:r>
          </w:hyperlink>
        </w:p>
        <w:p w14:paraId="72B2AB70" w14:textId="77777777" w:rsidR="009E1D98" w:rsidRDefault="00000000">
          <w:pPr>
            <w:widowControl w:val="0"/>
            <w:spacing w:before="60" w:line="240" w:lineRule="auto"/>
            <w:ind w:left="360"/>
            <w:rPr>
              <w:color w:val="1155CC"/>
              <w:u w:val="single"/>
            </w:rPr>
          </w:pPr>
          <w:hyperlink w:anchor="_30j0zll">
            <w:r>
              <w:rPr>
                <w:color w:val="1155CC"/>
                <w:u w:val="single"/>
              </w:rPr>
              <w:t>A</w:t>
            </w:r>
          </w:hyperlink>
        </w:p>
        <w:p w14:paraId="4B67CC77" w14:textId="77777777" w:rsidR="009E1D98" w:rsidRDefault="00000000">
          <w:pPr>
            <w:widowControl w:val="0"/>
            <w:spacing w:before="60" w:line="240" w:lineRule="auto"/>
            <w:ind w:left="720"/>
            <w:rPr>
              <w:color w:val="1155CC"/>
              <w:u w:val="single"/>
            </w:rPr>
          </w:pPr>
          <w:hyperlink w:anchor="_1fob9te">
            <w:r>
              <w:rPr>
                <w:color w:val="1155CC"/>
                <w:u w:val="single"/>
              </w:rPr>
              <w:t>1.What is the mean value for reading score?</w:t>
            </w:r>
          </w:hyperlink>
        </w:p>
        <w:p w14:paraId="681BD6E8" w14:textId="77777777" w:rsidR="009E1D98" w:rsidRDefault="00000000">
          <w:pPr>
            <w:widowControl w:val="0"/>
            <w:spacing w:before="60" w:line="240" w:lineRule="auto"/>
            <w:ind w:left="720"/>
            <w:rPr>
              <w:color w:val="1155CC"/>
              <w:u w:val="single"/>
            </w:rPr>
          </w:pPr>
          <w:hyperlink w:anchor="_3znysh7">
            <w:r>
              <w:rPr>
                <w:color w:val="1155CC"/>
                <w:u w:val="single"/>
              </w:rPr>
              <w:t>2. What is the median value for reading scores?</w:t>
            </w:r>
          </w:hyperlink>
        </w:p>
        <w:p w14:paraId="0F106EC8" w14:textId="77777777" w:rsidR="009E1D98" w:rsidRDefault="00000000">
          <w:pPr>
            <w:widowControl w:val="0"/>
            <w:spacing w:before="60" w:line="240" w:lineRule="auto"/>
            <w:ind w:left="720"/>
            <w:rPr>
              <w:color w:val="1155CC"/>
              <w:u w:val="single"/>
            </w:rPr>
          </w:pPr>
          <w:hyperlink w:anchor="_2et92p0">
            <w:r>
              <w:rPr>
                <w:color w:val="1155CC"/>
                <w:u w:val="single"/>
              </w:rPr>
              <w:t>3. What is the mode of the reading score?</w:t>
            </w:r>
          </w:hyperlink>
        </w:p>
        <w:p w14:paraId="0476A2BC" w14:textId="77777777" w:rsidR="009E1D98" w:rsidRDefault="00000000">
          <w:pPr>
            <w:widowControl w:val="0"/>
            <w:spacing w:before="60" w:line="240" w:lineRule="auto"/>
            <w:ind w:left="720"/>
            <w:rPr>
              <w:color w:val="1155CC"/>
              <w:u w:val="single"/>
            </w:rPr>
          </w:pPr>
          <w:hyperlink w:anchor="_tyjcwt">
            <w:r>
              <w:rPr>
                <w:color w:val="1155CC"/>
                <w:u w:val="single"/>
              </w:rPr>
              <w:t>4. What is the standard deviation for writing score?</w:t>
            </w:r>
          </w:hyperlink>
        </w:p>
        <w:p w14:paraId="564DC2FD" w14:textId="77777777" w:rsidR="009E1D98" w:rsidRDefault="00000000">
          <w:pPr>
            <w:widowControl w:val="0"/>
            <w:spacing w:before="60" w:line="240" w:lineRule="auto"/>
            <w:ind w:left="720"/>
            <w:rPr>
              <w:color w:val="1155CC"/>
              <w:u w:val="single"/>
            </w:rPr>
          </w:pPr>
          <w:hyperlink w:anchor="_3dy6vkm">
            <w:r>
              <w:rPr>
                <w:color w:val="1155CC"/>
                <w:u w:val="single"/>
              </w:rPr>
              <w:t>5. Which one of the variables has a larger variance?</w:t>
            </w:r>
          </w:hyperlink>
        </w:p>
        <w:p w14:paraId="003E42B3" w14:textId="77777777" w:rsidR="009E1D98" w:rsidRDefault="00000000">
          <w:pPr>
            <w:widowControl w:val="0"/>
            <w:spacing w:before="60" w:line="240" w:lineRule="auto"/>
            <w:ind w:left="720"/>
            <w:rPr>
              <w:color w:val="1155CC"/>
              <w:u w:val="single"/>
            </w:rPr>
          </w:pPr>
          <w:hyperlink w:anchor="_1t3h5sf">
            <w:r>
              <w:rPr>
                <w:color w:val="1155CC"/>
                <w:u w:val="single"/>
              </w:rPr>
              <w:t>6. Which one of the variables has a larger standard deviation?"</w:t>
            </w:r>
          </w:hyperlink>
        </w:p>
        <w:p w14:paraId="6F9177E2" w14:textId="77777777" w:rsidR="009E1D98" w:rsidRDefault="00000000">
          <w:pPr>
            <w:widowControl w:val="0"/>
            <w:spacing w:before="60" w:line="240" w:lineRule="auto"/>
            <w:ind w:left="720"/>
            <w:rPr>
              <w:color w:val="1155CC"/>
              <w:u w:val="single"/>
            </w:rPr>
          </w:pPr>
          <w:hyperlink w:anchor="_4d34og8">
            <w:r>
              <w:rPr>
                <w:color w:val="1155CC"/>
                <w:u w:val="single"/>
              </w:rPr>
              <w:t>7.    Can you interpret the last three outcomes?</w:t>
            </w:r>
          </w:hyperlink>
        </w:p>
        <w:p w14:paraId="3AB11569" w14:textId="77777777" w:rsidR="009E1D98" w:rsidRDefault="00000000">
          <w:pPr>
            <w:widowControl w:val="0"/>
            <w:spacing w:before="60" w:line="240" w:lineRule="auto"/>
            <w:ind w:left="360"/>
            <w:rPr>
              <w:color w:val="1155CC"/>
              <w:u w:val="single"/>
            </w:rPr>
          </w:pPr>
          <w:hyperlink w:anchor="_2s8eyo1">
            <w:r>
              <w:rPr>
                <w:color w:val="1155CC"/>
                <w:u w:val="single"/>
              </w:rPr>
              <w:t>B</w:t>
            </w:r>
          </w:hyperlink>
        </w:p>
        <w:p w14:paraId="368F2C32" w14:textId="77777777" w:rsidR="009E1D98" w:rsidRDefault="00000000">
          <w:pPr>
            <w:widowControl w:val="0"/>
            <w:spacing w:before="60" w:line="240" w:lineRule="auto"/>
            <w:rPr>
              <w:color w:val="1155CC"/>
              <w:u w:val="single"/>
            </w:rPr>
          </w:pPr>
          <w:hyperlink w:anchor="_17dp8vu">
            <w:r>
              <w:rPr>
                <w:color w:val="1155CC"/>
                <w:u w:val="single"/>
              </w:rPr>
              <w:t>TASK 2</w:t>
            </w:r>
          </w:hyperlink>
        </w:p>
        <w:p w14:paraId="2D9F45D8" w14:textId="77777777" w:rsidR="009E1D98" w:rsidRDefault="00000000">
          <w:pPr>
            <w:widowControl w:val="0"/>
            <w:spacing w:before="60" w:line="240" w:lineRule="auto"/>
            <w:rPr>
              <w:color w:val="1155CC"/>
              <w:u w:val="single"/>
            </w:rPr>
          </w:pPr>
          <w:hyperlink w:anchor="_lnxbz9">
            <w:r>
              <w:rPr>
                <w:color w:val="1155CC"/>
                <w:u w:val="single"/>
              </w:rPr>
              <w:t>Task 3</w:t>
            </w:r>
          </w:hyperlink>
        </w:p>
        <w:p w14:paraId="5247347A" w14:textId="77777777" w:rsidR="009E1D98" w:rsidRDefault="00000000">
          <w:pPr>
            <w:widowControl w:val="0"/>
            <w:spacing w:before="60" w:line="240" w:lineRule="auto"/>
            <w:ind w:left="360"/>
            <w:rPr>
              <w:color w:val="1155CC"/>
              <w:u w:val="single"/>
            </w:rPr>
          </w:pPr>
          <w:hyperlink w:anchor="_35nkun2">
            <w:r>
              <w:rPr>
                <w:color w:val="1155CC"/>
                <w:u w:val="single"/>
              </w:rPr>
              <w:t>Introduction</w:t>
            </w:r>
          </w:hyperlink>
        </w:p>
        <w:p w14:paraId="10B51154" w14:textId="77777777" w:rsidR="009E1D98" w:rsidRDefault="00000000">
          <w:pPr>
            <w:widowControl w:val="0"/>
            <w:spacing w:before="60" w:line="240" w:lineRule="auto"/>
            <w:ind w:left="360"/>
            <w:rPr>
              <w:color w:val="1155CC"/>
              <w:u w:val="single"/>
            </w:rPr>
          </w:pPr>
          <w:hyperlink w:anchor="_1ksv4uv">
            <w:r>
              <w:rPr>
                <w:color w:val="1155CC"/>
                <w:u w:val="single"/>
              </w:rPr>
              <w:t>Spss</w:t>
            </w:r>
          </w:hyperlink>
        </w:p>
        <w:p w14:paraId="0D66714D" w14:textId="77777777" w:rsidR="009E1D98" w:rsidRDefault="00000000">
          <w:pPr>
            <w:widowControl w:val="0"/>
            <w:spacing w:before="60" w:line="240" w:lineRule="auto"/>
            <w:ind w:left="360"/>
            <w:rPr>
              <w:color w:val="1155CC"/>
              <w:u w:val="single"/>
            </w:rPr>
          </w:pPr>
          <w:hyperlink w:anchor="_44sinio">
            <w:r>
              <w:rPr>
                <w:color w:val="1155CC"/>
                <w:u w:val="single"/>
              </w:rPr>
              <w:t>Excel</w:t>
            </w:r>
          </w:hyperlink>
        </w:p>
        <w:p w14:paraId="2E1549C7" w14:textId="77777777" w:rsidR="009E1D98" w:rsidRDefault="00000000">
          <w:pPr>
            <w:widowControl w:val="0"/>
            <w:spacing w:before="60" w:line="240" w:lineRule="auto"/>
            <w:ind w:left="360"/>
            <w:rPr>
              <w:color w:val="1155CC"/>
              <w:u w:val="single"/>
            </w:rPr>
          </w:pPr>
          <w:hyperlink w:anchor="_2jxsxqh">
            <w:r>
              <w:rPr>
                <w:color w:val="1155CC"/>
                <w:u w:val="single"/>
              </w:rPr>
              <w:t>Tableau</w:t>
            </w:r>
          </w:hyperlink>
        </w:p>
        <w:p w14:paraId="01BC109E" w14:textId="77777777" w:rsidR="009E1D98" w:rsidRDefault="00000000">
          <w:pPr>
            <w:widowControl w:val="0"/>
            <w:spacing w:before="60" w:line="240" w:lineRule="auto"/>
            <w:ind w:left="360"/>
            <w:rPr>
              <w:color w:val="1155CC"/>
              <w:u w:val="single"/>
            </w:rPr>
          </w:pPr>
          <w:hyperlink w:anchor="_z337ya">
            <w:r>
              <w:rPr>
                <w:color w:val="1155CC"/>
                <w:u w:val="single"/>
              </w:rPr>
              <w:t>Data Mining</w:t>
            </w:r>
          </w:hyperlink>
        </w:p>
        <w:p w14:paraId="26D62F27" w14:textId="77777777" w:rsidR="009E1D98" w:rsidRDefault="00000000">
          <w:pPr>
            <w:widowControl w:val="0"/>
            <w:spacing w:before="60" w:line="240" w:lineRule="auto"/>
            <w:ind w:left="360"/>
            <w:rPr>
              <w:color w:val="1155CC"/>
              <w:u w:val="single"/>
            </w:rPr>
          </w:pPr>
          <w:hyperlink w:anchor="_3j2qqm3">
            <w:r>
              <w:rPr>
                <w:color w:val="1155CC"/>
                <w:u w:val="single"/>
              </w:rPr>
              <w:t>Conclusion</w:t>
            </w:r>
          </w:hyperlink>
        </w:p>
        <w:p w14:paraId="01DBB607" w14:textId="77777777" w:rsidR="009E1D98" w:rsidRDefault="00000000">
          <w:pPr>
            <w:widowControl w:val="0"/>
            <w:spacing w:before="60" w:line="240" w:lineRule="auto"/>
            <w:ind w:left="360"/>
            <w:rPr>
              <w:color w:val="1155CC"/>
              <w:u w:val="single"/>
            </w:rPr>
          </w:pPr>
          <w:hyperlink w:anchor="_1y810tw">
            <w:r>
              <w:rPr>
                <w:color w:val="1155CC"/>
                <w:u w:val="single"/>
              </w:rPr>
              <w:t>Reference list</w:t>
            </w:r>
          </w:hyperlink>
          <w:r>
            <w:fldChar w:fldCharType="end"/>
          </w:r>
        </w:p>
      </w:sdtContent>
    </w:sdt>
    <w:p w14:paraId="64E2E044" w14:textId="77777777" w:rsidR="009E1D98" w:rsidRDefault="00000000">
      <w:pPr>
        <w:pStyle w:val="Heading2"/>
        <w:spacing w:before="240" w:after="240"/>
      </w:pPr>
      <w:bookmarkStart w:id="0" w:name="_gjdgxs" w:colFirst="0" w:colLast="0"/>
      <w:bookmarkEnd w:id="0"/>
      <w:r>
        <w:t>Task 1</w:t>
      </w:r>
    </w:p>
    <w:p w14:paraId="6EC2739C" w14:textId="77777777" w:rsidR="009E1D98" w:rsidRDefault="00000000">
      <w:pPr>
        <w:pStyle w:val="Heading3"/>
      </w:pPr>
      <w:bookmarkStart w:id="1" w:name="_30j0zll" w:colFirst="0" w:colLast="0"/>
      <w:bookmarkEnd w:id="1"/>
      <w:r>
        <w:t>A</w:t>
      </w:r>
    </w:p>
    <w:p w14:paraId="34DA0F86" w14:textId="77777777" w:rsidR="009E1D98" w:rsidRDefault="00000000">
      <w:pPr>
        <w:pStyle w:val="Heading4"/>
      </w:pPr>
      <w:bookmarkStart w:id="2" w:name="_1fob9te" w:colFirst="0" w:colLast="0"/>
      <w:bookmarkEnd w:id="2"/>
      <w:r>
        <w:t>1.What is the mean value for reading score?</w:t>
      </w:r>
    </w:p>
    <w:p w14:paraId="2C92583B" w14:textId="77777777" w:rsidR="009E1D98" w:rsidRDefault="009E1D98"/>
    <w:p w14:paraId="054F8D07" w14:textId="77777777" w:rsidR="009E1D98" w:rsidRDefault="00000000">
      <w:pPr>
        <w:jc w:val="center"/>
      </w:pPr>
      <w:r>
        <w:rPr>
          <w:noProof/>
        </w:rPr>
        <w:lastRenderedPageBreak/>
        <w:drawing>
          <wp:inline distT="114300" distB="114300" distL="114300" distR="114300" wp14:anchorId="70B24B93" wp14:editId="030A476F">
            <wp:extent cx="6734175" cy="443865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6734175" cy="4438650"/>
                    </a:xfrm>
                    <a:prstGeom prst="rect">
                      <a:avLst/>
                    </a:prstGeom>
                    <a:ln/>
                  </pic:spPr>
                </pic:pic>
              </a:graphicData>
            </a:graphic>
          </wp:inline>
        </w:drawing>
      </w:r>
    </w:p>
    <w:p w14:paraId="57E204DB" w14:textId="77777777" w:rsidR="009E1D98" w:rsidRDefault="009E1D98"/>
    <w:p w14:paraId="14E1320F" w14:textId="77777777" w:rsidR="009E1D98" w:rsidRDefault="00000000">
      <w:proofErr w:type="spellStart"/>
      <w:r>
        <w:t>Forumula</w:t>
      </w:r>
      <w:proofErr w:type="spellEnd"/>
      <w:r>
        <w:t xml:space="preserve"> = Average(b</w:t>
      </w:r>
      <w:proofErr w:type="gramStart"/>
      <w:r>
        <w:t>2:b</w:t>
      </w:r>
      <w:proofErr w:type="gramEnd"/>
      <w:r>
        <w:t>1001)</w:t>
      </w:r>
    </w:p>
    <w:p w14:paraId="1E4A1D87" w14:textId="77777777" w:rsidR="009E1D98" w:rsidRDefault="009E1D98"/>
    <w:p w14:paraId="1C5B80BD" w14:textId="77777777" w:rsidR="009E1D98" w:rsidRDefault="00000000">
      <w:r>
        <w:t>The AVERAGE function in Excel is used to calculate the mean of a group of numbers</w:t>
      </w:r>
    </w:p>
    <w:p w14:paraId="7D668B14" w14:textId="77777777" w:rsidR="009E1D98" w:rsidRDefault="009E1D98"/>
    <w:p w14:paraId="61F275D9" w14:textId="77777777" w:rsidR="009E1D98" w:rsidRDefault="00000000">
      <w:pPr>
        <w:pStyle w:val="Heading4"/>
        <w:spacing w:before="240" w:after="240"/>
      </w:pPr>
      <w:bookmarkStart w:id="3" w:name="_3znysh7" w:colFirst="0" w:colLast="0"/>
      <w:bookmarkEnd w:id="3"/>
      <w:r>
        <w:lastRenderedPageBreak/>
        <w:t>2.</w:t>
      </w:r>
      <w:r>
        <w:tab/>
        <w:t>What is the median value for reading scores?</w:t>
      </w:r>
    </w:p>
    <w:p w14:paraId="2DA00224" w14:textId="77777777" w:rsidR="009E1D98" w:rsidRDefault="00000000">
      <w:r>
        <w:rPr>
          <w:noProof/>
        </w:rPr>
        <w:drawing>
          <wp:inline distT="114300" distB="114300" distL="114300" distR="114300" wp14:anchorId="3C6318B5" wp14:editId="40B7B81D">
            <wp:extent cx="6296025" cy="40957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6296025" cy="4095750"/>
                    </a:xfrm>
                    <a:prstGeom prst="rect">
                      <a:avLst/>
                    </a:prstGeom>
                    <a:ln/>
                  </pic:spPr>
                </pic:pic>
              </a:graphicData>
            </a:graphic>
          </wp:inline>
        </w:drawing>
      </w:r>
    </w:p>
    <w:p w14:paraId="6E7EDFAA" w14:textId="77777777" w:rsidR="009E1D98" w:rsidRDefault="009E1D98"/>
    <w:tbl>
      <w:tblPr>
        <w:tblStyle w:val="a"/>
        <w:tblW w:w="4195" w:type="dxa"/>
        <w:tblBorders>
          <w:top w:val="nil"/>
          <w:left w:val="nil"/>
          <w:bottom w:val="nil"/>
          <w:right w:val="nil"/>
          <w:insideH w:val="nil"/>
          <w:insideV w:val="nil"/>
        </w:tblBorders>
        <w:tblLayout w:type="fixed"/>
        <w:tblLook w:val="0600" w:firstRow="0" w:lastRow="0" w:firstColumn="0" w:lastColumn="0" w:noHBand="1" w:noVBand="1"/>
      </w:tblPr>
      <w:tblGrid>
        <w:gridCol w:w="2435"/>
        <w:gridCol w:w="1760"/>
      </w:tblGrid>
      <w:tr w:rsidR="009E1D98" w14:paraId="78EF174E" w14:textId="77777777">
        <w:trPr>
          <w:trHeight w:val="500"/>
        </w:trPr>
        <w:tc>
          <w:tcPr>
            <w:tcW w:w="4195" w:type="dxa"/>
            <w:gridSpan w:val="2"/>
            <w:tcBorders>
              <w:top w:val="nil"/>
              <w:left w:val="nil"/>
              <w:bottom w:val="nil"/>
              <w:right w:val="nil"/>
            </w:tcBorders>
            <w:tcMar>
              <w:top w:w="100" w:type="dxa"/>
              <w:left w:w="100" w:type="dxa"/>
              <w:bottom w:w="100" w:type="dxa"/>
              <w:right w:w="100" w:type="dxa"/>
            </w:tcMar>
          </w:tcPr>
          <w:p w14:paraId="14576CA1" w14:textId="77777777" w:rsidR="009E1D98" w:rsidRDefault="00000000">
            <w:proofErr w:type="spellStart"/>
            <w:r>
              <w:t>Forumula</w:t>
            </w:r>
            <w:proofErr w:type="spellEnd"/>
            <w:r>
              <w:t xml:space="preserve"> =</w:t>
            </w:r>
            <w:proofErr w:type="gramStart"/>
            <w:r>
              <w:t>MEDIAN(</w:t>
            </w:r>
            <w:proofErr w:type="gramEnd"/>
            <w:r>
              <w:t>H2:H1001)</w:t>
            </w:r>
          </w:p>
        </w:tc>
      </w:tr>
      <w:tr w:rsidR="009E1D98" w14:paraId="771D374B"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075DFBBB" w14:textId="77777777" w:rsidR="009E1D98" w:rsidRDefault="009E1D98"/>
        </w:tc>
        <w:tc>
          <w:tcPr>
            <w:tcW w:w="1760" w:type="dxa"/>
            <w:tcBorders>
              <w:top w:val="nil"/>
              <w:left w:val="nil"/>
              <w:bottom w:val="nil"/>
              <w:right w:val="nil"/>
            </w:tcBorders>
            <w:shd w:val="clear" w:color="auto" w:fill="auto"/>
            <w:tcMar>
              <w:top w:w="100" w:type="dxa"/>
              <w:left w:w="100" w:type="dxa"/>
              <w:bottom w:w="100" w:type="dxa"/>
              <w:right w:w="100" w:type="dxa"/>
            </w:tcMar>
          </w:tcPr>
          <w:p w14:paraId="3B8EFA18" w14:textId="77777777" w:rsidR="009E1D98" w:rsidRDefault="009E1D98"/>
        </w:tc>
      </w:tr>
      <w:tr w:rsidR="009E1D98" w14:paraId="756BB65F"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36DF2A83" w14:textId="77777777" w:rsidR="009E1D98" w:rsidRDefault="00000000">
            <w:r>
              <w:t>Result</w:t>
            </w:r>
          </w:p>
        </w:tc>
        <w:tc>
          <w:tcPr>
            <w:tcW w:w="1760" w:type="dxa"/>
            <w:tcBorders>
              <w:top w:val="nil"/>
              <w:left w:val="nil"/>
              <w:bottom w:val="nil"/>
              <w:right w:val="nil"/>
            </w:tcBorders>
            <w:shd w:val="clear" w:color="auto" w:fill="auto"/>
            <w:tcMar>
              <w:top w:w="100" w:type="dxa"/>
              <w:left w:w="100" w:type="dxa"/>
              <w:bottom w:w="100" w:type="dxa"/>
              <w:right w:w="100" w:type="dxa"/>
            </w:tcMar>
          </w:tcPr>
          <w:p w14:paraId="2A6EBD95" w14:textId="77777777" w:rsidR="009E1D98" w:rsidRDefault="00000000">
            <w:r>
              <w:t>69</w:t>
            </w:r>
          </w:p>
        </w:tc>
      </w:tr>
    </w:tbl>
    <w:p w14:paraId="40405206" w14:textId="77777777" w:rsidR="009E1D98" w:rsidRDefault="009E1D98"/>
    <w:p w14:paraId="7E977F3A" w14:textId="77777777" w:rsidR="009E1D98" w:rsidRDefault="009E1D98"/>
    <w:p w14:paraId="14F8C61D" w14:textId="77777777" w:rsidR="009E1D98" w:rsidRDefault="00000000">
      <w:r>
        <w:t>The median is a measure of central tendency that represents the middle value in a dataset when the values are arranged in ascending or descending order. It effectively divides the dataset into two halves, with 50% of the values falling below the median and 50% above it.</w:t>
      </w:r>
    </w:p>
    <w:p w14:paraId="26D50BB2" w14:textId="77777777" w:rsidR="009E1D98" w:rsidRDefault="009E1D98"/>
    <w:p w14:paraId="562E783D" w14:textId="77777777" w:rsidR="009E1D98" w:rsidRDefault="009E1D98"/>
    <w:p w14:paraId="4FC7AE6D" w14:textId="77777777" w:rsidR="009E1D98" w:rsidRDefault="009E1D98"/>
    <w:p w14:paraId="3A7B6583" w14:textId="77777777" w:rsidR="009E1D98" w:rsidRDefault="00000000">
      <w:pPr>
        <w:pStyle w:val="Heading4"/>
      </w:pPr>
      <w:bookmarkStart w:id="4" w:name="_2et92p0" w:colFirst="0" w:colLast="0"/>
      <w:bookmarkEnd w:id="4"/>
      <w:r>
        <w:lastRenderedPageBreak/>
        <w:t>3. What is the mode of the reading score?</w:t>
      </w:r>
    </w:p>
    <w:p w14:paraId="2AF22B3B" w14:textId="77777777" w:rsidR="009E1D98" w:rsidRDefault="00000000">
      <w:r>
        <w:rPr>
          <w:noProof/>
        </w:rPr>
        <w:drawing>
          <wp:inline distT="114300" distB="114300" distL="114300" distR="114300" wp14:anchorId="631F11A4" wp14:editId="39F4AA01">
            <wp:extent cx="6543675" cy="44196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6543675" cy="4419600"/>
                    </a:xfrm>
                    <a:prstGeom prst="rect">
                      <a:avLst/>
                    </a:prstGeom>
                    <a:ln/>
                  </pic:spPr>
                </pic:pic>
              </a:graphicData>
            </a:graphic>
          </wp:inline>
        </w:drawing>
      </w:r>
    </w:p>
    <w:p w14:paraId="27714BB4" w14:textId="77777777" w:rsidR="009E1D98" w:rsidRDefault="009E1D98"/>
    <w:tbl>
      <w:tblPr>
        <w:tblStyle w:val="a0"/>
        <w:tblW w:w="4195" w:type="dxa"/>
        <w:tblBorders>
          <w:top w:val="nil"/>
          <w:left w:val="nil"/>
          <w:bottom w:val="nil"/>
          <w:right w:val="nil"/>
          <w:insideH w:val="nil"/>
          <w:insideV w:val="nil"/>
        </w:tblBorders>
        <w:tblLayout w:type="fixed"/>
        <w:tblLook w:val="0600" w:firstRow="0" w:lastRow="0" w:firstColumn="0" w:lastColumn="0" w:noHBand="1" w:noVBand="1"/>
      </w:tblPr>
      <w:tblGrid>
        <w:gridCol w:w="2435"/>
        <w:gridCol w:w="1760"/>
      </w:tblGrid>
      <w:tr w:rsidR="009E1D98" w14:paraId="71830680" w14:textId="77777777">
        <w:trPr>
          <w:trHeight w:val="500"/>
        </w:trPr>
        <w:tc>
          <w:tcPr>
            <w:tcW w:w="4195" w:type="dxa"/>
            <w:gridSpan w:val="2"/>
            <w:tcBorders>
              <w:top w:val="nil"/>
              <w:left w:val="nil"/>
              <w:bottom w:val="nil"/>
              <w:right w:val="nil"/>
            </w:tcBorders>
            <w:tcMar>
              <w:top w:w="100" w:type="dxa"/>
              <w:left w:w="100" w:type="dxa"/>
              <w:bottom w:w="100" w:type="dxa"/>
              <w:right w:w="100" w:type="dxa"/>
            </w:tcMar>
          </w:tcPr>
          <w:p w14:paraId="407206FE" w14:textId="77777777" w:rsidR="009E1D98" w:rsidRDefault="00000000">
            <w:proofErr w:type="gramStart"/>
            <w:r>
              <w:t>Formula  =MODE.SNGL</w:t>
            </w:r>
            <w:proofErr w:type="gramEnd"/>
            <w:r>
              <w:t>(H2:H1001)</w:t>
            </w:r>
          </w:p>
        </w:tc>
      </w:tr>
      <w:tr w:rsidR="009E1D98" w14:paraId="2D6F9C63"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4A9D6099" w14:textId="77777777" w:rsidR="009E1D98" w:rsidRDefault="00000000">
            <w:r>
              <w:t>Result</w:t>
            </w:r>
          </w:p>
        </w:tc>
        <w:tc>
          <w:tcPr>
            <w:tcW w:w="1760" w:type="dxa"/>
            <w:tcBorders>
              <w:top w:val="nil"/>
              <w:left w:val="nil"/>
              <w:bottom w:val="nil"/>
              <w:right w:val="nil"/>
            </w:tcBorders>
            <w:shd w:val="clear" w:color="auto" w:fill="auto"/>
            <w:tcMar>
              <w:top w:w="100" w:type="dxa"/>
              <w:left w:w="100" w:type="dxa"/>
              <w:bottom w:w="100" w:type="dxa"/>
              <w:right w:w="100" w:type="dxa"/>
            </w:tcMar>
          </w:tcPr>
          <w:p w14:paraId="128FB06A" w14:textId="77777777" w:rsidR="009E1D98" w:rsidRDefault="00000000">
            <w:r>
              <w:t>74</w:t>
            </w:r>
          </w:p>
        </w:tc>
      </w:tr>
    </w:tbl>
    <w:p w14:paraId="2DCF5F8D" w14:textId="77777777" w:rsidR="009E1D98" w:rsidRDefault="00000000">
      <w:r>
        <w:br/>
        <w:t>In statistics, the mode is the value that appears most frequently in a data set. For example, in the data set {2, 3, 4, 4, 5, 6, 6, 6}, the mode is 6 because it occurs more often than any other number. A data set can have one mode, more than one mode, or no mode at all if no number repeats.</w:t>
      </w:r>
    </w:p>
    <w:p w14:paraId="0791790C" w14:textId="77777777" w:rsidR="009E1D98" w:rsidRDefault="009E1D98"/>
    <w:p w14:paraId="72DD6625" w14:textId="77777777" w:rsidR="009E1D98" w:rsidRDefault="00000000">
      <w:pPr>
        <w:pStyle w:val="Heading4"/>
      </w:pPr>
      <w:bookmarkStart w:id="5" w:name="_tyjcwt" w:colFirst="0" w:colLast="0"/>
      <w:bookmarkEnd w:id="5"/>
      <w:r>
        <w:lastRenderedPageBreak/>
        <w:t>4. What is the standard deviation for writing score?</w:t>
      </w:r>
    </w:p>
    <w:p w14:paraId="32A4A0C3" w14:textId="77777777" w:rsidR="009E1D98" w:rsidRDefault="00000000">
      <w:r>
        <w:rPr>
          <w:noProof/>
        </w:rPr>
        <w:drawing>
          <wp:inline distT="114300" distB="114300" distL="114300" distR="114300" wp14:anchorId="7A2AB1A4" wp14:editId="52EDD325">
            <wp:extent cx="5991225" cy="40767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91225" cy="4076700"/>
                    </a:xfrm>
                    <a:prstGeom prst="rect">
                      <a:avLst/>
                    </a:prstGeom>
                    <a:ln/>
                  </pic:spPr>
                </pic:pic>
              </a:graphicData>
            </a:graphic>
          </wp:inline>
        </w:drawing>
      </w:r>
    </w:p>
    <w:p w14:paraId="70B83479" w14:textId="77777777" w:rsidR="009E1D98" w:rsidRDefault="009E1D98"/>
    <w:tbl>
      <w:tblPr>
        <w:tblStyle w:val="a1"/>
        <w:tblW w:w="4195" w:type="dxa"/>
        <w:tblBorders>
          <w:top w:val="nil"/>
          <w:left w:val="nil"/>
          <w:bottom w:val="nil"/>
          <w:right w:val="nil"/>
          <w:insideH w:val="nil"/>
          <w:insideV w:val="nil"/>
        </w:tblBorders>
        <w:tblLayout w:type="fixed"/>
        <w:tblLook w:val="0600" w:firstRow="0" w:lastRow="0" w:firstColumn="0" w:lastColumn="0" w:noHBand="1" w:noVBand="1"/>
      </w:tblPr>
      <w:tblGrid>
        <w:gridCol w:w="2435"/>
        <w:gridCol w:w="1760"/>
      </w:tblGrid>
      <w:tr w:rsidR="009E1D98" w14:paraId="604ABB04" w14:textId="77777777">
        <w:trPr>
          <w:trHeight w:val="500"/>
        </w:trPr>
        <w:tc>
          <w:tcPr>
            <w:tcW w:w="4195" w:type="dxa"/>
            <w:gridSpan w:val="2"/>
            <w:tcBorders>
              <w:top w:val="nil"/>
              <w:left w:val="nil"/>
              <w:bottom w:val="nil"/>
              <w:right w:val="nil"/>
            </w:tcBorders>
            <w:tcMar>
              <w:top w:w="100" w:type="dxa"/>
              <w:left w:w="100" w:type="dxa"/>
              <w:bottom w:w="100" w:type="dxa"/>
              <w:right w:w="100" w:type="dxa"/>
            </w:tcMar>
          </w:tcPr>
          <w:p w14:paraId="65C20BC7" w14:textId="77777777" w:rsidR="009E1D98" w:rsidRDefault="00000000">
            <w:proofErr w:type="gramStart"/>
            <w:r>
              <w:t>Formula  =STDEV.S</w:t>
            </w:r>
            <w:proofErr w:type="gramEnd"/>
            <w:r>
              <w:t>(C2:C1001)</w:t>
            </w:r>
          </w:p>
        </w:tc>
      </w:tr>
      <w:tr w:rsidR="009E1D98" w14:paraId="6D8D8E40"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2DF56D9C" w14:textId="77777777" w:rsidR="009E1D98" w:rsidRDefault="00000000">
            <w:r>
              <w:t>Result</w:t>
            </w:r>
          </w:p>
        </w:tc>
        <w:tc>
          <w:tcPr>
            <w:tcW w:w="1760" w:type="dxa"/>
            <w:tcBorders>
              <w:top w:val="nil"/>
              <w:left w:val="nil"/>
              <w:bottom w:val="nil"/>
              <w:right w:val="nil"/>
            </w:tcBorders>
            <w:shd w:val="clear" w:color="auto" w:fill="auto"/>
            <w:tcMar>
              <w:top w:w="100" w:type="dxa"/>
              <w:left w:w="100" w:type="dxa"/>
              <w:bottom w:w="100" w:type="dxa"/>
              <w:right w:w="100" w:type="dxa"/>
            </w:tcMar>
          </w:tcPr>
          <w:p w14:paraId="3B7AB564" w14:textId="77777777" w:rsidR="009E1D98" w:rsidRDefault="00000000">
            <w:r>
              <w:t>15.19565701</w:t>
            </w:r>
          </w:p>
        </w:tc>
      </w:tr>
    </w:tbl>
    <w:p w14:paraId="6A970DAE" w14:textId="77777777" w:rsidR="009E1D98" w:rsidRDefault="009E1D98"/>
    <w:p w14:paraId="3FF4C3B9" w14:textId="77777777" w:rsidR="009E1D98" w:rsidRDefault="00000000">
      <w:r>
        <w:t>The standard deviation is a measure of the amount of variation or dispersion in a set of values. It quantifies how spread out the values are from the mean (average) of the data set.</w:t>
      </w:r>
    </w:p>
    <w:p w14:paraId="2C055F2F" w14:textId="77777777" w:rsidR="009E1D98" w:rsidRDefault="00000000">
      <w:pPr>
        <w:pStyle w:val="Heading4"/>
      </w:pPr>
      <w:bookmarkStart w:id="6" w:name="_3dy6vkm" w:colFirst="0" w:colLast="0"/>
      <w:bookmarkEnd w:id="6"/>
      <w:r>
        <w:lastRenderedPageBreak/>
        <w:t>5. Which one of the variables has a larger variance?</w:t>
      </w:r>
    </w:p>
    <w:p w14:paraId="652152C8" w14:textId="77777777" w:rsidR="009E1D98" w:rsidRDefault="00000000">
      <w:r>
        <w:rPr>
          <w:noProof/>
        </w:rPr>
        <w:drawing>
          <wp:inline distT="114300" distB="114300" distL="114300" distR="114300" wp14:anchorId="08CA01F2" wp14:editId="48B949AD">
            <wp:extent cx="6610350" cy="4953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6610350" cy="4953000"/>
                    </a:xfrm>
                    <a:prstGeom prst="rect">
                      <a:avLst/>
                    </a:prstGeom>
                    <a:ln/>
                  </pic:spPr>
                </pic:pic>
              </a:graphicData>
            </a:graphic>
          </wp:inline>
        </w:drawing>
      </w:r>
    </w:p>
    <w:p w14:paraId="4A71B226" w14:textId="77777777" w:rsidR="009E1D98" w:rsidRDefault="009E1D98"/>
    <w:p w14:paraId="06CC4070" w14:textId="77777777" w:rsidR="009E1D98" w:rsidRDefault="009E1D98"/>
    <w:tbl>
      <w:tblPr>
        <w:tblStyle w:val="a2"/>
        <w:tblW w:w="8805" w:type="dxa"/>
        <w:tblInd w:w="15" w:type="dxa"/>
        <w:tblBorders>
          <w:top w:val="nil"/>
          <w:left w:val="nil"/>
          <w:bottom w:val="nil"/>
          <w:right w:val="nil"/>
          <w:insideH w:val="nil"/>
          <w:insideV w:val="nil"/>
        </w:tblBorders>
        <w:tblLayout w:type="fixed"/>
        <w:tblLook w:val="0600" w:firstRow="0" w:lastRow="0" w:firstColumn="0" w:lastColumn="0" w:noHBand="1" w:noVBand="1"/>
      </w:tblPr>
      <w:tblGrid>
        <w:gridCol w:w="2415"/>
        <w:gridCol w:w="1755"/>
        <w:gridCol w:w="2835"/>
        <w:gridCol w:w="1800"/>
      </w:tblGrid>
      <w:tr w:rsidR="009E1D98" w14:paraId="103AA28B" w14:textId="77777777">
        <w:trPr>
          <w:trHeight w:val="500"/>
        </w:trPr>
        <w:tc>
          <w:tcPr>
            <w:tcW w:w="2415" w:type="dxa"/>
            <w:tcBorders>
              <w:top w:val="nil"/>
              <w:left w:val="nil"/>
              <w:bottom w:val="nil"/>
              <w:right w:val="nil"/>
            </w:tcBorders>
            <w:tcMar>
              <w:top w:w="100" w:type="dxa"/>
              <w:left w:w="100" w:type="dxa"/>
              <w:bottom w:w="100" w:type="dxa"/>
              <w:right w:w="100" w:type="dxa"/>
            </w:tcMar>
          </w:tcPr>
          <w:p w14:paraId="64D0B9FD" w14:textId="77777777" w:rsidR="009E1D98" w:rsidRDefault="00000000">
            <w:r>
              <w:t>Formula</w:t>
            </w:r>
          </w:p>
        </w:tc>
        <w:tc>
          <w:tcPr>
            <w:tcW w:w="4590" w:type="dxa"/>
            <w:gridSpan w:val="2"/>
            <w:tcBorders>
              <w:top w:val="nil"/>
              <w:left w:val="nil"/>
              <w:bottom w:val="nil"/>
              <w:right w:val="nil"/>
            </w:tcBorders>
            <w:tcMar>
              <w:top w:w="100" w:type="dxa"/>
              <w:left w:w="100" w:type="dxa"/>
              <w:bottom w:w="100" w:type="dxa"/>
              <w:right w:w="100" w:type="dxa"/>
            </w:tcMar>
          </w:tcPr>
          <w:p w14:paraId="367C0CAE" w14:textId="77777777" w:rsidR="009E1D98" w:rsidRDefault="00000000">
            <w:r>
              <w:t xml:space="preserve">=VAR.S(F2:F1001) </w:t>
            </w:r>
          </w:p>
        </w:tc>
        <w:tc>
          <w:tcPr>
            <w:tcW w:w="1800" w:type="dxa"/>
            <w:tcBorders>
              <w:top w:val="nil"/>
              <w:left w:val="nil"/>
              <w:bottom w:val="nil"/>
              <w:right w:val="nil"/>
            </w:tcBorders>
            <w:shd w:val="clear" w:color="auto" w:fill="auto"/>
            <w:tcMar>
              <w:top w:w="100" w:type="dxa"/>
              <w:left w:w="100" w:type="dxa"/>
              <w:bottom w:w="100" w:type="dxa"/>
              <w:right w:w="100" w:type="dxa"/>
            </w:tcMar>
          </w:tcPr>
          <w:p w14:paraId="4FFF4D05" w14:textId="77777777" w:rsidR="009E1D98" w:rsidRDefault="00000000">
            <w:r>
              <w:t>229.918998</w:t>
            </w:r>
          </w:p>
        </w:tc>
      </w:tr>
      <w:tr w:rsidR="009E1D98" w14:paraId="5759FC14" w14:textId="77777777">
        <w:trPr>
          <w:trHeight w:val="500"/>
        </w:trPr>
        <w:tc>
          <w:tcPr>
            <w:tcW w:w="2415" w:type="dxa"/>
            <w:tcBorders>
              <w:top w:val="nil"/>
              <w:left w:val="nil"/>
              <w:bottom w:val="nil"/>
              <w:right w:val="nil"/>
            </w:tcBorders>
            <w:shd w:val="clear" w:color="auto" w:fill="auto"/>
            <w:tcMar>
              <w:top w:w="100" w:type="dxa"/>
              <w:left w:w="100" w:type="dxa"/>
              <w:bottom w:w="100" w:type="dxa"/>
              <w:right w:w="100" w:type="dxa"/>
            </w:tcMar>
          </w:tcPr>
          <w:p w14:paraId="347A6D49" w14:textId="77777777" w:rsidR="009E1D98" w:rsidRDefault="009E1D98"/>
        </w:tc>
        <w:tc>
          <w:tcPr>
            <w:tcW w:w="4590" w:type="dxa"/>
            <w:gridSpan w:val="2"/>
            <w:tcBorders>
              <w:top w:val="nil"/>
              <w:left w:val="nil"/>
              <w:bottom w:val="nil"/>
              <w:right w:val="nil"/>
            </w:tcBorders>
            <w:shd w:val="clear" w:color="auto" w:fill="auto"/>
            <w:tcMar>
              <w:top w:w="100" w:type="dxa"/>
              <w:left w:w="100" w:type="dxa"/>
              <w:bottom w:w="100" w:type="dxa"/>
              <w:right w:w="100" w:type="dxa"/>
            </w:tcMar>
          </w:tcPr>
          <w:p w14:paraId="57BF6B99" w14:textId="77777777" w:rsidR="009E1D98" w:rsidRDefault="00000000">
            <w:r>
              <w:t>=VAR.S(G2:G1001</w:t>
            </w:r>
          </w:p>
        </w:tc>
        <w:tc>
          <w:tcPr>
            <w:tcW w:w="1800" w:type="dxa"/>
            <w:tcBorders>
              <w:top w:val="nil"/>
              <w:left w:val="nil"/>
              <w:bottom w:val="nil"/>
              <w:right w:val="nil"/>
            </w:tcBorders>
            <w:shd w:val="clear" w:color="auto" w:fill="auto"/>
            <w:tcMar>
              <w:top w:w="100" w:type="dxa"/>
              <w:left w:w="100" w:type="dxa"/>
              <w:bottom w:w="100" w:type="dxa"/>
              <w:right w:w="100" w:type="dxa"/>
            </w:tcMar>
          </w:tcPr>
          <w:p w14:paraId="658FC3DE" w14:textId="77777777" w:rsidR="009E1D98" w:rsidRDefault="00000000">
            <w:r>
              <w:t>213.1656046</w:t>
            </w:r>
          </w:p>
        </w:tc>
      </w:tr>
      <w:tr w:rsidR="009E1D98" w14:paraId="0FF50D39" w14:textId="77777777">
        <w:trPr>
          <w:trHeight w:val="500"/>
        </w:trPr>
        <w:tc>
          <w:tcPr>
            <w:tcW w:w="2415" w:type="dxa"/>
            <w:tcBorders>
              <w:top w:val="nil"/>
              <w:left w:val="nil"/>
              <w:bottom w:val="nil"/>
              <w:right w:val="nil"/>
            </w:tcBorders>
            <w:shd w:val="clear" w:color="auto" w:fill="auto"/>
            <w:tcMar>
              <w:top w:w="100" w:type="dxa"/>
              <w:left w:w="100" w:type="dxa"/>
              <w:bottom w:w="100" w:type="dxa"/>
              <w:right w:w="100" w:type="dxa"/>
            </w:tcMar>
          </w:tcPr>
          <w:p w14:paraId="322882B4" w14:textId="77777777" w:rsidR="009E1D98" w:rsidRDefault="009E1D98"/>
        </w:tc>
        <w:tc>
          <w:tcPr>
            <w:tcW w:w="4590" w:type="dxa"/>
            <w:gridSpan w:val="2"/>
            <w:tcBorders>
              <w:top w:val="nil"/>
              <w:left w:val="nil"/>
              <w:bottom w:val="nil"/>
              <w:right w:val="nil"/>
            </w:tcBorders>
            <w:shd w:val="clear" w:color="auto" w:fill="auto"/>
            <w:tcMar>
              <w:top w:w="100" w:type="dxa"/>
              <w:left w:w="100" w:type="dxa"/>
              <w:bottom w:w="100" w:type="dxa"/>
              <w:right w:w="100" w:type="dxa"/>
            </w:tcMar>
          </w:tcPr>
          <w:p w14:paraId="572AFB65" w14:textId="77777777" w:rsidR="009E1D98" w:rsidRDefault="00000000">
            <w:r>
              <w:t>=VAR.S(H2:H1001)</w:t>
            </w:r>
          </w:p>
        </w:tc>
        <w:tc>
          <w:tcPr>
            <w:tcW w:w="1800" w:type="dxa"/>
            <w:tcBorders>
              <w:top w:val="nil"/>
              <w:left w:val="nil"/>
              <w:bottom w:val="nil"/>
              <w:right w:val="nil"/>
            </w:tcBorders>
            <w:shd w:val="clear" w:color="auto" w:fill="auto"/>
            <w:tcMar>
              <w:top w:w="100" w:type="dxa"/>
              <w:left w:w="100" w:type="dxa"/>
              <w:bottom w:w="100" w:type="dxa"/>
              <w:right w:w="100" w:type="dxa"/>
            </w:tcMar>
          </w:tcPr>
          <w:p w14:paraId="26FB40E3" w14:textId="77777777" w:rsidR="009E1D98" w:rsidRDefault="00000000">
            <w:r>
              <w:t>230.907992</w:t>
            </w:r>
          </w:p>
        </w:tc>
      </w:tr>
      <w:tr w:rsidR="009E1D98" w14:paraId="117AB48D" w14:textId="77777777">
        <w:trPr>
          <w:trHeight w:val="500"/>
        </w:trPr>
        <w:tc>
          <w:tcPr>
            <w:tcW w:w="2415" w:type="dxa"/>
            <w:tcBorders>
              <w:top w:val="nil"/>
              <w:left w:val="nil"/>
              <w:bottom w:val="nil"/>
              <w:right w:val="nil"/>
            </w:tcBorders>
            <w:shd w:val="clear" w:color="auto" w:fill="auto"/>
            <w:tcMar>
              <w:top w:w="100" w:type="dxa"/>
              <w:left w:w="100" w:type="dxa"/>
              <w:bottom w:w="100" w:type="dxa"/>
              <w:right w:w="100" w:type="dxa"/>
            </w:tcMar>
          </w:tcPr>
          <w:p w14:paraId="4709057E" w14:textId="77777777" w:rsidR="009E1D98" w:rsidRDefault="009E1D98"/>
        </w:tc>
        <w:tc>
          <w:tcPr>
            <w:tcW w:w="1755" w:type="dxa"/>
            <w:tcBorders>
              <w:top w:val="nil"/>
              <w:left w:val="nil"/>
              <w:bottom w:val="nil"/>
              <w:right w:val="nil"/>
            </w:tcBorders>
            <w:shd w:val="clear" w:color="auto" w:fill="auto"/>
            <w:tcMar>
              <w:top w:w="100" w:type="dxa"/>
              <w:left w:w="100" w:type="dxa"/>
              <w:bottom w:w="100" w:type="dxa"/>
              <w:right w:w="100" w:type="dxa"/>
            </w:tcMar>
          </w:tcPr>
          <w:p w14:paraId="40249F0C" w14:textId="77777777" w:rsidR="009E1D98" w:rsidRDefault="009E1D98"/>
        </w:tc>
        <w:tc>
          <w:tcPr>
            <w:tcW w:w="2835" w:type="dxa"/>
            <w:tcBorders>
              <w:top w:val="nil"/>
              <w:left w:val="nil"/>
              <w:bottom w:val="nil"/>
              <w:right w:val="nil"/>
            </w:tcBorders>
            <w:shd w:val="clear" w:color="auto" w:fill="auto"/>
            <w:tcMar>
              <w:top w:w="100" w:type="dxa"/>
              <w:left w:w="100" w:type="dxa"/>
              <w:bottom w:w="100" w:type="dxa"/>
              <w:right w:w="100" w:type="dxa"/>
            </w:tcMar>
          </w:tcPr>
          <w:p w14:paraId="57F654E4" w14:textId="77777777" w:rsidR="009E1D98" w:rsidRDefault="009E1D98"/>
        </w:tc>
        <w:tc>
          <w:tcPr>
            <w:tcW w:w="1800" w:type="dxa"/>
            <w:tcBorders>
              <w:top w:val="nil"/>
              <w:left w:val="nil"/>
              <w:bottom w:val="nil"/>
              <w:right w:val="nil"/>
            </w:tcBorders>
            <w:shd w:val="clear" w:color="auto" w:fill="auto"/>
            <w:tcMar>
              <w:top w:w="100" w:type="dxa"/>
              <w:left w:w="100" w:type="dxa"/>
              <w:bottom w:w="100" w:type="dxa"/>
              <w:right w:w="100" w:type="dxa"/>
            </w:tcMar>
          </w:tcPr>
          <w:p w14:paraId="20239E40" w14:textId="77777777" w:rsidR="009E1D98" w:rsidRDefault="009E1D98"/>
        </w:tc>
      </w:tr>
      <w:tr w:rsidR="009E1D98" w14:paraId="1125F994" w14:textId="77777777">
        <w:trPr>
          <w:trHeight w:val="500"/>
        </w:trPr>
        <w:tc>
          <w:tcPr>
            <w:tcW w:w="7005" w:type="dxa"/>
            <w:gridSpan w:val="3"/>
            <w:tcBorders>
              <w:top w:val="nil"/>
              <w:left w:val="nil"/>
              <w:bottom w:val="nil"/>
              <w:right w:val="nil"/>
            </w:tcBorders>
            <w:shd w:val="clear" w:color="auto" w:fill="auto"/>
            <w:tcMar>
              <w:top w:w="100" w:type="dxa"/>
              <w:left w:w="100" w:type="dxa"/>
              <w:bottom w:w="100" w:type="dxa"/>
              <w:right w:w="100" w:type="dxa"/>
            </w:tcMar>
          </w:tcPr>
          <w:p w14:paraId="2B6D3AA6" w14:textId="77777777" w:rsidR="009E1D98" w:rsidRDefault="00000000">
            <w:pPr>
              <w:numPr>
                <w:ilvl w:val="0"/>
                <w:numId w:val="1"/>
              </w:numPr>
            </w:pPr>
            <w:r>
              <w:t>The variable Writing Score has the largest variance (230.91).</w:t>
            </w:r>
          </w:p>
        </w:tc>
        <w:tc>
          <w:tcPr>
            <w:tcW w:w="1800" w:type="dxa"/>
            <w:tcBorders>
              <w:top w:val="nil"/>
              <w:left w:val="nil"/>
              <w:bottom w:val="nil"/>
              <w:right w:val="nil"/>
            </w:tcBorders>
            <w:shd w:val="clear" w:color="auto" w:fill="auto"/>
            <w:tcMar>
              <w:top w:w="100" w:type="dxa"/>
              <w:left w:w="100" w:type="dxa"/>
              <w:bottom w:w="100" w:type="dxa"/>
              <w:right w:w="100" w:type="dxa"/>
            </w:tcMar>
          </w:tcPr>
          <w:p w14:paraId="186FB957" w14:textId="77777777" w:rsidR="009E1D98" w:rsidRDefault="009E1D98"/>
        </w:tc>
      </w:tr>
      <w:tr w:rsidR="009E1D98" w14:paraId="1E29B25D" w14:textId="77777777">
        <w:trPr>
          <w:trHeight w:val="500"/>
        </w:trPr>
        <w:tc>
          <w:tcPr>
            <w:tcW w:w="7005" w:type="dxa"/>
            <w:gridSpan w:val="3"/>
            <w:tcBorders>
              <w:top w:val="nil"/>
              <w:left w:val="nil"/>
              <w:bottom w:val="nil"/>
              <w:right w:val="nil"/>
            </w:tcBorders>
            <w:shd w:val="clear" w:color="auto" w:fill="auto"/>
            <w:tcMar>
              <w:top w:w="100" w:type="dxa"/>
              <w:left w:w="100" w:type="dxa"/>
              <w:bottom w:w="100" w:type="dxa"/>
              <w:right w:w="100" w:type="dxa"/>
            </w:tcMar>
          </w:tcPr>
          <w:p w14:paraId="78E4545D" w14:textId="77777777" w:rsidR="009E1D98" w:rsidRDefault="00000000">
            <w:pPr>
              <w:numPr>
                <w:ilvl w:val="0"/>
                <w:numId w:val="2"/>
              </w:numPr>
            </w:pPr>
            <w:r>
              <w:lastRenderedPageBreak/>
              <w:t>The Reading Score has the smallest variance (213.17)</w:t>
            </w:r>
          </w:p>
        </w:tc>
        <w:tc>
          <w:tcPr>
            <w:tcW w:w="1800" w:type="dxa"/>
            <w:tcBorders>
              <w:top w:val="nil"/>
              <w:left w:val="nil"/>
              <w:bottom w:val="nil"/>
              <w:right w:val="nil"/>
            </w:tcBorders>
            <w:shd w:val="clear" w:color="auto" w:fill="auto"/>
            <w:tcMar>
              <w:top w:w="100" w:type="dxa"/>
              <w:left w:w="100" w:type="dxa"/>
              <w:bottom w:w="100" w:type="dxa"/>
              <w:right w:w="100" w:type="dxa"/>
            </w:tcMar>
          </w:tcPr>
          <w:p w14:paraId="6A857D6D" w14:textId="77777777" w:rsidR="009E1D98" w:rsidRDefault="009E1D98"/>
        </w:tc>
      </w:tr>
      <w:tr w:rsidR="009E1D98" w14:paraId="3C26C252" w14:textId="77777777">
        <w:trPr>
          <w:trHeight w:val="500"/>
        </w:trPr>
        <w:tc>
          <w:tcPr>
            <w:tcW w:w="2415" w:type="dxa"/>
            <w:tcBorders>
              <w:top w:val="nil"/>
              <w:left w:val="nil"/>
              <w:bottom w:val="nil"/>
              <w:right w:val="nil"/>
            </w:tcBorders>
            <w:shd w:val="clear" w:color="auto" w:fill="auto"/>
            <w:tcMar>
              <w:top w:w="100" w:type="dxa"/>
              <w:left w:w="100" w:type="dxa"/>
              <w:bottom w:w="100" w:type="dxa"/>
              <w:right w:w="100" w:type="dxa"/>
            </w:tcMar>
          </w:tcPr>
          <w:p w14:paraId="40AC659D" w14:textId="77777777" w:rsidR="009E1D98" w:rsidRDefault="009E1D98"/>
        </w:tc>
        <w:tc>
          <w:tcPr>
            <w:tcW w:w="1755" w:type="dxa"/>
            <w:tcBorders>
              <w:top w:val="nil"/>
              <w:left w:val="nil"/>
              <w:bottom w:val="nil"/>
              <w:right w:val="nil"/>
            </w:tcBorders>
            <w:shd w:val="clear" w:color="auto" w:fill="auto"/>
            <w:tcMar>
              <w:top w:w="100" w:type="dxa"/>
              <w:left w:w="100" w:type="dxa"/>
              <w:bottom w:w="100" w:type="dxa"/>
              <w:right w:w="100" w:type="dxa"/>
            </w:tcMar>
          </w:tcPr>
          <w:p w14:paraId="30C30AFB" w14:textId="77777777" w:rsidR="009E1D98" w:rsidRDefault="009E1D98"/>
        </w:tc>
        <w:tc>
          <w:tcPr>
            <w:tcW w:w="2835" w:type="dxa"/>
            <w:tcBorders>
              <w:top w:val="nil"/>
              <w:left w:val="nil"/>
              <w:bottom w:val="nil"/>
              <w:right w:val="nil"/>
            </w:tcBorders>
            <w:shd w:val="clear" w:color="auto" w:fill="auto"/>
            <w:tcMar>
              <w:top w:w="100" w:type="dxa"/>
              <w:left w:w="100" w:type="dxa"/>
              <w:bottom w:w="100" w:type="dxa"/>
              <w:right w:w="100" w:type="dxa"/>
            </w:tcMar>
          </w:tcPr>
          <w:p w14:paraId="45891BF2" w14:textId="77777777" w:rsidR="009E1D98" w:rsidRDefault="009E1D98"/>
        </w:tc>
        <w:tc>
          <w:tcPr>
            <w:tcW w:w="1800" w:type="dxa"/>
            <w:tcBorders>
              <w:top w:val="nil"/>
              <w:left w:val="nil"/>
              <w:bottom w:val="nil"/>
              <w:right w:val="nil"/>
            </w:tcBorders>
            <w:shd w:val="clear" w:color="auto" w:fill="auto"/>
            <w:tcMar>
              <w:top w:w="100" w:type="dxa"/>
              <w:left w:w="100" w:type="dxa"/>
              <w:bottom w:w="100" w:type="dxa"/>
              <w:right w:w="100" w:type="dxa"/>
            </w:tcMar>
          </w:tcPr>
          <w:p w14:paraId="3801E7CF" w14:textId="77777777" w:rsidR="009E1D98" w:rsidRDefault="009E1D98"/>
        </w:tc>
      </w:tr>
    </w:tbl>
    <w:p w14:paraId="35F9A0A0" w14:textId="77777777" w:rsidR="009E1D98" w:rsidRDefault="009E1D98"/>
    <w:p w14:paraId="4493F5FD" w14:textId="77777777" w:rsidR="009E1D98" w:rsidRDefault="009E1D98"/>
    <w:p w14:paraId="7B50B8E8" w14:textId="77777777" w:rsidR="009E1D98" w:rsidRDefault="00000000">
      <w:pPr>
        <w:pStyle w:val="Heading4"/>
      </w:pPr>
      <w:bookmarkStart w:id="7" w:name="_1t3h5sf" w:colFirst="0" w:colLast="0"/>
      <w:bookmarkEnd w:id="7"/>
      <w:r>
        <w:t>6. Which one of the variables has a larger standard deviation?"</w:t>
      </w:r>
    </w:p>
    <w:p w14:paraId="62D29FDB" w14:textId="77777777" w:rsidR="009E1D98" w:rsidRDefault="009E1D98"/>
    <w:p w14:paraId="454B6CE6" w14:textId="77777777" w:rsidR="009E1D98" w:rsidRDefault="00000000">
      <w:r>
        <w:rPr>
          <w:noProof/>
        </w:rPr>
        <w:drawing>
          <wp:inline distT="114300" distB="114300" distL="114300" distR="114300" wp14:anchorId="074C447F" wp14:editId="13EC7D07">
            <wp:extent cx="6496050" cy="46863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6496050" cy="4686300"/>
                    </a:xfrm>
                    <a:prstGeom prst="rect">
                      <a:avLst/>
                    </a:prstGeom>
                    <a:ln/>
                  </pic:spPr>
                </pic:pic>
              </a:graphicData>
            </a:graphic>
          </wp:inline>
        </w:drawing>
      </w:r>
    </w:p>
    <w:p w14:paraId="799D934F" w14:textId="77777777" w:rsidR="009E1D98" w:rsidRDefault="009E1D98"/>
    <w:p w14:paraId="2D294326" w14:textId="77777777" w:rsidR="009E1D98" w:rsidRDefault="009E1D98"/>
    <w:tbl>
      <w:tblPr>
        <w:tblStyle w:val="a3"/>
        <w:tblW w:w="8640" w:type="dxa"/>
        <w:tblBorders>
          <w:top w:val="nil"/>
          <w:left w:val="nil"/>
          <w:bottom w:val="nil"/>
          <w:right w:val="nil"/>
          <w:insideH w:val="nil"/>
          <w:insideV w:val="nil"/>
        </w:tblBorders>
        <w:tblLayout w:type="fixed"/>
        <w:tblLook w:val="0600" w:firstRow="0" w:lastRow="0" w:firstColumn="0" w:lastColumn="0" w:noHBand="1" w:noVBand="1"/>
      </w:tblPr>
      <w:tblGrid>
        <w:gridCol w:w="2435"/>
        <w:gridCol w:w="4400"/>
        <w:gridCol w:w="1805"/>
      </w:tblGrid>
      <w:tr w:rsidR="009E1D98" w14:paraId="428EFD52" w14:textId="77777777">
        <w:trPr>
          <w:trHeight w:val="500"/>
        </w:trPr>
        <w:tc>
          <w:tcPr>
            <w:tcW w:w="2435" w:type="dxa"/>
            <w:tcBorders>
              <w:top w:val="nil"/>
              <w:left w:val="nil"/>
              <w:bottom w:val="nil"/>
              <w:right w:val="nil"/>
            </w:tcBorders>
            <w:tcMar>
              <w:top w:w="100" w:type="dxa"/>
              <w:left w:w="100" w:type="dxa"/>
              <w:bottom w:w="100" w:type="dxa"/>
              <w:right w:w="100" w:type="dxa"/>
            </w:tcMar>
          </w:tcPr>
          <w:p w14:paraId="2301CF9D" w14:textId="77777777" w:rsidR="009E1D98" w:rsidRDefault="00000000">
            <w:r>
              <w:t>Formula</w:t>
            </w:r>
          </w:p>
        </w:tc>
        <w:tc>
          <w:tcPr>
            <w:tcW w:w="4400" w:type="dxa"/>
            <w:tcBorders>
              <w:top w:val="nil"/>
              <w:left w:val="nil"/>
              <w:bottom w:val="nil"/>
              <w:right w:val="nil"/>
            </w:tcBorders>
            <w:tcMar>
              <w:top w:w="100" w:type="dxa"/>
              <w:left w:w="100" w:type="dxa"/>
              <w:bottom w:w="100" w:type="dxa"/>
              <w:right w:w="100" w:type="dxa"/>
            </w:tcMar>
          </w:tcPr>
          <w:p w14:paraId="17868677" w14:textId="77777777" w:rsidR="009E1D98" w:rsidRDefault="00000000">
            <w:proofErr w:type="gramStart"/>
            <w:r>
              <w:t>.=STDEV.P</w:t>
            </w:r>
            <w:proofErr w:type="gramEnd"/>
            <w:r>
              <w:t>(F2:F1001)</w:t>
            </w:r>
          </w:p>
        </w:tc>
        <w:tc>
          <w:tcPr>
            <w:tcW w:w="1805" w:type="dxa"/>
            <w:tcBorders>
              <w:top w:val="nil"/>
              <w:left w:val="nil"/>
              <w:bottom w:val="nil"/>
              <w:right w:val="nil"/>
            </w:tcBorders>
            <w:shd w:val="clear" w:color="auto" w:fill="auto"/>
            <w:tcMar>
              <w:top w:w="100" w:type="dxa"/>
              <w:left w:w="100" w:type="dxa"/>
              <w:bottom w:w="100" w:type="dxa"/>
              <w:right w:w="100" w:type="dxa"/>
            </w:tcMar>
          </w:tcPr>
          <w:p w14:paraId="1EE14133" w14:textId="77777777" w:rsidR="009E1D98" w:rsidRDefault="00000000">
            <w:r>
              <w:t>15.15549666</w:t>
            </w:r>
          </w:p>
        </w:tc>
      </w:tr>
      <w:tr w:rsidR="009E1D98" w14:paraId="13FB347B"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02990AAF" w14:textId="77777777" w:rsidR="009E1D98" w:rsidRDefault="009E1D98"/>
        </w:tc>
        <w:tc>
          <w:tcPr>
            <w:tcW w:w="4400" w:type="dxa"/>
            <w:tcBorders>
              <w:top w:val="nil"/>
              <w:left w:val="nil"/>
              <w:bottom w:val="nil"/>
              <w:right w:val="nil"/>
            </w:tcBorders>
            <w:shd w:val="clear" w:color="auto" w:fill="auto"/>
            <w:tcMar>
              <w:top w:w="100" w:type="dxa"/>
              <w:left w:w="100" w:type="dxa"/>
              <w:bottom w:w="100" w:type="dxa"/>
              <w:right w:w="100" w:type="dxa"/>
            </w:tcMar>
          </w:tcPr>
          <w:p w14:paraId="443B9186" w14:textId="77777777" w:rsidR="009E1D98" w:rsidRDefault="00000000">
            <w:proofErr w:type="gramStart"/>
            <w:r>
              <w:t>.=STDEV.P</w:t>
            </w:r>
            <w:proofErr w:type="gramEnd"/>
            <w:r>
              <w:t>(G2:G1001)</w:t>
            </w:r>
          </w:p>
        </w:tc>
        <w:tc>
          <w:tcPr>
            <w:tcW w:w="1805" w:type="dxa"/>
            <w:tcBorders>
              <w:top w:val="nil"/>
              <w:left w:val="nil"/>
              <w:bottom w:val="nil"/>
              <w:right w:val="nil"/>
            </w:tcBorders>
            <w:shd w:val="clear" w:color="auto" w:fill="auto"/>
            <w:tcMar>
              <w:top w:w="100" w:type="dxa"/>
              <w:left w:w="100" w:type="dxa"/>
              <w:bottom w:w="100" w:type="dxa"/>
              <w:right w:w="100" w:type="dxa"/>
            </w:tcMar>
          </w:tcPr>
          <w:p w14:paraId="3C4A9321" w14:textId="77777777" w:rsidR="009E1D98" w:rsidRDefault="00000000">
            <w:r>
              <w:t>14.59289002</w:t>
            </w:r>
          </w:p>
        </w:tc>
      </w:tr>
      <w:tr w:rsidR="009E1D98" w14:paraId="382E9BE5" w14:textId="77777777">
        <w:trPr>
          <w:trHeight w:val="500"/>
        </w:trPr>
        <w:tc>
          <w:tcPr>
            <w:tcW w:w="2435" w:type="dxa"/>
            <w:tcBorders>
              <w:top w:val="nil"/>
              <w:left w:val="nil"/>
              <w:bottom w:val="nil"/>
              <w:right w:val="nil"/>
            </w:tcBorders>
            <w:shd w:val="clear" w:color="auto" w:fill="auto"/>
            <w:tcMar>
              <w:top w:w="100" w:type="dxa"/>
              <w:left w:w="100" w:type="dxa"/>
              <w:bottom w:w="100" w:type="dxa"/>
              <w:right w:w="100" w:type="dxa"/>
            </w:tcMar>
          </w:tcPr>
          <w:p w14:paraId="2718FDD8" w14:textId="77777777" w:rsidR="009E1D98" w:rsidRDefault="009E1D98"/>
        </w:tc>
        <w:tc>
          <w:tcPr>
            <w:tcW w:w="4400" w:type="dxa"/>
            <w:tcBorders>
              <w:top w:val="nil"/>
              <w:left w:val="nil"/>
              <w:bottom w:val="nil"/>
              <w:right w:val="nil"/>
            </w:tcBorders>
            <w:shd w:val="clear" w:color="auto" w:fill="auto"/>
            <w:tcMar>
              <w:top w:w="100" w:type="dxa"/>
              <w:left w:w="100" w:type="dxa"/>
              <w:bottom w:w="100" w:type="dxa"/>
              <w:right w:w="100" w:type="dxa"/>
            </w:tcMar>
          </w:tcPr>
          <w:p w14:paraId="04CF12ED" w14:textId="77777777" w:rsidR="009E1D98" w:rsidRDefault="00000000">
            <w:proofErr w:type="gramStart"/>
            <w:r>
              <w:t>.=STDEV.P</w:t>
            </w:r>
            <w:proofErr w:type="gramEnd"/>
            <w:r>
              <w:t>(H2:H1001)</w:t>
            </w:r>
          </w:p>
        </w:tc>
        <w:tc>
          <w:tcPr>
            <w:tcW w:w="1805" w:type="dxa"/>
            <w:tcBorders>
              <w:top w:val="nil"/>
              <w:left w:val="nil"/>
              <w:bottom w:val="nil"/>
              <w:right w:val="nil"/>
            </w:tcBorders>
            <w:shd w:val="clear" w:color="auto" w:fill="auto"/>
            <w:tcMar>
              <w:top w:w="100" w:type="dxa"/>
              <w:left w:w="100" w:type="dxa"/>
              <w:bottom w:w="100" w:type="dxa"/>
              <w:right w:w="100" w:type="dxa"/>
            </w:tcMar>
          </w:tcPr>
          <w:p w14:paraId="1715BE34" w14:textId="77777777" w:rsidR="009E1D98" w:rsidRDefault="00000000">
            <w:r>
              <w:t>15.18805728</w:t>
            </w:r>
          </w:p>
        </w:tc>
      </w:tr>
    </w:tbl>
    <w:p w14:paraId="6F1F7336" w14:textId="77777777" w:rsidR="009E1D98" w:rsidRDefault="009E1D98"/>
    <w:p w14:paraId="2493C259" w14:textId="77777777" w:rsidR="009E1D98" w:rsidRDefault="00000000">
      <w:pPr>
        <w:pStyle w:val="Heading4"/>
        <w:spacing w:before="240" w:after="240" w:line="360" w:lineRule="auto"/>
        <w:jc w:val="both"/>
      </w:pPr>
      <w:bookmarkStart w:id="8" w:name="_4d34og8" w:colFirst="0" w:colLast="0"/>
      <w:bookmarkEnd w:id="8"/>
      <w:r>
        <w:t>7.</w:t>
      </w:r>
      <w:r>
        <w:rPr>
          <w:rFonts w:ascii="Times New Roman" w:eastAsia="Times New Roman" w:hAnsi="Times New Roman" w:cs="Times New Roman"/>
          <w:sz w:val="14"/>
          <w:szCs w:val="14"/>
        </w:rPr>
        <w:t xml:space="preserve">    </w:t>
      </w:r>
      <w:r>
        <w:t>Can you interpret the last three outcomes?</w:t>
      </w:r>
    </w:p>
    <w:p w14:paraId="5393A12E" w14:textId="77777777" w:rsidR="009E1D98" w:rsidRDefault="00000000">
      <w:r>
        <w:t>These rows show variations in academic performance related to different backgrounds and preparation levels. Outcome 999, despite not completing a test preparation course, achieved the highest scores among the three students'</w:t>
      </w:r>
      <w:r>
        <w:br/>
      </w:r>
    </w:p>
    <w:p w14:paraId="619B3B2C" w14:textId="77777777" w:rsidR="009E1D98" w:rsidRDefault="00000000">
      <w:pPr>
        <w:pStyle w:val="Heading3"/>
      </w:pPr>
      <w:bookmarkStart w:id="9" w:name="_2s8eyo1" w:colFirst="0" w:colLast="0"/>
      <w:bookmarkEnd w:id="9"/>
      <w:r>
        <w:t>B</w:t>
      </w:r>
    </w:p>
    <w:p w14:paraId="1B3A028B" w14:textId="77777777" w:rsidR="009E1D98" w:rsidRDefault="009E1D98"/>
    <w:p w14:paraId="1B805621" w14:textId="77777777" w:rsidR="009E1D98" w:rsidRDefault="00000000">
      <w:r>
        <w:t>Function IF</w:t>
      </w:r>
    </w:p>
    <w:p w14:paraId="2574FC58" w14:textId="77777777" w:rsidR="009E1D98" w:rsidRDefault="009E1D98"/>
    <w:p w14:paraId="140172F8" w14:textId="77777777" w:rsidR="009E1D98" w:rsidRDefault="00000000">
      <w:r>
        <w:rPr>
          <w:noProof/>
        </w:rPr>
        <w:drawing>
          <wp:inline distT="114300" distB="114300" distL="114300" distR="114300" wp14:anchorId="7285348E" wp14:editId="7B3E2292">
            <wp:extent cx="6438900" cy="473392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6438900" cy="4733925"/>
                    </a:xfrm>
                    <a:prstGeom prst="rect">
                      <a:avLst/>
                    </a:prstGeom>
                    <a:ln/>
                  </pic:spPr>
                </pic:pic>
              </a:graphicData>
            </a:graphic>
          </wp:inline>
        </w:drawing>
      </w:r>
    </w:p>
    <w:p w14:paraId="16A45403" w14:textId="77777777" w:rsidR="009E1D98" w:rsidRDefault="009E1D98"/>
    <w:p w14:paraId="3937A83E" w14:textId="77777777" w:rsidR="009E1D98" w:rsidRDefault="009E1D98"/>
    <w:p w14:paraId="273E325C" w14:textId="77777777" w:rsidR="009E1D98" w:rsidRDefault="00000000">
      <w:r>
        <w:lastRenderedPageBreak/>
        <w:t xml:space="preserve">In this case, I used the IF function in Excel to determine whether students passed or failed based on their maths scores. To do this, I used the formula </w:t>
      </w:r>
      <w:r>
        <w:rPr>
          <w:rFonts w:ascii="Roboto Mono" w:eastAsia="Roboto Mono" w:hAnsi="Roboto Mono" w:cs="Roboto Mono"/>
        </w:rPr>
        <w:t>=IF(F1050&gt;=50, "Pass", "Fail")</w:t>
      </w:r>
      <w:r>
        <w:t>. This formula checks if the value in cell B2, which represents a student's maths score, is 50 or higher. If it is, the formula returns "Pass"; otherwise, it returns “Fail”</w:t>
      </w:r>
    </w:p>
    <w:p w14:paraId="181EB31D" w14:textId="77777777" w:rsidR="009E1D98" w:rsidRDefault="00000000">
      <w:pPr>
        <w:pStyle w:val="Heading2"/>
      </w:pPr>
      <w:bookmarkStart w:id="10" w:name="_17dp8vu" w:colFirst="0" w:colLast="0"/>
      <w:bookmarkEnd w:id="10"/>
      <w:r>
        <w:t>TASK 2</w:t>
      </w:r>
    </w:p>
    <w:p w14:paraId="6CCA2225" w14:textId="77777777" w:rsidR="009E1D98" w:rsidRDefault="00000000">
      <w:pPr>
        <w:spacing w:before="240" w:after="240"/>
        <w:jc w:val="both"/>
      </w:pPr>
      <w:r>
        <w:t>1.</w:t>
      </w:r>
      <w:r>
        <w:rPr>
          <w:rFonts w:ascii="Times New Roman" w:eastAsia="Times New Roman" w:hAnsi="Times New Roman" w:cs="Times New Roman"/>
          <w:sz w:val="14"/>
          <w:szCs w:val="14"/>
        </w:rPr>
        <w:t xml:space="preserve">    </w:t>
      </w:r>
      <w:r>
        <w:t>Find out what is the correlation between writing score and reading score.</w:t>
      </w:r>
    </w:p>
    <w:p w14:paraId="218CD1A4" w14:textId="77777777" w:rsidR="009E1D98" w:rsidRDefault="009E1D98"/>
    <w:p w14:paraId="32533F25" w14:textId="77777777" w:rsidR="009E1D98" w:rsidRDefault="00000000">
      <w:r>
        <w:rPr>
          <w:noProof/>
        </w:rPr>
        <w:drawing>
          <wp:inline distT="114300" distB="114300" distL="114300" distR="114300" wp14:anchorId="19C125F7" wp14:editId="21DA3000">
            <wp:extent cx="6305550" cy="36480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6305550" cy="3648075"/>
                    </a:xfrm>
                    <a:prstGeom prst="rect">
                      <a:avLst/>
                    </a:prstGeom>
                    <a:ln/>
                  </pic:spPr>
                </pic:pic>
              </a:graphicData>
            </a:graphic>
          </wp:inline>
        </w:drawing>
      </w:r>
    </w:p>
    <w:p w14:paraId="3EAA3B9E" w14:textId="77777777" w:rsidR="009E1D98" w:rsidRDefault="00000000">
      <w:pPr>
        <w:pStyle w:val="Heading2"/>
      </w:pPr>
      <w:bookmarkStart w:id="11" w:name="_3rdcrjn" w:colFirst="0" w:colLast="0"/>
      <w:bookmarkEnd w:id="11"/>
      <w:r>
        <w:rPr>
          <w:noProof/>
        </w:rPr>
        <w:lastRenderedPageBreak/>
        <w:drawing>
          <wp:inline distT="114300" distB="114300" distL="114300" distR="114300" wp14:anchorId="4A703D7A" wp14:editId="4EF3441E">
            <wp:extent cx="6448425" cy="40100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6448425" cy="4010025"/>
                    </a:xfrm>
                    <a:prstGeom prst="rect">
                      <a:avLst/>
                    </a:prstGeom>
                    <a:ln/>
                  </pic:spPr>
                </pic:pic>
              </a:graphicData>
            </a:graphic>
          </wp:inline>
        </w:drawing>
      </w:r>
    </w:p>
    <w:p w14:paraId="23BDF9B0" w14:textId="77777777" w:rsidR="009E1D98" w:rsidRDefault="009E1D98">
      <w:pPr>
        <w:pStyle w:val="Heading2"/>
      </w:pPr>
      <w:bookmarkStart w:id="12" w:name="_26in1rg" w:colFirst="0" w:colLast="0"/>
      <w:bookmarkEnd w:id="12"/>
    </w:p>
    <w:p w14:paraId="4A208DE2" w14:textId="77777777" w:rsidR="009E1D98" w:rsidRDefault="00000000">
      <w:pPr>
        <w:pStyle w:val="Heading2"/>
      </w:pPr>
      <w:r>
        <w:rPr>
          <w:noProof/>
        </w:rPr>
        <w:lastRenderedPageBreak/>
        <w:drawing>
          <wp:inline distT="114300" distB="114300" distL="114300" distR="114300" wp14:anchorId="658901B9" wp14:editId="5413F358">
            <wp:extent cx="6638925" cy="4791075"/>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6638925" cy="4791075"/>
                    </a:xfrm>
                    <a:prstGeom prst="rect">
                      <a:avLst/>
                    </a:prstGeom>
                    <a:ln/>
                  </pic:spPr>
                </pic:pic>
              </a:graphicData>
            </a:graphic>
          </wp:inline>
        </w:drawing>
      </w:r>
    </w:p>
    <w:p w14:paraId="5DEFF2BD" w14:textId="77777777" w:rsidR="009E1D98" w:rsidRDefault="009E1D98"/>
    <w:p w14:paraId="59401C1E" w14:textId="77777777" w:rsidR="009E1D98" w:rsidRPr="006B5CE0" w:rsidRDefault="00000000" w:rsidP="006B5CE0">
      <w:r w:rsidRPr="006B5CE0">
        <w:t>The correlation coefficient of 0.955 suggests that as writing scores increase, reading scores also tend to increase in a strongly linear manner.</w:t>
      </w:r>
    </w:p>
    <w:p w14:paraId="0B83947A" w14:textId="77777777" w:rsidR="009E1D98" w:rsidRDefault="009E1D98"/>
    <w:p w14:paraId="51E3BD2C" w14:textId="77777777" w:rsidR="009E1D98" w:rsidRDefault="00000000">
      <w:r>
        <w:t xml:space="preserve">B. Produce a scatterplot of the two variables. Use writing score on the horizontal axis and reading score on the vertical axis and comment on the graph. </w:t>
      </w:r>
    </w:p>
    <w:p w14:paraId="28DD2B4F" w14:textId="77777777" w:rsidR="009E1D98" w:rsidRDefault="009E1D98"/>
    <w:p w14:paraId="47D345DF" w14:textId="77777777" w:rsidR="009E1D98" w:rsidRDefault="00000000">
      <w:r>
        <w:rPr>
          <w:noProof/>
        </w:rPr>
        <w:lastRenderedPageBreak/>
        <w:drawing>
          <wp:inline distT="114300" distB="114300" distL="114300" distR="114300" wp14:anchorId="1C6B4858" wp14:editId="5AC3157C">
            <wp:extent cx="6134100" cy="3838575"/>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6134100" cy="3838575"/>
                    </a:xfrm>
                    <a:prstGeom prst="rect">
                      <a:avLst/>
                    </a:prstGeom>
                    <a:ln/>
                  </pic:spPr>
                </pic:pic>
              </a:graphicData>
            </a:graphic>
          </wp:inline>
        </w:drawing>
      </w:r>
    </w:p>
    <w:p w14:paraId="0F2C637E" w14:textId="77777777" w:rsidR="009E1D98" w:rsidRDefault="009E1D98"/>
    <w:p w14:paraId="34F18655" w14:textId="77777777" w:rsidR="009E1D98" w:rsidRDefault="009E1D98"/>
    <w:p w14:paraId="30BB2F24" w14:textId="77777777" w:rsidR="009E1D98" w:rsidRDefault="00000000">
      <w:r>
        <w:rPr>
          <w:noProof/>
        </w:rPr>
        <w:drawing>
          <wp:inline distT="114300" distB="114300" distL="114300" distR="114300" wp14:anchorId="091C14C3" wp14:editId="155520BC">
            <wp:extent cx="6600825" cy="372427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6600825" cy="3724275"/>
                    </a:xfrm>
                    <a:prstGeom prst="rect">
                      <a:avLst/>
                    </a:prstGeom>
                    <a:ln/>
                  </pic:spPr>
                </pic:pic>
              </a:graphicData>
            </a:graphic>
          </wp:inline>
        </w:drawing>
      </w:r>
    </w:p>
    <w:p w14:paraId="180C3DC4" w14:textId="77777777" w:rsidR="009E1D98" w:rsidRDefault="009E1D98"/>
    <w:p w14:paraId="28AA38D5" w14:textId="77777777" w:rsidR="009E1D98" w:rsidRDefault="00000000">
      <w:r>
        <w:rPr>
          <w:noProof/>
        </w:rPr>
        <w:lastRenderedPageBreak/>
        <w:drawing>
          <wp:inline distT="114300" distB="114300" distL="114300" distR="114300" wp14:anchorId="7DD57FFE" wp14:editId="029C4038">
            <wp:extent cx="6381750" cy="4029075"/>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6381750" cy="4029075"/>
                    </a:xfrm>
                    <a:prstGeom prst="rect">
                      <a:avLst/>
                    </a:prstGeom>
                    <a:ln/>
                  </pic:spPr>
                </pic:pic>
              </a:graphicData>
            </a:graphic>
          </wp:inline>
        </w:drawing>
      </w:r>
    </w:p>
    <w:p w14:paraId="255318CD" w14:textId="77777777" w:rsidR="009E1D98" w:rsidRDefault="009E1D98"/>
    <w:p w14:paraId="7FEB26A4" w14:textId="77777777" w:rsidR="009E1D98" w:rsidRDefault="00000000">
      <w:r>
        <w:t>There is a clear positive correlation between reading scores and writing scores. As the writing scores increase, the reading scores also tend to increase.</w:t>
      </w:r>
    </w:p>
    <w:p w14:paraId="7B366E4A" w14:textId="77777777" w:rsidR="009E1D98" w:rsidRDefault="009E1D98"/>
    <w:p w14:paraId="723211E1" w14:textId="77777777" w:rsidR="009E1D98" w:rsidRDefault="00000000">
      <w:r>
        <w:t>This strong positive correlation indicates that there is a relationship between students' writing and reading abilities. Improvement in one area might be associated with improvement in the other.</w:t>
      </w:r>
    </w:p>
    <w:p w14:paraId="05E4CE77" w14:textId="77777777" w:rsidR="009E1D98" w:rsidRDefault="00000000">
      <w:pPr>
        <w:pStyle w:val="Heading2"/>
      </w:pPr>
      <w:bookmarkStart w:id="13" w:name="_lnxbz9" w:colFirst="0" w:colLast="0"/>
      <w:bookmarkEnd w:id="13"/>
      <w:r>
        <w:t>Task 3</w:t>
      </w:r>
    </w:p>
    <w:p w14:paraId="35D16A19" w14:textId="77777777" w:rsidR="009E1D98" w:rsidRDefault="00000000">
      <w:pPr>
        <w:pStyle w:val="Heading3"/>
      </w:pPr>
      <w:bookmarkStart w:id="14" w:name="_35nkun2" w:colFirst="0" w:colLast="0"/>
      <w:bookmarkEnd w:id="14"/>
      <w:r>
        <w:t>Introduction</w:t>
      </w:r>
    </w:p>
    <w:p w14:paraId="3DE003C5" w14:textId="77777777" w:rsidR="009E1D98" w:rsidRDefault="00000000">
      <w:pPr>
        <w:spacing w:before="240" w:after="240"/>
        <w:rPr>
          <w:sz w:val="26"/>
          <w:szCs w:val="26"/>
        </w:rPr>
      </w:pPr>
      <w:r>
        <w:rPr>
          <w:sz w:val="26"/>
          <w:szCs w:val="26"/>
        </w:rPr>
        <w:t>In today's world, the ability to analyse and interpret data is essential for making informed decisions across various fields. Duarte (2024) notes that 90% of the world’s data was generated in just the last two years, illustrating the unprecedented growth in the volume of data we need to process.</w:t>
      </w:r>
    </w:p>
    <w:p w14:paraId="55FD695E" w14:textId="77777777" w:rsidR="009E1D98" w:rsidRDefault="00000000">
      <w:pPr>
        <w:spacing w:before="240" w:after="240"/>
        <w:rPr>
          <w:sz w:val="26"/>
          <w:szCs w:val="26"/>
        </w:rPr>
      </w:pPr>
      <w:r>
        <w:rPr>
          <w:sz w:val="26"/>
          <w:szCs w:val="26"/>
        </w:rPr>
        <w:t xml:space="preserve">While </w:t>
      </w:r>
      <w:proofErr w:type="spellStart"/>
      <w:r>
        <w:rPr>
          <w:sz w:val="26"/>
          <w:szCs w:val="26"/>
        </w:rPr>
        <w:t>Pruciak</w:t>
      </w:r>
      <w:proofErr w:type="spellEnd"/>
      <w:r>
        <w:rPr>
          <w:sz w:val="26"/>
          <w:szCs w:val="26"/>
        </w:rPr>
        <w:t xml:space="preserve"> (2021) points out that most data analysis is performed using Python and other programming languages, there are simpler alternatives available. In this essay, I will explore three such tools—SPSS, Excel, and </w:t>
      </w:r>
      <w:r>
        <w:rPr>
          <w:sz w:val="26"/>
          <w:szCs w:val="26"/>
        </w:rPr>
        <w:lastRenderedPageBreak/>
        <w:t>Tableau—along with their advantages and disadvantages. Additionally, I will explain the Data Mining Cycle and its significance, providing relevant examples.</w:t>
      </w:r>
    </w:p>
    <w:p w14:paraId="75C01BF4" w14:textId="77777777" w:rsidR="009E1D98" w:rsidRDefault="00000000">
      <w:pPr>
        <w:pStyle w:val="Heading3"/>
      </w:pPr>
      <w:bookmarkStart w:id="15" w:name="_1ksv4uv" w:colFirst="0" w:colLast="0"/>
      <w:bookmarkEnd w:id="15"/>
      <w:proofErr w:type="spellStart"/>
      <w:r>
        <w:t>Spss</w:t>
      </w:r>
      <w:proofErr w:type="spellEnd"/>
    </w:p>
    <w:p w14:paraId="65FD538D" w14:textId="77777777" w:rsidR="009E1D98" w:rsidRDefault="00000000">
      <w:pPr>
        <w:spacing w:before="240" w:after="240"/>
        <w:rPr>
          <w:sz w:val="26"/>
          <w:szCs w:val="26"/>
        </w:rPr>
      </w:pPr>
      <w:r>
        <w:rPr>
          <w:sz w:val="26"/>
          <w:szCs w:val="26"/>
        </w:rPr>
        <w:t>Originally known as the Statistical Package for the Social Sciences, is a comprehensive statistical software suite widely used in academic research, market research, healthcare, government, and various other sectors. According to IBM (2023) annual report, the SPSS, it's used by over 250,000 organisations worldwide.</w:t>
      </w:r>
    </w:p>
    <w:p w14:paraId="427B486D" w14:textId="77777777" w:rsidR="009E1D98" w:rsidRDefault="00000000">
      <w:pPr>
        <w:spacing w:before="240" w:after="240"/>
        <w:rPr>
          <w:sz w:val="26"/>
          <w:szCs w:val="26"/>
        </w:rPr>
      </w:pPr>
      <w:r>
        <w:rPr>
          <w:sz w:val="26"/>
          <w:szCs w:val="26"/>
        </w:rPr>
        <w:t>SPSS provides robust tools for data preparation, allowing users to import, clean, transform, and manage data from diverse sources. It simplifies the calculation of descriptive statistics, including frequencies, measures of central tendency (mean, median, mode), and measures of dispersion (range, variance, standard deviation), while also enabling the creation of insightful visualisations such as histograms and bar charts.</w:t>
      </w:r>
    </w:p>
    <w:p w14:paraId="0E964F46" w14:textId="77777777" w:rsidR="009E1D98" w:rsidRDefault="00000000">
      <w:pPr>
        <w:spacing w:before="240" w:after="240"/>
        <w:rPr>
          <w:sz w:val="26"/>
          <w:szCs w:val="26"/>
        </w:rPr>
      </w:pPr>
      <w:r>
        <w:rPr>
          <w:sz w:val="26"/>
          <w:szCs w:val="26"/>
        </w:rPr>
        <w:t xml:space="preserve">For researchers seeking to draw conclusions from their data, SPSS supports a wide range of inferential statistics. This includes various hypothesis testing procedures, such as t-tests, ANOVA, correlation, regression, and non-parametric tests, enabling inferences about populations based on sample data. </w:t>
      </w:r>
    </w:p>
    <w:p w14:paraId="376BE375" w14:textId="77777777" w:rsidR="009E1D98" w:rsidRDefault="00000000">
      <w:pPr>
        <w:spacing w:before="240" w:after="240"/>
        <w:rPr>
          <w:sz w:val="26"/>
          <w:szCs w:val="26"/>
        </w:rPr>
      </w:pPr>
      <w:r>
        <w:rPr>
          <w:sz w:val="26"/>
          <w:szCs w:val="26"/>
        </w:rPr>
        <w:t xml:space="preserve">However, according to </w:t>
      </w:r>
      <w:proofErr w:type="spellStart"/>
      <w:r>
        <w:rPr>
          <w:sz w:val="26"/>
          <w:szCs w:val="26"/>
        </w:rPr>
        <w:t>Intellectus</w:t>
      </w:r>
      <w:proofErr w:type="spellEnd"/>
      <w:r>
        <w:rPr>
          <w:sz w:val="26"/>
          <w:szCs w:val="26"/>
        </w:rPr>
        <w:t xml:space="preserve"> </w:t>
      </w:r>
      <w:proofErr w:type="gramStart"/>
      <w:r>
        <w:rPr>
          <w:sz w:val="26"/>
          <w:szCs w:val="26"/>
        </w:rPr>
        <w:t>Statistics(</w:t>
      </w:r>
      <w:proofErr w:type="spellStart"/>
      <w:proofErr w:type="gramEnd"/>
      <w:r>
        <w:rPr>
          <w:sz w:val="26"/>
          <w:szCs w:val="26"/>
        </w:rPr>
        <w:t>n.d</w:t>
      </w:r>
      <w:proofErr w:type="spellEnd"/>
      <w:r>
        <w:rPr>
          <w:sz w:val="26"/>
          <w:szCs w:val="26"/>
        </w:rPr>
        <w:t xml:space="preserve">), SPSS has a steeper learning curve compared to some other statistical software. Mastering its full functionality may require training and practice. While still being limited compared to </w:t>
      </w:r>
      <w:proofErr w:type="spellStart"/>
      <w:r>
        <w:rPr>
          <w:sz w:val="26"/>
          <w:szCs w:val="26"/>
        </w:rPr>
        <w:t>programing</w:t>
      </w:r>
      <w:proofErr w:type="spellEnd"/>
      <w:r>
        <w:rPr>
          <w:sz w:val="26"/>
          <w:szCs w:val="26"/>
        </w:rPr>
        <w:t xml:space="preserve"> languages.</w:t>
      </w:r>
    </w:p>
    <w:p w14:paraId="4101CDBB" w14:textId="77777777" w:rsidR="009E1D98" w:rsidRDefault="00000000">
      <w:pPr>
        <w:pStyle w:val="Heading3"/>
        <w:spacing w:before="240" w:after="240"/>
      </w:pPr>
      <w:bookmarkStart w:id="16" w:name="_44sinio" w:colFirst="0" w:colLast="0"/>
      <w:bookmarkEnd w:id="16"/>
      <w:r>
        <w:t>Excel</w:t>
      </w:r>
    </w:p>
    <w:p w14:paraId="7D3E4AAF" w14:textId="77777777" w:rsidR="009E1D98" w:rsidRDefault="00000000">
      <w:pPr>
        <w:spacing w:before="240" w:after="240"/>
        <w:rPr>
          <w:sz w:val="26"/>
          <w:szCs w:val="26"/>
        </w:rPr>
      </w:pPr>
      <w:r>
        <w:rPr>
          <w:sz w:val="26"/>
          <w:szCs w:val="26"/>
        </w:rPr>
        <w:t xml:space="preserve">While primarily known as a spreadsheet program, Microsoft Excel has become an indispensable tool for data analysis in many fields. According to a </w:t>
      </w:r>
      <w:proofErr w:type="gramStart"/>
      <w:r>
        <w:rPr>
          <w:sz w:val="26"/>
          <w:szCs w:val="26"/>
        </w:rPr>
        <w:t>Gov.au(</w:t>
      </w:r>
      <w:proofErr w:type="gramEnd"/>
      <w:r>
        <w:rPr>
          <w:sz w:val="26"/>
          <w:szCs w:val="26"/>
        </w:rPr>
        <w:t>2023), Excel is used by 89% of Australian businesses, highlighting its widespread adoption.</w:t>
      </w:r>
    </w:p>
    <w:p w14:paraId="59C40DEA" w14:textId="77777777" w:rsidR="009E1D98" w:rsidRDefault="00000000">
      <w:pPr>
        <w:spacing w:before="240" w:after="240"/>
        <w:rPr>
          <w:sz w:val="26"/>
          <w:szCs w:val="26"/>
        </w:rPr>
      </w:pPr>
      <w:r>
        <w:rPr>
          <w:sz w:val="26"/>
          <w:szCs w:val="26"/>
        </w:rPr>
        <w:t xml:space="preserve">Excel's intuitive interface and familiar grid layout make data entry and organisation straightforward. Users can easily import data from various sources, including text files, databases, and other spreadsheet formats. With its built-in functions and formulas, Excel enables users to perform calculations ranging from </w:t>
      </w:r>
      <w:r>
        <w:rPr>
          <w:sz w:val="26"/>
          <w:szCs w:val="26"/>
        </w:rPr>
        <w:lastRenderedPageBreak/>
        <w:t>basic arithmetic to complex statistical analyses. Popular functions include SUM, AVERAGE, IF, VLOOKUP, and COUNTIF, allowing users to summarise, filter, and transform data.</w:t>
      </w:r>
    </w:p>
    <w:p w14:paraId="5156AB0A" w14:textId="77777777" w:rsidR="009E1D98" w:rsidRDefault="00000000">
      <w:pPr>
        <w:spacing w:before="240" w:after="240"/>
        <w:rPr>
          <w:sz w:val="26"/>
          <w:szCs w:val="26"/>
        </w:rPr>
      </w:pPr>
      <w:r>
        <w:rPr>
          <w:sz w:val="26"/>
          <w:szCs w:val="26"/>
        </w:rPr>
        <w:t>Excel also offers powerful data visualisation capabilities, enabling users to create charts, graphs, and other visual representations of their data. Whether it's a simple bar chart to compare sales figures or a complex scatter plot to visualise correlations, Excel's visualisation tools help users gain insights and communicate findings effectively.</w:t>
      </w:r>
    </w:p>
    <w:p w14:paraId="04EC8118" w14:textId="77777777" w:rsidR="009E1D98" w:rsidRDefault="00000000">
      <w:pPr>
        <w:spacing w:before="240" w:after="240"/>
        <w:rPr>
          <w:sz w:val="26"/>
          <w:szCs w:val="26"/>
        </w:rPr>
      </w:pPr>
      <w:r>
        <w:rPr>
          <w:sz w:val="26"/>
          <w:szCs w:val="26"/>
        </w:rPr>
        <w:t>According to Elhady (2024), Excel has technical limits on the number of rows and columns it can handle, which can be a constraint when working with massive datasets. Additionally, while Excel offers a range of built-in statistical functions, it may not have the depth or flexibility required for more advanced or specialised analyses.</w:t>
      </w:r>
    </w:p>
    <w:p w14:paraId="00211CC3" w14:textId="77777777" w:rsidR="009E1D98" w:rsidRDefault="00000000">
      <w:pPr>
        <w:pStyle w:val="Heading3"/>
        <w:spacing w:before="240" w:after="240"/>
      </w:pPr>
      <w:bookmarkStart w:id="17" w:name="_2jxsxqh" w:colFirst="0" w:colLast="0"/>
      <w:bookmarkEnd w:id="17"/>
      <w:r>
        <w:t>Tableau</w:t>
      </w:r>
    </w:p>
    <w:p w14:paraId="11590A4F" w14:textId="77777777" w:rsidR="009E1D98" w:rsidRDefault="00000000">
      <w:pPr>
        <w:spacing w:before="240" w:after="240"/>
        <w:rPr>
          <w:sz w:val="26"/>
          <w:szCs w:val="26"/>
        </w:rPr>
      </w:pPr>
      <w:r>
        <w:rPr>
          <w:sz w:val="26"/>
          <w:szCs w:val="26"/>
        </w:rPr>
        <w:t>According to Tableau's own reporting, over 10.000 organisations worldwide use their software for data analysis and visualisation (Tableau, 2024).</w:t>
      </w:r>
    </w:p>
    <w:p w14:paraId="1FED2549" w14:textId="77777777" w:rsidR="009E1D98" w:rsidRDefault="00000000">
      <w:pPr>
        <w:spacing w:before="240" w:after="240"/>
        <w:rPr>
          <w:sz w:val="26"/>
          <w:szCs w:val="26"/>
        </w:rPr>
      </w:pPr>
      <w:r>
        <w:rPr>
          <w:sz w:val="26"/>
          <w:szCs w:val="26"/>
        </w:rPr>
        <w:t>Tableau's drag-and-drop interface makes it user-friendly, even for those without extensive technical expertise. Users can connect to a wide range of data sources, including spreadsheets, databases, and cloud-based platforms, and seamlessly blend data from multiple sources.</w:t>
      </w:r>
    </w:p>
    <w:p w14:paraId="67BC2648" w14:textId="77777777" w:rsidR="009E1D98" w:rsidRDefault="00000000">
      <w:pPr>
        <w:spacing w:before="240" w:after="240"/>
        <w:rPr>
          <w:sz w:val="26"/>
          <w:szCs w:val="26"/>
        </w:rPr>
      </w:pPr>
      <w:r>
        <w:rPr>
          <w:sz w:val="26"/>
          <w:szCs w:val="26"/>
        </w:rPr>
        <w:t>The software's strength lies in its ability to create visually appealing and interactive dashboards and reports. Users can customise the appearance of their visualisations with a variety of charts, graphs, maps, and other visual elements. The interactivity of Tableau dashboards allows users to explore data dynamically, filtering, drilling down, and highlighting specific aspects of interest.</w:t>
      </w:r>
    </w:p>
    <w:p w14:paraId="3815967C" w14:textId="77777777" w:rsidR="009E1D98" w:rsidRDefault="00000000">
      <w:pPr>
        <w:spacing w:before="240" w:after="240"/>
        <w:rPr>
          <w:sz w:val="26"/>
          <w:szCs w:val="26"/>
        </w:rPr>
      </w:pPr>
      <w:r>
        <w:rPr>
          <w:sz w:val="26"/>
          <w:szCs w:val="26"/>
        </w:rPr>
        <w:t>One of Tableau's notable features is its ability to handle large datasets efficiently. Its data engine optimises performance, allowing users to explore millions of data points without significant lag. Additionally, Tableau offers real-time data connectivity, enabling users to monitor and analyse data as it updates.</w:t>
      </w:r>
    </w:p>
    <w:p w14:paraId="2F3AF654" w14:textId="77777777" w:rsidR="009E1D98" w:rsidRDefault="00000000">
      <w:pPr>
        <w:spacing w:before="240" w:after="240"/>
        <w:rPr>
          <w:sz w:val="26"/>
          <w:szCs w:val="26"/>
        </w:rPr>
      </w:pPr>
      <w:r>
        <w:rPr>
          <w:sz w:val="26"/>
          <w:szCs w:val="26"/>
        </w:rPr>
        <w:t xml:space="preserve">While Tableau excels at data visualisation, it has some limitations. It can be relatively expensive compared to other data analysis tools, particularly for enterprise-level deployments. Additionally, while Tableau offers some data </w:t>
      </w:r>
      <w:r>
        <w:rPr>
          <w:sz w:val="26"/>
          <w:szCs w:val="26"/>
        </w:rPr>
        <w:lastRenderedPageBreak/>
        <w:t>preparation capabilities, it may not be as comprehensive as dedicated data preparation tools.</w:t>
      </w:r>
    </w:p>
    <w:p w14:paraId="0408C1D8" w14:textId="77777777" w:rsidR="009E1D98" w:rsidRDefault="00000000">
      <w:pPr>
        <w:pStyle w:val="Heading3"/>
        <w:spacing w:before="240" w:after="240"/>
      </w:pPr>
      <w:bookmarkStart w:id="18" w:name="_z337ya" w:colFirst="0" w:colLast="0"/>
      <w:bookmarkEnd w:id="18"/>
      <w:r>
        <w:t xml:space="preserve">Data Mining </w:t>
      </w:r>
    </w:p>
    <w:p w14:paraId="5F014054" w14:textId="77777777" w:rsidR="009E1D98" w:rsidRDefault="00000000">
      <w:pPr>
        <w:spacing w:before="240" w:after="240"/>
        <w:rPr>
          <w:sz w:val="26"/>
          <w:szCs w:val="26"/>
        </w:rPr>
      </w:pPr>
      <w:r>
        <w:rPr>
          <w:sz w:val="26"/>
          <w:szCs w:val="26"/>
        </w:rPr>
        <w:t xml:space="preserve">According to Han, Kamber, and Pei (2011), data mining is the process of discovering patterns, correlations, and anomalies within large sets of data </w:t>
      </w:r>
      <w:proofErr w:type="gramStart"/>
      <w:r>
        <w:rPr>
          <w:sz w:val="26"/>
          <w:szCs w:val="26"/>
        </w:rPr>
        <w:t>through the use of</w:t>
      </w:r>
      <w:proofErr w:type="gramEnd"/>
      <w:r>
        <w:rPr>
          <w:sz w:val="26"/>
          <w:szCs w:val="26"/>
        </w:rPr>
        <w:t xml:space="preserve"> various techniques from machine learning, statistics, and database systems. The primary goal of data mining is to extract valuable information from data, turning raw data into meaningful insights that can drive decision-making, optimise processes, and provide a competitive edge in various industries. </w:t>
      </w:r>
    </w:p>
    <w:p w14:paraId="4E0DAD95" w14:textId="77777777" w:rsidR="009E1D98" w:rsidRDefault="00000000">
      <w:pPr>
        <w:spacing w:before="240" w:after="240"/>
        <w:rPr>
          <w:sz w:val="26"/>
          <w:szCs w:val="26"/>
        </w:rPr>
      </w:pPr>
      <w:r>
        <w:rPr>
          <w:sz w:val="26"/>
          <w:szCs w:val="26"/>
        </w:rPr>
        <w:t xml:space="preserve">According to Fayyad, </w:t>
      </w:r>
      <w:proofErr w:type="spellStart"/>
      <w:r>
        <w:rPr>
          <w:sz w:val="26"/>
          <w:szCs w:val="26"/>
        </w:rPr>
        <w:t>Piatetsky</w:t>
      </w:r>
      <w:proofErr w:type="spellEnd"/>
      <w:r>
        <w:rPr>
          <w:sz w:val="26"/>
          <w:szCs w:val="26"/>
        </w:rPr>
        <w:t>-Shapiro, and Smyth (1996), the data mining process can be viewed as a sequence of steps that transform raw data into valuable knowledge. This process, often referred to as the Knowledge Discovery in Databases (KDD) process, involves several stages: data selection, preprocessing, transformation, data mining, interpretation/evaluation, and knowledge utilisation. Each stage plays an important role in ensuring the quality and relevance of the extracted information.</w:t>
      </w:r>
    </w:p>
    <w:p w14:paraId="7DC90983" w14:textId="77777777" w:rsidR="009E1D98" w:rsidRDefault="00000000">
      <w:pPr>
        <w:spacing w:before="240" w:after="240"/>
        <w:rPr>
          <w:sz w:val="26"/>
          <w:szCs w:val="26"/>
        </w:rPr>
      </w:pPr>
      <w:r>
        <w:rPr>
          <w:sz w:val="26"/>
          <w:szCs w:val="26"/>
        </w:rPr>
        <w:t>Additionally, data mining techniques can be broadly categorised into predictive and descriptive methods. Predictive methods, such as classification and regression, aim to predict future outcomes or trends based on historical data. For instance, a retail company might use classification algorithms to predict which customers are most likely to respond to a promotional offer, allowing for more targeted marketing campaigns. On the other hand, descriptive methods, such as clustering and association rule mining, focus on identifying patterns, relationships, and structures within the data. These methods can be used to uncover customer segments with similar purchasing behaviour or to identify products that are frequently purchased together.</w:t>
      </w:r>
    </w:p>
    <w:p w14:paraId="247EE55F" w14:textId="77777777" w:rsidR="009E1D98" w:rsidRDefault="00000000">
      <w:pPr>
        <w:pStyle w:val="Heading3"/>
      </w:pPr>
      <w:bookmarkStart w:id="19" w:name="_3j2qqm3" w:colFirst="0" w:colLast="0"/>
      <w:bookmarkEnd w:id="19"/>
      <w:r>
        <w:t>Conclusion</w:t>
      </w:r>
    </w:p>
    <w:p w14:paraId="33322DE0" w14:textId="77777777" w:rsidR="009E1D98" w:rsidRDefault="00000000">
      <w:pPr>
        <w:spacing w:before="240" w:after="240"/>
        <w:rPr>
          <w:sz w:val="26"/>
          <w:szCs w:val="26"/>
        </w:rPr>
      </w:pPr>
      <w:r>
        <w:rPr>
          <w:sz w:val="26"/>
          <w:szCs w:val="26"/>
        </w:rPr>
        <w:t>Choosing the right data analysis tool depends on the specific needs of the project. SPSS is ideal for complex statistical analysis, Excel for basic data manipulation, and Tableau for interactive visualisation. The Data Mining Cycle provides a structured approach to extracting valuable insights from data, leading to better decision-making and improved business outcomes.</w:t>
      </w:r>
    </w:p>
    <w:p w14:paraId="2716C557" w14:textId="77777777" w:rsidR="009E1D98" w:rsidRDefault="009E1D98">
      <w:pPr>
        <w:spacing w:before="240" w:after="240"/>
        <w:rPr>
          <w:sz w:val="26"/>
          <w:szCs w:val="26"/>
        </w:rPr>
      </w:pPr>
    </w:p>
    <w:p w14:paraId="2F9D61B7" w14:textId="77777777" w:rsidR="009E1D98" w:rsidRDefault="00000000">
      <w:pPr>
        <w:pStyle w:val="Heading3"/>
        <w:keepNext w:val="0"/>
        <w:keepLines w:val="0"/>
        <w:spacing w:before="0" w:after="360" w:line="360" w:lineRule="auto"/>
      </w:pPr>
      <w:bookmarkStart w:id="20" w:name="_1y810tw" w:colFirst="0" w:colLast="0"/>
      <w:bookmarkEnd w:id="20"/>
      <w:r>
        <w:t>Reference list</w:t>
      </w:r>
    </w:p>
    <w:p w14:paraId="43BA6B6B" w14:textId="77777777" w:rsidR="009E1D98" w:rsidRDefault="00000000">
      <w:pPr>
        <w:spacing w:after="240" w:line="360" w:lineRule="auto"/>
        <w:rPr>
          <w:sz w:val="24"/>
          <w:szCs w:val="24"/>
        </w:rPr>
      </w:pPr>
      <w:r>
        <w:rPr>
          <w:sz w:val="24"/>
          <w:szCs w:val="24"/>
        </w:rPr>
        <w:t>Data Mining Third Edition. (n.d.). Available at: https://myweb.sabanciuniv.edu/rdehkharghani/files/2016/02/The-Morgan-Kaufmann-Series-in-Data-Management-Systems-Jiawei-Han-Micheline-Kamber-Jian-Pei-Data-Mining.-Concepts-and-Techniques-3rd-Edition-Morgan-Kaufmann-2011.pdf.</w:t>
      </w:r>
    </w:p>
    <w:p w14:paraId="61B7BBB7" w14:textId="77777777" w:rsidR="009E1D98" w:rsidRDefault="00000000">
      <w:pPr>
        <w:spacing w:after="240" w:line="360" w:lineRule="auto"/>
        <w:rPr>
          <w:sz w:val="24"/>
          <w:szCs w:val="24"/>
        </w:rPr>
      </w:pPr>
      <w:r>
        <w:rPr>
          <w:sz w:val="24"/>
          <w:szCs w:val="24"/>
        </w:rPr>
        <w:t xml:space="preserve">Duarte, F. (2023). </w:t>
      </w:r>
      <w:r>
        <w:rPr>
          <w:i/>
          <w:sz w:val="24"/>
          <w:szCs w:val="24"/>
        </w:rPr>
        <w:t>Amount of Data Created Daily (2024)</w:t>
      </w:r>
      <w:r>
        <w:rPr>
          <w:sz w:val="24"/>
          <w:szCs w:val="24"/>
        </w:rPr>
        <w:t>. [online] Exploding Topics. Available at: https://explodingtopics.com/blog/data-generated-per-day.</w:t>
      </w:r>
    </w:p>
    <w:p w14:paraId="60A93F22" w14:textId="77777777" w:rsidR="009E1D98" w:rsidRDefault="00000000">
      <w:pPr>
        <w:spacing w:after="240" w:line="360" w:lineRule="auto"/>
        <w:rPr>
          <w:sz w:val="24"/>
          <w:szCs w:val="24"/>
        </w:rPr>
      </w:pPr>
      <w:r>
        <w:rPr>
          <w:sz w:val="24"/>
          <w:szCs w:val="24"/>
        </w:rPr>
        <w:t xml:space="preserve">ElHady, H. (2024). </w:t>
      </w:r>
      <w:r>
        <w:rPr>
          <w:i/>
          <w:sz w:val="24"/>
          <w:szCs w:val="24"/>
        </w:rPr>
        <w:t>Excel Co-Authoring and Collaboration (Complete Guide) | Layer Blog</w:t>
      </w:r>
      <w:r>
        <w:rPr>
          <w:sz w:val="24"/>
          <w:szCs w:val="24"/>
        </w:rPr>
        <w:t>. [online] Available at: https://golayer.io/blog/excel/excel-co-authoring/ [Accessed 1 Aug. 2024].</w:t>
      </w:r>
    </w:p>
    <w:p w14:paraId="57E7EB85" w14:textId="77777777" w:rsidR="009E1D98" w:rsidRDefault="00000000">
      <w:pPr>
        <w:spacing w:after="240" w:line="360" w:lineRule="auto"/>
        <w:rPr>
          <w:sz w:val="24"/>
          <w:szCs w:val="24"/>
        </w:rPr>
      </w:pPr>
      <w:r>
        <w:rPr>
          <w:sz w:val="24"/>
          <w:szCs w:val="24"/>
        </w:rPr>
        <w:t xml:space="preserve">Fayyad, U. and </w:t>
      </w:r>
      <w:proofErr w:type="spellStart"/>
      <w:r>
        <w:rPr>
          <w:sz w:val="24"/>
          <w:szCs w:val="24"/>
        </w:rPr>
        <w:t>Uthurusamy</w:t>
      </w:r>
      <w:proofErr w:type="spellEnd"/>
      <w:r>
        <w:rPr>
          <w:sz w:val="24"/>
          <w:szCs w:val="24"/>
        </w:rPr>
        <w:t xml:space="preserve">, R. (1996). Data mining and knowledge discovery in databases. </w:t>
      </w:r>
      <w:r>
        <w:rPr>
          <w:i/>
          <w:sz w:val="24"/>
          <w:szCs w:val="24"/>
        </w:rPr>
        <w:t>Communications of the ACM</w:t>
      </w:r>
      <w:r>
        <w:rPr>
          <w:sz w:val="24"/>
          <w:szCs w:val="24"/>
        </w:rPr>
        <w:t xml:space="preserve">, [online] 39(11), pp.24–26. </w:t>
      </w:r>
      <w:proofErr w:type="spellStart"/>
      <w:proofErr w:type="gramStart"/>
      <w:r>
        <w:rPr>
          <w:sz w:val="24"/>
          <w:szCs w:val="24"/>
        </w:rPr>
        <w:t>doi:https</w:t>
      </w:r>
      <w:proofErr w:type="spellEnd"/>
      <w:r>
        <w:rPr>
          <w:sz w:val="24"/>
          <w:szCs w:val="24"/>
        </w:rPr>
        <w:t>://doi.org/10.1145/240455.240463</w:t>
      </w:r>
      <w:proofErr w:type="gramEnd"/>
      <w:r>
        <w:rPr>
          <w:sz w:val="24"/>
          <w:szCs w:val="24"/>
        </w:rPr>
        <w:t>.</w:t>
      </w:r>
    </w:p>
    <w:p w14:paraId="774323EE" w14:textId="77777777" w:rsidR="009E1D98" w:rsidRDefault="00000000">
      <w:pPr>
        <w:spacing w:after="240" w:line="360" w:lineRule="auto"/>
        <w:rPr>
          <w:sz w:val="24"/>
          <w:szCs w:val="24"/>
        </w:rPr>
      </w:pPr>
      <w:r>
        <w:rPr>
          <w:sz w:val="24"/>
          <w:szCs w:val="24"/>
        </w:rPr>
        <w:t>Inquiry report -volume 4. (2023). Available at: https://www.pc.gov.au/inquiries/completed/productivity/report/productivity-volume4-data-digital-dividend.pdf.</w:t>
      </w:r>
    </w:p>
    <w:p w14:paraId="65C660C3" w14:textId="77777777" w:rsidR="009E1D98" w:rsidRDefault="00000000">
      <w:pPr>
        <w:spacing w:after="240" w:line="360" w:lineRule="auto"/>
        <w:rPr>
          <w:sz w:val="24"/>
          <w:szCs w:val="24"/>
        </w:rPr>
      </w:pPr>
      <w:r>
        <w:rPr>
          <w:sz w:val="24"/>
          <w:szCs w:val="24"/>
        </w:rPr>
        <w:t xml:space="preserve">Karczewski, D. (2021). </w:t>
      </w:r>
      <w:r>
        <w:rPr>
          <w:i/>
          <w:sz w:val="24"/>
          <w:szCs w:val="24"/>
        </w:rPr>
        <w:t xml:space="preserve">Why And How Should You Use Python </w:t>
      </w:r>
      <w:proofErr w:type="gramStart"/>
      <w:r>
        <w:rPr>
          <w:i/>
          <w:sz w:val="24"/>
          <w:szCs w:val="24"/>
        </w:rPr>
        <w:t>For</w:t>
      </w:r>
      <w:proofErr w:type="gramEnd"/>
      <w:r>
        <w:rPr>
          <w:i/>
          <w:sz w:val="24"/>
          <w:szCs w:val="24"/>
        </w:rPr>
        <w:t xml:space="preserve"> Data Analysis? [Data Scientist Perspective]</w:t>
      </w:r>
      <w:r>
        <w:rPr>
          <w:sz w:val="24"/>
          <w:szCs w:val="24"/>
        </w:rPr>
        <w:t>. [online] www.ideamotive.co. Available at: https://www.ideamotive.co/blog/python-for-data-analysis.</w:t>
      </w:r>
    </w:p>
    <w:p w14:paraId="067B0A0F" w14:textId="77777777" w:rsidR="009E1D98" w:rsidRDefault="00000000">
      <w:pPr>
        <w:spacing w:after="240" w:line="360" w:lineRule="auto"/>
        <w:rPr>
          <w:sz w:val="24"/>
          <w:szCs w:val="24"/>
        </w:rPr>
      </w:pPr>
      <w:r>
        <w:rPr>
          <w:sz w:val="24"/>
          <w:szCs w:val="24"/>
        </w:rPr>
        <w:t xml:space="preserve">Krishna, A. (2023). </w:t>
      </w:r>
      <w:r>
        <w:rPr>
          <w:i/>
          <w:sz w:val="24"/>
          <w:szCs w:val="24"/>
        </w:rPr>
        <w:t>2023 IBM Annual Report</w:t>
      </w:r>
      <w:r>
        <w:rPr>
          <w:sz w:val="24"/>
          <w:szCs w:val="24"/>
        </w:rPr>
        <w:t>. [online] 2018 IBM Annual Report. Available at: https://www.ibm.com/annualreport/.</w:t>
      </w:r>
    </w:p>
    <w:p w14:paraId="393DA689" w14:textId="77777777" w:rsidR="009E1D98" w:rsidRDefault="00000000">
      <w:pPr>
        <w:spacing w:after="240" w:line="360" w:lineRule="auto"/>
        <w:rPr>
          <w:sz w:val="24"/>
          <w:szCs w:val="24"/>
        </w:rPr>
      </w:pPr>
      <w:r>
        <w:rPr>
          <w:sz w:val="24"/>
          <w:szCs w:val="24"/>
        </w:rPr>
        <w:t xml:space="preserve">Statistics, I. (2023). </w:t>
      </w:r>
      <w:proofErr w:type="spellStart"/>
      <w:r>
        <w:rPr>
          <w:i/>
          <w:sz w:val="24"/>
          <w:szCs w:val="24"/>
        </w:rPr>
        <w:t>Intellectus</w:t>
      </w:r>
      <w:proofErr w:type="spellEnd"/>
      <w:r>
        <w:rPr>
          <w:i/>
          <w:sz w:val="24"/>
          <w:szCs w:val="24"/>
        </w:rPr>
        <w:t xml:space="preserve"> Statistics’ competitive advantages over SPSS</w:t>
      </w:r>
      <w:r>
        <w:rPr>
          <w:sz w:val="24"/>
          <w:szCs w:val="24"/>
        </w:rPr>
        <w:t xml:space="preserve">. [online] </w:t>
      </w:r>
      <w:proofErr w:type="spellStart"/>
      <w:r>
        <w:rPr>
          <w:sz w:val="24"/>
          <w:szCs w:val="24"/>
        </w:rPr>
        <w:t>Intellectus</w:t>
      </w:r>
      <w:proofErr w:type="spellEnd"/>
      <w:r>
        <w:rPr>
          <w:sz w:val="24"/>
          <w:szCs w:val="24"/>
        </w:rPr>
        <w:t xml:space="preserve"> Statistics. Available at: https://www.intellectusstatistics.com/intellectus-statistics-competitive-advantages-over-spss/#:~:text=SPSS%20has%20a%20steep%20learning [Accessed 1 Aug. 2024].</w:t>
      </w:r>
    </w:p>
    <w:p w14:paraId="0D2A9B62" w14:textId="77777777" w:rsidR="009E1D98" w:rsidRDefault="00000000">
      <w:pPr>
        <w:spacing w:after="240" w:line="360" w:lineRule="auto"/>
        <w:rPr>
          <w:sz w:val="24"/>
          <w:szCs w:val="24"/>
        </w:rPr>
      </w:pPr>
      <w:r>
        <w:rPr>
          <w:sz w:val="24"/>
          <w:szCs w:val="24"/>
        </w:rPr>
        <w:lastRenderedPageBreak/>
        <w:t xml:space="preserve">www.tableau.com. (n.d.). </w:t>
      </w:r>
      <w:r>
        <w:rPr>
          <w:i/>
          <w:sz w:val="24"/>
          <w:szCs w:val="24"/>
        </w:rPr>
        <w:t>Tableau Foundation Living Annual Report – dashboard</w:t>
      </w:r>
      <w:r>
        <w:rPr>
          <w:sz w:val="24"/>
          <w:szCs w:val="24"/>
        </w:rPr>
        <w:t>. [online] Available at: https://www.tableau.com/en-gb/data-insights/dashboard-showcase/tableau-foundation-annual-report [Accessed 1 Aug. 2024].</w:t>
      </w:r>
    </w:p>
    <w:p w14:paraId="3697A843" w14:textId="77777777" w:rsidR="009E1D98" w:rsidRDefault="009E1D98">
      <w:pPr>
        <w:spacing w:before="240" w:after="240"/>
        <w:rPr>
          <w:sz w:val="26"/>
          <w:szCs w:val="26"/>
        </w:rPr>
      </w:pPr>
    </w:p>
    <w:p w14:paraId="731EEBE0" w14:textId="77777777" w:rsidR="009E1D98" w:rsidRDefault="009E1D98">
      <w:pPr>
        <w:spacing w:before="240" w:after="240"/>
        <w:rPr>
          <w:sz w:val="26"/>
          <w:szCs w:val="26"/>
        </w:rPr>
      </w:pPr>
    </w:p>
    <w:p w14:paraId="044BF2E7" w14:textId="77777777" w:rsidR="009E1D98" w:rsidRDefault="009E1D98">
      <w:pPr>
        <w:rPr>
          <w:sz w:val="26"/>
          <w:szCs w:val="26"/>
        </w:rPr>
      </w:pPr>
    </w:p>
    <w:sectPr w:rsidR="009E1D9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96264307-9315-459E-AFDF-02BBED61C6E3}"/>
  </w:font>
  <w:font w:name="Roboto Mono">
    <w:charset w:val="00"/>
    <w:family w:val="modern"/>
    <w:pitch w:val="fixed"/>
    <w:sig w:usb0="E00002FF" w:usb1="1000205B" w:usb2="00000020" w:usb3="00000000" w:csb0="0000019F" w:csb1="00000000"/>
    <w:embedRegular r:id="rId2" w:fontKey="{1C27C8E3-1E02-465E-AAAD-7A7978B2B6DE}"/>
  </w:font>
  <w:font w:name="Calibri">
    <w:panose1 w:val="020F0502020204030204"/>
    <w:charset w:val="00"/>
    <w:family w:val="swiss"/>
    <w:pitch w:val="variable"/>
    <w:sig w:usb0="E4002EFF" w:usb1="C000247B" w:usb2="00000009" w:usb3="00000000" w:csb0="000001FF" w:csb1="00000000"/>
    <w:embedRegular r:id="rId3" w:fontKey="{32432E88-698C-44AC-9B10-1D3EE02659FB}"/>
  </w:font>
  <w:font w:name="Cambria">
    <w:panose1 w:val="02040503050406030204"/>
    <w:charset w:val="00"/>
    <w:family w:val="roman"/>
    <w:pitch w:val="variable"/>
    <w:sig w:usb0="E00006FF" w:usb1="420024FF" w:usb2="02000000" w:usb3="00000000" w:csb0="0000019F" w:csb1="00000000"/>
    <w:embedRegular r:id="rId4" w:fontKey="{6078A2A3-62D5-46DA-B985-A1BB812E072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045C03"/>
    <w:multiLevelType w:val="multilevel"/>
    <w:tmpl w:val="35FEB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63441A"/>
    <w:multiLevelType w:val="multilevel"/>
    <w:tmpl w:val="B59EE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0351753">
    <w:abstractNumId w:val="1"/>
  </w:num>
  <w:num w:numId="2" w16cid:durableId="662010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D98"/>
    <w:rsid w:val="00332EE4"/>
    <w:rsid w:val="006B5CE0"/>
    <w:rsid w:val="009E1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35059"/>
  <w15:docId w15:val="{D7FF679A-C449-4D64-B230-02CBC9A29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6B5CE0"/>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1957</Words>
  <Characters>11159</Characters>
  <Application>Microsoft Office Word</Application>
  <DocSecurity>0</DocSecurity>
  <Lines>92</Lines>
  <Paragraphs>26</Paragraphs>
  <ScaleCrop>false</ScaleCrop>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cp:lastModifiedBy>
  <cp:revision>2</cp:revision>
  <dcterms:created xsi:type="dcterms:W3CDTF">2024-08-02T08:10:00Z</dcterms:created>
  <dcterms:modified xsi:type="dcterms:W3CDTF">2024-08-02T08:11:00Z</dcterms:modified>
</cp:coreProperties>
</file>