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D032CA" w14:textId="77777777" w:rsidR="002D2A21" w:rsidRPr="00971ECD" w:rsidRDefault="002D2A21" w:rsidP="00971ECD">
      <w:pPr>
        <w:spacing w:line="360" w:lineRule="auto"/>
        <w:jc w:val="both"/>
        <w:rPr>
          <w:rFonts w:ascii="Arial" w:eastAsia="Calibri" w:hAnsi="Arial" w:cs="Arial"/>
          <w:color w:val="1A1A1A" w:themeColor="background1" w:themeShade="1A"/>
          <w:sz w:val="24"/>
          <w:szCs w:val="24"/>
        </w:rPr>
      </w:pPr>
      <w:r w:rsidRPr="00971ECD">
        <w:rPr>
          <w:rFonts w:ascii="Arial" w:eastAsia="Calibri" w:hAnsi="Arial" w:cs="Arial"/>
          <w:noProof/>
          <w:color w:val="1A1A1A" w:themeColor="background1" w:themeShade="1A"/>
          <w:sz w:val="24"/>
          <w:szCs w:val="24"/>
        </w:rPr>
        <w:drawing>
          <wp:inline distT="0" distB="0" distL="0" distR="0" wp14:anchorId="7888BE2A" wp14:editId="30F4403A">
            <wp:extent cx="2743200" cy="1219200"/>
            <wp:effectExtent l="0" t="0" r="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inline>
        </w:drawing>
      </w:r>
    </w:p>
    <w:p w14:paraId="29393332" w14:textId="77777777" w:rsidR="002D2A21" w:rsidRPr="00971ECD" w:rsidRDefault="002D2A21" w:rsidP="00971ECD">
      <w:pPr>
        <w:spacing w:line="360" w:lineRule="auto"/>
        <w:jc w:val="both"/>
        <w:rPr>
          <w:rFonts w:ascii="Arial" w:eastAsia="Calibri" w:hAnsi="Arial" w:cs="Arial"/>
          <w:color w:val="1A1A1A" w:themeColor="background1" w:themeShade="1A"/>
          <w:sz w:val="24"/>
          <w:szCs w:val="24"/>
        </w:rPr>
      </w:pPr>
    </w:p>
    <w:p w14:paraId="78BB3C18" w14:textId="77777777" w:rsidR="00FA5EB7" w:rsidRPr="00971ECD" w:rsidRDefault="002D2A21" w:rsidP="00971ECD">
      <w:pPr>
        <w:spacing w:line="360" w:lineRule="auto"/>
        <w:ind w:firstLine="2410"/>
        <w:jc w:val="both"/>
        <w:rPr>
          <w:rFonts w:ascii="Arial" w:eastAsia="Calibri" w:hAnsi="Arial" w:cs="Arial"/>
          <w:color w:val="1A1A1A" w:themeColor="background1" w:themeShade="1A"/>
          <w:sz w:val="24"/>
          <w:szCs w:val="24"/>
        </w:rPr>
      </w:pPr>
      <w:r w:rsidRPr="00971ECD">
        <w:rPr>
          <w:rFonts w:ascii="Arial" w:eastAsia="Calibri" w:hAnsi="Arial" w:cs="Arial"/>
          <w:color w:val="1A1A1A" w:themeColor="background1" w:themeShade="1A"/>
          <w:sz w:val="24"/>
          <w:szCs w:val="24"/>
        </w:rPr>
        <w:t>Module</w:t>
      </w:r>
      <w:r w:rsidR="003D48F2" w:rsidRPr="00971ECD">
        <w:rPr>
          <w:rFonts w:ascii="Arial" w:eastAsia="Calibri" w:hAnsi="Arial" w:cs="Arial"/>
          <w:color w:val="1A1A1A" w:themeColor="background1" w:themeShade="1A"/>
          <w:sz w:val="24"/>
          <w:szCs w:val="24"/>
        </w:rPr>
        <w:t xml:space="preserve"> name</w:t>
      </w:r>
      <w:r w:rsidRPr="00971ECD">
        <w:rPr>
          <w:rFonts w:ascii="Arial" w:eastAsia="Calibri" w:hAnsi="Arial" w:cs="Arial"/>
          <w:color w:val="1A1A1A" w:themeColor="background1" w:themeShade="1A"/>
          <w:sz w:val="24"/>
          <w:szCs w:val="24"/>
        </w:rPr>
        <w:t xml:space="preserve">: </w:t>
      </w:r>
      <w:r w:rsidR="00FA5EB7" w:rsidRPr="00971ECD">
        <w:rPr>
          <w:rFonts w:ascii="Arial" w:eastAsia="Calibri" w:hAnsi="Arial" w:cs="Arial"/>
          <w:color w:val="1A1A1A" w:themeColor="background1" w:themeShade="1A"/>
          <w:sz w:val="24"/>
          <w:szCs w:val="24"/>
        </w:rPr>
        <w:t>Personnel Resourcing and Development</w:t>
      </w:r>
    </w:p>
    <w:p w14:paraId="126DC767" w14:textId="6C39994E" w:rsidR="002D2A21" w:rsidRPr="00971ECD" w:rsidRDefault="002D2A21" w:rsidP="00971ECD">
      <w:pPr>
        <w:spacing w:line="360" w:lineRule="auto"/>
        <w:ind w:left="1910" w:firstLine="1690"/>
        <w:jc w:val="both"/>
        <w:rPr>
          <w:rFonts w:ascii="Arial" w:eastAsia="Calibri" w:hAnsi="Arial" w:cs="Arial"/>
          <w:color w:val="1A1A1A" w:themeColor="background1" w:themeShade="1A"/>
          <w:sz w:val="24"/>
          <w:szCs w:val="24"/>
        </w:rPr>
      </w:pPr>
      <w:r w:rsidRPr="00971ECD">
        <w:rPr>
          <w:rFonts w:ascii="Arial" w:eastAsia="Calibri" w:hAnsi="Arial" w:cs="Arial"/>
          <w:color w:val="1A1A1A" w:themeColor="background1" w:themeShade="1A"/>
          <w:sz w:val="24"/>
          <w:szCs w:val="24"/>
        </w:rPr>
        <w:t>(</w:t>
      </w:r>
      <w:r w:rsidR="004D0133" w:rsidRPr="00971ECD">
        <w:rPr>
          <w:rFonts w:ascii="Arial" w:eastAsia="Calibri" w:hAnsi="Arial" w:cs="Arial"/>
          <w:color w:val="1A1A1A" w:themeColor="background1" w:themeShade="1A"/>
          <w:sz w:val="24"/>
          <w:szCs w:val="24"/>
        </w:rPr>
        <w:t>BMIH5005</w:t>
      </w:r>
      <w:r w:rsidRPr="00971ECD">
        <w:rPr>
          <w:rFonts w:ascii="Arial" w:eastAsia="Calibri" w:hAnsi="Arial" w:cs="Arial"/>
          <w:color w:val="1A1A1A" w:themeColor="background1" w:themeShade="1A"/>
          <w:sz w:val="24"/>
          <w:szCs w:val="24"/>
        </w:rPr>
        <w:t>)</w:t>
      </w:r>
    </w:p>
    <w:p w14:paraId="188783C7" w14:textId="746BAE93" w:rsidR="002D2A21" w:rsidRPr="00971ECD" w:rsidRDefault="002D2A21" w:rsidP="00971ECD">
      <w:pPr>
        <w:spacing w:line="360" w:lineRule="auto"/>
        <w:ind w:firstLine="2410"/>
        <w:jc w:val="both"/>
        <w:rPr>
          <w:rFonts w:ascii="Arial" w:eastAsia="Calibri" w:hAnsi="Arial" w:cs="Arial"/>
          <w:color w:val="1A1A1A" w:themeColor="background1" w:themeShade="1A"/>
          <w:sz w:val="24"/>
          <w:szCs w:val="24"/>
        </w:rPr>
      </w:pPr>
      <w:r w:rsidRPr="00971ECD">
        <w:rPr>
          <w:rFonts w:ascii="Arial" w:eastAsia="Calibri" w:hAnsi="Arial" w:cs="Arial"/>
          <w:color w:val="1A1A1A" w:themeColor="background1" w:themeShade="1A"/>
          <w:sz w:val="24"/>
          <w:szCs w:val="24"/>
        </w:rPr>
        <w:t>Lecturer</w:t>
      </w:r>
      <w:r w:rsidR="003D48F2" w:rsidRPr="00971ECD">
        <w:rPr>
          <w:rFonts w:ascii="Arial" w:eastAsia="Calibri" w:hAnsi="Arial" w:cs="Arial"/>
          <w:color w:val="1A1A1A" w:themeColor="background1" w:themeShade="1A"/>
          <w:sz w:val="24"/>
          <w:szCs w:val="24"/>
        </w:rPr>
        <w:t xml:space="preserve"> name</w:t>
      </w:r>
      <w:r w:rsidRPr="00971ECD">
        <w:rPr>
          <w:rFonts w:ascii="Arial" w:eastAsia="Calibri" w:hAnsi="Arial" w:cs="Arial"/>
          <w:color w:val="1A1A1A" w:themeColor="background1" w:themeShade="1A"/>
          <w:sz w:val="24"/>
          <w:szCs w:val="24"/>
        </w:rPr>
        <w:t>:</w:t>
      </w:r>
      <w:r w:rsidR="00BA27C4" w:rsidRPr="00971ECD">
        <w:rPr>
          <w:rFonts w:ascii="Arial" w:eastAsia="Calibri" w:hAnsi="Arial" w:cs="Arial"/>
          <w:color w:val="1A1A1A" w:themeColor="background1" w:themeShade="1A"/>
          <w:sz w:val="24"/>
          <w:szCs w:val="24"/>
        </w:rPr>
        <w:t xml:space="preserve"> Scott James</w:t>
      </w:r>
    </w:p>
    <w:p w14:paraId="21D7161A" w14:textId="19642BA3" w:rsidR="002D2A21" w:rsidRPr="00971ECD" w:rsidRDefault="002D2A21" w:rsidP="00971ECD">
      <w:pPr>
        <w:spacing w:line="360" w:lineRule="auto"/>
        <w:ind w:firstLine="2410"/>
        <w:jc w:val="both"/>
        <w:rPr>
          <w:rFonts w:ascii="Arial" w:eastAsia="Calibri" w:hAnsi="Arial" w:cs="Arial"/>
          <w:color w:val="1A1A1A" w:themeColor="background1" w:themeShade="1A"/>
          <w:sz w:val="24"/>
          <w:szCs w:val="24"/>
        </w:rPr>
      </w:pPr>
      <w:r w:rsidRPr="00971ECD">
        <w:rPr>
          <w:rFonts w:ascii="Arial" w:eastAsia="Calibri" w:hAnsi="Arial" w:cs="Arial"/>
          <w:color w:val="1A1A1A" w:themeColor="background1" w:themeShade="1A"/>
          <w:sz w:val="24"/>
          <w:szCs w:val="24"/>
        </w:rPr>
        <w:t xml:space="preserve">Student Name:  </w:t>
      </w:r>
      <w:r w:rsidR="003228B1" w:rsidRPr="00971ECD">
        <w:rPr>
          <w:rFonts w:ascii="Arial" w:eastAsia="Calibri" w:hAnsi="Arial" w:cs="Arial"/>
          <w:color w:val="1A1A1A" w:themeColor="background1" w:themeShade="1A"/>
          <w:sz w:val="24"/>
          <w:szCs w:val="24"/>
        </w:rPr>
        <w:t>Daniela</w:t>
      </w:r>
      <w:r w:rsidR="00F53D0D">
        <w:rPr>
          <w:rFonts w:ascii="Arial" w:eastAsia="Calibri" w:hAnsi="Arial" w:cs="Arial"/>
          <w:color w:val="1A1A1A" w:themeColor="background1" w:themeShade="1A"/>
          <w:sz w:val="24"/>
          <w:szCs w:val="24"/>
        </w:rPr>
        <w:t xml:space="preserve"> Elena</w:t>
      </w:r>
      <w:r w:rsidR="003228B1" w:rsidRPr="00971ECD">
        <w:rPr>
          <w:rFonts w:ascii="Arial" w:eastAsia="Calibri" w:hAnsi="Arial" w:cs="Arial"/>
          <w:color w:val="1A1A1A" w:themeColor="background1" w:themeShade="1A"/>
          <w:sz w:val="24"/>
          <w:szCs w:val="24"/>
        </w:rPr>
        <w:t xml:space="preserve"> Zota</w:t>
      </w:r>
    </w:p>
    <w:p w14:paraId="5377AEBF" w14:textId="5BDDBAF9" w:rsidR="002D2A21" w:rsidRPr="00971ECD" w:rsidRDefault="002D2A21" w:rsidP="00971ECD">
      <w:pPr>
        <w:spacing w:after="480" w:line="360" w:lineRule="auto"/>
        <w:ind w:right="-2857" w:firstLine="2410"/>
        <w:jc w:val="both"/>
        <w:rPr>
          <w:rFonts w:ascii="Arial" w:eastAsia="Calibri" w:hAnsi="Arial" w:cs="Arial"/>
          <w:color w:val="1A1A1A" w:themeColor="background1" w:themeShade="1A"/>
          <w:sz w:val="24"/>
          <w:szCs w:val="24"/>
        </w:rPr>
      </w:pPr>
      <w:r w:rsidRPr="00971ECD">
        <w:rPr>
          <w:rFonts w:ascii="Arial" w:eastAsia="Calibri" w:hAnsi="Arial" w:cs="Arial"/>
          <w:color w:val="1A1A1A" w:themeColor="background1" w:themeShade="1A"/>
          <w:sz w:val="24"/>
          <w:szCs w:val="24"/>
        </w:rPr>
        <w:t>Student ID</w:t>
      </w:r>
      <w:r w:rsidR="003D48F2" w:rsidRPr="00971ECD">
        <w:rPr>
          <w:rFonts w:ascii="Arial" w:eastAsia="Calibri" w:hAnsi="Arial" w:cs="Arial"/>
          <w:color w:val="1A1A1A" w:themeColor="background1" w:themeShade="1A"/>
          <w:sz w:val="24"/>
          <w:szCs w:val="24"/>
        </w:rPr>
        <w:t xml:space="preserve"> number</w:t>
      </w:r>
      <w:r w:rsidRPr="00971ECD">
        <w:rPr>
          <w:rFonts w:ascii="Arial" w:eastAsia="Calibri" w:hAnsi="Arial" w:cs="Arial"/>
          <w:color w:val="1A1A1A" w:themeColor="background1" w:themeShade="1A"/>
          <w:sz w:val="24"/>
          <w:szCs w:val="24"/>
        </w:rPr>
        <w:t>:</w:t>
      </w:r>
      <w:r w:rsidRPr="00971ECD">
        <w:rPr>
          <w:rFonts w:ascii="Arial" w:eastAsia="Calibri" w:hAnsi="Arial" w:cs="Arial"/>
          <w:color w:val="1A1A1A" w:themeColor="background1" w:themeShade="1A"/>
          <w:sz w:val="24"/>
          <w:szCs w:val="24"/>
        </w:rPr>
        <w:tab/>
      </w:r>
      <w:r w:rsidR="00C6031D" w:rsidRPr="00971ECD">
        <w:rPr>
          <w:rFonts w:ascii="Arial" w:eastAsia="Calibri" w:hAnsi="Arial" w:cs="Arial"/>
          <w:color w:val="1A1A1A" w:themeColor="background1" w:themeShade="1A"/>
          <w:sz w:val="24"/>
          <w:szCs w:val="24"/>
        </w:rPr>
        <w:t>2240973</w:t>
      </w:r>
    </w:p>
    <w:p w14:paraId="3177C448" w14:textId="368F08F0" w:rsidR="002D2A21" w:rsidRPr="00971ECD" w:rsidRDefault="00696B80" w:rsidP="00971ECD">
      <w:pPr>
        <w:spacing w:after="480" w:line="360" w:lineRule="auto"/>
        <w:ind w:right="-2857" w:firstLine="2410"/>
        <w:jc w:val="both"/>
        <w:rPr>
          <w:rFonts w:ascii="Arial" w:eastAsia="Calibri" w:hAnsi="Arial" w:cs="Arial"/>
          <w:color w:val="1A1A1A" w:themeColor="background1" w:themeShade="1A"/>
          <w:sz w:val="24"/>
          <w:szCs w:val="24"/>
        </w:rPr>
      </w:pPr>
      <w:r w:rsidRPr="00971ECD">
        <w:rPr>
          <w:rFonts w:ascii="Arial" w:eastAsia="Calibri" w:hAnsi="Arial" w:cs="Arial"/>
          <w:color w:val="1A1A1A" w:themeColor="background1" w:themeShade="1A"/>
          <w:sz w:val="24"/>
          <w:szCs w:val="24"/>
        </w:rPr>
        <w:t>2nd</w:t>
      </w:r>
      <w:r w:rsidR="002D2A21" w:rsidRPr="00971ECD">
        <w:rPr>
          <w:rFonts w:ascii="Arial" w:eastAsia="Calibri" w:hAnsi="Arial" w:cs="Arial"/>
          <w:color w:val="1A1A1A" w:themeColor="background1" w:themeShade="1A"/>
          <w:sz w:val="24"/>
          <w:szCs w:val="24"/>
        </w:rPr>
        <w:t xml:space="preserve"> Assignment</w:t>
      </w:r>
    </w:p>
    <w:p w14:paraId="0C0D96C8" w14:textId="075E0204" w:rsidR="002D2A21" w:rsidRPr="00971ECD" w:rsidRDefault="003D48F2" w:rsidP="00971ECD">
      <w:pPr>
        <w:spacing w:after="480" w:line="360" w:lineRule="auto"/>
        <w:ind w:right="-2857" w:firstLine="2410"/>
        <w:jc w:val="both"/>
        <w:rPr>
          <w:rFonts w:ascii="Arial" w:eastAsia="Calibri" w:hAnsi="Arial" w:cs="Arial"/>
          <w:color w:val="1A1A1A" w:themeColor="background1" w:themeShade="1A"/>
          <w:sz w:val="24"/>
          <w:szCs w:val="24"/>
        </w:rPr>
      </w:pPr>
      <w:r w:rsidRPr="00971ECD">
        <w:rPr>
          <w:rFonts w:ascii="Arial" w:eastAsia="Calibri" w:hAnsi="Arial" w:cs="Arial"/>
          <w:color w:val="1A1A1A" w:themeColor="background1" w:themeShade="1A"/>
          <w:sz w:val="24"/>
          <w:szCs w:val="24"/>
        </w:rPr>
        <w:t>Number of words</w:t>
      </w:r>
      <w:r w:rsidR="002D2A21" w:rsidRPr="00971ECD">
        <w:rPr>
          <w:rFonts w:ascii="Arial" w:eastAsia="Calibri" w:hAnsi="Arial" w:cs="Arial"/>
          <w:color w:val="1A1A1A" w:themeColor="background1" w:themeShade="1A"/>
          <w:sz w:val="24"/>
          <w:szCs w:val="24"/>
        </w:rPr>
        <w:t xml:space="preserve">: </w:t>
      </w:r>
      <w:r w:rsidR="00B57E25" w:rsidRPr="00971ECD">
        <w:rPr>
          <w:rFonts w:ascii="Arial" w:eastAsia="Calibri" w:hAnsi="Arial" w:cs="Arial"/>
          <w:color w:val="1A1A1A" w:themeColor="background1" w:themeShade="1A"/>
          <w:sz w:val="24"/>
          <w:szCs w:val="24"/>
        </w:rPr>
        <w:t xml:space="preserve"> </w:t>
      </w:r>
      <w:r w:rsidR="008E19AC" w:rsidRPr="00971ECD">
        <w:rPr>
          <w:rFonts w:ascii="Arial" w:eastAsia="Calibri" w:hAnsi="Arial" w:cs="Arial"/>
          <w:color w:val="1A1A1A" w:themeColor="background1" w:themeShade="1A"/>
          <w:sz w:val="24"/>
          <w:szCs w:val="24"/>
        </w:rPr>
        <w:t xml:space="preserve">   </w:t>
      </w:r>
      <w:r w:rsidR="00EA103B" w:rsidRPr="00971ECD">
        <w:rPr>
          <w:rFonts w:ascii="Arial" w:eastAsia="Calibri" w:hAnsi="Arial" w:cs="Arial"/>
          <w:color w:val="1A1A1A" w:themeColor="background1" w:themeShade="1A"/>
          <w:sz w:val="24"/>
          <w:szCs w:val="24"/>
        </w:rPr>
        <w:t>2085</w:t>
      </w:r>
    </w:p>
    <w:p w14:paraId="02E35935" w14:textId="77777777" w:rsidR="00970CC3" w:rsidRPr="00971ECD" w:rsidRDefault="00970CC3" w:rsidP="00971ECD">
      <w:pPr>
        <w:spacing w:after="480" w:line="360" w:lineRule="auto"/>
        <w:ind w:right="-2857" w:firstLine="2410"/>
        <w:jc w:val="both"/>
        <w:rPr>
          <w:rFonts w:ascii="Arial" w:eastAsia="Calibri" w:hAnsi="Arial" w:cs="Arial"/>
          <w:color w:val="1A1A1A" w:themeColor="background1" w:themeShade="1A"/>
          <w:sz w:val="24"/>
          <w:szCs w:val="24"/>
        </w:rPr>
      </w:pPr>
    </w:p>
    <w:p w14:paraId="5AB1D166" w14:textId="1C82F3F2" w:rsidR="00970CC3" w:rsidRPr="00971ECD" w:rsidRDefault="00970CC3" w:rsidP="00971ECD">
      <w:pPr>
        <w:spacing w:after="480" w:line="360" w:lineRule="auto"/>
        <w:ind w:right="-2857" w:firstLine="2410"/>
        <w:jc w:val="both"/>
        <w:rPr>
          <w:rFonts w:ascii="Arial" w:eastAsia="Calibri" w:hAnsi="Arial" w:cs="Arial"/>
          <w:color w:val="1A1A1A" w:themeColor="background1" w:themeShade="1A"/>
          <w:sz w:val="24"/>
          <w:szCs w:val="24"/>
        </w:rPr>
        <w:sectPr w:rsidR="00970CC3" w:rsidRPr="00971ECD" w:rsidSect="004B72CB">
          <w:footerReference w:type="default" r:id="rId9"/>
          <w:pgSz w:w="12240" w:h="15840"/>
          <w:pgMar w:top="1440" w:right="1440" w:bottom="1440" w:left="1440" w:header="720" w:footer="720" w:gutter="0"/>
          <w:cols w:space="720"/>
          <w:docGrid w:linePitch="360"/>
        </w:sectPr>
      </w:pPr>
    </w:p>
    <w:p w14:paraId="6D244989" w14:textId="77777777" w:rsidR="00082F0C" w:rsidRPr="00971ECD" w:rsidRDefault="00082F0C" w:rsidP="00971ECD">
      <w:pPr>
        <w:spacing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66B13DF9"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Table of Contents</w:t>
      </w:r>
    </w:p>
    <w:p w14:paraId="38A36ECC" w14:textId="77777777" w:rsidR="00786A79" w:rsidRPr="00971ECD" w:rsidRDefault="00786A79" w:rsidP="00971ECD">
      <w:pPr>
        <w:numPr>
          <w:ilvl w:val="0"/>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Introduction</w:t>
      </w:r>
    </w:p>
    <w:p w14:paraId="70DE4CD1" w14:textId="77777777" w:rsidR="00786A79" w:rsidRPr="00971ECD" w:rsidRDefault="00786A79" w:rsidP="00971ECD">
      <w:pPr>
        <w:numPr>
          <w:ilvl w:val="0"/>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Background of Hilton Hotels</w:t>
      </w:r>
    </w:p>
    <w:p w14:paraId="6237F12A" w14:textId="77777777" w:rsidR="00EA103B" w:rsidRPr="00971ECD" w:rsidRDefault="00EA103B" w:rsidP="00971ECD">
      <w:pPr>
        <w:numPr>
          <w:ilvl w:val="0"/>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Socio-economic factors</w:t>
      </w:r>
    </w:p>
    <w:p w14:paraId="7C7C367F" w14:textId="55A8D4B3" w:rsidR="00786A79" w:rsidRPr="00971ECD" w:rsidRDefault="00A84CEF"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3.1 Economic Conditions</w:t>
      </w:r>
    </w:p>
    <w:p w14:paraId="71FDCD06" w14:textId="5E117BB9" w:rsidR="00786A79" w:rsidRPr="00971ECD" w:rsidRDefault="00526A7A"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3</w:t>
      </w:r>
      <w:r w:rsidR="00786A79" w:rsidRPr="00971ECD">
        <w:rPr>
          <w:rFonts w:ascii="Arial" w:eastAsiaTheme="minorEastAsia" w:hAnsi="Arial" w:cs="Arial"/>
          <w:color w:val="1A1A1A" w:themeColor="background1" w:themeShade="1A"/>
          <w:kern w:val="2"/>
          <w:sz w:val="24"/>
          <w:szCs w:val="24"/>
          <w:lang w:eastAsia="en-GB"/>
          <w14:ligatures w14:val="standardContextual"/>
        </w:rPr>
        <w:t>.2 Social Trends</w:t>
      </w:r>
    </w:p>
    <w:p w14:paraId="30AF635B" w14:textId="77777777" w:rsidR="00786A79" w:rsidRPr="00971ECD" w:rsidRDefault="00786A79" w:rsidP="00971ECD">
      <w:pPr>
        <w:numPr>
          <w:ilvl w:val="0"/>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Current Issues in Employee Performance Management</w:t>
      </w:r>
    </w:p>
    <w:p w14:paraId="53835D6B" w14:textId="77777777" w:rsidR="00786A79" w:rsidRPr="00971ECD" w:rsidRDefault="00786A79"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5.1 Hybrid Work Mode</w:t>
      </w:r>
    </w:p>
    <w:p w14:paraId="71A3B706" w14:textId="77777777" w:rsidR="00786A79" w:rsidRPr="00971ECD" w:rsidRDefault="00786A79"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5.2 Office Work Arrangement</w:t>
      </w:r>
    </w:p>
    <w:p w14:paraId="30B14343" w14:textId="77777777" w:rsidR="00786A79" w:rsidRPr="00971ECD" w:rsidRDefault="00786A79"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5.3 Flexi Work Mode</w:t>
      </w:r>
    </w:p>
    <w:p w14:paraId="1B6E3257" w14:textId="77777777" w:rsidR="00786A79" w:rsidRPr="00971ECD" w:rsidRDefault="00786A79" w:rsidP="00971ECD">
      <w:pPr>
        <w:numPr>
          <w:ilvl w:val="0"/>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Industry Examples</w:t>
      </w:r>
    </w:p>
    <w:p w14:paraId="6D8DF4A4" w14:textId="77777777" w:rsidR="00786A79" w:rsidRPr="00971ECD" w:rsidRDefault="00786A79"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6.1 Marriott International</w:t>
      </w:r>
    </w:p>
    <w:p w14:paraId="79EF2AE4" w14:textId="77777777" w:rsidR="00786A79" w:rsidRPr="00971ECD" w:rsidRDefault="00786A79"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6.2 InterContinental Hotels Group (IHG)</w:t>
      </w:r>
    </w:p>
    <w:p w14:paraId="674D5BA5" w14:textId="77777777" w:rsidR="00786A79" w:rsidRPr="00971ECD" w:rsidRDefault="00786A79"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6.3 Radisson Hotel Group</w:t>
      </w:r>
    </w:p>
    <w:p w14:paraId="1DC1BBA9" w14:textId="77777777" w:rsidR="00786A79" w:rsidRPr="00971ECD" w:rsidRDefault="00786A79" w:rsidP="00971ECD">
      <w:pPr>
        <w:numPr>
          <w:ilvl w:val="0"/>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Potential Solutions</w:t>
      </w:r>
    </w:p>
    <w:p w14:paraId="2C48F965" w14:textId="77777777" w:rsidR="00786A79" w:rsidRPr="00971ECD" w:rsidRDefault="00786A79"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7.1 Implementing Flexible Work Policies</w:t>
      </w:r>
    </w:p>
    <w:p w14:paraId="0694579C" w14:textId="77777777" w:rsidR="00786A79" w:rsidRPr="00971ECD" w:rsidRDefault="00786A79"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7.2 Leveraging Technology</w:t>
      </w:r>
    </w:p>
    <w:p w14:paraId="03F1ACD4" w14:textId="77777777" w:rsidR="00786A79" w:rsidRPr="00971ECD" w:rsidRDefault="00786A79"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7.3 Focusing on Employee Development</w:t>
      </w:r>
    </w:p>
    <w:p w14:paraId="697FFA7C" w14:textId="77777777" w:rsidR="00786A79" w:rsidRPr="00971ECD" w:rsidRDefault="00786A79" w:rsidP="00971ECD">
      <w:pPr>
        <w:numPr>
          <w:ilvl w:val="1"/>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7.4 Enhancing Compensation Packages</w:t>
      </w:r>
    </w:p>
    <w:p w14:paraId="6DB94D19" w14:textId="77777777" w:rsidR="00786A79" w:rsidRPr="00971ECD" w:rsidRDefault="00786A79" w:rsidP="00971ECD">
      <w:pPr>
        <w:numPr>
          <w:ilvl w:val="0"/>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Conclusion</w:t>
      </w:r>
    </w:p>
    <w:p w14:paraId="78CFA10E" w14:textId="4FEA4939" w:rsidR="00971ECD" w:rsidRPr="00971ECD" w:rsidRDefault="00786A79" w:rsidP="00971ECD">
      <w:pPr>
        <w:numPr>
          <w:ilvl w:val="0"/>
          <w:numId w:val="7"/>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References</w:t>
      </w:r>
    </w:p>
    <w:p w14:paraId="6A07DE9B" w14:textId="77777777" w:rsidR="00971ECD" w:rsidRPr="00971ECD" w:rsidRDefault="00971ECD" w:rsidP="00971ECD">
      <w:pPr>
        <w:spacing w:line="360" w:lineRule="auto"/>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br w:type="page"/>
      </w:r>
    </w:p>
    <w:p w14:paraId="57256040" w14:textId="77777777" w:rsidR="00786A79" w:rsidRPr="00971ECD" w:rsidRDefault="00786A79" w:rsidP="00971ECD">
      <w:pPr>
        <w:spacing w:after="0" w:line="360" w:lineRule="auto"/>
        <w:ind w:left="72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5062825B"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6E2FC907" w14:textId="77777777" w:rsidR="00786A79" w:rsidRPr="00971ECD" w:rsidRDefault="00786A79" w:rsidP="00971ECD">
      <w:pPr>
        <w:numPr>
          <w:ilvl w:val="0"/>
          <w:numId w:val="8"/>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Introduction</w:t>
      </w:r>
    </w:p>
    <w:p w14:paraId="3A4007EE"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Organisational performance management focuses on evaluating performance and distributing rewards, where successful performance is perceived as the outcome of the interplay between individual capabilities and motivation (Torrington et al, 2020). In the dynamic landscape of the hospitality sector, the management of employee performance is shaped by numerous socio-economic factors. Socio-economic forces consist of various external elements such as economic conditions, societal shifts, technological progress, and changing demographic trends, all of which impact the functioning of organisations and the dynamics among employees. As the Human Resources Manager at Hilton Hotels, comprehending these influences and their effects on various modes of work is essential for enabling effective performance management and enhancing employee contentment. The forthcoming proposal will thoroughly investigate these aspects and offer practical insights and recommendations to enhance performance management strategies within the ever-changing hospitality sector.</w:t>
      </w:r>
    </w:p>
    <w:p w14:paraId="457D0F00"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69B54F29" w14:textId="77777777" w:rsidR="00786A79" w:rsidRPr="00971ECD" w:rsidRDefault="00786A79" w:rsidP="00971ECD">
      <w:pPr>
        <w:numPr>
          <w:ilvl w:val="0"/>
          <w:numId w:val="8"/>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Background of Hilton Hotels</w:t>
      </w:r>
    </w:p>
    <w:p w14:paraId="6BAAC1C4"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Hilton Hotels, founded by Conrad Hilton in 1919, has grown to become one of the largest and most recognised hotel chains globally, with over 7626 properties in 126 countries (Hilton, 2024). Known for its commitment to hospitality and innovation, Hilton Hotels aim to become the global leader in hospitality by providing guests with genuine experiences, offering team members rewarding opportunities, delivering significant value to owners, and making a positive difference in the communities they serve (Hilton, 2017). In the past years, Hilton has often been nominated one of the best organisations to work for (Great Place to Work, 2023).</w:t>
      </w:r>
    </w:p>
    <w:p w14:paraId="18B311D2" w14:textId="77777777" w:rsidR="00EA103B" w:rsidRPr="00971ECD" w:rsidRDefault="00EA103B"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10D86F4C" w14:textId="77777777" w:rsidR="00786A79" w:rsidRPr="00971ECD" w:rsidRDefault="00786A79" w:rsidP="00971ECD">
      <w:pPr>
        <w:numPr>
          <w:ilvl w:val="0"/>
          <w:numId w:val="8"/>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Socio-economic factors</w:t>
      </w:r>
    </w:p>
    <w:p w14:paraId="5A326A15" w14:textId="77777777" w:rsidR="00786A79" w:rsidRPr="00971ECD" w:rsidRDefault="00786A79" w:rsidP="00971ECD">
      <w:p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Socio-economic factors play a vital role in shaping the employee performance management systems within Hilton Hotels. These factors encompass a variety of elements, including economic circumstances, income distribution, educational attainment, and cultural standards, all of which exert a substantial impact on the organisation’s approach to managing employee performance.</w:t>
      </w:r>
    </w:p>
    <w:p w14:paraId="5B1C9FAA" w14:textId="77777777" w:rsidR="00786A79" w:rsidRPr="00971ECD" w:rsidRDefault="00786A79" w:rsidP="00971ECD">
      <w:pPr>
        <w:spacing w:after="0" w:line="360" w:lineRule="auto"/>
        <w:ind w:left="72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74261625"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3.1 Economic Conditions</w:t>
      </w:r>
    </w:p>
    <w:p w14:paraId="742C7E07"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Economic factors within the PESTLE framework play a pivotal role in shaping employee performance, offering both opportunities and challenges. In times of economic stability, organisations have the chance to invest more in training and development, fostering skill enhancement and better performance. Similarly, economic growth enables organisations to enhance recognition and rewards programs, igniting motivation and improved performance levels. Additionally, favourable economic conditions create prospects for career advancement, leading to heightened job satisfaction and increased employee performance. Conversely, challenges arise during economic downturns with constraints on salaries and benefits dampening motivation and performance (Ivancevich et al., 2018). In the hospitality sector, economic fluctuations can cause shifts in consumer behaviour, occupancy rates, and revenue, consequently influencing staffing levels and employee morale. Job insecurity stemming from economic instability can contribute to heightened stress and reduced performance (Kelliher &amp; Anderson, 2010), while resource limitations due to economic challenges can impede employee performance by restricting access to essential training, equipment, and tools. During a recession, qualified employees may depart for opportunities in other industry sectors.</w:t>
      </w:r>
      <w:r w:rsidRPr="00971ECD">
        <w:rPr>
          <w:rFonts w:ascii="Arial" w:eastAsia="Times New Roman" w:hAnsi="Arial" w:cs="Arial"/>
          <w:color w:val="1A1A1A" w:themeColor="background1" w:themeShade="1A"/>
          <w:kern w:val="2"/>
          <w:sz w:val="24"/>
          <w:szCs w:val="24"/>
          <w:lang w:eastAsia="en-GB"/>
          <w14:ligatures w14:val="standardContextual"/>
        </w:rPr>
        <w:t xml:space="preserve"> (Kim, Roehl &amp; Lee, 2019). </w:t>
      </w:r>
      <w:r w:rsidRPr="00971ECD">
        <w:rPr>
          <w:rFonts w:ascii="Arial" w:eastAsiaTheme="minorEastAsia" w:hAnsi="Arial" w:cs="Arial"/>
          <w:color w:val="1A1A1A" w:themeColor="background1" w:themeShade="1A"/>
          <w:kern w:val="2"/>
          <w:sz w:val="24"/>
          <w:szCs w:val="24"/>
          <w:lang w:eastAsia="en-GB"/>
          <w14:ligatures w14:val="standardContextual"/>
        </w:rPr>
        <w:t>The inflationary environment can also notably affect the labor expenses of hotels and automatically for Hilton Hotels. With escalating inflation rates, employees may seek higher wages to uphold their living standards amid diminishing purchasing power, thereby resulting in heightened labor costs for hotels, encompassing salaries, wages, and employee benefits. (LHC, 2023)</w:t>
      </w:r>
    </w:p>
    <w:p w14:paraId="69EBC4A8"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 </w:t>
      </w:r>
    </w:p>
    <w:p w14:paraId="14E45373"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3.2 Social Trends</w:t>
      </w:r>
    </w:p>
    <w:p w14:paraId="16622444"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Social factors significantly influence employee performance by shaping the working environment and organisational dynamics, encompassing demographic trends, cultural influences, social attitudes, and lifestyle changes. Understanding these elements allows organisations to leverage opportunities and mitigate challenges, thereby enhancing employee performance. Demographic changes, for instance, bring both opportunities and challenges: a diverse workforce can introduce varied perspectives and foster innovation, enhancing creativity and problem-solving; however, effective communication and conflict resolution strategies are essential to </w:t>
      </w:r>
      <w:r w:rsidRPr="00971ECD">
        <w:rPr>
          <w:rFonts w:ascii="Arial" w:eastAsiaTheme="minorEastAsia" w:hAnsi="Arial" w:cs="Arial"/>
          <w:color w:val="1A1A1A" w:themeColor="background1" w:themeShade="1A"/>
          <w:kern w:val="2"/>
          <w:sz w:val="24"/>
          <w:szCs w:val="24"/>
          <w:lang w:eastAsia="en-GB"/>
          <w14:ligatures w14:val="standardContextual"/>
        </w:rPr>
        <w:lastRenderedPageBreak/>
        <w:t xml:space="preserve">manage potential cultural misunderstandings and biases within this diverse demographic (Cox &amp; Blake, 1991). </w:t>
      </w:r>
    </w:p>
    <w:p w14:paraId="4E16151A"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Promoting work-life balance through flexible working hours, telecommuting, and wellness programs can increase job satisfaction, reduce stress, and enhance productivity (Beauregard &amp; Henry, 2009); however, balancing these initiatives with organisational goals can be challenging, especially in high-pressure environments. Similarly, higher levels of educational attainment and specialised skills among employees can drive innovation and provide a competitive advantage for the company, but keeping pace with the rapid technological and industry changes necessitates continuous investment in training and development.</w:t>
      </w:r>
    </w:p>
    <w:p w14:paraId="40345C77"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Organisations that align their values with social expectations and cultural norms can build a strong, positive employer brand, attracting and retaining top talent; however, differences in cultural norms and values can sometimes lead to conflicts and misunderstandings within a multicultural workforce (</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Hofstede, 2001)</w:t>
      </w:r>
      <w:r w:rsidRPr="00971ECD">
        <w:rPr>
          <w:rFonts w:ascii="Arial" w:eastAsiaTheme="minorEastAsia" w:hAnsi="Arial" w:cs="Arial"/>
          <w:color w:val="1A1A1A" w:themeColor="background1" w:themeShade="1A"/>
          <w:kern w:val="2"/>
          <w:sz w:val="24"/>
          <w:szCs w:val="24"/>
          <w:lang w:eastAsia="en-GB"/>
          <w14:ligatures w14:val="standardContextual"/>
        </w:rPr>
        <w:t xml:space="preserve">. Similarly, fostering a positive work culture that values employee engagement, transparency, and inclusivity can lead to higher levels of motivation and commitment (Duffy, Dik &amp; Steger, 2011), but negative social attitudes towards work, such as viewing it merely as a means to an end, can decrease employee engagement and productivity. Implementing comprehensive health and wellbeing programs can enhance overall employee performance by reducing absenteeism and improving mental and physical health; however, addressing the diverse health and wellbeing needs of a workforce can be complex and resource-intensive (Goetzel &amp; Ozminkowski, 2008). </w:t>
      </w:r>
    </w:p>
    <w:p w14:paraId="33CC08CA"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3579F2C4" w14:textId="77777777" w:rsidR="00786A79" w:rsidRPr="00971ECD" w:rsidRDefault="00786A79" w:rsidP="00971ECD">
      <w:pPr>
        <w:numPr>
          <w:ilvl w:val="0"/>
          <w:numId w:val="8"/>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Current Issues in Employee Performance Management</w:t>
      </w:r>
    </w:p>
    <w:p w14:paraId="22632AB0"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Employee performance management has attracted significant attention in academic and practical contexts because of its crucial role in improving organisational effectiveness. Current challenges in EPM are diverse, shaped by rapid technological progress, changing employee expectations, and fluctuations in the global economy. One notable challenge is the transition from traditional yearly performance evaluations to continual performance management (CPM). Recent research conducted by Pulakos, Mueller-Hanson, &amp; Arad (2019) suggests that CPM encourages continuous feedback, aligning goals, and fostering development, which leads to enhanced performance and employee engagement. Nevertheless, the implementation of CPM </w:t>
      </w:r>
      <w:r w:rsidRPr="00971ECD">
        <w:rPr>
          <w:rFonts w:ascii="Arial" w:eastAsiaTheme="minorEastAsia" w:hAnsi="Arial" w:cs="Arial"/>
          <w:color w:val="1A1A1A" w:themeColor="background1" w:themeShade="1A"/>
          <w:kern w:val="2"/>
          <w:sz w:val="24"/>
          <w:szCs w:val="24"/>
          <w:lang w:eastAsia="en-GB"/>
          <w14:ligatures w14:val="standardContextual"/>
        </w:rPr>
        <w:lastRenderedPageBreak/>
        <w:t>presents obstacles, including resistance from managers and the necessity for substantial adjustments in organisational culture and procedures.</w:t>
      </w:r>
    </w:p>
    <w:p w14:paraId="5169617A"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Moreover, the incorporation of technology in employee performance management has brought about a mixture of advantages and hurdles. The use of digital performance management tools has the potential to enhance efficiency by simplifying procedures and offering instantaneous data and valuable insights (Georgiou, Gouras, &amp; Nikolaou, 2019). Nonetheless, the dependence on such tools gives rise to apprehensions regarding data privacy, the depersonalisation of managerial processes, and potential biases in algorithmic decision-making (Nguyen &amp; Malik, 2022). Upholding ethical standards and tackling these biases are crucial for upholding trust and equity in the professional environment.</w:t>
      </w:r>
    </w:p>
    <w:p w14:paraId="52CD605B"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One significant challenge involves ensuring that performance management systems are in sync with the goals of both the organisation and its employees. Studies conducted by de Waal and Counet  (2009) emphasise the critical nature of aligning employee performance management practices with strategic objectives to improve organisational performance. Inconsistencies in alignment can result in disengagement and a decline in the efficiency of the employee performance management system. Moreover, the increasing attention placed on employee well-being requires performance management to take into account comprehensive aspects of employee development, rather than solely concentrating on metrics and outcomes, as indicated by Van De Voorde, Paauwe, &amp; Van Veldhoven (2012).</w:t>
      </w:r>
    </w:p>
    <w:p w14:paraId="2BF67780"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Diversity and inclusion are also key factors in modern employee performance management concerns. Research indicates that adopting inclusive performance management techniques can utilise a range of talents and viewpoints, leading to increased innovation and competitiveness (Harrison, Newman, &amp; Roth, 2006). Nevertheless, biases in performance appraisals and growth opportunities pose substantial challenges, highlighting the need for deliberate actions to promote fairness in employee performance management frameworks.</w:t>
      </w:r>
    </w:p>
    <w:p w14:paraId="29532751"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761822A4" w14:textId="77777777" w:rsidR="00786A79" w:rsidRPr="00971ECD" w:rsidRDefault="00786A79" w:rsidP="00971ECD">
      <w:pPr>
        <w:numPr>
          <w:ilvl w:val="0"/>
          <w:numId w:val="8"/>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Managing and Monitoring Performance in Varied Work Settings</w:t>
      </w:r>
    </w:p>
    <w:p w14:paraId="16F5F414"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5.1 On-Site Work</w:t>
      </w:r>
    </w:p>
    <w:p w14:paraId="74A15889"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On-site work remains the predominant mode in the hospitality industry. Performance management in this context involves direct supervision, regular in-person check-ins, and immediate feedback mechanisms. For Hilton, tools such as operational audits, </w:t>
      </w:r>
      <w:r w:rsidRPr="00971ECD">
        <w:rPr>
          <w:rFonts w:ascii="Arial" w:eastAsiaTheme="minorEastAsia" w:hAnsi="Arial" w:cs="Arial"/>
          <w:color w:val="1A1A1A" w:themeColor="background1" w:themeShade="1A"/>
          <w:kern w:val="2"/>
          <w:sz w:val="24"/>
          <w:szCs w:val="24"/>
          <w:lang w:eastAsia="en-GB"/>
          <w14:ligatures w14:val="standardContextual"/>
        </w:rPr>
        <w:lastRenderedPageBreak/>
        <w:t>mystery shoppers, and guest feedback surveys are critical in assessing and improving employee performance. In the context of the COVID-19 pandemic, the importance of adhering to health and safety regulations has significantly heightened. However, balancing employees' desires for flexibility and work-life equilibrium with traditional fixed office hours can present conflicting challenges.</w:t>
      </w:r>
    </w:p>
    <w:p w14:paraId="6CCE8597"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49E7DB6E"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5.2 Remote Work</w:t>
      </w:r>
    </w:p>
    <w:p w14:paraId="5ED9E240"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Although not as prevalent, remote work is becoming more popular in hospitality back-office roles thanks to technological progress. Supervising remote employees' performance includes using digital tools to monitor output, conducting virtual meetings, and using performance dashboards. Sustaining motivation and establishing effective communication channels are vital in this remote work setup. Managers are required to adjust to diverse schedules while maintaining regular performance assessments, highlighting the necessity for a strong communication framework that can accommodate non-traditional working hours.</w:t>
      </w:r>
    </w:p>
    <w:p w14:paraId="67C9A28A"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3D6D7A8C"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5.3 Hybrid Work</w:t>
      </w:r>
    </w:p>
    <w:p w14:paraId="2C0334B6"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In a hybrid work setup that blends on-site and remote components, achieving a well-rounded performance management strategy is crucial. Key elements include utilising flexible scheduling tools, promoting accountability across the organisation, and facilitating smooth communication between on-site and remote teams to enhance performance monitoring effectively. Managers may face challenges in providing all employees with equitable advancement opportunities and feedback, while monitoring productivity can prove challenging in the absence of adequate technological tools.</w:t>
      </w:r>
    </w:p>
    <w:p w14:paraId="7E4C281E" w14:textId="77777777" w:rsidR="00483797" w:rsidRPr="00971ECD" w:rsidRDefault="00483797"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1209FA85" w14:textId="5EB631CE" w:rsidR="00786A79" w:rsidRPr="00971ECD" w:rsidRDefault="00483797" w:rsidP="00971ECD">
      <w:pPr>
        <w:pStyle w:val="ListParagraph"/>
        <w:numPr>
          <w:ilvl w:val="0"/>
          <w:numId w:val="8"/>
        </w:num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Illustrative instances of Performance Management at Hilton Hotels</w:t>
      </w:r>
    </w:p>
    <w:p w14:paraId="23DC6FF9" w14:textId="77777777" w:rsidR="00786A79" w:rsidRPr="00971ECD" w:rsidRDefault="00786A79" w:rsidP="00971ECD">
      <w:pPr>
        <w:numPr>
          <w:ilvl w:val="1"/>
          <w:numId w:val="9"/>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Hilton Performance Management System </w:t>
      </w:r>
    </w:p>
    <w:p w14:paraId="5AC06B03" w14:textId="77777777" w:rsidR="00786A79"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Hilton employs a robust performance management system encompassing continuous feedback, goal setting, developmental reviews, and recognition programs. The system leverages technology to provide real-time performance insights and facilitate transparent communication between managers and employees.</w:t>
      </w:r>
    </w:p>
    <w:p w14:paraId="4CE9F0C3" w14:textId="77777777" w:rsidR="00971ECD" w:rsidRDefault="00971ECD"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612FA7EF" w14:textId="77777777" w:rsidR="00971ECD" w:rsidRPr="00971ECD" w:rsidRDefault="00971ECD"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22D63DD7"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100F1C3A"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lastRenderedPageBreak/>
        <w:t>6.2 Hilton Team Member Survey</w:t>
      </w:r>
    </w:p>
    <w:p w14:paraId="2EBA9C9C" w14:textId="77777777" w:rsidR="00786A79" w:rsidRPr="00971ECD" w:rsidRDefault="00786A79" w:rsidP="00971ECD">
      <w:pPr>
        <w:spacing w:after="0" w:line="360" w:lineRule="auto"/>
        <w:jc w:val="both"/>
        <w:rPr>
          <w:rFonts w:ascii="Arial" w:eastAsiaTheme="minorEastAsia" w:hAnsi="Arial" w:cs="Arial"/>
          <w:color w:val="1A1A1A" w:themeColor="background1" w:themeShade="1A"/>
          <w:sz w:val="24"/>
          <w:szCs w:val="24"/>
          <w:lang w:eastAsia="en-GB"/>
        </w:rPr>
      </w:pPr>
      <w:r w:rsidRPr="00971ECD">
        <w:rPr>
          <w:rFonts w:ascii="Arial" w:eastAsiaTheme="minorEastAsia" w:hAnsi="Arial" w:cs="Arial"/>
          <w:color w:val="1A1A1A" w:themeColor="background1" w:themeShade="1A"/>
          <w:sz w:val="24"/>
          <w:szCs w:val="24"/>
          <w:lang w:eastAsia="en-GB"/>
        </w:rPr>
        <w:t xml:space="preserve">At Hilton, employees go through a thorough annual performance evaluation using a balanced scorecard approach. The assessment includes input from colleagues, self-assessment, evaluations from subordinates, and feedback from customers. The primary evaluator is usually the employee's direct manager, with their assessment accounting for about two-thirds of the overall evaluation. In important or specialised roles, external peer experts may contribute to improve assessment accuracy. The evaluation result determines the employees' annual ratings, which typically range from A to E (Ma, 2021). </w:t>
      </w:r>
    </w:p>
    <w:p w14:paraId="4816E7B6" w14:textId="77777777" w:rsidR="00786A79" w:rsidRPr="00971ECD" w:rsidRDefault="00786A79" w:rsidP="00971ECD">
      <w:pPr>
        <w:spacing w:after="0" w:line="360" w:lineRule="auto"/>
        <w:jc w:val="both"/>
        <w:rPr>
          <w:rFonts w:ascii="Arial" w:eastAsiaTheme="minorEastAsia" w:hAnsi="Arial" w:cs="Arial"/>
          <w:color w:val="1A1A1A" w:themeColor="background1" w:themeShade="1A"/>
          <w:sz w:val="24"/>
          <w:szCs w:val="24"/>
          <w:lang w:eastAsia="en-GB"/>
        </w:rPr>
      </w:pPr>
    </w:p>
    <w:p w14:paraId="31C3FF32"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6.3 Hilton Recognition Programs</w:t>
      </w:r>
    </w:p>
    <w:p w14:paraId="79741766" w14:textId="7C4A6924"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These programs acknowledge and rewards employees for exceptional service and achievements. Hilton adheres to a number of recognition projects, such as A Hilton “HIGH FIVE!”, THE SPIRIT AWARD or CATCH ME AT MY BEST, and the scheduled recognition events are posted in the Hilton Recognition Calendar (Hilton, n.d.). Recognising and celebrating employee contributions fosters motivation and reinforces positive performance behaviours.</w:t>
      </w:r>
    </w:p>
    <w:p w14:paraId="75B2AA8C"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28B7DD75" w14:textId="361585BA" w:rsidR="00786A79" w:rsidRPr="00971ECD" w:rsidRDefault="00786A79" w:rsidP="00971ECD">
      <w:pPr>
        <w:pStyle w:val="ListParagraph"/>
        <w:numPr>
          <w:ilvl w:val="0"/>
          <w:numId w:val="8"/>
        </w:num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Industry Examples</w:t>
      </w:r>
    </w:p>
    <w:p w14:paraId="30B79BAF"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Marriott International exemplifies effective performance management by monitoring employee management across various work modes through the utilisation of performance management software offering real-time feedback and performance metrics (Accenture, 2024). The company also promotes flexible work arrangements and implements wellness programs to manage employee stress levels and enhance overall satisfaction. Similarly, InterContinental Hotels Group (IHG) emphasises monitoring employee management in different work modes by leveraging digital platforms for regular performance reviews through the Colleague HeartBeat survey (IHGPLC, 2022) and goal setting, ensuring ongoing employee engagement. IHG supports remote work for administrative positions and has established clear policies for hybrid work setups. Radisson Hotel Group also emphasises monitoring employee management across different work modes by utilising virtual communication tools and applications to facilitate employee engagement and performance tracking. Additionally, they have introduced flexible scheduling and part-time roles to accommodate diverse employee needs and manage peak demand periods effectively.</w:t>
      </w:r>
    </w:p>
    <w:p w14:paraId="0EDC5BAC"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36B599D2" w14:textId="325075BC" w:rsidR="00786A79" w:rsidRPr="00971ECD" w:rsidRDefault="00786A79" w:rsidP="00971ECD">
      <w:pPr>
        <w:pStyle w:val="ListParagraph"/>
        <w:numPr>
          <w:ilvl w:val="0"/>
          <w:numId w:val="8"/>
        </w:num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 Potential Solutions</w:t>
      </w:r>
    </w:p>
    <w:p w14:paraId="6FDAD9F0" w14:textId="77777777" w:rsidR="00786A79" w:rsidRPr="00971ECD" w:rsidRDefault="00786A79" w:rsidP="00971ECD">
      <w:pPr>
        <w:spacing w:after="0" w:line="360" w:lineRule="auto"/>
        <w:jc w:val="both"/>
        <w:rPr>
          <w:rFonts w:ascii="Arial" w:eastAsiaTheme="minorEastAsia" w:hAnsi="Arial" w:cs="Arial"/>
          <w:color w:val="1A1A1A" w:themeColor="background1" w:themeShade="1A"/>
          <w:sz w:val="24"/>
          <w:szCs w:val="24"/>
          <w:lang w:eastAsia="en-GB"/>
        </w:rPr>
      </w:pPr>
      <w:r w:rsidRPr="00971ECD">
        <w:rPr>
          <w:rFonts w:ascii="Arial" w:eastAsia="Times New Roman" w:hAnsi="Arial" w:cs="Arial"/>
          <w:color w:val="1A1A1A" w:themeColor="background1" w:themeShade="1A"/>
          <w:sz w:val="24"/>
          <w:szCs w:val="24"/>
          <w:shd w:val="clear" w:color="auto" w:fill="FFFFFF"/>
          <w:lang w:eastAsia="en-GB"/>
        </w:rPr>
        <w:t xml:space="preserve">Mullins &amp; Dossor (2013) stress that, before setting </w:t>
      </w:r>
      <w:r w:rsidRPr="00971ECD">
        <w:rPr>
          <w:rFonts w:ascii="Arial" w:eastAsiaTheme="minorEastAsia" w:hAnsi="Arial" w:cs="Arial"/>
          <w:color w:val="1A1A1A" w:themeColor="background1" w:themeShade="1A"/>
          <w:sz w:val="24"/>
          <w:szCs w:val="24"/>
          <w:lang w:eastAsia="en-GB"/>
        </w:rPr>
        <w:t>goals in an organisation, performance outcomes and achievements should be analysed, including aspects such as employee performance and attitudes, such as work organisation and execution, performance standards, monitoring systems, employee evaluations, customer interactions, personnel protocols, staff relationships, adherence to authority, and loyalty.</w:t>
      </w:r>
    </w:p>
    <w:p w14:paraId="39E7C56C" w14:textId="77777777" w:rsidR="00786A79" w:rsidRPr="00971ECD" w:rsidRDefault="00786A79" w:rsidP="00971ECD">
      <w:pPr>
        <w:spacing w:after="0" w:line="360" w:lineRule="auto"/>
        <w:jc w:val="both"/>
        <w:rPr>
          <w:rFonts w:ascii="Arial" w:eastAsiaTheme="minorEastAsia" w:hAnsi="Arial" w:cs="Arial"/>
          <w:color w:val="1A1A1A" w:themeColor="background1" w:themeShade="1A"/>
          <w:sz w:val="24"/>
          <w:szCs w:val="24"/>
          <w:lang w:eastAsia="en-GB"/>
        </w:rPr>
      </w:pPr>
      <w:r w:rsidRPr="00971ECD">
        <w:rPr>
          <w:rFonts w:ascii="Arial" w:eastAsiaTheme="minorEastAsia" w:hAnsi="Arial" w:cs="Arial"/>
          <w:color w:val="1A1A1A" w:themeColor="background1" w:themeShade="1A"/>
          <w:sz w:val="24"/>
          <w:szCs w:val="24"/>
          <w:lang w:eastAsia="en-GB"/>
        </w:rPr>
        <w:t>Employee performances during service delivery can be assessed using mystery shopping programs, enabling the identification of service delivery issues and employee performance gaps, as well as facilitating the establishment of tailored training programs aligned with predefined standards (Katlav &amp; Aydın, 2020). To enhance performance management, organisations may consider implementing enhanced training initiatives focusing on cultural competence, technological skills, and adaptive leadership to adapt to changing socio-economic dynamics. Furthermore, integrating artificial intelligence (AI) and machine learning for predictive analytics can help in identifying performance trends proactively, while customised performance metrics tailored to individual employee requirements and contextual factors can enhance the relevance and effectiveness of performance evaluations. Embracing flexible work arrangements like staggered shifts and telecommuting options can cater to diverse employee needs, improve work-life balance, and promote accountability through clear performance expectations and communication guidelines.</w:t>
      </w:r>
    </w:p>
    <w:p w14:paraId="0B8D9608"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2E86CAC0" w14:textId="52795670" w:rsidR="00353E3F" w:rsidRPr="00971ECD" w:rsidRDefault="00353E3F" w:rsidP="00971ECD">
      <w:pPr>
        <w:pStyle w:val="ListParagraph"/>
        <w:numPr>
          <w:ilvl w:val="0"/>
          <w:numId w:val="8"/>
        </w:num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Conclusion</w:t>
      </w:r>
    </w:p>
    <w:p w14:paraId="12BA4B15" w14:textId="4332EC62" w:rsidR="00971ECD" w:rsidRDefault="00DE7E3B"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Examining socio-economic influences uncovers significant effects on performance management in the hospitality industry. Economic circumstances determine staff workloads and resource distribution, technology developments streamline supervision methods, societal shifts impact work styles, and demographic trends require inclusive strategies. While Hilton Hotels demonstrate effective performance management through tools like the Hilton Performance Management System, Team Member Survey, and Recognition Programs, enhancing training schemes, integrating AI, </w:t>
      </w:r>
      <w:r w:rsidR="00E83499" w:rsidRPr="00971ECD">
        <w:rPr>
          <w:rFonts w:ascii="Arial" w:eastAsiaTheme="minorEastAsia" w:hAnsi="Arial" w:cs="Arial"/>
          <w:color w:val="1A1A1A" w:themeColor="background1" w:themeShade="1A"/>
          <w:kern w:val="2"/>
          <w:sz w:val="24"/>
          <w:szCs w:val="24"/>
          <w:lang w:eastAsia="en-GB"/>
          <w14:ligatures w14:val="standardContextual"/>
        </w:rPr>
        <w:t>customising</w:t>
      </w:r>
      <w:r w:rsidRPr="00971ECD">
        <w:rPr>
          <w:rFonts w:ascii="Arial" w:eastAsiaTheme="minorEastAsia" w:hAnsi="Arial" w:cs="Arial"/>
          <w:color w:val="1A1A1A" w:themeColor="background1" w:themeShade="1A"/>
          <w:kern w:val="2"/>
          <w:sz w:val="24"/>
          <w:szCs w:val="24"/>
          <w:lang w:eastAsia="en-GB"/>
          <w14:ligatures w14:val="standardContextual"/>
        </w:rPr>
        <w:t xml:space="preserve"> metrics, and adopting flexible work setups can enhance performance outcomes further.</w:t>
      </w:r>
      <w:r w:rsidR="00694AD8" w:rsidRPr="00971ECD">
        <w:rPr>
          <w:rFonts w:ascii="Arial" w:eastAsiaTheme="minorEastAsia" w:hAnsi="Arial" w:cs="Arial"/>
          <w:color w:val="1A1A1A" w:themeColor="background1" w:themeShade="1A"/>
          <w:kern w:val="2"/>
          <w:sz w:val="24"/>
          <w:szCs w:val="24"/>
          <w:lang w:eastAsia="en-GB"/>
          <w14:ligatures w14:val="standardContextual"/>
        </w:rPr>
        <w:t xml:space="preserve"> </w:t>
      </w:r>
      <w:r w:rsidR="00353E3F" w:rsidRPr="00971ECD">
        <w:rPr>
          <w:rFonts w:ascii="Arial" w:eastAsiaTheme="minorEastAsia" w:hAnsi="Arial" w:cs="Arial"/>
          <w:color w:val="1A1A1A" w:themeColor="background1" w:themeShade="1A"/>
          <w:kern w:val="2"/>
          <w:sz w:val="24"/>
          <w:szCs w:val="24"/>
          <w:lang w:eastAsia="en-GB"/>
          <w14:ligatures w14:val="standardContextual"/>
        </w:rPr>
        <w:t xml:space="preserve">By enacting these suggestions, Hilton can elevate service </w:t>
      </w:r>
      <w:r w:rsidR="00353E3F" w:rsidRPr="00971ECD">
        <w:rPr>
          <w:rFonts w:ascii="Arial" w:eastAsiaTheme="minorEastAsia" w:hAnsi="Arial" w:cs="Arial"/>
          <w:color w:val="1A1A1A" w:themeColor="background1" w:themeShade="1A"/>
          <w:kern w:val="2"/>
          <w:sz w:val="24"/>
          <w:szCs w:val="24"/>
          <w:lang w:eastAsia="en-GB"/>
          <w14:ligatures w14:val="standardContextual"/>
        </w:rPr>
        <w:lastRenderedPageBreak/>
        <w:t>excellence, nurture a motivated and robust workforce, and establish itself as a frontrunner in adaptive and inclusive performance management practices.</w:t>
      </w:r>
    </w:p>
    <w:p w14:paraId="13A33436" w14:textId="77777777" w:rsidR="00971ECD" w:rsidRDefault="00971ECD">
      <w:pPr>
        <w:rPr>
          <w:rFonts w:ascii="Arial" w:eastAsiaTheme="minorEastAsia" w:hAnsi="Arial" w:cs="Arial"/>
          <w:color w:val="1A1A1A" w:themeColor="background1" w:themeShade="1A"/>
          <w:kern w:val="2"/>
          <w:sz w:val="24"/>
          <w:szCs w:val="24"/>
          <w:lang w:eastAsia="en-GB"/>
          <w14:ligatures w14:val="standardContextual"/>
        </w:rPr>
      </w:pPr>
      <w:r>
        <w:rPr>
          <w:rFonts w:ascii="Arial" w:eastAsiaTheme="minorEastAsia" w:hAnsi="Arial" w:cs="Arial"/>
          <w:color w:val="1A1A1A" w:themeColor="background1" w:themeShade="1A"/>
          <w:kern w:val="2"/>
          <w:sz w:val="24"/>
          <w:szCs w:val="24"/>
          <w:lang w:eastAsia="en-GB"/>
          <w14:ligatures w14:val="standardContextual"/>
        </w:rPr>
        <w:br w:type="page"/>
      </w:r>
    </w:p>
    <w:p w14:paraId="08C9DD14" w14:textId="77777777" w:rsidR="00E83499" w:rsidRPr="00971ECD" w:rsidRDefault="00E8349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0C6AD2E2"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7928E158" w14:textId="1A55A576" w:rsidR="00786A79" w:rsidRPr="00971ECD" w:rsidRDefault="00786A79" w:rsidP="00971ECD">
      <w:pPr>
        <w:pStyle w:val="ListParagraph"/>
        <w:numPr>
          <w:ilvl w:val="0"/>
          <w:numId w:val="8"/>
        </w:num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References:</w:t>
      </w:r>
    </w:p>
    <w:p w14:paraId="3059E47B" w14:textId="77777777" w:rsidR="00786A79" w:rsidRPr="00971ECD" w:rsidRDefault="00786A79"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039F11BD" w14:textId="40CE39BB" w:rsidR="00786A79" w:rsidRPr="00971ECD" w:rsidRDefault="00786A79" w:rsidP="00971ECD">
      <w:pPr>
        <w:spacing w:after="0" w:line="360" w:lineRule="auto"/>
        <w:ind w:left="72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26165D05" w14:textId="77777777" w:rsidR="00786A79" w:rsidRDefault="00786A79"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Accenture (2024) </w:t>
      </w:r>
      <w:r w:rsidRPr="00D54C58">
        <w:rPr>
          <w:rFonts w:ascii="Arial" w:eastAsiaTheme="minorEastAsia" w:hAnsi="Arial" w:cs="Arial"/>
          <w:i/>
          <w:iCs/>
          <w:color w:val="1A1A1A" w:themeColor="background1" w:themeShade="1A"/>
          <w:kern w:val="2"/>
          <w:sz w:val="24"/>
          <w:szCs w:val="24"/>
          <w:lang w:eastAsia="en-GB"/>
          <w14:ligatures w14:val="standardContextual"/>
        </w:rPr>
        <w:t>Marriott Case Study</w:t>
      </w:r>
      <w:r w:rsidRPr="00971ECD">
        <w:rPr>
          <w:rFonts w:ascii="Arial" w:eastAsiaTheme="minorEastAsia" w:hAnsi="Arial" w:cs="Arial"/>
          <w:color w:val="1A1A1A" w:themeColor="background1" w:themeShade="1A"/>
          <w:kern w:val="2"/>
          <w:sz w:val="24"/>
          <w:szCs w:val="24"/>
          <w:lang w:eastAsia="en-GB"/>
          <w14:ligatures w14:val="standardContextual"/>
        </w:rPr>
        <w:t xml:space="preserve">. Available at: </w:t>
      </w:r>
      <w:hyperlink r:id="rId10" w:history="1">
        <w:r w:rsidRPr="00971ECD">
          <w:rPr>
            <w:rFonts w:ascii="Arial" w:eastAsiaTheme="minorEastAsia" w:hAnsi="Arial" w:cs="Arial"/>
            <w:color w:val="1A1A1A" w:themeColor="background1" w:themeShade="1A"/>
            <w:kern w:val="2"/>
            <w:sz w:val="24"/>
            <w:szCs w:val="24"/>
            <w:u w:val="single"/>
            <w:lang w:eastAsia="en-GB"/>
            <w14:ligatures w14:val="standardContextual"/>
          </w:rPr>
          <w:t>https://www.accenture.com/ae-en/case-studies/travel/hr-transformation#</w:t>
        </w:r>
      </w:hyperlink>
      <w:r w:rsidRPr="00971ECD">
        <w:rPr>
          <w:rFonts w:ascii="Arial" w:eastAsiaTheme="minorEastAsia" w:hAnsi="Arial" w:cs="Arial"/>
          <w:color w:val="1A1A1A" w:themeColor="background1" w:themeShade="1A"/>
          <w:kern w:val="2"/>
          <w:sz w:val="24"/>
          <w:szCs w:val="24"/>
          <w:lang w:eastAsia="en-GB"/>
          <w14:ligatures w14:val="standardContextual"/>
        </w:rPr>
        <w:t xml:space="preserve"> (Accessed 3 June 2024)</w:t>
      </w:r>
    </w:p>
    <w:p w14:paraId="45D6B36D" w14:textId="77777777" w:rsidR="00D54C58" w:rsidRDefault="00D54C58" w:rsidP="00D54C58">
      <w:pPr>
        <w:spacing w:after="0" w:line="360" w:lineRule="auto"/>
        <w:ind w:left="36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4C631E14" w14:textId="0E4DA924" w:rsidR="00D54C58" w:rsidRDefault="00D54C58"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D54C58">
        <w:rPr>
          <w:rFonts w:ascii="Arial" w:eastAsiaTheme="minorEastAsia" w:hAnsi="Arial" w:cs="Arial"/>
          <w:color w:val="1A1A1A" w:themeColor="background1" w:themeShade="1A"/>
          <w:kern w:val="2"/>
          <w:sz w:val="24"/>
          <w:szCs w:val="24"/>
          <w:lang w:eastAsia="en-GB"/>
          <w14:ligatures w14:val="standardContextual"/>
        </w:rPr>
        <w:t xml:space="preserve">Beauregard, T. A., &amp; Henry, L. C. (2009) </w:t>
      </w:r>
      <w:r>
        <w:rPr>
          <w:rFonts w:ascii="Arial" w:eastAsiaTheme="minorEastAsia" w:hAnsi="Arial" w:cs="Arial"/>
          <w:color w:val="1A1A1A" w:themeColor="background1" w:themeShade="1A"/>
          <w:kern w:val="2"/>
          <w:sz w:val="24"/>
          <w:szCs w:val="24"/>
          <w:lang w:eastAsia="en-GB"/>
          <w14:ligatures w14:val="standardContextual"/>
        </w:rPr>
        <w:t>“</w:t>
      </w:r>
      <w:r w:rsidRPr="00D54C58">
        <w:rPr>
          <w:rFonts w:ascii="Arial" w:eastAsiaTheme="minorEastAsia" w:hAnsi="Arial" w:cs="Arial"/>
          <w:color w:val="1A1A1A" w:themeColor="background1" w:themeShade="1A"/>
          <w:kern w:val="2"/>
          <w:sz w:val="24"/>
          <w:szCs w:val="24"/>
          <w:lang w:eastAsia="en-GB"/>
          <w14:ligatures w14:val="standardContextual"/>
        </w:rPr>
        <w:t>Making the link between work-life balance practices and organizational performance</w:t>
      </w:r>
      <w:r>
        <w:rPr>
          <w:rFonts w:ascii="Arial" w:eastAsiaTheme="minorEastAsia" w:hAnsi="Arial" w:cs="Arial"/>
          <w:color w:val="1A1A1A" w:themeColor="background1" w:themeShade="1A"/>
          <w:kern w:val="2"/>
          <w:sz w:val="24"/>
          <w:szCs w:val="24"/>
          <w:lang w:eastAsia="en-GB"/>
          <w14:ligatures w14:val="standardContextual"/>
        </w:rPr>
        <w:t>”</w:t>
      </w:r>
      <w:r w:rsidRPr="00D54C58">
        <w:rPr>
          <w:rFonts w:ascii="Arial" w:eastAsiaTheme="minorEastAsia" w:hAnsi="Arial" w:cs="Arial"/>
          <w:color w:val="1A1A1A" w:themeColor="background1" w:themeShade="1A"/>
          <w:kern w:val="2"/>
          <w:sz w:val="24"/>
          <w:szCs w:val="24"/>
          <w:lang w:eastAsia="en-GB"/>
          <w14:ligatures w14:val="standardContextual"/>
        </w:rPr>
        <w:t xml:space="preserve">. </w:t>
      </w:r>
      <w:r w:rsidRPr="00D54C58">
        <w:rPr>
          <w:rFonts w:ascii="Arial" w:eastAsiaTheme="minorEastAsia" w:hAnsi="Arial" w:cs="Arial"/>
          <w:i/>
          <w:iCs/>
          <w:color w:val="1A1A1A" w:themeColor="background1" w:themeShade="1A"/>
          <w:kern w:val="2"/>
          <w:sz w:val="24"/>
          <w:szCs w:val="24"/>
          <w:lang w:eastAsia="en-GB"/>
          <w14:ligatures w14:val="standardContextual"/>
        </w:rPr>
        <w:t>Human Resource Management Review</w:t>
      </w:r>
      <w:r>
        <w:rPr>
          <w:rFonts w:ascii="Arial" w:eastAsiaTheme="minorEastAsia" w:hAnsi="Arial" w:cs="Arial"/>
          <w:color w:val="1A1A1A" w:themeColor="background1" w:themeShade="1A"/>
          <w:kern w:val="2"/>
          <w:sz w:val="24"/>
          <w:szCs w:val="24"/>
          <w:lang w:eastAsia="en-GB"/>
          <w14:ligatures w14:val="standardContextual"/>
        </w:rPr>
        <w:t>.</w:t>
      </w:r>
      <w:r w:rsidRPr="00D54C58">
        <w:rPr>
          <w:rFonts w:ascii="Arial" w:eastAsiaTheme="minorEastAsia" w:hAnsi="Arial" w:cs="Arial"/>
          <w:color w:val="1A1A1A" w:themeColor="background1" w:themeShade="1A"/>
          <w:kern w:val="2"/>
          <w:sz w:val="24"/>
          <w:szCs w:val="24"/>
          <w:lang w:eastAsia="en-GB"/>
          <w14:ligatures w14:val="standardContextual"/>
        </w:rPr>
        <w:t xml:space="preserve"> 19(1), 9-22.</w:t>
      </w:r>
    </w:p>
    <w:p w14:paraId="3416A893" w14:textId="77777777" w:rsidR="00D54C58" w:rsidRDefault="00D54C58" w:rsidP="00D54C58">
      <w:pPr>
        <w:spacing w:after="0" w:line="360" w:lineRule="auto"/>
        <w:ind w:left="36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119D1A26" w14:textId="233DB423" w:rsidR="00D54C58" w:rsidRDefault="00D54C58"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Cox, T. H., &amp; Blake, S. (1991) </w:t>
      </w:r>
      <w:r>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Managing cultural diversity: Implications for organizational competitiveness</w:t>
      </w:r>
      <w:r>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 xml:space="preserve">. </w:t>
      </w:r>
      <w:r w:rsidRPr="00971ECD">
        <w:rPr>
          <w:rFonts w:ascii="Arial" w:eastAsia="Times New Roman" w:hAnsi="Arial" w:cs="Arial"/>
          <w:i/>
          <w:iCs/>
          <w:color w:val="1A1A1A" w:themeColor="background1" w:themeShade="1A"/>
          <w:spacing w:val="-5"/>
          <w:kern w:val="2"/>
          <w:sz w:val="24"/>
          <w:szCs w:val="24"/>
          <w:lang w:eastAsia="en-GB"/>
          <w14:ligatures w14:val="standardContextual"/>
        </w:rPr>
        <w:t>The Executive</w:t>
      </w:r>
      <w:r w:rsidRPr="00971ECD">
        <w:rPr>
          <w:rFonts w:ascii="Arial" w:eastAsia="Times New Roman" w:hAnsi="Arial" w:cs="Arial"/>
          <w:color w:val="1A1A1A" w:themeColor="background1" w:themeShade="1A"/>
          <w:spacing w:val="-5"/>
          <w:kern w:val="2"/>
          <w:sz w:val="24"/>
          <w:szCs w:val="24"/>
          <w:lang w:eastAsia="en-GB"/>
          <w14:ligatures w14:val="standardContextual"/>
        </w:rPr>
        <w:t>, </w:t>
      </w:r>
      <w:r w:rsidRPr="00971ECD">
        <w:rPr>
          <w:rFonts w:ascii="Arial" w:eastAsia="Times New Roman" w:hAnsi="Arial" w:cs="Arial"/>
          <w:i/>
          <w:iCs/>
          <w:color w:val="1A1A1A" w:themeColor="background1" w:themeShade="1A"/>
          <w:spacing w:val="-5"/>
          <w:kern w:val="2"/>
          <w:sz w:val="24"/>
          <w:szCs w:val="24"/>
          <w:lang w:eastAsia="en-GB"/>
          <w14:ligatures w14:val="standardContextual"/>
        </w:rPr>
        <w:t>5</w:t>
      </w:r>
      <w:r w:rsidRPr="00971ECD">
        <w:rPr>
          <w:rFonts w:ascii="Arial" w:eastAsia="Times New Roman" w:hAnsi="Arial" w:cs="Arial"/>
          <w:color w:val="1A1A1A" w:themeColor="background1" w:themeShade="1A"/>
          <w:spacing w:val="-5"/>
          <w:kern w:val="2"/>
          <w:sz w:val="24"/>
          <w:szCs w:val="24"/>
          <w:lang w:eastAsia="en-GB"/>
          <w14:ligatures w14:val="standardContextual"/>
        </w:rPr>
        <w:t>(3), 45–56</w:t>
      </w:r>
      <w:r w:rsidRPr="00971ECD">
        <w:rPr>
          <w:rFonts w:ascii="Arial" w:eastAsiaTheme="minorEastAsia" w:hAnsi="Arial" w:cs="Arial"/>
          <w:color w:val="1A1A1A" w:themeColor="background1" w:themeShade="1A"/>
          <w:kern w:val="2"/>
          <w:sz w:val="24"/>
          <w:szCs w:val="24"/>
          <w:lang w:eastAsia="en-GB"/>
          <w14:ligatures w14:val="standardContextual"/>
        </w:rPr>
        <w:t>.</w:t>
      </w:r>
    </w:p>
    <w:p w14:paraId="05882293" w14:textId="77777777" w:rsidR="00D54C58" w:rsidRDefault="00D54C58" w:rsidP="00D54C58">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2AFEA18B" w14:textId="27C813FA" w:rsidR="00D54C58" w:rsidRDefault="00D54C58"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D54C58">
        <w:rPr>
          <w:rFonts w:ascii="Arial" w:eastAsiaTheme="minorEastAsia" w:hAnsi="Arial" w:cs="Arial"/>
          <w:color w:val="1A1A1A" w:themeColor="background1" w:themeShade="1A"/>
          <w:kern w:val="2"/>
          <w:sz w:val="24"/>
          <w:szCs w:val="24"/>
          <w:lang w:eastAsia="en-GB"/>
          <w14:ligatures w14:val="standardContextual"/>
        </w:rPr>
        <w:t xml:space="preserve">Duffy, R. D., Dik, B. J., &amp; Steger, M. F. (2011) </w:t>
      </w:r>
      <w:r>
        <w:rPr>
          <w:rFonts w:ascii="Arial" w:eastAsiaTheme="minorEastAsia" w:hAnsi="Arial" w:cs="Arial"/>
          <w:color w:val="1A1A1A" w:themeColor="background1" w:themeShade="1A"/>
          <w:kern w:val="2"/>
          <w:sz w:val="24"/>
          <w:szCs w:val="24"/>
          <w:lang w:eastAsia="en-GB"/>
          <w14:ligatures w14:val="standardContextual"/>
        </w:rPr>
        <w:t>“</w:t>
      </w:r>
      <w:r w:rsidRPr="00D54C58">
        <w:rPr>
          <w:rFonts w:ascii="Arial" w:eastAsiaTheme="minorEastAsia" w:hAnsi="Arial" w:cs="Arial"/>
          <w:color w:val="1A1A1A" w:themeColor="background1" w:themeShade="1A"/>
          <w:kern w:val="2"/>
          <w:sz w:val="24"/>
          <w:szCs w:val="24"/>
          <w:lang w:eastAsia="en-GB"/>
          <w14:ligatures w14:val="standardContextual"/>
        </w:rPr>
        <w:t>Calling and work-related outcomes: Career commitment as a mediator</w:t>
      </w:r>
      <w:r>
        <w:rPr>
          <w:rFonts w:ascii="Arial" w:eastAsiaTheme="minorEastAsia" w:hAnsi="Arial" w:cs="Arial"/>
          <w:color w:val="1A1A1A" w:themeColor="background1" w:themeShade="1A"/>
          <w:kern w:val="2"/>
          <w:sz w:val="24"/>
          <w:szCs w:val="24"/>
          <w:lang w:eastAsia="en-GB"/>
          <w14:ligatures w14:val="standardContextual"/>
        </w:rPr>
        <w:t>”</w:t>
      </w:r>
      <w:r w:rsidRPr="00D54C58">
        <w:rPr>
          <w:rFonts w:ascii="Arial" w:eastAsiaTheme="minorEastAsia" w:hAnsi="Arial" w:cs="Arial"/>
          <w:color w:val="1A1A1A" w:themeColor="background1" w:themeShade="1A"/>
          <w:kern w:val="2"/>
          <w:sz w:val="24"/>
          <w:szCs w:val="24"/>
          <w:lang w:eastAsia="en-GB"/>
          <w14:ligatures w14:val="standardContextual"/>
        </w:rPr>
        <w:t xml:space="preserve">. </w:t>
      </w:r>
      <w:r w:rsidRPr="00D54C58">
        <w:rPr>
          <w:rFonts w:ascii="Arial" w:eastAsiaTheme="minorEastAsia" w:hAnsi="Arial" w:cs="Arial"/>
          <w:i/>
          <w:iCs/>
          <w:color w:val="1A1A1A" w:themeColor="background1" w:themeShade="1A"/>
          <w:kern w:val="2"/>
          <w:sz w:val="24"/>
          <w:szCs w:val="24"/>
          <w:lang w:eastAsia="en-GB"/>
          <w14:ligatures w14:val="standardContextual"/>
        </w:rPr>
        <w:t>Journal of Vocational Behavior</w:t>
      </w:r>
      <w:r w:rsidRPr="00D54C58">
        <w:rPr>
          <w:rFonts w:ascii="Arial" w:eastAsiaTheme="minorEastAsia" w:hAnsi="Arial" w:cs="Arial"/>
          <w:color w:val="1A1A1A" w:themeColor="background1" w:themeShade="1A"/>
          <w:kern w:val="2"/>
          <w:sz w:val="24"/>
          <w:szCs w:val="24"/>
          <w:lang w:eastAsia="en-GB"/>
          <w14:ligatures w14:val="standardContextual"/>
        </w:rPr>
        <w:t>, 78(2), 210-218</w:t>
      </w:r>
      <w:r>
        <w:rPr>
          <w:rFonts w:ascii="Arial" w:eastAsiaTheme="minorEastAsia" w:hAnsi="Arial" w:cs="Arial"/>
          <w:color w:val="1A1A1A" w:themeColor="background1" w:themeShade="1A"/>
          <w:kern w:val="2"/>
          <w:sz w:val="24"/>
          <w:szCs w:val="24"/>
          <w:lang w:eastAsia="en-GB"/>
          <w14:ligatures w14:val="standardContextual"/>
        </w:rPr>
        <w:t>.</w:t>
      </w:r>
    </w:p>
    <w:p w14:paraId="5FD28891" w14:textId="77777777" w:rsidR="00D54C58" w:rsidRPr="00D54C58" w:rsidRDefault="00D54C58" w:rsidP="00D54C58">
      <w:pPr>
        <w:rPr>
          <w:rFonts w:ascii="Arial" w:eastAsiaTheme="minorEastAsia" w:hAnsi="Arial" w:cs="Arial"/>
          <w:color w:val="1A1A1A" w:themeColor="background1" w:themeShade="1A"/>
          <w:kern w:val="2"/>
          <w:sz w:val="24"/>
          <w:szCs w:val="24"/>
          <w:lang w:eastAsia="en-GB"/>
          <w14:ligatures w14:val="standardContextual"/>
        </w:rPr>
      </w:pPr>
    </w:p>
    <w:p w14:paraId="07DDB76D" w14:textId="4B83DAFB" w:rsidR="00D54C58" w:rsidRPr="00D54C58" w:rsidRDefault="00D54C58"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Goetzel, R. Z., &amp; Ozminkowski, R. J. (2008) </w:t>
      </w:r>
      <w:r>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The health and cost benefits of work site health-promotion programs</w:t>
      </w:r>
      <w:r>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 xml:space="preserve">. </w:t>
      </w:r>
      <w:r w:rsidRPr="00D54C58">
        <w:rPr>
          <w:rFonts w:ascii="Arial" w:eastAsiaTheme="minorEastAsia" w:hAnsi="Arial" w:cs="Arial"/>
          <w:i/>
          <w:iCs/>
          <w:color w:val="1A1A1A" w:themeColor="background1" w:themeShade="1A"/>
          <w:kern w:val="2"/>
          <w:sz w:val="24"/>
          <w:szCs w:val="24"/>
          <w:lang w:eastAsia="en-GB"/>
          <w14:ligatures w14:val="standardContextual"/>
        </w:rPr>
        <w:t>Annual Review of Public Health</w:t>
      </w:r>
      <w:r>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 xml:space="preserve"> 29(1), 303-323.</w:t>
      </w:r>
    </w:p>
    <w:p w14:paraId="75AF476D" w14:textId="77777777" w:rsidR="00971ECD" w:rsidRDefault="00971ECD" w:rsidP="00971ECD">
      <w:pPr>
        <w:spacing w:after="0" w:line="360" w:lineRule="auto"/>
        <w:ind w:left="72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28F49663" w14:textId="1E7271F3" w:rsidR="00971ECD" w:rsidRDefault="00971ECD"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Great Place to Work (2018) </w:t>
      </w:r>
      <w:r w:rsidRPr="00D54C58">
        <w:rPr>
          <w:rFonts w:ascii="Arial" w:eastAsiaTheme="minorEastAsia" w:hAnsi="Arial" w:cs="Arial"/>
          <w:i/>
          <w:iCs/>
          <w:color w:val="1A1A1A" w:themeColor="background1" w:themeShade="1A"/>
          <w:kern w:val="2"/>
          <w:sz w:val="24"/>
          <w:szCs w:val="24"/>
          <w:lang w:eastAsia="en-GB"/>
          <w14:ligatures w14:val="standardContextual"/>
        </w:rPr>
        <w:t>Hospitality For All.</w:t>
      </w:r>
      <w:r w:rsidRPr="00971ECD">
        <w:rPr>
          <w:rFonts w:ascii="Arial" w:eastAsiaTheme="minorEastAsia" w:hAnsi="Arial" w:cs="Arial"/>
          <w:color w:val="1A1A1A" w:themeColor="background1" w:themeShade="1A"/>
          <w:kern w:val="2"/>
          <w:sz w:val="24"/>
          <w:szCs w:val="24"/>
          <w:lang w:eastAsia="en-GB"/>
          <w14:ligatures w14:val="standardContextual"/>
        </w:rPr>
        <w:t xml:space="preserve"> Available at: https://www.greatplacetowork.com/images/reports/2018-GPTW-Profile-Series-_Hilton_Hospitality_For_All.pdf (Accessed 2 June 2024)</w:t>
      </w:r>
    </w:p>
    <w:p w14:paraId="4A3A0EC9" w14:textId="77777777" w:rsidR="00971ECD" w:rsidRDefault="00971ECD" w:rsidP="00971ECD">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381E6872" w14:textId="71F3D0A9" w:rsidR="00D54C58" w:rsidRDefault="00971ECD"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Great place to work (2023) </w:t>
      </w:r>
      <w:r w:rsidRPr="00D54C58">
        <w:rPr>
          <w:rFonts w:ascii="Arial" w:eastAsiaTheme="minorEastAsia" w:hAnsi="Arial" w:cs="Arial"/>
          <w:i/>
          <w:iCs/>
          <w:color w:val="1A1A1A" w:themeColor="background1" w:themeShade="1A"/>
          <w:kern w:val="2"/>
          <w:sz w:val="24"/>
          <w:szCs w:val="24"/>
          <w:lang w:eastAsia="en-GB"/>
          <w14:ligatures w14:val="standardContextual"/>
        </w:rPr>
        <w:t>Hilton</w:t>
      </w:r>
      <w:r w:rsidRPr="00971ECD">
        <w:rPr>
          <w:rFonts w:ascii="Arial" w:eastAsiaTheme="minorEastAsia" w:hAnsi="Arial" w:cs="Arial"/>
          <w:color w:val="1A1A1A" w:themeColor="background1" w:themeShade="1A"/>
          <w:kern w:val="2"/>
          <w:sz w:val="24"/>
          <w:szCs w:val="24"/>
          <w:lang w:eastAsia="en-GB"/>
          <w14:ligatures w14:val="standardContextual"/>
        </w:rPr>
        <w:t>. Available at: https://www.greatplacetowork.com/certified-company/1000367 (Accessed 2 June 2024)</w:t>
      </w:r>
      <w:r w:rsidR="00D54C58">
        <w:rPr>
          <w:rFonts w:ascii="Arial" w:eastAsiaTheme="minorEastAsia" w:hAnsi="Arial" w:cs="Arial"/>
          <w:color w:val="1A1A1A" w:themeColor="background1" w:themeShade="1A"/>
          <w:kern w:val="2"/>
          <w:sz w:val="24"/>
          <w:szCs w:val="24"/>
          <w:lang w:eastAsia="en-GB"/>
          <w14:ligatures w14:val="standardContextual"/>
        </w:rPr>
        <w:t>.</w:t>
      </w:r>
    </w:p>
    <w:p w14:paraId="52600ABE" w14:textId="77777777" w:rsidR="00D54C58" w:rsidRPr="00D54C58" w:rsidRDefault="00D54C58" w:rsidP="00D54C58">
      <w:p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2EB385BD" w14:textId="1F01E5E2" w:rsidR="00D54C58" w:rsidRPr="00B659E1" w:rsidRDefault="00D54C58" w:rsidP="00B659E1">
      <w:pPr>
        <w:pStyle w:val="ListParagraph"/>
        <w:numPr>
          <w:ilvl w:val="0"/>
          <w:numId w:val="6"/>
        </w:numPr>
        <w:rPr>
          <w:rFonts w:ascii="Arial" w:eastAsiaTheme="minorEastAsia" w:hAnsi="Arial" w:cs="Arial"/>
          <w:color w:val="1A1A1A" w:themeColor="background1" w:themeShade="1A"/>
          <w:kern w:val="2"/>
          <w:sz w:val="24"/>
          <w:szCs w:val="24"/>
          <w:lang w:eastAsia="en-GB"/>
          <w14:ligatures w14:val="standardContextual"/>
        </w:rPr>
      </w:pPr>
      <w:r w:rsidRPr="00B659E1">
        <w:rPr>
          <w:rFonts w:ascii="Arial" w:eastAsiaTheme="minorEastAsia" w:hAnsi="Arial" w:cs="Arial"/>
          <w:color w:val="1A1A1A" w:themeColor="background1" w:themeShade="1A"/>
          <w:kern w:val="2"/>
          <w:sz w:val="24"/>
          <w:szCs w:val="24"/>
          <w:lang w:eastAsia="en-GB"/>
          <w14:ligatures w14:val="standardContextual"/>
        </w:rPr>
        <w:t xml:space="preserve">Georgiou, K., Gouras, A., &amp; Nikolaou, I. (2019) </w:t>
      </w:r>
      <w:r w:rsidR="00B659E1" w:rsidRPr="00B659E1">
        <w:rPr>
          <w:rFonts w:ascii="Arial" w:eastAsiaTheme="minorEastAsia" w:hAnsi="Arial" w:cs="Arial"/>
          <w:color w:val="1A1A1A" w:themeColor="background1" w:themeShade="1A"/>
          <w:kern w:val="2"/>
          <w:sz w:val="24"/>
          <w:szCs w:val="24"/>
          <w:lang w:eastAsia="en-GB"/>
          <w14:ligatures w14:val="standardContextual"/>
        </w:rPr>
        <w:t>“</w:t>
      </w:r>
      <w:r w:rsidRPr="00B659E1">
        <w:rPr>
          <w:rFonts w:ascii="Arial" w:eastAsiaTheme="minorEastAsia" w:hAnsi="Arial" w:cs="Arial"/>
          <w:color w:val="1A1A1A" w:themeColor="background1" w:themeShade="1A"/>
          <w:kern w:val="2"/>
          <w:sz w:val="24"/>
          <w:szCs w:val="24"/>
          <w:lang w:eastAsia="en-GB"/>
          <w14:ligatures w14:val="standardContextual"/>
        </w:rPr>
        <w:t>Gamification in employee selection: The development of a gamified assessment</w:t>
      </w:r>
      <w:r w:rsidR="00B659E1" w:rsidRPr="00B659E1">
        <w:rPr>
          <w:rFonts w:ascii="Arial" w:eastAsiaTheme="minorEastAsia" w:hAnsi="Arial" w:cs="Arial"/>
          <w:color w:val="1A1A1A" w:themeColor="background1" w:themeShade="1A"/>
          <w:kern w:val="2"/>
          <w:sz w:val="24"/>
          <w:szCs w:val="24"/>
          <w:lang w:eastAsia="en-GB"/>
          <w14:ligatures w14:val="standardContextual"/>
        </w:rPr>
        <w:t>”</w:t>
      </w:r>
      <w:r w:rsidRPr="00B659E1">
        <w:rPr>
          <w:rFonts w:ascii="Arial" w:eastAsiaTheme="minorEastAsia" w:hAnsi="Arial" w:cs="Arial"/>
          <w:color w:val="1A1A1A" w:themeColor="background1" w:themeShade="1A"/>
          <w:kern w:val="2"/>
          <w:sz w:val="24"/>
          <w:szCs w:val="24"/>
          <w:lang w:eastAsia="en-GB"/>
          <w14:ligatures w14:val="standardContextual"/>
        </w:rPr>
        <w:t xml:space="preserve">. </w:t>
      </w:r>
      <w:r w:rsidRPr="00B659E1">
        <w:rPr>
          <w:rFonts w:ascii="Arial" w:eastAsiaTheme="minorEastAsia" w:hAnsi="Arial" w:cs="Arial"/>
          <w:i/>
          <w:iCs/>
          <w:color w:val="1A1A1A" w:themeColor="background1" w:themeShade="1A"/>
          <w:kern w:val="2"/>
          <w:sz w:val="24"/>
          <w:szCs w:val="24"/>
          <w:lang w:eastAsia="en-GB"/>
          <w14:ligatures w14:val="standardContextual"/>
        </w:rPr>
        <w:t>International Journal of Selection and Assessment</w:t>
      </w:r>
      <w:r w:rsidR="00B659E1" w:rsidRPr="00B659E1">
        <w:rPr>
          <w:rFonts w:ascii="Arial" w:eastAsiaTheme="minorEastAsia" w:hAnsi="Arial" w:cs="Arial"/>
          <w:color w:val="1A1A1A" w:themeColor="background1" w:themeShade="1A"/>
          <w:kern w:val="2"/>
          <w:sz w:val="24"/>
          <w:szCs w:val="24"/>
          <w:lang w:eastAsia="en-GB"/>
          <w14:ligatures w14:val="standardContextual"/>
        </w:rPr>
        <w:t xml:space="preserve">. </w:t>
      </w:r>
      <w:r w:rsidR="00B659E1" w:rsidRPr="00B659E1">
        <w:rPr>
          <w:rFonts w:ascii="Arial" w:eastAsiaTheme="minorEastAsia" w:hAnsi="Arial" w:cs="Arial"/>
          <w:color w:val="1A1A1A" w:themeColor="background1" w:themeShade="1A"/>
          <w:kern w:val="2"/>
          <w:sz w:val="24"/>
          <w:szCs w:val="24"/>
          <w:lang w:eastAsia="en-GB"/>
          <w14:ligatures w14:val="standardContextual"/>
        </w:rPr>
        <w:t>27(4)</w:t>
      </w:r>
      <w:r w:rsidRPr="00B659E1">
        <w:rPr>
          <w:rFonts w:ascii="Arial" w:eastAsiaTheme="minorEastAsia" w:hAnsi="Arial" w:cs="Arial"/>
          <w:color w:val="1A1A1A" w:themeColor="background1" w:themeShade="1A"/>
          <w:kern w:val="2"/>
          <w:sz w:val="24"/>
          <w:szCs w:val="24"/>
          <w:lang w:eastAsia="en-GB"/>
          <w14:ligatures w14:val="standardContextual"/>
        </w:rPr>
        <w:t>, 1–13.</w:t>
      </w:r>
    </w:p>
    <w:p w14:paraId="677A737D" w14:textId="77777777" w:rsidR="00D54C58" w:rsidRDefault="00D54C58" w:rsidP="00D54C58">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36EE1A79" w14:textId="3F5DC87A" w:rsidR="00D54C58" w:rsidRPr="00D54C58" w:rsidRDefault="00D54C58"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D54C58">
        <w:rPr>
          <w:rFonts w:ascii="Arial" w:eastAsiaTheme="minorEastAsia" w:hAnsi="Arial" w:cs="Arial"/>
          <w:color w:val="1A1A1A" w:themeColor="background1" w:themeShade="1A"/>
          <w:kern w:val="2"/>
          <w:sz w:val="24"/>
          <w:szCs w:val="24"/>
          <w:lang w:eastAsia="en-GB"/>
          <w14:ligatures w14:val="standardContextual"/>
        </w:rPr>
        <w:t xml:space="preserve">Harrison, D. A., Newman, D. A., &amp; Roth, P. L. (2006) </w:t>
      </w:r>
      <w:r w:rsidR="00B659E1">
        <w:rPr>
          <w:rFonts w:ascii="Arial" w:eastAsiaTheme="minorEastAsia" w:hAnsi="Arial" w:cs="Arial"/>
          <w:color w:val="1A1A1A" w:themeColor="background1" w:themeShade="1A"/>
          <w:kern w:val="2"/>
          <w:sz w:val="24"/>
          <w:szCs w:val="24"/>
          <w:lang w:eastAsia="en-GB"/>
          <w14:ligatures w14:val="standardContextual"/>
        </w:rPr>
        <w:t>“</w:t>
      </w:r>
      <w:r w:rsidRPr="00D54C58">
        <w:rPr>
          <w:rFonts w:ascii="Arial" w:eastAsiaTheme="minorEastAsia" w:hAnsi="Arial" w:cs="Arial"/>
          <w:color w:val="1A1A1A" w:themeColor="background1" w:themeShade="1A"/>
          <w:kern w:val="2"/>
          <w:sz w:val="24"/>
          <w:szCs w:val="24"/>
          <w:lang w:eastAsia="en-GB"/>
          <w14:ligatures w14:val="standardContextual"/>
        </w:rPr>
        <w:t>How important are the job attitudes? Meta-analytic comparisons of integrative behavioral outcomes and time sequences</w:t>
      </w:r>
      <w:r w:rsidR="00B659E1">
        <w:rPr>
          <w:rFonts w:ascii="Arial" w:eastAsiaTheme="minorEastAsia" w:hAnsi="Arial" w:cs="Arial"/>
          <w:color w:val="1A1A1A" w:themeColor="background1" w:themeShade="1A"/>
          <w:kern w:val="2"/>
          <w:sz w:val="24"/>
          <w:szCs w:val="24"/>
          <w:lang w:eastAsia="en-GB"/>
          <w14:ligatures w14:val="standardContextual"/>
        </w:rPr>
        <w:t>”</w:t>
      </w:r>
      <w:r w:rsidRPr="00D54C58">
        <w:rPr>
          <w:rFonts w:ascii="Arial" w:eastAsiaTheme="minorEastAsia" w:hAnsi="Arial" w:cs="Arial"/>
          <w:color w:val="1A1A1A" w:themeColor="background1" w:themeShade="1A"/>
          <w:kern w:val="2"/>
          <w:sz w:val="24"/>
          <w:szCs w:val="24"/>
          <w:lang w:eastAsia="en-GB"/>
          <w14:ligatures w14:val="standardContextual"/>
        </w:rPr>
        <w:t xml:space="preserve">. </w:t>
      </w:r>
      <w:r w:rsidRPr="00B659E1">
        <w:rPr>
          <w:rFonts w:ascii="Arial" w:eastAsiaTheme="minorEastAsia" w:hAnsi="Arial" w:cs="Arial"/>
          <w:i/>
          <w:iCs/>
          <w:color w:val="1A1A1A" w:themeColor="background1" w:themeShade="1A"/>
          <w:kern w:val="2"/>
          <w:sz w:val="24"/>
          <w:szCs w:val="24"/>
          <w:lang w:eastAsia="en-GB"/>
          <w14:ligatures w14:val="standardContextual"/>
        </w:rPr>
        <w:t>Academy of Management Journal</w:t>
      </w:r>
      <w:r w:rsidR="00B659E1">
        <w:rPr>
          <w:rFonts w:ascii="Arial" w:eastAsiaTheme="minorEastAsia" w:hAnsi="Arial" w:cs="Arial"/>
          <w:color w:val="1A1A1A" w:themeColor="background1" w:themeShade="1A"/>
          <w:kern w:val="2"/>
          <w:sz w:val="24"/>
          <w:szCs w:val="24"/>
          <w:lang w:eastAsia="en-GB"/>
          <w14:ligatures w14:val="standardContextual"/>
        </w:rPr>
        <w:t>.</w:t>
      </w:r>
      <w:r w:rsidRPr="00D54C58">
        <w:rPr>
          <w:rFonts w:ascii="Arial" w:eastAsiaTheme="minorEastAsia" w:hAnsi="Arial" w:cs="Arial"/>
          <w:color w:val="1A1A1A" w:themeColor="background1" w:themeShade="1A"/>
          <w:kern w:val="2"/>
          <w:sz w:val="24"/>
          <w:szCs w:val="24"/>
          <w:lang w:eastAsia="en-GB"/>
          <w14:ligatures w14:val="standardContextual"/>
        </w:rPr>
        <w:t xml:space="preserve"> 49, 305-325.</w:t>
      </w:r>
    </w:p>
    <w:p w14:paraId="42FB5CF6" w14:textId="77777777" w:rsidR="00786A79" w:rsidRPr="00971ECD" w:rsidRDefault="00786A79" w:rsidP="00971ECD">
      <w:pPr>
        <w:spacing w:after="0" w:line="360" w:lineRule="auto"/>
        <w:ind w:left="72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5465A08E" w14:textId="13993ED8" w:rsidR="00971ECD" w:rsidRPr="00971ECD" w:rsidRDefault="00971ECD"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Hilton (n.d.) </w:t>
      </w:r>
      <w:r w:rsidRPr="00B659E1">
        <w:rPr>
          <w:rFonts w:ascii="Arial" w:eastAsiaTheme="minorEastAsia" w:hAnsi="Arial" w:cs="Arial"/>
          <w:i/>
          <w:iCs/>
          <w:color w:val="1A1A1A" w:themeColor="background1" w:themeShade="1A"/>
          <w:kern w:val="2"/>
          <w:sz w:val="24"/>
          <w:szCs w:val="24"/>
          <w:lang w:eastAsia="en-GB"/>
          <w14:ligatures w14:val="standardContextual"/>
        </w:rPr>
        <w:t>HILTON RECOGNITION</w:t>
      </w:r>
      <w:r w:rsidRPr="00971ECD">
        <w:rPr>
          <w:rFonts w:ascii="Arial" w:eastAsiaTheme="minorEastAsia" w:hAnsi="Arial" w:cs="Arial"/>
          <w:color w:val="1A1A1A" w:themeColor="background1" w:themeShade="1A"/>
          <w:kern w:val="2"/>
          <w:sz w:val="24"/>
          <w:szCs w:val="24"/>
          <w:lang w:eastAsia="en-GB"/>
          <w14:ligatures w14:val="standardContextual"/>
        </w:rPr>
        <w:t xml:space="preserve">. Available at: </w:t>
      </w:r>
      <w:hyperlink r:id="rId11" w:history="1">
        <w:r w:rsidRPr="00971ECD">
          <w:rPr>
            <w:rFonts w:ascii="Arial" w:eastAsiaTheme="minorEastAsia" w:hAnsi="Arial" w:cs="Arial"/>
            <w:color w:val="1A1A1A" w:themeColor="background1" w:themeShade="1A"/>
            <w:kern w:val="2"/>
            <w:sz w:val="24"/>
            <w:szCs w:val="24"/>
            <w:u w:val="single"/>
            <w:lang w:eastAsia="en-GB"/>
            <w14:ligatures w14:val="standardContextual"/>
          </w:rPr>
          <w:t>http://6ae733670df4d731aa45-69a7fa6948449b2129e39800b33047c8.r8.cf1.rackcdn.com/Downloads/Hilton_Recognition_1pager.pdf</w:t>
        </w:r>
      </w:hyperlink>
      <w:r w:rsidRPr="00971ECD">
        <w:rPr>
          <w:rFonts w:ascii="Arial" w:eastAsiaTheme="minorEastAsia" w:hAnsi="Arial" w:cs="Arial"/>
          <w:color w:val="1A1A1A" w:themeColor="background1" w:themeShade="1A"/>
          <w:kern w:val="2"/>
          <w:sz w:val="24"/>
          <w:szCs w:val="24"/>
          <w:lang w:eastAsia="en-GB"/>
          <w14:ligatures w14:val="standardContextual"/>
        </w:rPr>
        <w:t xml:space="preserve"> (Accessed 3 June 2024).</w:t>
      </w:r>
    </w:p>
    <w:p w14:paraId="59CD5189" w14:textId="77777777" w:rsidR="00971ECD" w:rsidRDefault="00971ECD" w:rsidP="00971ECD">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33485FAA" w14:textId="026E1699" w:rsidR="00971ECD" w:rsidRDefault="00971ECD"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Hilton (2017) </w:t>
      </w:r>
      <w:r w:rsidRPr="00B659E1">
        <w:rPr>
          <w:rFonts w:ascii="Arial" w:eastAsiaTheme="minorEastAsia" w:hAnsi="Arial" w:cs="Arial"/>
          <w:i/>
          <w:iCs/>
          <w:color w:val="1A1A1A" w:themeColor="background1" w:themeShade="1A"/>
          <w:kern w:val="2"/>
          <w:sz w:val="24"/>
          <w:szCs w:val="24"/>
          <w:lang w:eastAsia="en-GB"/>
          <w14:ligatures w14:val="standardContextual"/>
        </w:rPr>
        <w:t>Hilton Code of Conduct.</w:t>
      </w:r>
      <w:r w:rsidRPr="00971ECD">
        <w:rPr>
          <w:rFonts w:ascii="Arial" w:eastAsiaTheme="minorEastAsia" w:hAnsi="Arial" w:cs="Arial"/>
          <w:color w:val="1A1A1A" w:themeColor="background1" w:themeShade="1A"/>
          <w:kern w:val="2"/>
          <w:sz w:val="24"/>
          <w:szCs w:val="24"/>
          <w:lang w:eastAsia="en-GB"/>
          <w14:ligatures w14:val="standardContextual"/>
        </w:rPr>
        <w:t xml:space="preserve"> Available at: https://ir.hilton.com/~/media/Files/H/Hilton-Worldwide-IR-V3/committee-composition/HW-Code-Of-Conduct-OCT2015-L26.pdf (Accessed 2 June 2024).</w:t>
      </w:r>
    </w:p>
    <w:p w14:paraId="7A8ABEB1" w14:textId="77777777" w:rsidR="00971ECD" w:rsidRDefault="00971ECD" w:rsidP="00971ECD">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402A2288" w14:textId="428995E6" w:rsidR="00786A79" w:rsidRDefault="00786A79"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Hilton (2019) </w:t>
      </w:r>
      <w:r w:rsidRPr="00B659E1">
        <w:rPr>
          <w:rFonts w:ascii="Arial" w:eastAsiaTheme="minorEastAsia" w:hAnsi="Arial" w:cs="Arial"/>
          <w:i/>
          <w:iCs/>
          <w:color w:val="1A1A1A" w:themeColor="background1" w:themeShade="1A"/>
          <w:kern w:val="2"/>
          <w:sz w:val="24"/>
          <w:szCs w:val="24"/>
          <w:lang w:eastAsia="en-GB"/>
          <w14:ligatures w14:val="standardContextual"/>
        </w:rPr>
        <w:t>THRIVE AT HILTON</w:t>
      </w:r>
      <w:r w:rsidRPr="00971ECD">
        <w:rPr>
          <w:rFonts w:ascii="Arial" w:eastAsiaTheme="minorEastAsia" w:hAnsi="Arial" w:cs="Arial"/>
          <w:color w:val="1A1A1A" w:themeColor="background1" w:themeShade="1A"/>
          <w:kern w:val="2"/>
          <w:sz w:val="24"/>
          <w:szCs w:val="24"/>
          <w:lang w:eastAsia="en-GB"/>
          <w14:ligatures w14:val="standardContextual"/>
        </w:rPr>
        <w:t xml:space="preserve"> </w:t>
      </w:r>
      <w:hyperlink r:id="rId12" w:history="1">
        <w:r w:rsidRPr="00971ECD">
          <w:rPr>
            <w:rFonts w:ascii="Arial" w:eastAsiaTheme="minorEastAsia" w:hAnsi="Arial" w:cs="Arial"/>
            <w:color w:val="1A1A1A" w:themeColor="background1" w:themeShade="1A"/>
            <w:kern w:val="2"/>
            <w:sz w:val="24"/>
            <w:szCs w:val="24"/>
            <w:u w:val="single"/>
            <w:lang w:eastAsia="en-GB"/>
            <w14:ligatures w14:val="standardContextual"/>
          </w:rPr>
          <w:t>https://jobs.hilton.com/us/en/benefits-gptw</w:t>
        </w:r>
      </w:hyperlink>
      <w:r w:rsidRPr="00971ECD">
        <w:rPr>
          <w:rFonts w:ascii="Arial" w:eastAsiaTheme="minorEastAsia" w:hAnsi="Arial" w:cs="Arial"/>
          <w:color w:val="1A1A1A" w:themeColor="background1" w:themeShade="1A"/>
          <w:kern w:val="2"/>
          <w:sz w:val="24"/>
          <w:szCs w:val="24"/>
          <w:lang w:eastAsia="en-GB"/>
          <w14:ligatures w14:val="standardContextual"/>
        </w:rPr>
        <w:t xml:space="preserve"> (Accessed 2 June 2024).</w:t>
      </w:r>
    </w:p>
    <w:p w14:paraId="199B9F7E" w14:textId="77777777" w:rsidR="00971ECD" w:rsidRDefault="00971ECD" w:rsidP="00971ECD">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0572A11E" w14:textId="1F07304A" w:rsidR="00971ECD" w:rsidRDefault="00971ECD"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Hilton (2024) </w:t>
      </w:r>
      <w:r w:rsidRPr="00B659E1">
        <w:rPr>
          <w:rFonts w:ascii="Arial" w:eastAsiaTheme="minorEastAsia" w:hAnsi="Arial" w:cs="Arial"/>
          <w:i/>
          <w:iCs/>
          <w:color w:val="1A1A1A" w:themeColor="background1" w:themeShade="1A"/>
          <w:kern w:val="2"/>
          <w:sz w:val="24"/>
          <w:szCs w:val="24"/>
          <w:lang w:eastAsia="en-GB"/>
          <w14:ligatures w14:val="standardContextual"/>
        </w:rPr>
        <w:t>At-A-Glance</w:t>
      </w:r>
      <w:r w:rsidRPr="00971ECD">
        <w:rPr>
          <w:rFonts w:ascii="Arial" w:eastAsiaTheme="minorEastAsia" w:hAnsi="Arial" w:cs="Arial"/>
          <w:color w:val="1A1A1A" w:themeColor="background1" w:themeShade="1A"/>
          <w:kern w:val="2"/>
          <w:sz w:val="24"/>
          <w:szCs w:val="24"/>
          <w:lang w:eastAsia="en-GB"/>
          <w14:ligatures w14:val="standardContextual"/>
        </w:rPr>
        <w:t>. Available at: https://stories-editor.hilton.com/wp-content/uploads/2024/04/HLT.Q1-CORP-FactSheet-APR2024.pdf?_gl=1*11ji138*_gcl_au*NzMxOTY5NjczLjE3MTc2MTc2MTg (Accessed 2 June 2024)</w:t>
      </w:r>
      <w:r w:rsidR="00D54C58">
        <w:rPr>
          <w:rFonts w:ascii="Arial" w:eastAsiaTheme="minorEastAsia" w:hAnsi="Arial" w:cs="Arial"/>
          <w:color w:val="1A1A1A" w:themeColor="background1" w:themeShade="1A"/>
          <w:kern w:val="2"/>
          <w:sz w:val="24"/>
          <w:szCs w:val="24"/>
          <w:lang w:eastAsia="en-GB"/>
          <w14:ligatures w14:val="standardContextual"/>
        </w:rPr>
        <w:t>.</w:t>
      </w:r>
    </w:p>
    <w:p w14:paraId="1908717F" w14:textId="77777777" w:rsidR="00D54C58" w:rsidRDefault="00D54C58" w:rsidP="00D54C58">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79E31E25" w14:textId="0BE0C332" w:rsidR="00D54C58" w:rsidRPr="00D54C58" w:rsidRDefault="00D54C58"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Hofstede, G. (2001) </w:t>
      </w:r>
      <w:r w:rsidRPr="00B659E1">
        <w:rPr>
          <w:rFonts w:ascii="Arial" w:eastAsiaTheme="minorEastAsia" w:hAnsi="Arial" w:cs="Arial"/>
          <w:i/>
          <w:iCs/>
          <w:color w:val="1A1A1A" w:themeColor="background1" w:themeShade="1A"/>
          <w:kern w:val="2"/>
          <w:sz w:val="24"/>
          <w:szCs w:val="24"/>
          <w:lang w:eastAsia="en-GB"/>
          <w14:ligatures w14:val="standardContextual"/>
        </w:rPr>
        <w:t>Culture’s Consequences: Comparing Values, Behaviors, Institutions, and Organizations Across Nations</w:t>
      </w:r>
      <w:r w:rsidRPr="00971ECD">
        <w:rPr>
          <w:rFonts w:ascii="Arial" w:eastAsiaTheme="minorEastAsia" w:hAnsi="Arial" w:cs="Arial"/>
          <w:color w:val="1A1A1A" w:themeColor="background1" w:themeShade="1A"/>
          <w:kern w:val="2"/>
          <w:sz w:val="24"/>
          <w:szCs w:val="24"/>
          <w:lang w:eastAsia="en-GB"/>
          <w14:ligatures w14:val="standardContextual"/>
        </w:rPr>
        <w:t>, 2nd ed. Sage</w:t>
      </w:r>
      <w:r w:rsidR="00B659E1">
        <w:rPr>
          <w:rFonts w:ascii="Arial" w:eastAsiaTheme="minorEastAsia" w:hAnsi="Arial" w:cs="Arial"/>
          <w:color w:val="1A1A1A" w:themeColor="background1" w:themeShade="1A"/>
          <w:kern w:val="2"/>
          <w:sz w:val="24"/>
          <w:szCs w:val="24"/>
          <w:lang w:eastAsia="en-GB"/>
          <w14:ligatures w14:val="standardContextual"/>
        </w:rPr>
        <w:t>.</w:t>
      </w:r>
    </w:p>
    <w:p w14:paraId="2B7B9B17" w14:textId="77777777" w:rsidR="00786A79" w:rsidRPr="00971ECD" w:rsidRDefault="00786A79" w:rsidP="00971ECD">
      <w:pPr>
        <w:spacing w:after="0" w:line="360" w:lineRule="auto"/>
        <w:ind w:left="72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12355773" w14:textId="47E4F1DC" w:rsidR="00786A79" w:rsidRDefault="00786A79"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IHGPLC (2022) </w:t>
      </w:r>
      <w:r w:rsidRPr="00B659E1">
        <w:rPr>
          <w:rFonts w:ascii="Arial" w:eastAsiaTheme="minorEastAsia" w:hAnsi="Arial" w:cs="Arial"/>
          <w:i/>
          <w:iCs/>
          <w:color w:val="1A1A1A" w:themeColor="background1" w:themeShade="1A"/>
          <w:kern w:val="2"/>
          <w:sz w:val="24"/>
          <w:szCs w:val="24"/>
          <w:lang w:eastAsia="en-GB"/>
          <w14:ligatures w14:val="standardContextual"/>
        </w:rPr>
        <w:t>Annual Report</w:t>
      </w:r>
      <w:r w:rsidRPr="00971ECD">
        <w:rPr>
          <w:rFonts w:ascii="Arial" w:eastAsiaTheme="minorEastAsia" w:hAnsi="Arial" w:cs="Arial"/>
          <w:color w:val="1A1A1A" w:themeColor="background1" w:themeShade="1A"/>
          <w:kern w:val="2"/>
          <w:sz w:val="24"/>
          <w:szCs w:val="24"/>
          <w:lang w:eastAsia="en-GB"/>
          <w14:ligatures w14:val="standardContextual"/>
        </w:rPr>
        <w:t xml:space="preserve">. Available at: </w:t>
      </w:r>
      <w:hyperlink r:id="rId13" w:history="1">
        <w:r w:rsidRPr="00971ECD">
          <w:rPr>
            <w:rFonts w:ascii="Arial" w:eastAsiaTheme="minorEastAsia" w:hAnsi="Arial" w:cs="Arial"/>
            <w:color w:val="1A1A1A" w:themeColor="background1" w:themeShade="1A"/>
            <w:kern w:val="2"/>
            <w:sz w:val="24"/>
            <w:szCs w:val="24"/>
            <w:u w:val="single"/>
            <w:lang w:eastAsia="en-GB"/>
            <w14:ligatures w14:val="standardContextual"/>
          </w:rPr>
          <w:t>https://www.ihgplc.com/~/media/Files/I/Ihg-Plc/investors/annual-report/kpis-2022.pdf</w:t>
        </w:r>
      </w:hyperlink>
      <w:r w:rsidRPr="00971ECD">
        <w:rPr>
          <w:rFonts w:ascii="Arial" w:eastAsiaTheme="minorEastAsia" w:hAnsi="Arial" w:cs="Arial"/>
          <w:color w:val="1A1A1A" w:themeColor="background1" w:themeShade="1A"/>
          <w:kern w:val="2"/>
          <w:sz w:val="24"/>
          <w:szCs w:val="24"/>
          <w:lang w:eastAsia="en-GB"/>
          <w14:ligatures w14:val="standardContextual"/>
        </w:rPr>
        <w:t xml:space="preserve"> (Accessed 3 June 2024).</w:t>
      </w:r>
    </w:p>
    <w:p w14:paraId="7C710E63" w14:textId="77777777" w:rsidR="00D54C58" w:rsidRPr="00971ECD" w:rsidRDefault="00D54C58" w:rsidP="00D54C58">
      <w:p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1AAA3744" w14:textId="48AD0498" w:rsidR="00D54C58" w:rsidRDefault="00D54C58"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Ivancevich, J. M., Konopaske, R., &amp; Matteson, M. T. (2018) </w:t>
      </w:r>
      <w:r w:rsidRPr="00B659E1">
        <w:rPr>
          <w:rFonts w:ascii="Arial" w:eastAsiaTheme="minorEastAsia" w:hAnsi="Arial" w:cs="Arial"/>
          <w:i/>
          <w:iCs/>
          <w:color w:val="1A1A1A" w:themeColor="background1" w:themeShade="1A"/>
          <w:kern w:val="2"/>
          <w:sz w:val="24"/>
          <w:szCs w:val="24"/>
          <w:lang w:eastAsia="en-GB"/>
          <w14:ligatures w14:val="standardContextual"/>
        </w:rPr>
        <w:t>Organizational behavior and management</w:t>
      </w:r>
      <w:r w:rsidRPr="00971ECD">
        <w:rPr>
          <w:rFonts w:ascii="Arial" w:eastAsiaTheme="minorEastAsia" w:hAnsi="Arial" w:cs="Arial"/>
          <w:color w:val="1A1A1A" w:themeColor="background1" w:themeShade="1A"/>
          <w:kern w:val="2"/>
          <w:sz w:val="24"/>
          <w:szCs w:val="24"/>
          <w:lang w:eastAsia="en-GB"/>
          <w14:ligatures w14:val="standardContextual"/>
        </w:rPr>
        <w:t>. New York, NY: McGraw-Hill Education.</w:t>
      </w:r>
    </w:p>
    <w:p w14:paraId="30057F94" w14:textId="77777777" w:rsidR="00971ECD" w:rsidRDefault="00971ECD" w:rsidP="00971ECD">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6942500A" w14:textId="53AF7CF2" w:rsidR="00971ECD" w:rsidRPr="00D54C58" w:rsidRDefault="00971ECD"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lastRenderedPageBreak/>
        <w:t xml:space="preserve">Katlav, E. Ö. &amp; Aydın, Ş. (2020) </w:t>
      </w:r>
      <w:r w:rsidR="00B659E1">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Mystery Shopper Programs in the Tourism Sector</w:t>
      </w:r>
      <w:r w:rsidR="00B659E1">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 xml:space="preserve">. In A. Pius, H. Alharahsheh, &amp; A. Adesanmi (Eds.), </w:t>
      </w:r>
      <w:r w:rsidRPr="00F53D0D">
        <w:rPr>
          <w:rFonts w:ascii="Arial" w:eastAsiaTheme="minorEastAsia" w:hAnsi="Arial" w:cs="Arial"/>
          <w:i/>
          <w:iCs/>
          <w:color w:val="1A1A1A" w:themeColor="background1" w:themeShade="1A"/>
          <w:kern w:val="2"/>
          <w:sz w:val="24"/>
          <w:szCs w:val="24"/>
          <w:lang w:eastAsia="en-GB"/>
          <w14:ligatures w14:val="standardContextual"/>
        </w:rPr>
        <w:t>Contemporary Management Approaches to the Global Hospitality and Tourism Industry</w:t>
      </w:r>
      <w:r w:rsidRPr="00971ECD">
        <w:rPr>
          <w:rFonts w:ascii="Arial" w:eastAsiaTheme="minorEastAsia" w:hAnsi="Arial" w:cs="Arial"/>
          <w:color w:val="1A1A1A" w:themeColor="background1" w:themeShade="1A"/>
          <w:kern w:val="2"/>
          <w:sz w:val="24"/>
          <w:szCs w:val="24"/>
          <w:lang w:eastAsia="en-GB"/>
          <w14:ligatures w14:val="standardContextual"/>
        </w:rPr>
        <w:t xml:space="preserve"> (pp. 96-117). IGI Global. </w:t>
      </w:r>
    </w:p>
    <w:p w14:paraId="1425C762" w14:textId="77777777" w:rsidR="00D54C58" w:rsidRDefault="00D54C58" w:rsidP="00D54C58">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39C6A146" w14:textId="7334F454" w:rsidR="00D54C58" w:rsidRPr="00D54C58" w:rsidRDefault="00D54C58"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Kelliher, C., &amp; Anderson, D. (2010) </w:t>
      </w:r>
      <w:r w:rsidR="00F53D0D">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Doing more with less? Flexible working practices and the intensification of work</w:t>
      </w:r>
      <w:r w:rsidR="00F53D0D">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 xml:space="preserve">. </w:t>
      </w:r>
      <w:r w:rsidRPr="00F53D0D">
        <w:rPr>
          <w:rFonts w:ascii="Arial" w:eastAsiaTheme="minorEastAsia" w:hAnsi="Arial" w:cs="Arial"/>
          <w:i/>
          <w:iCs/>
          <w:color w:val="1A1A1A" w:themeColor="background1" w:themeShade="1A"/>
          <w:kern w:val="2"/>
          <w:sz w:val="24"/>
          <w:szCs w:val="24"/>
          <w:lang w:eastAsia="en-GB"/>
          <w14:ligatures w14:val="standardContextual"/>
        </w:rPr>
        <w:t>Human Relations</w:t>
      </w:r>
      <w:r w:rsidRPr="00971ECD">
        <w:rPr>
          <w:rFonts w:ascii="Arial" w:eastAsiaTheme="minorEastAsia" w:hAnsi="Arial" w:cs="Arial"/>
          <w:color w:val="1A1A1A" w:themeColor="background1" w:themeShade="1A"/>
          <w:kern w:val="2"/>
          <w:sz w:val="24"/>
          <w:szCs w:val="24"/>
          <w:lang w:eastAsia="en-GB"/>
          <w14:ligatures w14:val="standardContextual"/>
        </w:rPr>
        <w:t>, 63(1), 83-106.</w:t>
      </w:r>
    </w:p>
    <w:p w14:paraId="339072D9" w14:textId="77777777" w:rsidR="00971ECD" w:rsidRDefault="00971ECD" w:rsidP="00971ECD">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46F15681" w14:textId="553138BC" w:rsidR="00971ECD" w:rsidRDefault="00971ECD"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LHC (2023) </w:t>
      </w:r>
      <w:r w:rsidRPr="00F53D0D">
        <w:rPr>
          <w:rFonts w:ascii="Arial" w:eastAsiaTheme="minorEastAsia" w:hAnsi="Arial" w:cs="Arial"/>
          <w:i/>
          <w:iCs/>
          <w:color w:val="1A1A1A" w:themeColor="background1" w:themeShade="1A"/>
          <w:kern w:val="2"/>
          <w:sz w:val="24"/>
          <w:szCs w:val="24"/>
          <w:lang w:eastAsia="en-GB"/>
          <w14:ligatures w14:val="standardContextual"/>
        </w:rPr>
        <w:t>The Impact Of Inflation On The Hospitality Industry</w:t>
      </w:r>
      <w:r w:rsidRPr="00971ECD">
        <w:rPr>
          <w:rFonts w:ascii="Arial" w:eastAsiaTheme="minorEastAsia" w:hAnsi="Arial" w:cs="Arial"/>
          <w:color w:val="1A1A1A" w:themeColor="background1" w:themeShade="1A"/>
          <w:kern w:val="2"/>
          <w:sz w:val="24"/>
          <w:szCs w:val="24"/>
          <w:lang w:eastAsia="en-GB"/>
          <w14:ligatures w14:val="standardContextual"/>
        </w:rPr>
        <w:t>. Available at: https://lhc-international.com/en/the-impact-inflation-on-the-hospitality-industry/ (Accessed 2 June 2024)</w:t>
      </w:r>
    </w:p>
    <w:p w14:paraId="19FA5654" w14:textId="77777777" w:rsidR="00D54C58" w:rsidRDefault="00D54C58" w:rsidP="00D54C58">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25F097C0" w14:textId="0863E435" w:rsidR="00D54C58" w:rsidRPr="00D54C58" w:rsidRDefault="00D54C58" w:rsidP="00D54C58">
      <w:pPr>
        <w:numPr>
          <w:ilvl w:val="0"/>
          <w:numId w:val="6"/>
        </w:numPr>
        <w:spacing w:after="0" w:line="360" w:lineRule="auto"/>
        <w:jc w:val="both"/>
        <w:rPr>
          <w:rFonts w:ascii="Arial" w:eastAsiaTheme="minorEastAsia" w:hAnsi="Arial" w:cs="Arial"/>
          <w:color w:val="1A1A1A" w:themeColor="background1" w:themeShade="1A"/>
          <w:sz w:val="24"/>
          <w:szCs w:val="24"/>
          <w:lang w:eastAsia="en-GB"/>
        </w:rPr>
      </w:pPr>
      <w:r w:rsidRPr="00971ECD">
        <w:rPr>
          <w:rFonts w:ascii="Arial" w:eastAsiaTheme="minorEastAsia" w:hAnsi="Arial" w:cs="Arial"/>
          <w:color w:val="1A1A1A" w:themeColor="background1" w:themeShade="1A"/>
          <w:sz w:val="24"/>
          <w:szCs w:val="24"/>
          <w:lang w:eastAsia="en-GB"/>
        </w:rPr>
        <w:t xml:space="preserve">Ma, R. (2021) </w:t>
      </w:r>
      <w:r w:rsidR="00F53D0D">
        <w:rPr>
          <w:rFonts w:ascii="Arial" w:eastAsiaTheme="minorEastAsia" w:hAnsi="Arial" w:cs="Arial"/>
          <w:color w:val="1A1A1A" w:themeColor="background1" w:themeShade="1A"/>
          <w:sz w:val="24"/>
          <w:szCs w:val="24"/>
          <w:lang w:eastAsia="en-GB"/>
        </w:rPr>
        <w:t>“</w:t>
      </w:r>
      <w:r w:rsidRPr="00971ECD">
        <w:rPr>
          <w:rFonts w:ascii="Arial" w:eastAsiaTheme="minorEastAsia" w:hAnsi="Arial" w:cs="Arial"/>
          <w:color w:val="1A1A1A" w:themeColor="background1" w:themeShade="1A"/>
          <w:sz w:val="24"/>
          <w:szCs w:val="24"/>
          <w:lang w:eastAsia="en-GB"/>
        </w:rPr>
        <w:t>Human resource management in multinational companies- from the perspective of Hilton Hotels</w:t>
      </w:r>
      <w:r w:rsidR="00F53D0D">
        <w:rPr>
          <w:rFonts w:ascii="Arial" w:eastAsiaTheme="minorEastAsia" w:hAnsi="Arial" w:cs="Arial"/>
          <w:color w:val="1A1A1A" w:themeColor="background1" w:themeShade="1A"/>
          <w:sz w:val="24"/>
          <w:szCs w:val="24"/>
          <w:lang w:eastAsia="en-GB"/>
        </w:rPr>
        <w:t>”</w:t>
      </w:r>
      <w:r w:rsidRPr="00971ECD">
        <w:rPr>
          <w:rFonts w:ascii="Arial" w:eastAsiaTheme="minorEastAsia" w:hAnsi="Arial" w:cs="Arial"/>
          <w:color w:val="1A1A1A" w:themeColor="background1" w:themeShade="1A"/>
          <w:sz w:val="24"/>
          <w:szCs w:val="24"/>
          <w:lang w:eastAsia="en-GB"/>
        </w:rPr>
        <w:t xml:space="preserve">. </w:t>
      </w:r>
      <w:r w:rsidRPr="00F53D0D">
        <w:rPr>
          <w:rFonts w:ascii="Arial" w:eastAsiaTheme="minorEastAsia" w:hAnsi="Arial" w:cs="Arial"/>
          <w:i/>
          <w:iCs/>
          <w:color w:val="1A1A1A" w:themeColor="background1" w:themeShade="1A"/>
          <w:sz w:val="24"/>
          <w:szCs w:val="24"/>
          <w:lang w:eastAsia="en-GB"/>
        </w:rPr>
        <w:t>E3S Web of Conferences</w:t>
      </w:r>
      <w:r w:rsidR="00F53D0D">
        <w:rPr>
          <w:rFonts w:ascii="Arial" w:eastAsiaTheme="minorEastAsia" w:hAnsi="Arial" w:cs="Arial"/>
          <w:color w:val="1A1A1A" w:themeColor="background1" w:themeShade="1A"/>
          <w:sz w:val="24"/>
          <w:szCs w:val="24"/>
          <w:lang w:eastAsia="en-GB"/>
        </w:rPr>
        <w:t>.</w:t>
      </w:r>
      <w:r w:rsidRPr="00971ECD">
        <w:rPr>
          <w:rFonts w:ascii="Arial" w:eastAsiaTheme="minorEastAsia" w:hAnsi="Arial" w:cs="Arial"/>
          <w:color w:val="1A1A1A" w:themeColor="background1" w:themeShade="1A"/>
          <w:sz w:val="24"/>
          <w:szCs w:val="24"/>
          <w:lang w:eastAsia="en-GB"/>
        </w:rPr>
        <w:t xml:space="preserve"> 235, p.02058.</w:t>
      </w:r>
    </w:p>
    <w:p w14:paraId="1C8204AC" w14:textId="77777777" w:rsidR="00971ECD" w:rsidRDefault="00971ECD" w:rsidP="00971ECD">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23688C94" w14:textId="1F74D455" w:rsidR="00786A79" w:rsidRPr="00D54C58" w:rsidRDefault="00971ECD" w:rsidP="00971ECD">
      <w:pPr>
        <w:numPr>
          <w:ilvl w:val="0"/>
          <w:numId w:val="6"/>
        </w:numPr>
        <w:spacing w:after="0" w:line="360" w:lineRule="auto"/>
        <w:ind w:left="284"/>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Mullins, L</w:t>
      </w:r>
      <w:r w:rsidR="00F53D0D">
        <w:rPr>
          <w:rFonts w:ascii="Arial" w:eastAsia="Times New Roman" w:hAnsi="Arial" w:cs="Arial"/>
          <w:color w:val="1A1A1A" w:themeColor="background1" w:themeShade="1A"/>
          <w:kern w:val="2"/>
          <w:sz w:val="24"/>
          <w:szCs w:val="24"/>
          <w:shd w:val="clear" w:color="auto" w:fill="FFFFFF"/>
          <w:lang w:eastAsia="en-GB"/>
          <w14:ligatures w14:val="standardContextual"/>
        </w:rPr>
        <w:t>.</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 &amp; Dossor, P</w:t>
      </w:r>
      <w:r w:rsidR="00F53D0D">
        <w:rPr>
          <w:rFonts w:ascii="Arial" w:eastAsia="Times New Roman" w:hAnsi="Arial" w:cs="Arial"/>
          <w:color w:val="1A1A1A" w:themeColor="background1" w:themeShade="1A"/>
          <w:kern w:val="2"/>
          <w:sz w:val="24"/>
          <w:szCs w:val="24"/>
          <w:shd w:val="clear" w:color="auto" w:fill="FFFFFF"/>
          <w:lang w:eastAsia="en-GB"/>
          <w14:ligatures w14:val="standardContextual"/>
        </w:rPr>
        <w:t>.</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 xml:space="preserve"> </w:t>
      </w:r>
      <w:r w:rsidR="00F53D0D">
        <w:rPr>
          <w:rFonts w:ascii="Arial" w:eastAsia="Times New Roman" w:hAnsi="Arial" w:cs="Arial"/>
          <w:color w:val="1A1A1A" w:themeColor="background1" w:themeShade="1A"/>
          <w:kern w:val="2"/>
          <w:sz w:val="24"/>
          <w:szCs w:val="24"/>
          <w:shd w:val="clear" w:color="auto" w:fill="FFFFFF"/>
          <w:lang w:eastAsia="en-GB"/>
          <w14:ligatures w14:val="standardContextual"/>
        </w:rPr>
        <w:t>(</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2013</w:t>
      </w:r>
      <w:r w:rsidR="00F53D0D">
        <w:rPr>
          <w:rFonts w:ascii="Arial" w:eastAsia="Times New Roman" w:hAnsi="Arial" w:cs="Arial"/>
          <w:color w:val="1A1A1A" w:themeColor="background1" w:themeShade="1A"/>
          <w:kern w:val="2"/>
          <w:sz w:val="24"/>
          <w:szCs w:val="24"/>
          <w:shd w:val="clear" w:color="auto" w:fill="FFFFFF"/>
          <w:lang w:eastAsia="en-GB"/>
          <w14:ligatures w14:val="standardContextual"/>
        </w:rPr>
        <w:t>)</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 xml:space="preserve"> </w:t>
      </w:r>
      <w:r w:rsidRPr="00F53D0D">
        <w:rPr>
          <w:rFonts w:ascii="Arial" w:eastAsia="Times New Roman" w:hAnsi="Arial" w:cs="Arial"/>
          <w:i/>
          <w:iCs/>
          <w:color w:val="1A1A1A" w:themeColor="background1" w:themeShade="1A"/>
          <w:kern w:val="2"/>
          <w:sz w:val="24"/>
          <w:szCs w:val="24"/>
          <w:shd w:val="clear" w:color="auto" w:fill="FFFFFF"/>
          <w:lang w:eastAsia="en-GB"/>
          <w14:ligatures w14:val="standardContextual"/>
        </w:rPr>
        <w:t>Hospitality Management and Organisational Behaviour</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 xml:space="preserve"> Harlow</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 xml:space="preserve">: </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Pearson Education, Limited</w:t>
      </w:r>
      <w:r>
        <w:rPr>
          <w:rFonts w:ascii="Arial" w:eastAsia="Times New Roman" w:hAnsi="Arial" w:cs="Arial"/>
          <w:color w:val="1A1A1A" w:themeColor="background1" w:themeShade="1A"/>
          <w:kern w:val="2"/>
          <w:sz w:val="24"/>
          <w:szCs w:val="24"/>
          <w:shd w:val="clear" w:color="auto" w:fill="FFFFFF"/>
          <w:lang w:eastAsia="en-GB"/>
          <w14:ligatures w14:val="standardContextual"/>
        </w:rPr>
        <w:t>.</w:t>
      </w:r>
    </w:p>
    <w:p w14:paraId="70C56A29" w14:textId="77777777" w:rsidR="00D54C58" w:rsidRDefault="00D54C58" w:rsidP="00D54C58">
      <w:pPr>
        <w:pStyle w:val="ListParagraph"/>
        <w:rPr>
          <w:rFonts w:ascii="Arial" w:eastAsiaTheme="minorEastAsia" w:hAnsi="Arial" w:cs="Arial"/>
          <w:color w:val="1A1A1A" w:themeColor="background1" w:themeShade="1A"/>
          <w:kern w:val="2"/>
          <w:sz w:val="24"/>
          <w:szCs w:val="24"/>
          <w:lang w:eastAsia="en-GB"/>
          <w14:ligatures w14:val="standardContextual"/>
        </w:rPr>
      </w:pPr>
    </w:p>
    <w:p w14:paraId="6B9277F4" w14:textId="1526A64A" w:rsidR="00D54C58" w:rsidRDefault="00D54C58" w:rsidP="00D54C58">
      <w:pPr>
        <w:pStyle w:val="ListParagraph"/>
        <w:numPr>
          <w:ilvl w:val="0"/>
          <w:numId w:val="6"/>
        </w:num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r w:rsidRPr="00D54C58">
        <w:rPr>
          <w:rFonts w:ascii="Arial" w:eastAsiaTheme="minorEastAsia" w:hAnsi="Arial" w:cs="Arial"/>
          <w:color w:val="1A1A1A" w:themeColor="background1" w:themeShade="1A"/>
          <w:kern w:val="2"/>
          <w:sz w:val="24"/>
          <w:szCs w:val="24"/>
          <w:lang w:eastAsia="en-GB"/>
          <w14:ligatures w14:val="standardContextual"/>
        </w:rPr>
        <w:t xml:space="preserve">Nguyen, T. M., &amp; Malik, A. (2022) </w:t>
      </w:r>
      <w:r w:rsidR="00F53D0D">
        <w:rPr>
          <w:rFonts w:ascii="Arial" w:eastAsiaTheme="minorEastAsia" w:hAnsi="Arial" w:cs="Arial"/>
          <w:color w:val="1A1A1A" w:themeColor="background1" w:themeShade="1A"/>
          <w:kern w:val="2"/>
          <w:sz w:val="24"/>
          <w:szCs w:val="24"/>
          <w:lang w:eastAsia="en-GB"/>
          <w14:ligatures w14:val="standardContextual"/>
        </w:rPr>
        <w:t>“</w:t>
      </w:r>
      <w:r w:rsidRPr="00D54C58">
        <w:rPr>
          <w:rFonts w:ascii="Arial" w:eastAsiaTheme="minorEastAsia" w:hAnsi="Arial" w:cs="Arial"/>
          <w:color w:val="1A1A1A" w:themeColor="background1" w:themeShade="1A"/>
          <w:kern w:val="2"/>
          <w:sz w:val="24"/>
          <w:szCs w:val="24"/>
          <w:lang w:eastAsia="en-GB"/>
          <w14:ligatures w14:val="standardContextual"/>
        </w:rPr>
        <w:t>A Two-Wave Cross-Lagged Study on AI Service Quality: The Moderating Effects of the Job Level and Job Role</w:t>
      </w:r>
      <w:r w:rsidR="00F53D0D">
        <w:rPr>
          <w:rFonts w:ascii="Arial" w:eastAsiaTheme="minorEastAsia" w:hAnsi="Arial" w:cs="Arial"/>
          <w:color w:val="1A1A1A" w:themeColor="background1" w:themeShade="1A"/>
          <w:kern w:val="2"/>
          <w:sz w:val="24"/>
          <w:szCs w:val="24"/>
          <w:lang w:eastAsia="en-GB"/>
          <w14:ligatures w14:val="standardContextual"/>
        </w:rPr>
        <w:t>”</w:t>
      </w:r>
      <w:r w:rsidRPr="00D54C58">
        <w:rPr>
          <w:rFonts w:ascii="Arial" w:eastAsiaTheme="minorEastAsia" w:hAnsi="Arial" w:cs="Arial"/>
          <w:color w:val="1A1A1A" w:themeColor="background1" w:themeShade="1A"/>
          <w:kern w:val="2"/>
          <w:sz w:val="24"/>
          <w:szCs w:val="24"/>
          <w:lang w:eastAsia="en-GB"/>
          <w14:ligatures w14:val="standardContextual"/>
        </w:rPr>
        <w:t xml:space="preserve">. </w:t>
      </w:r>
      <w:r w:rsidRPr="00F53D0D">
        <w:rPr>
          <w:rFonts w:ascii="Arial" w:eastAsiaTheme="minorEastAsia" w:hAnsi="Arial" w:cs="Arial"/>
          <w:i/>
          <w:iCs/>
          <w:color w:val="1A1A1A" w:themeColor="background1" w:themeShade="1A"/>
          <w:kern w:val="2"/>
          <w:sz w:val="24"/>
          <w:szCs w:val="24"/>
          <w:lang w:eastAsia="en-GB"/>
          <w14:ligatures w14:val="standardContextual"/>
        </w:rPr>
        <w:t>British Journal of Management</w:t>
      </w:r>
      <w:r w:rsidRPr="00D54C58">
        <w:rPr>
          <w:rFonts w:ascii="Arial" w:eastAsiaTheme="minorEastAsia" w:hAnsi="Arial" w:cs="Arial"/>
          <w:color w:val="1A1A1A" w:themeColor="background1" w:themeShade="1A"/>
          <w:kern w:val="2"/>
          <w:sz w:val="24"/>
          <w:szCs w:val="24"/>
          <w:lang w:eastAsia="en-GB"/>
          <w14:ligatures w14:val="standardContextual"/>
        </w:rPr>
        <w:t>, 33(3), 1221-1237.</w:t>
      </w:r>
    </w:p>
    <w:p w14:paraId="4F45DEE9" w14:textId="77777777" w:rsidR="00D54C58" w:rsidRPr="00D54C58" w:rsidRDefault="00D54C58" w:rsidP="00D54C58">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283BC948" w14:textId="5DD265A6" w:rsidR="00786A79" w:rsidRPr="00D54C58" w:rsidRDefault="00786A79"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D54C58">
        <w:rPr>
          <w:rFonts w:ascii="Arial" w:eastAsiaTheme="majorEastAsia" w:hAnsi="Arial" w:cs="Arial"/>
          <w:color w:val="1A1A1A" w:themeColor="background1" w:themeShade="1A"/>
          <w:kern w:val="2"/>
          <w:sz w:val="24"/>
          <w:szCs w:val="24"/>
          <w:lang w:eastAsia="en-GB"/>
          <w14:ligatures w14:val="standardContextual"/>
        </w:rPr>
        <w:t xml:space="preserve">Nova, T. (2020) </w:t>
      </w:r>
      <w:r w:rsidRPr="00F53D0D">
        <w:rPr>
          <w:rFonts w:ascii="Arial" w:eastAsiaTheme="minorEastAsia" w:hAnsi="Arial" w:cs="Arial"/>
          <w:i/>
          <w:iCs/>
          <w:color w:val="1A1A1A" w:themeColor="background1" w:themeShade="1A"/>
          <w:kern w:val="2"/>
          <w:sz w:val="24"/>
          <w:szCs w:val="24"/>
          <w:lang w:eastAsia="en-GB"/>
          <w14:ligatures w14:val="standardContextual"/>
        </w:rPr>
        <w:t>How Hilton Uses The Golden Rule To Drive Commercial Success</w:t>
      </w:r>
      <w:r w:rsidRPr="00D54C58">
        <w:rPr>
          <w:rFonts w:ascii="Arial" w:eastAsiaTheme="minorEastAsia" w:hAnsi="Arial" w:cs="Arial"/>
          <w:color w:val="1A1A1A" w:themeColor="background1" w:themeShade="1A"/>
          <w:kern w:val="2"/>
          <w:sz w:val="24"/>
          <w:szCs w:val="24"/>
          <w:lang w:eastAsia="en-GB"/>
          <w14:ligatures w14:val="standardContextual"/>
        </w:rPr>
        <w:t>. Available at:</w:t>
      </w:r>
      <w:r w:rsidRPr="00D54C58">
        <w:rPr>
          <w:rFonts w:ascii="Arial" w:eastAsiaTheme="majorEastAsia" w:hAnsi="Arial" w:cs="Arial"/>
          <w:color w:val="1A1A1A" w:themeColor="background1" w:themeShade="1A"/>
          <w:kern w:val="2"/>
          <w:sz w:val="24"/>
          <w:szCs w:val="24"/>
          <w:lang w:eastAsia="en-GB"/>
          <w14:ligatures w14:val="standardContextual"/>
        </w:rPr>
        <w:t xml:space="preserve"> </w:t>
      </w:r>
      <w:hyperlink r:id="rId14" w:history="1">
        <w:r w:rsidRPr="00D54C58">
          <w:rPr>
            <w:rFonts w:ascii="Arial" w:eastAsiaTheme="majorEastAsia" w:hAnsi="Arial" w:cs="Arial"/>
            <w:color w:val="1A1A1A" w:themeColor="background1" w:themeShade="1A"/>
            <w:kern w:val="2"/>
            <w:sz w:val="24"/>
            <w:szCs w:val="24"/>
            <w:u w:val="single"/>
            <w:lang w:eastAsia="en-GB"/>
            <w14:ligatures w14:val="standardContextual"/>
          </w:rPr>
          <w:t>https://www.forbes.com/sites/salesforce/2020/11/05/how-hilton-uses-the-golden-rule-to-drive-commercial-success/?sh=45c44f7b733c</w:t>
        </w:r>
      </w:hyperlink>
      <w:r w:rsidRPr="00D54C58">
        <w:rPr>
          <w:rFonts w:ascii="Arial" w:eastAsiaTheme="majorEastAsia" w:hAnsi="Arial" w:cs="Arial"/>
          <w:color w:val="1A1A1A" w:themeColor="background1" w:themeShade="1A"/>
          <w:kern w:val="2"/>
          <w:sz w:val="24"/>
          <w:szCs w:val="24"/>
          <w:lang w:eastAsia="en-GB"/>
          <w14:ligatures w14:val="standardContextual"/>
        </w:rPr>
        <w:t xml:space="preserve"> (Accessed 2 June 2024)</w:t>
      </w:r>
      <w:r w:rsidR="00D54C58" w:rsidRPr="00D54C58">
        <w:rPr>
          <w:rFonts w:ascii="Arial" w:eastAsiaTheme="majorEastAsia" w:hAnsi="Arial" w:cs="Arial"/>
          <w:color w:val="1A1A1A" w:themeColor="background1" w:themeShade="1A"/>
          <w:kern w:val="2"/>
          <w:sz w:val="24"/>
          <w:szCs w:val="24"/>
          <w:lang w:eastAsia="en-GB"/>
          <w14:ligatures w14:val="standardContextual"/>
        </w:rPr>
        <w:t>.</w:t>
      </w:r>
    </w:p>
    <w:p w14:paraId="65F91D7E" w14:textId="77777777" w:rsidR="00D54C58" w:rsidRDefault="00D54C58" w:rsidP="00D54C58">
      <w:pPr>
        <w:pStyle w:val="ListParagraph"/>
        <w:rPr>
          <w:rFonts w:ascii="Arial" w:eastAsiaTheme="majorEastAsia" w:hAnsi="Arial" w:cs="Arial"/>
          <w:color w:val="1A1A1A" w:themeColor="background1" w:themeShade="1A"/>
          <w:kern w:val="2"/>
          <w:sz w:val="24"/>
          <w:szCs w:val="24"/>
          <w:lang w:eastAsia="en-GB"/>
          <w14:ligatures w14:val="standardContextual"/>
        </w:rPr>
      </w:pPr>
    </w:p>
    <w:p w14:paraId="124E6EB0" w14:textId="7B15227C" w:rsidR="00D54C58" w:rsidRDefault="00D54C58" w:rsidP="00D54C58">
      <w:pPr>
        <w:keepNext/>
        <w:keepLines/>
        <w:numPr>
          <w:ilvl w:val="0"/>
          <w:numId w:val="6"/>
        </w:numPr>
        <w:spacing w:before="120" w:after="0" w:line="360" w:lineRule="auto"/>
        <w:jc w:val="both"/>
        <w:outlineLvl w:val="0"/>
        <w:rPr>
          <w:rFonts w:ascii="Arial" w:eastAsiaTheme="majorEastAsia" w:hAnsi="Arial" w:cs="Arial"/>
          <w:color w:val="1A1A1A" w:themeColor="background1" w:themeShade="1A"/>
          <w:kern w:val="2"/>
          <w:sz w:val="24"/>
          <w:szCs w:val="24"/>
          <w:lang w:eastAsia="en-GB"/>
          <w14:ligatures w14:val="standardContextual"/>
        </w:rPr>
      </w:pPr>
      <w:r w:rsidRPr="00D54C58">
        <w:rPr>
          <w:rFonts w:ascii="Arial" w:eastAsiaTheme="majorEastAsia" w:hAnsi="Arial" w:cs="Arial"/>
          <w:color w:val="1A1A1A" w:themeColor="background1" w:themeShade="1A"/>
          <w:kern w:val="2"/>
          <w:sz w:val="24"/>
          <w:szCs w:val="24"/>
          <w:lang w:eastAsia="en-GB"/>
          <w14:ligatures w14:val="standardContextual"/>
        </w:rPr>
        <w:t xml:space="preserve">Odunayo, H. A (2022) “Effect of Organizational Reward System on Employee Performance in Selected Hotels in Lagos Metropolis, Nigeria”. </w:t>
      </w:r>
      <w:r w:rsidRPr="00F53D0D">
        <w:rPr>
          <w:rFonts w:ascii="Arial" w:eastAsiaTheme="majorEastAsia" w:hAnsi="Arial" w:cs="Arial"/>
          <w:i/>
          <w:iCs/>
          <w:color w:val="1A1A1A" w:themeColor="background1" w:themeShade="1A"/>
          <w:kern w:val="2"/>
          <w:sz w:val="24"/>
          <w:szCs w:val="24"/>
          <w:lang w:eastAsia="en-GB"/>
          <w14:ligatures w14:val="standardContextual"/>
        </w:rPr>
        <w:t>Saudi Journal of Business and Management Studies</w:t>
      </w:r>
      <w:r w:rsidR="00F53D0D">
        <w:rPr>
          <w:rFonts w:ascii="Arial" w:eastAsiaTheme="majorEastAsia" w:hAnsi="Arial" w:cs="Arial"/>
          <w:color w:val="1A1A1A" w:themeColor="background1" w:themeShade="1A"/>
          <w:kern w:val="2"/>
          <w:sz w:val="24"/>
          <w:szCs w:val="24"/>
          <w:lang w:eastAsia="en-GB"/>
          <w14:ligatures w14:val="standardContextual"/>
        </w:rPr>
        <w:t>.</w:t>
      </w:r>
      <w:r w:rsidRPr="00D54C58">
        <w:rPr>
          <w:rFonts w:ascii="Arial" w:eastAsiaTheme="majorEastAsia" w:hAnsi="Arial" w:cs="Arial"/>
          <w:color w:val="1A1A1A" w:themeColor="background1" w:themeShade="1A"/>
          <w:kern w:val="2"/>
          <w:sz w:val="24"/>
          <w:szCs w:val="24"/>
          <w:lang w:eastAsia="en-GB"/>
          <w14:ligatures w14:val="standardContextual"/>
        </w:rPr>
        <w:t xml:space="preserve"> 7(7)</w:t>
      </w:r>
      <w:r w:rsidR="00F53D0D">
        <w:rPr>
          <w:rFonts w:ascii="Arial" w:eastAsiaTheme="majorEastAsia" w:hAnsi="Arial" w:cs="Arial"/>
          <w:color w:val="1A1A1A" w:themeColor="background1" w:themeShade="1A"/>
          <w:kern w:val="2"/>
          <w:sz w:val="24"/>
          <w:szCs w:val="24"/>
          <w:lang w:eastAsia="en-GB"/>
          <w14:ligatures w14:val="standardContextual"/>
        </w:rPr>
        <w:t>,</w:t>
      </w:r>
      <w:r w:rsidRPr="00D54C58">
        <w:rPr>
          <w:rFonts w:ascii="Arial" w:eastAsiaTheme="majorEastAsia" w:hAnsi="Arial" w:cs="Arial"/>
          <w:color w:val="1A1A1A" w:themeColor="background1" w:themeShade="1A"/>
          <w:kern w:val="2"/>
          <w:sz w:val="24"/>
          <w:szCs w:val="24"/>
          <w:lang w:eastAsia="en-GB"/>
          <w14:ligatures w14:val="standardContextual"/>
        </w:rPr>
        <w:t xml:space="preserve"> 206-221.</w:t>
      </w:r>
    </w:p>
    <w:p w14:paraId="191876AB" w14:textId="77777777" w:rsidR="00D54C58" w:rsidRDefault="00D54C58" w:rsidP="00D54C58">
      <w:pPr>
        <w:pStyle w:val="ListParagraph"/>
        <w:rPr>
          <w:rFonts w:ascii="Arial" w:eastAsiaTheme="majorEastAsia" w:hAnsi="Arial" w:cs="Arial"/>
          <w:color w:val="1A1A1A" w:themeColor="background1" w:themeShade="1A"/>
          <w:kern w:val="2"/>
          <w:sz w:val="24"/>
          <w:szCs w:val="24"/>
          <w:lang w:eastAsia="en-GB"/>
          <w14:ligatures w14:val="standardContextual"/>
        </w:rPr>
      </w:pPr>
    </w:p>
    <w:p w14:paraId="12992B22" w14:textId="16312E28" w:rsidR="00D54C58" w:rsidRPr="00D54C58" w:rsidRDefault="00D54C58"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Pr>
          <w:rFonts w:ascii="Arial" w:eastAsiaTheme="minorEastAsia" w:hAnsi="Arial" w:cs="Arial"/>
          <w:color w:val="1A1A1A" w:themeColor="background1" w:themeShade="1A"/>
          <w:kern w:val="2"/>
          <w:sz w:val="24"/>
          <w:szCs w:val="24"/>
          <w:lang w:eastAsia="en-GB"/>
          <w14:ligatures w14:val="standardContextual"/>
        </w:rPr>
        <w:t xml:space="preserve"> </w:t>
      </w:r>
      <w:r w:rsidRPr="00971ECD">
        <w:rPr>
          <w:rFonts w:ascii="Arial" w:eastAsiaTheme="minorEastAsia" w:hAnsi="Arial" w:cs="Arial"/>
          <w:color w:val="1A1A1A" w:themeColor="background1" w:themeShade="1A"/>
          <w:kern w:val="2"/>
          <w:sz w:val="24"/>
          <w:szCs w:val="24"/>
          <w:lang w:eastAsia="en-GB"/>
          <w14:ligatures w14:val="standardContextual"/>
        </w:rPr>
        <w:t xml:space="preserve">Pulakos, E. D., Mueller-Hanson, R., &amp; Arad, S. (2019) </w:t>
      </w:r>
      <w:r w:rsidR="00F53D0D">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The Evolution of Performance Management: Searching for Value</w:t>
      </w:r>
      <w:r w:rsidR="00F53D0D">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 xml:space="preserve">. </w:t>
      </w:r>
      <w:r w:rsidRPr="00F53D0D">
        <w:rPr>
          <w:rFonts w:ascii="Arial" w:eastAsiaTheme="minorEastAsia" w:hAnsi="Arial" w:cs="Arial"/>
          <w:i/>
          <w:iCs/>
          <w:color w:val="1A1A1A" w:themeColor="background1" w:themeShade="1A"/>
          <w:kern w:val="2"/>
          <w:sz w:val="24"/>
          <w:szCs w:val="24"/>
          <w:lang w:eastAsia="en-GB"/>
          <w14:ligatures w14:val="standardContextual"/>
        </w:rPr>
        <w:t>Annual Review of Organizational Psychology and Organizational Behavior</w:t>
      </w:r>
      <w:r w:rsidR="00F53D0D">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 xml:space="preserve"> 6, 249-271.</w:t>
      </w:r>
    </w:p>
    <w:p w14:paraId="18A59D62" w14:textId="77777777" w:rsidR="00786A79" w:rsidRPr="00971ECD" w:rsidRDefault="00786A79" w:rsidP="00971ECD">
      <w:pPr>
        <w:spacing w:after="0" w:line="360" w:lineRule="auto"/>
        <w:ind w:left="72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3D23660C" w14:textId="77C48467" w:rsidR="00786A79" w:rsidRPr="00D54C58" w:rsidRDefault="00786A79"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 xml:space="preserve">Torrington, D., Hall, L., Taylor, S., &amp; Atkinson, C. (2020) </w:t>
      </w:r>
      <w:r w:rsidRPr="00F53D0D">
        <w:rPr>
          <w:rFonts w:ascii="Arial" w:eastAsiaTheme="minorEastAsia" w:hAnsi="Arial" w:cs="Arial"/>
          <w:i/>
          <w:iCs/>
          <w:color w:val="1A1A1A" w:themeColor="background1" w:themeShade="1A"/>
          <w:kern w:val="2"/>
          <w:sz w:val="24"/>
          <w:szCs w:val="24"/>
          <w:lang w:eastAsia="en-GB"/>
          <w14:ligatures w14:val="standardContextual"/>
        </w:rPr>
        <w:t>Human Resource Management</w:t>
      </w:r>
      <w:r w:rsidRPr="00971ECD">
        <w:rPr>
          <w:rFonts w:ascii="Arial" w:eastAsiaTheme="minorEastAsia" w:hAnsi="Arial" w:cs="Arial"/>
          <w:color w:val="1A1A1A" w:themeColor="background1" w:themeShade="1A"/>
          <w:kern w:val="2"/>
          <w:sz w:val="24"/>
          <w:szCs w:val="24"/>
          <w:lang w:eastAsia="en-GB"/>
          <w14:ligatures w14:val="standardContextual"/>
        </w:rPr>
        <w:t>. Harlow: Pearson Education Limited.</w:t>
      </w:r>
    </w:p>
    <w:p w14:paraId="37A10894" w14:textId="77777777" w:rsidR="00786A79" w:rsidRPr="00971ECD" w:rsidRDefault="00786A79" w:rsidP="00D54C58">
      <w:p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2FC0BBB1" w14:textId="77777777" w:rsidR="00786A79" w:rsidRPr="00971ECD" w:rsidRDefault="00786A79" w:rsidP="00971ECD">
      <w:pPr>
        <w:spacing w:after="0" w:line="360" w:lineRule="auto"/>
        <w:ind w:left="72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0FED48D9" w14:textId="609F1499" w:rsidR="00786A79" w:rsidRPr="00971ECD" w:rsidRDefault="00786A79" w:rsidP="00D54C58">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heme="minorEastAsia" w:hAnsi="Arial" w:cs="Arial"/>
          <w:color w:val="1A1A1A" w:themeColor="background1" w:themeShade="1A"/>
          <w:kern w:val="2"/>
          <w:sz w:val="24"/>
          <w:szCs w:val="24"/>
          <w:lang w:eastAsia="en-GB"/>
          <w14:ligatures w14:val="standardContextual"/>
        </w:rPr>
        <w:t>de Waal, A.A. and Counet, H. (2009) "Lessons learned from performance management systems implementations"</w:t>
      </w:r>
      <w:r w:rsidR="00F53D0D">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 xml:space="preserve"> </w:t>
      </w:r>
      <w:r w:rsidRPr="00F53D0D">
        <w:rPr>
          <w:rFonts w:ascii="Arial" w:eastAsiaTheme="minorEastAsia" w:hAnsi="Arial" w:cs="Arial"/>
          <w:i/>
          <w:iCs/>
          <w:color w:val="1A1A1A" w:themeColor="background1" w:themeShade="1A"/>
          <w:kern w:val="2"/>
          <w:sz w:val="24"/>
          <w:szCs w:val="24"/>
          <w:lang w:eastAsia="en-GB"/>
          <w14:ligatures w14:val="standardContextual"/>
        </w:rPr>
        <w:t>International Journal of Productivity and Performance Management</w:t>
      </w:r>
      <w:r w:rsidR="00F53D0D">
        <w:rPr>
          <w:rFonts w:ascii="Arial" w:eastAsiaTheme="minorEastAsia" w:hAnsi="Arial" w:cs="Arial"/>
          <w:color w:val="1A1A1A" w:themeColor="background1" w:themeShade="1A"/>
          <w:kern w:val="2"/>
          <w:sz w:val="24"/>
          <w:szCs w:val="24"/>
          <w:lang w:eastAsia="en-GB"/>
          <w14:ligatures w14:val="standardContextual"/>
        </w:rPr>
        <w:t>.</w:t>
      </w:r>
      <w:r w:rsidRPr="00971ECD">
        <w:rPr>
          <w:rFonts w:ascii="Arial" w:eastAsiaTheme="minorEastAsia" w:hAnsi="Arial" w:cs="Arial"/>
          <w:color w:val="1A1A1A" w:themeColor="background1" w:themeShade="1A"/>
          <w:kern w:val="2"/>
          <w:sz w:val="24"/>
          <w:szCs w:val="24"/>
          <w:lang w:eastAsia="en-GB"/>
          <w14:ligatures w14:val="standardContextual"/>
        </w:rPr>
        <w:t xml:space="preserve"> Vol. 58 No. 4, pp. 367-390</w:t>
      </w:r>
    </w:p>
    <w:p w14:paraId="1D10749E" w14:textId="77777777" w:rsidR="00786A79" w:rsidRPr="00971ECD" w:rsidRDefault="00786A79" w:rsidP="00971ECD">
      <w:pPr>
        <w:spacing w:after="0" w:line="360" w:lineRule="auto"/>
        <w:ind w:left="720"/>
        <w:contextualSpacing/>
        <w:jc w:val="both"/>
        <w:rPr>
          <w:rFonts w:ascii="Arial" w:eastAsiaTheme="minorEastAsia" w:hAnsi="Arial" w:cs="Arial"/>
          <w:color w:val="1A1A1A" w:themeColor="background1" w:themeShade="1A"/>
          <w:kern w:val="2"/>
          <w:sz w:val="24"/>
          <w:szCs w:val="24"/>
          <w:lang w:eastAsia="en-GB"/>
          <w14:ligatures w14:val="standardContextual"/>
        </w:rPr>
      </w:pPr>
    </w:p>
    <w:p w14:paraId="0F16B532" w14:textId="42337038" w:rsidR="00786A79" w:rsidRPr="00D54C58" w:rsidRDefault="00786A79" w:rsidP="00971ECD">
      <w:pPr>
        <w:numPr>
          <w:ilvl w:val="0"/>
          <w:numId w:val="6"/>
        </w:numPr>
        <w:spacing w:after="0" w:line="360" w:lineRule="auto"/>
        <w:contextualSpacing/>
        <w:jc w:val="both"/>
        <w:rPr>
          <w:rFonts w:ascii="Arial" w:eastAsiaTheme="minorEastAsia" w:hAnsi="Arial" w:cs="Arial"/>
          <w:color w:val="1A1A1A" w:themeColor="background1" w:themeShade="1A"/>
          <w:kern w:val="2"/>
          <w:sz w:val="24"/>
          <w:szCs w:val="24"/>
          <w:lang w:eastAsia="en-GB"/>
          <w14:ligatures w14:val="standardContextual"/>
        </w:rPr>
      </w:pP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 xml:space="preserve">Van De Voorde, K., Paauwe, J., &amp; Van Veldhoven, M. (2012) </w:t>
      </w:r>
      <w:r w:rsidR="00F53D0D">
        <w:rPr>
          <w:rFonts w:ascii="Arial" w:eastAsia="Times New Roman" w:hAnsi="Arial" w:cs="Arial"/>
          <w:color w:val="1A1A1A" w:themeColor="background1" w:themeShade="1A"/>
          <w:kern w:val="2"/>
          <w:sz w:val="24"/>
          <w:szCs w:val="24"/>
          <w:shd w:val="clear" w:color="auto" w:fill="FFFFFF"/>
          <w:lang w:eastAsia="en-GB"/>
          <w14:ligatures w14:val="standardContextual"/>
        </w:rPr>
        <w:t>“</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Employee well</w:t>
      </w:r>
      <w:r w:rsidRPr="00971ECD">
        <w:rPr>
          <w:rFonts w:ascii="Cambria Math" w:eastAsia="Times New Roman" w:hAnsi="Cambria Math" w:cs="Cambria Math"/>
          <w:color w:val="1A1A1A" w:themeColor="background1" w:themeShade="1A"/>
          <w:kern w:val="2"/>
          <w:sz w:val="24"/>
          <w:szCs w:val="24"/>
          <w:shd w:val="clear" w:color="auto" w:fill="FFFFFF"/>
          <w:lang w:eastAsia="en-GB"/>
          <w14:ligatures w14:val="standardContextual"/>
        </w:rPr>
        <w:t>‐</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being and the HRM–organizational performance relationship: A review of quantitative studies</w:t>
      </w:r>
      <w:r w:rsidR="00F53D0D">
        <w:rPr>
          <w:rFonts w:ascii="Arial" w:eastAsia="Times New Roman" w:hAnsi="Arial" w:cs="Arial"/>
          <w:color w:val="1A1A1A" w:themeColor="background1" w:themeShade="1A"/>
          <w:kern w:val="2"/>
          <w:sz w:val="24"/>
          <w:szCs w:val="24"/>
          <w:shd w:val="clear" w:color="auto" w:fill="FFFFFF"/>
          <w:lang w:eastAsia="en-GB"/>
          <w14:ligatures w14:val="standardContextual"/>
        </w:rPr>
        <w:t>”</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 </w:t>
      </w:r>
      <w:r w:rsidRPr="00971ECD">
        <w:rPr>
          <w:rFonts w:ascii="Arial" w:eastAsia="Times New Roman" w:hAnsi="Arial" w:cs="Arial"/>
          <w:i/>
          <w:iCs/>
          <w:color w:val="1A1A1A" w:themeColor="background1" w:themeShade="1A"/>
          <w:kern w:val="2"/>
          <w:sz w:val="24"/>
          <w:szCs w:val="24"/>
          <w:lang w:eastAsia="en-GB"/>
          <w14:ligatures w14:val="standardContextual"/>
        </w:rPr>
        <w:t>International Journal of Management Reviews</w:t>
      </w:r>
      <w:r w:rsidR="00F53D0D">
        <w:rPr>
          <w:rFonts w:ascii="Arial" w:eastAsia="Times New Roman" w:hAnsi="Arial" w:cs="Arial"/>
          <w:i/>
          <w:iCs/>
          <w:color w:val="1A1A1A" w:themeColor="background1" w:themeShade="1A"/>
          <w:kern w:val="2"/>
          <w:sz w:val="24"/>
          <w:szCs w:val="24"/>
          <w:lang w:eastAsia="en-GB"/>
          <w14:ligatures w14:val="standardContextual"/>
        </w:rPr>
        <w:t>.</w:t>
      </w:r>
      <w:r w:rsidRPr="00F53D0D">
        <w:rPr>
          <w:rFonts w:ascii="Arial" w:eastAsia="Times New Roman" w:hAnsi="Arial" w:cs="Arial"/>
          <w:color w:val="1A1A1A" w:themeColor="background1" w:themeShade="1A"/>
          <w:kern w:val="2"/>
          <w:sz w:val="24"/>
          <w:szCs w:val="24"/>
          <w:lang w:eastAsia="en-GB"/>
          <w14:ligatures w14:val="standardContextual"/>
        </w:rPr>
        <w:t xml:space="preserve"> 14</w:t>
      </w:r>
      <w:r w:rsidRPr="00971ECD">
        <w:rPr>
          <w:rFonts w:ascii="Arial" w:eastAsia="Times New Roman" w:hAnsi="Arial" w:cs="Arial"/>
          <w:color w:val="1A1A1A" w:themeColor="background1" w:themeShade="1A"/>
          <w:kern w:val="2"/>
          <w:sz w:val="24"/>
          <w:szCs w:val="24"/>
          <w:shd w:val="clear" w:color="auto" w:fill="FFFFFF"/>
          <w:lang w:eastAsia="en-GB"/>
          <w14:ligatures w14:val="standardContextual"/>
        </w:rPr>
        <w:t>(4), 391–407.</w:t>
      </w:r>
    </w:p>
    <w:p w14:paraId="7528F968" w14:textId="1E1CA72C" w:rsidR="00C2353D" w:rsidRPr="00971ECD" w:rsidRDefault="00C2353D" w:rsidP="00971ECD">
      <w:pPr>
        <w:spacing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3FF506F0" w14:textId="77777777" w:rsidR="00C2353D" w:rsidRPr="00971ECD" w:rsidRDefault="00C2353D" w:rsidP="00971ECD">
      <w:pPr>
        <w:spacing w:after="0" w:line="360" w:lineRule="auto"/>
        <w:jc w:val="both"/>
        <w:rPr>
          <w:rFonts w:ascii="Arial" w:eastAsiaTheme="minorEastAsia" w:hAnsi="Arial" w:cs="Arial"/>
          <w:color w:val="1A1A1A" w:themeColor="background1" w:themeShade="1A"/>
          <w:kern w:val="2"/>
          <w:sz w:val="24"/>
          <w:szCs w:val="24"/>
          <w:lang w:eastAsia="en-GB"/>
          <w14:ligatures w14:val="standardContextual"/>
        </w:rPr>
      </w:pPr>
    </w:p>
    <w:p w14:paraId="1D391823" w14:textId="3AF22294" w:rsidR="00ED487F" w:rsidRPr="00971ECD" w:rsidRDefault="00ED487F" w:rsidP="00971ECD">
      <w:pPr>
        <w:spacing w:line="360" w:lineRule="auto"/>
        <w:jc w:val="both"/>
        <w:rPr>
          <w:rFonts w:ascii="Arial" w:hAnsi="Arial" w:cs="Arial"/>
          <w:color w:val="1A1A1A" w:themeColor="background1" w:themeShade="1A"/>
          <w:sz w:val="24"/>
          <w:szCs w:val="24"/>
        </w:rPr>
      </w:pPr>
    </w:p>
    <w:sectPr w:rsidR="00ED487F" w:rsidRPr="00971ECD" w:rsidSect="004B72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2FCEA" w14:textId="77777777" w:rsidR="00206DD9" w:rsidRDefault="00206DD9" w:rsidP="00066287">
      <w:pPr>
        <w:spacing w:after="0" w:line="240" w:lineRule="auto"/>
      </w:pPr>
      <w:r>
        <w:separator/>
      </w:r>
    </w:p>
  </w:endnote>
  <w:endnote w:type="continuationSeparator" w:id="0">
    <w:p w14:paraId="29D6124F" w14:textId="77777777" w:rsidR="00206DD9" w:rsidRDefault="00206DD9" w:rsidP="00066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5192015"/>
      <w:docPartObj>
        <w:docPartGallery w:val="Page Numbers (Bottom of Page)"/>
        <w:docPartUnique/>
      </w:docPartObj>
    </w:sdtPr>
    <w:sdtEndPr>
      <w:rPr>
        <w:noProof/>
      </w:rPr>
    </w:sdtEndPr>
    <w:sdtContent>
      <w:p w14:paraId="2550CB5C" w14:textId="77777777" w:rsidR="002D2A21" w:rsidRDefault="002D2A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965D8B" w14:textId="77777777" w:rsidR="002D2A21" w:rsidRDefault="002D2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E01D9F" w14:textId="77777777" w:rsidR="00206DD9" w:rsidRDefault="00206DD9" w:rsidP="00066287">
      <w:pPr>
        <w:spacing w:after="0" w:line="240" w:lineRule="auto"/>
      </w:pPr>
      <w:r>
        <w:separator/>
      </w:r>
    </w:p>
  </w:footnote>
  <w:footnote w:type="continuationSeparator" w:id="0">
    <w:p w14:paraId="5D13382A" w14:textId="77777777" w:rsidR="00206DD9" w:rsidRDefault="00206DD9" w:rsidP="000662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A52253"/>
    <w:multiLevelType w:val="hybridMultilevel"/>
    <w:tmpl w:val="6EAC3C80"/>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625561F"/>
    <w:multiLevelType w:val="hybridMultilevel"/>
    <w:tmpl w:val="D6ECCC30"/>
    <w:lvl w:ilvl="0" w:tplc="FFFFFFFF">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A865D7"/>
    <w:multiLevelType w:val="hybridMultilevel"/>
    <w:tmpl w:val="5A527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A36585"/>
    <w:multiLevelType w:val="hybridMultilevel"/>
    <w:tmpl w:val="E0246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6235DB"/>
    <w:multiLevelType w:val="hybridMultilevel"/>
    <w:tmpl w:val="D3AC12E6"/>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6F3F01"/>
    <w:multiLevelType w:val="hybridMultilevel"/>
    <w:tmpl w:val="56E27E1C"/>
    <w:lvl w:ilvl="0" w:tplc="0809000F">
      <w:start w:val="1"/>
      <w:numFmt w:val="decimal"/>
      <w:lvlText w:val="%1."/>
      <w:lvlJc w:val="left"/>
      <w:pPr>
        <w:ind w:left="720" w:hanging="360"/>
      </w:pPr>
    </w:lvl>
    <w:lvl w:ilvl="1" w:tplc="A87C1972">
      <w:start w:val="4"/>
      <w:numFmt w:val="bullet"/>
      <w:lvlText w:val="-"/>
      <w:lvlJc w:val="left"/>
      <w:pPr>
        <w:ind w:left="1440" w:hanging="360"/>
      </w:pPr>
      <w:rPr>
        <w:rFonts w:ascii="Calibri" w:eastAsiaTheme="minorEastAsia" w:hAnsi="Calibri"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080700"/>
    <w:multiLevelType w:val="multilevel"/>
    <w:tmpl w:val="54EA1F0C"/>
    <w:lvl w:ilvl="0">
      <w:start w:val="6"/>
      <w:numFmt w:val="decimal"/>
      <w:lvlText w:val="%1"/>
      <w:lvlJc w:val="left"/>
      <w:pPr>
        <w:ind w:left="360" w:hanging="360"/>
      </w:pPr>
      <w:rPr>
        <w:rFonts w:hint="default"/>
        <w:color w:val="156082" w:themeColor="accent1"/>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156082" w:themeColor="accent1"/>
      </w:rPr>
    </w:lvl>
    <w:lvl w:ilvl="3">
      <w:start w:val="1"/>
      <w:numFmt w:val="decimal"/>
      <w:lvlText w:val="%1.%2.%3.%4"/>
      <w:lvlJc w:val="left"/>
      <w:pPr>
        <w:ind w:left="720" w:hanging="720"/>
      </w:pPr>
      <w:rPr>
        <w:rFonts w:hint="default"/>
        <w:color w:val="156082" w:themeColor="accent1"/>
      </w:rPr>
    </w:lvl>
    <w:lvl w:ilvl="4">
      <w:start w:val="1"/>
      <w:numFmt w:val="decimal"/>
      <w:lvlText w:val="%1.%2.%3.%4.%5"/>
      <w:lvlJc w:val="left"/>
      <w:pPr>
        <w:ind w:left="1080" w:hanging="1080"/>
      </w:pPr>
      <w:rPr>
        <w:rFonts w:hint="default"/>
        <w:color w:val="156082" w:themeColor="accent1"/>
      </w:rPr>
    </w:lvl>
    <w:lvl w:ilvl="5">
      <w:start w:val="1"/>
      <w:numFmt w:val="decimal"/>
      <w:lvlText w:val="%1.%2.%3.%4.%5.%6"/>
      <w:lvlJc w:val="left"/>
      <w:pPr>
        <w:ind w:left="1080" w:hanging="1080"/>
      </w:pPr>
      <w:rPr>
        <w:rFonts w:hint="default"/>
        <w:color w:val="156082" w:themeColor="accent1"/>
      </w:rPr>
    </w:lvl>
    <w:lvl w:ilvl="6">
      <w:start w:val="1"/>
      <w:numFmt w:val="decimal"/>
      <w:lvlText w:val="%1.%2.%3.%4.%5.%6.%7"/>
      <w:lvlJc w:val="left"/>
      <w:pPr>
        <w:ind w:left="1440" w:hanging="1440"/>
      </w:pPr>
      <w:rPr>
        <w:rFonts w:hint="default"/>
        <w:color w:val="156082" w:themeColor="accent1"/>
      </w:rPr>
    </w:lvl>
    <w:lvl w:ilvl="7">
      <w:start w:val="1"/>
      <w:numFmt w:val="decimal"/>
      <w:lvlText w:val="%1.%2.%3.%4.%5.%6.%7.%8"/>
      <w:lvlJc w:val="left"/>
      <w:pPr>
        <w:ind w:left="1440" w:hanging="1440"/>
      </w:pPr>
      <w:rPr>
        <w:rFonts w:hint="default"/>
        <w:color w:val="156082" w:themeColor="accent1"/>
      </w:rPr>
    </w:lvl>
    <w:lvl w:ilvl="8">
      <w:start w:val="1"/>
      <w:numFmt w:val="decimal"/>
      <w:lvlText w:val="%1.%2.%3.%4.%5.%6.%7.%8.%9"/>
      <w:lvlJc w:val="left"/>
      <w:pPr>
        <w:ind w:left="1440" w:hanging="1440"/>
      </w:pPr>
      <w:rPr>
        <w:rFonts w:hint="default"/>
        <w:color w:val="156082" w:themeColor="accent1"/>
      </w:rPr>
    </w:lvl>
  </w:abstractNum>
  <w:abstractNum w:abstractNumId="7" w15:restartNumberingAfterBreak="0">
    <w:nsid w:val="71133FB9"/>
    <w:multiLevelType w:val="hybridMultilevel"/>
    <w:tmpl w:val="5C325C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CA648D"/>
    <w:multiLevelType w:val="hybridMultilevel"/>
    <w:tmpl w:val="D3AC12E6"/>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A7D5812"/>
    <w:multiLevelType w:val="hybridMultilevel"/>
    <w:tmpl w:val="638EDB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1741044">
    <w:abstractNumId w:val="9"/>
  </w:num>
  <w:num w:numId="2" w16cid:durableId="943926217">
    <w:abstractNumId w:val="7"/>
  </w:num>
  <w:num w:numId="3" w16cid:durableId="756709823">
    <w:abstractNumId w:val="1"/>
  </w:num>
  <w:num w:numId="4" w16cid:durableId="1279487862">
    <w:abstractNumId w:val="3"/>
  </w:num>
  <w:num w:numId="5" w16cid:durableId="278994546">
    <w:abstractNumId w:val="2"/>
  </w:num>
  <w:num w:numId="6" w16cid:durableId="1331713672">
    <w:abstractNumId w:val="4"/>
  </w:num>
  <w:num w:numId="7" w16cid:durableId="2023630779">
    <w:abstractNumId w:val="5"/>
  </w:num>
  <w:num w:numId="8" w16cid:durableId="117309647">
    <w:abstractNumId w:val="0"/>
  </w:num>
  <w:num w:numId="9" w16cid:durableId="1308171140">
    <w:abstractNumId w:val="6"/>
  </w:num>
  <w:num w:numId="10" w16cid:durableId="8877628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CBF"/>
    <w:rsid w:val="00000077"/>
    <w:rsid w:val="0000663A"/>
    <w:rsid w:val="00006C88"/>
    <w:rsid w:val="00012806"/>
    <w:rsid w:val="000230C9"/>
    <w:rsid w:val="00025C1C"/>
    <w:rsid w:val="00041216"/>
    <w:rsid w:val="00042666"/>
    <w:rsid w:val="00043488"/>
    <w:rsid w:val="000473BA"/>
    <w:rsid w:val="000515E1"/>
    <w:rsid w:val="000525DD"/>
    <w:rsid w:val="000646EC"/>
    <w:rsid w:val="00066287"/>
    <w:rsid w:val="000735CF"/>
    <w:rsid w:val="0007668C"/>
    <w:rsid w:val="00082F0C"/>
    <w:rsid w:val="00084B9A"/>
    <w:rsid w:val="000B31D4"/>
    <w:rsid w:val="000B3A3E"/>
    <w:rsid w:val="000B4C82"/>
    <w:rsid w:val="000C2003"/>
    <w:rsid w:val="000C33A2"/>
    <w:rsid w:val="000F517E"/>
    <w:rsid w:val="001110F7"/>
    <w:rsid w:val="00122661"/>
    <w:rsid w:val="00125C2C"/>
    <w:rsid w:val="00130F84"/>
    <w:rsid w:val="001324ED"/>
    <w:rsid w:val="00166CAA"/>
    <w:rsid w:val="001673A5"/>
    <w:rsid w:val="00171C44"/>
    <w:rsid w:val="00177410"/>
    <w:rsid w:val="0019751B"/>
    <w:rsid w:val="001A1148"/>
    <w:rsid w:val="001A72BE"/>
    <w:rsid w:val="001D2720"/>
    <w:rsid w:val="00200C47"/>
    <w:rsid w:val="00206DD9"/>
    <w:rsid w:val="002148A5"/>
    <w:rsid w:val="0022312B"/>
    <w:rsid w:val="00223E10"/>
    <w:rsid w:val="002259BD"/>
    <w:rsid w:val="0022790F"/>
    <w:rsid w:val="00240219"/>
    <w:rsid w:val="0024397D"/>
    <w:rsid w:val="00273288"/>
    <w:rsid w:val="00282CF6"/>
    <w:rsid w:val="002875BC"/>
    <w:rsid w:val="002A5F4A"/>
    <w:rsid w:val="002A68B1"/>
    <w:rsid w:val="002B5F6E"/>
    <w:rsid w:val="002B7F17"/>
    <w:rsid w:val="002D194D"/>
    <w:rsid w:val="002D2A21"/>
    <w:rsid w:val="002D6C1C"/>
    <w:rsid w:val="002E2BD0"/>
    <w:rsid w:val="002E4A51"/>
    <w:rsid w:val="002E5A9C"/>
    <w:rsid w:val="002E7B45"/>
    <w:rsid w:val="002F5B70"/>
    <w:rsid w:val="00302187"/>
    <w:rsid w:val="00303A08"/>
    <w:rsid w:val="003149AD"/>
    <w:rsid w:val="00322363"/>
    <w:rsid w:val="003228B1"/>
    <w:rsid w:val="00334134"/>
    <w:rsid w:val="003376C4"/>
    <w:rsid w:val="00353E3F"/>
    <w:rsid w:val="00367B12"/>
    <w:rsid w:val="00371860"/>
    <w:rsid w:val="003765EB"/>
    <w:rsid w:val="00386811"/>
    <w:rsid w:val="00397245"/>
    <w:rsid w:val="003A7D0C"/>
    <w:rsid w:val="003B774F"/>
    <w:rsid w:val="003D0821"/>
    <w:rsid w:val="003D48F2"/>
    <w:rsid w:val="003E6E80"/>
    <w:rsid w:val="003F19ED"/>
    <w:rsid w:val="0040418E"/>
    <w:rsid w:val="00424CB7"/>
    <w:rsid w:val="0043472E"/>
    <w:rsid w:val="0044657A"/>
    <w:rsid w:val="00460A8A"/>
    <w:rsid w:val="00481E09"/>
    <w:rsid w:val="00483797"/>
    <w:rsid w:val="00492EE1"/>
    <w:rsid w:val="00496D8E"/>
    <w:rsid w:val="004A28FC"/>
    <w:rsid w:val="004B3F96"/>
    <w:rsid w:val="004B672B"/>
    <w:rsid w:val="004B72CB"/>
    <w:rsid w:val="004C3B53"/>
    <w:rsid w:val="004C53E7"/>
    <w:rsid w:val="004D0133"/>
    <w:rsid w:val="004D575D"/>
    <w:rsid w:val="004E792C"/>
    <w:rsid w:val="0050157E"/>
    <w:rsid w:val="0051388C"/>
    <w:rsid w:val="005146BC"/>
    <w:rsid w:val="005146FE"/>
    <w:rsid w:val="00524C3B"/>
    <w:rsid w:val="00526A7A"/>
    <w:rsid w:val="0055545B"/>
    <w:rsid w:val="00555B4E"/>
    <w:rsid w:val="00555E8D"/>
    <w:rsid w:val="00556379"/>
    <w:rsid w:val="0056084A"/>
    <w:rsid w:val="00571E3B"/>
    <w:rsid w:val="0057221F"/>
    <w:rsid w:val="00591D76"/>
    <w:rsid w:val="00592CBF"/>
    <w:rsid w:val="005966B8"/>
    <w:rsid w:val="005B4DE3"/>
    <w:rsid w:val="005B6826"/>
    <w:rsid w:val="005C1FEB"/>
    <w:rsid w:val="005E56E9"/>
    <w:rsid w:val="006119A1"/>
    <w:rsid w:val="00616592"/>
    <w:rsid w:val="00620A34"/>
    <w:rsid w:val="00624E95"/>
    <w:rsid w:val="006253CA"/>
    <w:rsid w:val="00632E8B"/>
    <w:rsid w:val="00660847"/>
    <w:rsid w:val="0067271D"/>
    <w:rsid w:val="00680AAD"/>
    <w:rsid w:val="00681AD4"/>
    <w:rsid w:val="00681DE8"/>
    <w:rsid w:val="00686408"/>
    <w:rsid w:val="00686C4A"/>
    <w:rsid w:val="00694815"/>
    <w:rsid w:val="00694AD8"/>
    <w:rsid w:val="00696B80"/>
    <w:rsid w:val="006B1A69"/>
    <w:rsid w:val="006C695A"/>
    <w:rsid w:val="006D55FB"/>
    <w:rsid w:val="006D5E70"/>
    <w:rsid w:val="006D7729"/>
    <w:rsid w:val="006E2F36"/>
    <w:rsid w:val="006E448D"/>
    <w:rsid w:val="006F7490"/>
    <w:rsid w:val="00710DF6"/>
    <w:rsid w:val="00714101"/>
    <w:rsid w:val="007149C1"/>
    <w:rsid w:val="007170E5"/>
    <w:rsid w:val="007304F6"/>
    <w:rsid w:val="007332C9"/>
    <w:rsid w:val="00742B35"/>
    <w:rsid w:val="0074305E"/>
    <w:rsid w:val="0074379B"/>
    <w:rsid w:val="00757198"/>
    <w:rsid w:val="00764AA1"/>
    <w:rsid w:val="007700DF"/>
    <w:rsid w:val="0078113D"/>
    <w:rsid w:val="00786A79"/>
    <w:rsid w:val="007879F1"/>
    <w:rsid w:val="00793119"/>
    <w:rsid w:val="00796162"/>
    <w:rsid w:val="007A40A9"/>
    <w:rsid w:val="007B2B9F"/>
    <w:rsid w:val="007B5BBE"/>
    <w:rsid w:val="007C738D"/>
    <w:rsid w:val="007E5762"/>
    <w:rsid w:val="007E6CA6"/>
    <w:rsid w:val="00802168"/>
    <w:rsid w:val="008032EA"/>
    <w:rsid w:val="00815CF8"/>
    <w:rsid w:val="00830796"/>
    <w:rsid w:val="00831011"/>
    <w:rsid w:val="00831ABB"/>
    <w:rsid w:val="00835756"/>
    <w:rsid w:val="008463DE"/>
    <w:rsid w:val="00867D0A"/>
    <w:rsid w:val="00870A8E"/>
    <w:rsid w:val="008743D4"/>
    <w:rsid w:val="00895392"/>
    <w:rsid w:val="008A0DF1"/>
    <w:rsid w:val="008C4ECA"/>
    <w:rsid w:val="008E19AC"/>
    <w:rsid w:val="008E26E1"/>
    <w:rsid w:val="008F72E5"/>
    <w:rsid w:val="00901C82"/>
    <w:rsid w:val="009054D5"/>
    <w:rsid w:val="009129E1"/>
    <w:rsid w:val="0091550C"/>
    <w:rsid w:val="009164A1"/>
    <w:rsid w:val="009338BA"/>
    <w:rsid w:val="00935124"/>
    <w:rsid w:val="0093562C"/>
    <w:rsid w:val="00951847"/>
    <w:rsid w:val="0096571D"/>
    <w:rsid w:val="0096732D"/>
    <w:rsid w:val="00970CC3"/>
    <w:rsid w:val="00971ECD"/>
    <w:rsid w:val="00985F05"/>
    <w:rsid w:val="009918BB"/>
    <w:rsid w:val="00995E5F"/>
    <w:rsid w:val="009A78AC"/>
    <w:rsid w:val="009C2C0A"/>
    <w:rsid w:val="009D2AE4"/>
    <w:rsid w:val="009D3D61"/>
    <w:rsid w:val="009D773F"/>
    <w:rsid w:val="00A00413"/>
    <w:rsid w:val="00A00B5B"/>
    <w:rsid w:val="00A01A9C"/>
    <w:rsid w:val="00A029A1"/>
    <w:rsid w:val="00A10949"/>
    <w:rsid w:val="00A15B10"/>
    <w:rsid w:val="00A16D25"/>
    <w:rsid w:val="00A172CC"/>
    <w:rsid w:val="00A209A6"/>
    <w:rsid w:val="00A31DC0"/>
    <w:rsid w:val="00A536DE"/>
    <w:rsid w:val="00A539CE"/>
    <w:rsid w:val="00A84CEF"/>
    <w:rsid w:val="00A97C8B"/>
    <w:rsid w:val="00AA0113"/>
    <w:rsid w:val="00AB607A"/>
    <w:rsid w:val="00AC2441"/>
    <w:rsid w:val="00AC4DB4"/>
    <w:rsid w:val="00AD2AAF"/>
    <w:rsid w:val="00AD6AB4"/>
    <w:rsid w:val="00AE49D8"/>
    <w:rsid w:val="00B017EF"/>
    <w:rsid w:val="00B07903"/>
    <w:rsid w:val="00B13FBC"/>
    <w:rsid w:val="00B16977"/>
    <w:rsid w:val="00B20C13"/>
    <w:rsid w:val="00B245A2"/>
    <w:rsid w:val="00B25A6F"/>
    <w:rsid w:val="00B3466A"/>
    <w:rsid w:val="00B45CB4"/>
    <w:rsid w:val="00B52594"/>
    <w:rsid w:val="00B57E25"/>
    <w:rsid w:val="00B60508"/>
    <w:rsid w:val="00B6514C"/>
    <w:rsid w:val="00B659E1"/>
    <w:rsid w:val="00B808C4"/>
    <w:rsid w:val="00B8117D"/>
    <w:rsid w:val="00B94C6E"/>
    <w:rsid w:val="00B9762B"/>
    <w:rsid w:val="00BA27C4"/>
    <w:rsid w:val="00BA2F33"/>
    <w:rsid w:val="00BA7023"/>
    <w:rsid w:val="00BA7EDF"/>
    <w:rsid w:val="00BC27FE"/>
    <w:rsid w:val="00BD1284"/>
    <w:rsid w:val="00BD72D6"/>
    <w:rsid w:val="00BE0B56"/>
    <w:rsid w:val="00BF0FC4"/>
    <w:rsid w:val="00BF1124"/>
    <w:rsid w:val="00C22247"/>
    <w:rsid w:val="00C2353D"/>
    <w:rsid w:val="00C36008"/>
    <w:rsid w:val="00C46103"/>
    <w:rsid w:val="00C530AD"/>
    <w:rsid w:val="00C6031D"/>
    <w:rsid w:val="00C65BAF"/>
    <w:rsid w:val="00C65FEF"/>
    <w:rsid w:val="00C662C6"/>
    <w:rsid w:val="00C719A2"/>
    <w:rsid w:val="00C80D60"/>
    <w:rsid w:val="00C860E9"/>
    <w:rsid w:val="00C9490A"/>
    <w:rsid w:val="00CA5A13"/>
    <w:rsid w:val="00CB3C91"/>
    <w:rsid w:val="00CC0F27"/>
    <w:rsid w:val="00CD1892"/>
    <w:rsid w:val="00CE77D8"/>
    <w:rsid w:val="00CF713D"/>
    <w:rsid w:val="00D0113C"/>
    <w:rsid w:val="00D0728E"/>
    <w:rsid w:val="00D0741C"/>
    <w:rsid w:val="00D13036"/>
    <w:rsid w:val="00D17A85"/>
    <w:rsid w:val="00D22E0D"/>
    <w:rsid w:val="00D26132"/>
    <w:rsid w:val="00D27DB0"/>
    <w:rsid w:val="00D40534"/>
    <w:rsid w:val="00D45687"/>
    <w:rsid w:val="00D470A6"/>
    <w:rsid w:val="00D52EE2"/>
    <w:rsid w:val="00D549A1"/>
    <w:rsid w:val="00D54C58"/>
    <w:rsid w:val="00D6406B"/>
    <w:rsid w:val="00DA0FF6"/>
    <w:rsid w:val="00DA1175"/>
    <w:rsid w:val="00DC6ACD"/>
    <w:rsid w:val="00DD091F"/>
    <w:rsid w:val="00DE5D15"/>
    <w:rsid w:val="00DE7E3B"/>
    <w:rsid w:val="00DF2F2E"/>
    <w:rsid w:val="00DF64EF"/>
    <w:rsid w:val="00E02076"/>
    <w:rsid w:val="00E0225D"/>
    <w:rsid w:val="00E07242"/>
    <w:rsid w:val="00E44052"/>
    <w:rsid w:val="00E451EF"/>
    <w:rsid w:val="00E45CAA"/>
    <w:rsid w:val="00E60988"/>
    <w:rsid w:val="00E83499"/>
    <w:rsid w:val="00EA02FE"/>
    <w:rsid w:val="00EA103B"/>
    <w:rsid w:val="00EA4725"/>
    <w:rsid w:val="00EB333A"/>
    <w:rsid w:val="00EB57BD"/>
    <w:rsid w:val="00EC305D"/>
    <w:rsid w:val="00ED487F"/>
    <w:rsid w:val="00EF085C"/>
    <w:rsid w:val="00EF1692"/>
    <w:rsid w:val="00EF5002"/>
    <w:rsid w:val="00F03BB4"/>
    <w:rsid w:val="00F0507D"/>
    <w:rsid w:val="00F12F93"/>
    <w:rsid w:val="00F15071"/>
    <w:rsid w:val="00F27158"/>
    <w:rsid w:val="00F33D8A"/>
    <w:rsid w:val="00F35DB5"/>
    <w:rsid w:val="00F53D0D"/>
    <w:rsid w:val="00F55710"/>
    <w:rsid w:val="00F564D3"/>
    <w:rsid w:val="00F714C5"/>
    <w:rsid w:val="00F71CF1"/>
    <w:rsid w:val="00F91BBB"/>
    <w:rsid w:val="00FA12BA"/>
    <w:rsid w:val="00FA5EB7"/>
    <w:rsid w:val="00FA7D15"/>
    <w:rsid w:val="00FB7014"/>
    <w:rsid w:val="00FB7E34"/>
    <w:rsid w:val="00FD7510"/>
    <w:rsid w:val="00FE19C7"/>
    <w:rsid w:val="00FF6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ACC52"/>
  <w15:docId w15:val="{DAB5C8A9-F788-4348-8249-24A156319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C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C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C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C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C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C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C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C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C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C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C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C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C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C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C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C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C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CBF"/>
    <w:rPr>
      <w:rFonts w:eastAsiaTheme="majorEastAsia" w:cstheme="majorBidi"/>
      <w:color w:val="272727" w:themeColor="text1" w:themeTint="D8"/>
    </w:rPr>
  </w:style>
  <w:style w:type="paragraph" w:styleId="Title">
    <w:name w:val="Title"/>
    <w:basedOn w:val="Normal"/>
    <w:next w:val="Normal"/>
    <w:link w:val="TitleChar"/>
    <w:uiPriority w:val="10"/>
    <w:qFormat/>
    <w:rsid w:val="00592C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C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C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C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CBF"/>
    <w:pPr>
      <w:spacing w:before="160"/>
      <w:jc w:val="center"/>
    </w:pPr>
    <w:rPr>
      <w:i/>
      <w:iCs/>
      <w:color w:val="404040" w:themeColor="text1" w:themeTint="BF"/>
    </w:rPr>
  </w:style>
  <w:style w:type="character" w:customStyle="1" w:styleId="QuoteChar">
    <w:name w:val="Quote Char"/>
    <w:basedOn w:val="DefaultParagraphFont"/>
    <w:link w:val="Quote"/>
    <w:uiPriority w:val="29"/>
    <w:rsid w:val="00592CBF"/>
    <w:rPr>
      <w:i/>
      <w:iCs/>
      <w:color w:val="404040" w:themeColor="text1" w:themeTint="BF"/>
    </w:rPr>
  </w:style>
  <w:style w:type="paragraph" w:styleId="ListParagraph">
    <w:name w:val="List Paragraph"/>
    <w:basedOn w:val="Normal"/>
    <w:uiPriority w:val="34"/>
    <w:qFormat/>
    <w:rsid w:val="00592CBF"/>
    <w:pPr>
      <w:ind w:left="720"/>
      <w:contextualSpacing/>
    </w:pPr>
  </w:style>
  <w:style w:type="character" w:styleId="IntenseEmphasis">
    <w:name w:val="Intense Emphasis"/>
    <w:basedOn w:val="DefaultParagraphFont"/>
    <w:uiPriority w:val="21"/>
    <w:qFormat/>
    <w:rsid w:val="00592CBF"/>
    <w:rPr>
      <w:i/>
      <w:iCs/>
      <w:color w:val="0F4761" w:themeColor="accent1" w:themeShade="BF"/>
    </w:rPr>
  </w:style>
  <w:style w:type="paragraph" w:styleId="IntenseQuote">
    <w:name w:val="Intense Quote"/>
    <w:basedOn w:val="Normal"/>
    <w:next w:val="Normal"/>
    <w:link w:val="IntenseQuoteChar"/>
    <w:uiPriority w:val="30"/>
    <w:qFormat/>
    <w:rsid w:val="00592C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CBF"/>
    <w:rPr>
      <w:i/>
      <w:iCs/>
      <w:color w:val="0F4761" w:themeColor="accent1" w:themeShade="BF"/>
    </w:rPr>
  </w:style>
  <w:style w:type="character" w:styleId="IntenseReference">
    <w:name w:val="Intense Reference"/>
    <w:basedOn w:val="DefaultParagraphFont"/>
    <w:uiPriority w:val="32"/>
    <w:qFormat/>
    <w:rsid w:val="00592CBF"/>
    <w:rPr>
      <w:b/>
      <w:bCs/>
      <w:smallCaps/>
      <w:color w:val="0F4761" w:themeColor="accent1" w:themeShade="BF"/>
      <w:spacing w:val="5"/>
    </w:rPr>
  </w:style>
  <w:style w:type="paragraph" w:styleId="Header">
    <w:name w:val="header"/>
    <w:basedOn w:val="Normal"/>
    <w:link w:val="HeaderChar"/>
    <w:uiPriority w:val="99"/>
    <w:unhideWhenUsed/>
    <w:rsid w:val="00066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287"/>
  </w:style>
  <w:style w:type="paragraph" w:styleId="Footer">
    <w:name w:val="footer"/>
    <w:basedOn w:val="Normal"/>
    <w:link w:val="FooterChar"/>
    <w:uiPriority w:val="99"/>
    <w:unhideWhenUsed/>
    <w:rsid w:val="00066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287"/>
  </w:style>
  <w:style w:type="paragraph" w:styleId="TOCHeading">
    <w:name w:val="TOC Heading"/>
    <w:basedOn w:val="Heading1"/>
    <w:next w:val="Normal"/>
    <w:uiPriority w:val="39"/>
    <w:unhideWhenUsed/>
    <w:qFormat/>
    <w:rsid w:val="002D2A21"/>
    <w:pPr>
      <w:spacing w:before="240" w:after="0"/>
      <w:outlineLvl w:val="9"/>
    </w:pPr>
    <w:rPr>
      <w:sz w:val="32"/>
      <w:szCs w:val="32"/>
      <w:lang w:val="en-US"/>
    </w:rPr>
  </w:style>
  <w:style w:type="paragraph" w:styleId="TOC2">
    <w:name w:val="toc 2"/>
    <w:basedOn w:val="Normal"/>
    <w:next w:val="Normal"/>
    <w:autoRedefine/>
    <w:uiPriority w:val="39"/>
    <w:unhideWhenUsed/>
    <w:rsid w:val="002D2A2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D2A21"/>
    <w:pPr>
      <w:spacing w:after="100"/>
    </w:pPr>
    <w:rPr>
      <w:rFonts w:eastAsiaTheme="minorEastAsia" w:cs="Times New Roman"/>
      <w:lang w:val="en-US"/>
    </w:rPr>
  </w:style>
  <w:style w:type="paragraph" w:styleId="TOC3">
    <w:name w:val="toc 3"/>
    <w:basedOn w:val="Normal"/>
    <w:next w:val="Normal"/>
    <w:autoRedefine/>
    <w:uiPriority w:val="39"/>
    <w:unhideWhenUsed/>
    <w:rsid w:val="002D2A21"/>
    <w:pPr>
      <w:spacing w:after="100"/>
      <w:ind w:left="440"/>
    </w:pPr>
    <w:rPr>
      <w:rFonts w:eastAsiaTheme="minorEastAsia" w:cs="Times New Roman"/>
      <w:lang w:val="en-US"/>
    </w:rPr>
  </w:style>
  <w:style w:type="character" w:customStyle="1" w:styleId="apple-converted-space">
    <w:name w:val="apple-converted-space"/>
    <w:basedOn w:val="DefaultParagraphFont"/>
    <w:rsid w:val="00C2353D"/>
  </w:style>
  <w:style w:type="character" w:styleId="Hyperlink">
    <w:name w:val="Hyperlink"/>
    <w:basedOn w:val="DefaultParagraphFont"/>
    <w:uiPriority w:val="99"/>
    <w:unhideWhenUsed/>
    <w:rsid w:val="00C2353D"/>
    <w:rPr>
      <w:color w:val="467886" w:themeColor="hyperlink"/>
      <w:u w:val="single"/>
    </w:rPr>
  </w:style>
  <w:style w:type="character" w:styleId="UnresolvedMention">
    <w:name w:val="Unresolved Mention"/>
    <w:basedOn w:val="DefaultParagraphFont"/>
    <w:uiPriority w:val="99"/>
    <w:semiHidden/>
    <w:unhideWhenUsed/>
    <w:rsid w:val="0022790F"/>
    <w:rPr>
      <w:color w:val="605E5C"/>
      <w:shd w:val="clear" w:color="auto" w:fill="E1DFDD"/>
    </w:rPr>
  </w:style>
  <w:style w:type="character" w:customStyle="1" w:styleId="s1">
    <w:name w:val="s1"/>
    <w:basedOn w:val="DefaultParagraphFont"/>
    <w:rsid w:val="00786A79"/>
    <w:rPr>
      <w:rFonts w:ascii="Helvetica" w:hAnsi="Helvetica" w:hint="default"/>
      <w:b w:val="0"/>
      <w:bCs w:val="0"/>
      <w:i w:val="0"/>
      <w:iCs w:val="0"/>
      <w:sz w:val="18"/>
      <w:szCs w:val="18"/>
    </w:rPr>
  </w:style>
  <w:style w:type="paragraph" w:customStyle="1" w:styleId="p1">
    <w:name w:val="p1"/>
    <w:basedOn w:val="Normal"/>
    <w:rsid w:val="00786A79"/>
    <w:pPr>
      <w:spacing w:after="0" w:line="240" w:lineRule="auto"/>
    </w:pPr>
    <w:rPr>
      <w:rFonts w:ascii="Helvetica" w:eastAsiaTheme="minorEastAsia" w:hAnsi="Helvetica" w:cs="Times New Roman"/>
      <w:sz w:val="18"/>
      <w:szCs w:val="18"/>
      <w:lang w:eastAsia="en-GB"/>
    </w:rPr>
  </w:style>
  <w:style w:type="character" w:styleId="Emphasis">
    <w:name w:val="Emphasis"/>
    <w:basedOn w:val="DefaultParagraphFont"/>
    <w:uiPriority w:val="20"/>
    <w:qFormat/>
    <w:rsid w:val="00786A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23851">
      <w:bodyDiv w:val="1"/>
      <w:marLeft w:val="0"/>
      <w:marRight w:val="0"/>
      <w:marTop w:val="0"/>
      <w:marBottom w:val="0"/>
      <w:divBdr>
        <w:top w:val="none" w:sz="0" w:space="0" w:color="auto"/>
        <w:left w:val="none" w:sz="0" w:space="0" w:color="auto"/>
        <w:bottom w:val="none" w:sz="0" w:space="0" w:color="auto"/>
        <w:right w:val="none" w:sz="0" w:space="0" w:color="auto"/>
      </w:divBdr>
      <w:divsChild>
        <w:div w:id="748162779">
          <w:marLeft w:val="0"/>
          <w:marRight w:val="0"/>
          <w:marTop w:val="0"/>
          <w:marBottom w:val="0"/>
          <w:divBdr>
            <w:top w:val="none" w:sz="0" w:space="0" w:color="auto"/>
            <w:left w:val="none" w:sz="0" w:space="0" w:color="auto"/>
            <w:bottom w:val="none" w:sz="0" w:space="0" w:color="auto"/>
            <w:right w:val="none" w:sz="0" w:space="0" w:color="auto"/>
          </w:divBdr>
          <w:divsChild>
            <w:div w:id="494220970">
              <w:marLeft w:val="0"/>
              <w:marRight w:val="0"/>
              <w:marTop w:val="0"/>
              <w:marBottom w:val="0"/>
              <w:divBdr>
                <w:top w:val="none" w:sz="0" w:space="0" w:color="auto"/>
                <w:left w:val="none" w:sz="0" w:space="0" w:color="auto"/>
                <w:bottom w:val="none" w:sz="0" w:space="0" w:color="auto"/>
                <w:right w:val="none" w:sz="0" w:space="0" w:color="auto"/>
              </w:divBdr>
              <w:divsChild>
                <w:div w:id="1297680826">
                  <w:marLeft w:val="0"/>
                  <w:marRight w:val="0"/>
                  <w:marTop w:val="0"/>
                  <w:marBottom w:val="0"/>
                  <w:divBdr>
                    <w:top w:val="none" w:sz="0" w:space="0" w:color="auto"/>
                    <w:left w:val="none" w:sz="0" w:space="0" w:color="auto"/>
                    <w:bottom w:val="none" w:sz="0" w:space="0" w:color="auto"/>
                    <w:right w:val="none" w:sz="0" w:space="0" w:color="auto"/>
                  </w:divBdr>
                  <w:divsChild>
                    <w:div w:id="900284659">
                      <w:marLeft w:val="0"/>
                      <w:marRight w:val="0"/>
                      <w:marTop w:val="0"/>
                      <w:marBottom w:val="0"/>
                      <w:divBdr>
                        <w:top w:val="none" w:sz="0" w:space="0" w:color="auto"/>
                        <w:left w:val="none" w:sz="0" w:space="0" w:color="auto"/>
                        <w:bottom w:val="none" w:sz="0" w:space="0" w:color="auto"/>
                        <w:right w:val="none" w:sz="0" w:space="0" w:color="auto"/>
                      </w:divBdr>
                      <w:divsChild>
                        <w:div w:id="1662538472">
                          <w:marLeft w:val="0"/>
                          <w:marRight w:val="0"/>
                          <w:marTop w:val="100"/>
                          <w:marBottom w:val="100"/>
                          <w:divBdr>
                            <w:top w:val="none" w:sz="0" w:space="0" w:color="auto"/>
                            <w:left w:val="none" w:sz="0" w:space="0" w:color="auto"/>
                            <w:bottom w:val="none" w:sz="0" w:space="0" w:color="auto"/>
                            <w:right w:val="none" w:sz="0" w:space="0" w:color="auto"/>
                          </w:divBdr>
                          <w:divsChild>
                            <w:div w:id="66906843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1362703771">
          <w:marLeft w:val="0"/>
          <w:marRight w:val="0"/>
          <w:marTop w:val="0"/>
          <w:marBottom w:val="0"/>
          <w:divBdr>
            <w:top w:val="none" w:sz="0" w:space="0" w:color="auto"/>
            <w:left w:val="none" w:sz="0" w:space="0" w:color="auto"/>
            <w:bottom w:val="none" w:sz="0" w:space="0" w:color="auto"/>
            <w:right w:val="none" w:sz="0" w:space="0" w:color="auto"/>
          </w:divBdr>
          <w:divsChild>
            <w:div w:id="1539123068">
              <w:marLeft w:val="0"/>
              <w:marRight w:val="0"/>
              <w:marTop w:val="0"/>
              <w:marBottom w:val="0"/>
              <w:divBdr>
                <w:top w:val="none" w:sz="0" w:space="0" w:color="auto"/>
                <w:left w:val="none" w:sz="0" w:space="0" w:color="auto"/>
                <w:bottom w:val="none" w:sz="0" w:space="0" w:color="auto"/>
                <w:right w:val="none" w:sz="0" w:space="0" w:color="auto"/>
              </w:divBdr>
              <w:divsChild>
                <w:div w:id="1741513507">
                  <w:marLeft w:val="0"/>
                  <w:marRight w:val="0"/>
                  <w:marTop w:val="0"/>
                  <w:marBottom w:val="0"/>
                  <w:divBdr>
                    <w:top w:val="none" w:sz="0" w:space="0" w:color="auto"/>
                    <w:left w:val="none" w:sz="0" w:space="0" w:color="auto"/>
                    <w:bottom w:val="none" w:sz="0" w:space="0" w:color="auto"/>
                    <w:right w:val="none" w:sz="0" w:space="0" w:color="auto"/>
                  </w:divBdr>
                  <w:divsChild>
                    <w:div w:id="1408186441">
                      <w:marLeft w:val="0"/>
                      <w:marRight w:val="0"/>
                      <w:marTop w:val="0"/>
                      <w:marBottom w:val="0"/>
                      <w:divBdr>
                        <w:top w:val="none" w:sz="0" w:space="0" w:color="auto"/>
                        <w:left w:val="none" w:sz="0" w:space="0" w:color="auto"/>
                        <w:bottom w:val="none" w:sz="0" w:space="0" w:color="auto"/>
                        <w:right w:val="none" w:sz="0" w:space="0" w:color="auto"/>
                      </w:divBdr>
                      <w:divsChild>
                        <w:div w:id="976377170">
                          <w:marLeft w:val="0"/>
                          <w:marRight w:val="0"/>
                          <w:marTop w:val="0"/>
                          <w:marBottom w:val="0"/>
                          <w:divBdr>
                            <w:top w:val="none" w:sz="0" w:space="0" w:color="auto"/>
                            <w:left w:val="none" w:sz="0" w:space="0" w:color="auto"/>
                            <w:bottom w:val="none" w:sz="0" w:space="0" w:color="auto"/>
                            <w:right w:val="none" w:sz="0" w:space="0" w:color="auto"/>
                          </w:divBdr>
                          <w:divsChild>
                            <w:div w:id="177964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696015">
                      <w:marLeft w:val="0"/>
                      <w:marRight w:val="0"/>
                      <w:marTop w:val="0"/>
                      <w:marBottom w:val="0"/>
                      <w:divBdr>
                        <w:top w:val="none" w:sz="0" w:space="0" w:color="auto"/>
                        <w:left w:val="none" w:sz="0" w:space="0" w:color="auto"/>
                        <w:bottom w:val="none" w:sz="0" w:space="0" w:color="auto"/>
                        <w:right w:val="none" w:sz="0" w:space="0" w:color="auto"/>
                      </w:divBdr>
                      <w:divsChild>
                        <w:div w:id="1624649715">
                          <w:marLeft w:val="0"/>
                          <w:marRight w:val="0"/>
                          <w:marTop w:val="0"/>
                          <w:marBottom w:val="0"/>
                          <w:divBdr>
                            <w:top w:val="none" w:sz="0" w:space="0" w:color="auto"/>
                            <w:left w:val="none" w:sz="0" w:space="0" w:color="auto"/>
                            <w:bottom w:val="none" w:sz="0" w:space="0" w:color="auto"/>
                            <w:right w:val="none" w:sz="0" w:space="0" w:color="auto"/>
                          </w:divBdr>
                          <w:divsChild>
                            <w:div w:id="1208108246">
                              <w:marLeft w:val="0"/>
                              <w:marRight w:val="0"/>
                              <w:marTop w:val="0"/>
                              <w:marBottom w:val="0"/>
                              <w:divBdr>
                                <w:top w:val="none" w:sz="0" w:space="0" w:color="auto"/>
                                <w:left w:val="none" w:sz="0" w:space="0" w:color="auto"/>
                                <w:bottom w:val="none" w:sz="0" w:space="0" w:color="auto"/>
                                <w:right w:val="none" w:sz="0" w:space="0" w:color="auto"/>
                              </w:divBdr>
                              <w:divsChild>
                                <w:div w:id="142240263">
                                  <w:marLeft w:val="0"/>
                                  <w:marRight w:val="0"/>
                                  <w:marTop w:val="0"/>
                                  <w:marBottom w:val="0"/>
                                  <w:divBdr>
                                    <w:top w:val="none" w:sz="0" w:space="0" w:color="auto"/>
                                    <w:left w:val="none" w:sz="0" w:space="0" w:color="auto"/>
                                    <w:bottom w:val="none" w:sz="0" w:space="0" w:color="auto"/>
                                    <w:right w:val="none" w:sz="0" w:space="0" w:color="auto"/>
                                  </w:divBdr>
                                  <w:divsChild>
                                    <w:div w:id="815536320">
                                      <w:marLeft w:val="0"/>
                                      <w:marRight w:val="0"/>
                                      <w:marTop w:val="0"/>
                                      <w:marBottom w:val="0"/>
                                      <w:divBdr>
                                        <w:top w:val="none" w:sz="0" w:space="0" w:color="auto"/>
                                        <w:left w:val="none" w:sz="0" w:space="0" w:color="auto"/>
                                        <w:bottom w:val="none" w:sz="0" w:space="0" w:color="auto"/>
                                        <w:right w:val="none" w:sz="0" w:space="0" w:color="auto"/>
                                      </w:divBdr>
                                      <w:divsChild>
                                        <w:div w:id="975060354">
                                          <w:marLeft w:val="0"/>
                                          <w:marRight w:val="0"/>
                                          <w:marTop w:val="0"/>
                                          <w:marBottom w:val="0"/>
                                          <w:divBdr>
                                            <w:top w:val="none" w:sz="0" w:space="0" w:color="auto"/>
                                            <w:left w:val="none" w:sz="0" w:space="0" w:color="auto"/>
                                            <w:bottom w:val="none" w:sz="0" w:space="0" w:color="auto"/>
                                            <w:right w:val="none" w:sz="0" w:space="0" w:color="auto"/>
                                          </w:divBdr>
                                          <w:divsChild>
                                            <w:div w:id="1369720161">
                                              <w:marLeft w:val="0"/>
                                              <w:marRight w:val="0"/>
                                              <w:marTop w:val="0"/>
                                              <w:marBottom w:val="0"/>
                                              <w:divBdr>
                                                <w:top w:val="none" w:sz="0" w:space="0" w:color="auto"/>
                                                <w:left w:val="none" w:sz="0" w:space="0" w:color="auto"/>
                                                <w:bottom w:val="none" w:sz="0" w:space="0" w:color="auto"/>
                                                <w:right w:val="none" w:sz="0" w:space="0" w:color="auto"/>
                                              </w:divBdr>
                                              <w:divsChild>
                                                <w:div w:id="1273588756">
                                                  <w:marLeft w:val="0"/>
                                                  <w:marRight w:val="0"/>
                                                  <w:marTop w:val="0"/>
                                                  <w:marBottom w:val="0"/>
                                                  <w:divBdr>
                                                    <w:top w:val="single" w:sz="24" w:space="6" w:color="auto"/>
                                                    <w:left w:val="single" w:sz="24" w:space="9" w:color="auto"/>
                                                    <w:bottom w:val="single" w:sz="24" w:space="6" w:color="auto"/>
                                                    <w:right w:val="single" w:sz="24" w:space="9" w:color="auto"/>
                                                  </w:divBdr>
                                                  <w:divsChild>
                                                    <w:div w:id="145398570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5432325">
      <w:bodyDiv w:val="1"/>
      <w:marLeft w:val="0"/>
      <w:marRight w:val="0"/>
      <w:marTop w:val="0"/>
      <w:marBottom w:val="0"/>
      <w:divBdr>
        <w:top w:val="none" w:sz="0" w:space="0" w:color="auto"/>
        <w:left w:val="none" w:sz="0" w:space="0" w:color="auto"/>
        <w:bottom w:val="none" w:sz="0" w:space="0" w:color="auto"/>
        <w:right w:val="none" w:sz="0" w:space="0" w:color="auto"/>
      </w:divBdr>
      <w:divsChild>
        <w:div w:id="1283153151">
          <w:marLeft w:val="0"/>
          <w:marRight w:val="0"/>
          <w:marTop w:val="0"/>
          <w:marBottom w:val="0"/>
          <w:divBdr>
            <w:top w:val="none" w:sz="0" w:space="0" w:color="auto"/>
            <w:left w:val="none" w:sz="0" w:space="0" w:color="auto"/>
            <w:bottom w:val="none" w:sz="0" w:space="0" w:color="auto"/>
            <w:right w:val="none" w:sz="0" w:space="0" w:color="auto"/>
          </w:divBdr>
          <w:divsChild>
            <w:div w:id="885993457">
              <w:marLeft w:val="0"/>
              <w:marRight w:val="0"/>
              <w:marTop w:val="0"/>
              <w:marBottom w:val="0"/>
              <w:divBdr>
                <w:top w:val="none" w:sz="0" w:space="0" w:color="auto"/>
                <w:left w:val="none" w:sz="0" w:space="0" w:color="auto"/>
                <w:bottom w:val="none" w:sz="0" w:space="0" w:color="auto"/>
                <w:right w:val="none" w:sz="0" w:space="0" w:color="auto"/>
              </w:divBdr>
              <w:divsChild>
                <w:div w:id="2077243053">
                  <w:marLeft w:val="0"/>
                  <w:marRight w:val="0"/>
                  <w:marTop w:val="0"/>
                  <w:marBottom w:val="0"/>
                  <w:divBdr>
                    <w:top w:val="none" w:sz="0" w:space="0" w:color="auto"/>
                    <w:left w:val="none" w:sz="0" w:space="0" w:color="auto"/>
                    <w:bottom w:val="none" w:sz="0" w:space="0" w:color="auto"/>
                    <w:right w:val="none" w:sz="0" w:space="0" w:color="auto"/>
                  </w:divBdr>
                  <w:divsChild>
                    <w:div w:id="2114201983">
                      <w:marLeft w:val="0"/>
                      <w:marRight w:val="0"/>
                      <w:marTop w:val="0"/>
                      <w:marBottom w:val="0"/>
                      <w:divBdr>
                        <w:top w:val="none" w:sz="0" w:space="0" w:color="auto"/>
                        <w:left w:val="none" w:sz="0" w:space="0" w:color="auto"/>
                        <w:bottom w:val="none" w:sz="0" w:space="0" w:color="auto"/>
                        <w:right w:val="none" w:sz="0" w:space="0" w:color="auto"/>
                      </w:divBdr>
                      <w:divsChild>
                        <w:div w:id="1513572410">
                          <w:marLeft w:val="0"/>
                          <w:marRight w:val="0"/>
                          <w:marTop w:val="0"/>
                          <w:marBottom w:val="0"/>
                          <w:divBdr>
                            <w:top w:val="none" w:sz="0" w:space="0" w:color="auto"/>
                            <w:left w:val="none" w:sz="0" w:space="0" w:color="auto"/>
                            <w:bottom w:val="none" w:sz="0" w:space="0" w:color="auto"/>
                            <w:right w:val="none" w:sz="0" w:space="0" w:color="auto"/>
                          </w:divBdr>
                          <w:divsChild>
                            <w:div w:id="1447507934">
                              <w:marLeft w:val="0"/>
                              <w:marRight w:val="0"/>
                              <w:marTop w:val="0"/>
                              <w:marBottom w:val="0"/>
                              <w:divBdr>
                                <w:top w:val="single" w:sz="24" w:space="6" w:color="auto"/>
                                <w:left w:val="single" w:sz="24" w:space="9" w:color="auto"/>
                                <w:bottom w:val="single" w:sz="24" w:space="6" w:color="auto"/>
                                <w:right w:val="single" w:sz="24" w:space="9" w:color="auto"/>
                              </w:divBdr>
                              <w:divsChild>
                                <w:div w:id="106634252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799676">
      <w:bodyDiv w:val="1"/>
      <w:marLeft w:val="0"/>
      <w:marRight w:val="0"/>
      <w:marTop w:val="0"/>
      <w:marBottom w:val="0"/>
      <w:divBdr>
        <w:top w:val="none" w:sz="0" w:space="0" w:color="auto"/>
        <w:left w:val="none" w:sz="0" w:space="0" w:color="auto"/>
        <w:bottom w:val="none" w:sz="0" w:space="0" w:color="auto"/>
        <w:right w:val="none" w:sz="0" w:space="0" w:color="auto"/>
      </w:divBdr>
      <w:divsChild>
        <w:div w:id="1232471701">
          <w:marLeft w:val="0"/>
          <w:marRight w:val="0"/>
          <w:marTop w:val="0"/>
          <w:marBottom w:val="0"/>
          <w:divBdr>
            <w:top w:val="none" w:sz="0" w:space="0" w:color="auto"/>
            <w:left w:val="none" w:sz="0" w:space="0" w:color="auto"/>
            <w:bottom w:val="none" w:sz="0" w:space="0" w:color="auto"/>
            <w:right w:val="none" w:sz="0" w:space="0" w:color="auto"/>
          </w:divBdr>
          <w:divsChild>
            <w:div w:id="642929582">
              <w:marLeft w:val="0"/>
              <w:marRight w:val="0"/>
              <w:marTop w:val="0"/>
              <w:marBottom w:val="0"/>
              <w:divBdr>
                <w:top w:val="none" w:sz="0" w:space="0" w:color="auto"/>
                <w:left w:val="none" w:sz="0" w:space="0" w:color="auto"/>
                <w:bottom w:val="none" w:sz="0" w:space="0" w:color="auto"/>
                <w:right w:val="none" w:sz="0" w:space="0" w:color="auto"/>
              </w:divBdr>
              <w:divsChild>
                <w:div w:id="712660242">
                  <w:marLeft w:val="0"/>
                  <w:marRight w:val="0"/>
                  <w:marTop w:val="0"/>
                  <w:marBottom w:val="0"/>
                  <w:divBdr>
                    <w:top w:val="none" w:sz="0" w:space="0" w:color="auto"/>
                    <w:left w:val="none" w:sz="0" w:space="0" w:color="auto"/>
                    <w:bottom w:val="none" w:sz="0" w:space="0" w:color="auto"/>
                    <w:right w:val="none" w:sz="0" w:space="0" w:color="auto"/>
                  </w:divBdr>
                  <w:divsChild>
                    <w:div w:id="1201088476">
                      <w:marLeft w:val="0"/>
                      <w:marRight w:val="0"/>
                      <w:marTop w:val="0"/>
                      <w:marBottom w:val="0"/>
                      <w:divBdr>
                        <w:top w:val="none" w:sz="0" w:space="0" w:color="auto"/>
                        <w:left w:val="none" w:sz="0" w:space="0" w:color="auto"/>
                        <w:bottom w:val="none" w:sz="0" w:space="0" w:color="auto"/>
                        <w:right w:val="none" w:sz="0" w:space="0" w:color="auto"/>
                      </w:divBdr>
                      <w:divsChild>
                        <w:div w:id="403720596">
                          <w:marLeft w:val="0"/>
                          <w:marRight w:val="0"/>
                          <w:marTop w:val="0"/>
                          <w:marBottom w:val="0"/>
                          <w:divBdr>
                            <w:top w:val="none" w:sz="0" w:space="0" w:color="auto"/>
                            <w:left w:val="none" w:sz="0" w:space="0" w:color="auto"/>
                            <w:bottom w:val="none" w:sz="0" w:space="0" w:color="auto"/>
                            <w:right w:val="none" w:sz="0" w:space="0" w:color="auto"/>
                          </w:divBdr>
                          <w:divsChild>
                            <w:div w:id="2146004954">
                              <w:marLeft w:val="0"/>
                              <w:marRight w:val="0"/>
                              <w:marTop w:val="0"/>
                              <w:marBottom w:val="0"/>
                              <w:divBdr>
                                <w:top w:val="single" w:sz="24" w:space="6" w:color="auto"/>
                                <w:left w:val="single" w:sz="24" w:space="9" w:color="auto"/>
                                <w:bottom w:val="single" w:sz="24" w:space="6" w:color="auto"/>
                                <w:right w:val="single" w:sz="24" w:space="9" w:color="auto"/>
                              </w:divBdr>
                              <w:divsChild>
                                <w:div w:id="99372426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202624">
      <w:bodyDiv w:val="1"/>
      <w:marLeft w:val="0"/>
      <w:marRight w:val="0"/>
      <w:marTop w:val="0"/>
      <w:marBottom w:val="0"/>
      <w:divBdr>
        <w:top w:val="none" w:sz="0" w:space="0" w:color="auto"/>
        <w:left w:val="none" w:sz="0" w:space="0" w:color="auto"/>
        <w:bottom w:val="none" w:sz="0" w:space="0" w:color="auto"/>
        <w:right w:val="none" w:sz="0" w:space="0" w:color="auto"/>
      </w:divBdr>
      <w:divsChild>
        <w:div w:id="414985468">
          <w:marLeft w:val="0"/>
          <w:marRight w:val="0"/>
          <w:marTop w:val="0"/>
          <w:marBottom w:val="0"/>
          <w:divBdr>
            <w:top w:val="none" w:sz="0" w:space="0" w:color="auto"/>
            <w:left w:val="none" w:sz="0" w:space="0" w:color="auto"/>
            <w:bottom w:val="none" w:sz="0" w:space="0" w:color="auto"/>
            <w:right w:val="none" w:sz="0" w:space="0" w:color="auto"/>
          </w:divBdr>
          <w:divsChild>
            <w:div w:id="1579746562">
              <w:marLeft w:val="0"/>
              <w:marRight w:val="0"/>
              <w:marTop w:val="0"/>
              <w:marBottom w:val="0"/>
              <w:divBdr>
                <w:top w:val="none" w:sz="0" w:space="0" w:color="auto"/>
                <w:left w:val="none" w:sz="0" w:space="0" w:color="auto"/>
                <w:bottom w:val="none" w:sz="0" w:space="0" w:color="auto"/>
                <w:right w:val="none" w:sz="0" w:space="0" w:color="auto"/>
              </w:divBdr>
              <w:divsChild>
                <w:div w:id="865750778">
                  <w:marLeft w:val="0"/>
                  <w:marRight w:val="0"/>
                  <w:marTop w:val="0"/>
                  <w:marBottom w:val="0"/>
                  <w:divBdr>
                    <w:top w:val="none" w:sz="0" w:space="0" w:color="auto"/>
                    <w:left w:val="none" w:sz="0" w:space="0" w:color="auto"/>
                    <w:bottom w:val="none" w:sz="0" w:space="0" w:color="auto"/>
                    <w:right w:val="none" w:sz="0" w:space="0" w:color="auto"/>
                  </w:divBdr>
                  <w:divsChild>
                    <w:div w:id="93941085">
                      <w:marLeft w:val="0"/>
                      <w:marRight w:val="0"/>
                      <w:marTop w:val="0"/>
                      <w:marBottom w:val="0"/>
                      <w:divBdr>
                        <w:top w:val="none" w:sz="0" w:space="0" w:color="auto"/>
                        <w:left w:val="none" w:sz="0" w:space="0" w:color="auto"/>
                        <w:bottom w:val="none" w:sz="0" w:space="0" w:color="auto"/>
                        <w:right w:val="none" w:sz="0" w:space="0" w:color="auto"/>
                      </w:divBdr>
                      <w:divsChild>
                        <w:div w:id="60370537">
                          <w:marLeft w:val="0"/>
                          <w:marRight w:val="0"/>
                          <w:marTop w:val="0"/>
                          <w:marBottom w:val="0"/>
                          <w:divBdr>
                            <w:top w:val="none" w:sz="0" w:space="0" w:color="auto"/>
                            <w:left w:val="none" w:sz="0" w:space="0" w:color="auto"/>
                            <w:bottom w:val="none" w:sz="0" w:space="0" w:color="auto"/>
                            <w:right w:val="none" w:sz="0" w:space="0" w:color="auto"/>
                          </w:divBdr>
                          <w:divsChild>
                            <w:div w:id="253443543">
                              <w:marLeft w:val="0"/>
                              <w:marRight w:val="0"/>
                              <w:marTop w:val="0"/>
                              <w:marBottom w:val="0"/>
                              <w:divBdr>
                                <w:top w:val="single" w:sz="24" w:space="6" w:color="auto"/>
                                <w:left w:val="single" w:sz="24" w:space="9" w:color="auto"/>
                                <w:bottom w:val="single" w:sz="24" w:space="6" w:color="auto"/>
                                <w:right w:val="single" w:sz="24" w:space="9" w:color="auto"/>
                              </w:divBdr>
                              <w:divsChild>
                                <w:div w:id="210340541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6011087">
      <w:bodyDiv w:val="1"/>
      <w:marLeft w:val="0"/>
      <w:marRight w:val="0"/>
      <w:marTop w:val="0"/>
      <w:marBottom w:val="0"/>
      <w:divBdr>
        <w:top w:val="none" w:sz="0" w:space="0" w:color="auto"/>
        <w:left w:val="none" w:sz="0" w:space="0" w:color="auto"/>
        <w:bottom w:val="none" w:sz="0" w:space="0" w:color="auto"/>
        <w:right w:val="none" w:sz="0" w:space="0" w:color="auto"/>
      </w:divBdr>
      <w:divsChild>
        <w:div w:id="1279067423">
          <w:marLeft w:val="0"/>
          <w:marRight w:val="0"/>
          <w:marTop w:val="0"/>
          <w:marBottom w:val="0"/>
          <w:divBdr>
            <w:top w:val="none" w:sz="0" w:space="0" w:color="auto"/>
            <w:left w:val="none" w:sz="0" w:space="0" w:color="auto"/>
            <w:bottom w:val="none" w:sz="0" w:space="0" w:color="auto"/>
            <w:right w:val="none" w:sz="0" w:space="0" w:color="auto"/>
          </w:divBdr>
          <w:divsChild>
            <w:div w:id="209804009">
              <w:marLeft w:val="0"/>
              <w:marRight w:val="0"/>
              <w:marTop w:val="0"/>
              <w:marBottom w:val="0"/>
              <w:divBdr>
                <w:top w:val="none" w:sz="0" w:space="0" w:color="auto"/>
                <w:left w:val="none" w:sz="0" w:space="0" w:color="auto"/>
                <w:bottom w:val="none" w:sz="0" w:space="0" w:color="auto"/>
                <w:right w:val="none" w:sz="0" w:space="0" w:color="auto"/>
              </w:divBdr>
              <w:divsChild>
                <w:div w:id="925768840">
                  <w:marLeft w:val="0"/>
                  <w:marRight w:val="0"/>
                  <w:marTop w:val="0"/>
                  <w:marBottom w:val="0"/>
                  <w:divBdr>
                    <w:top w:val="none" w:sz="0" w:space="0" w:color="auto"/>
                    <w:left w:val="none" w:sz="0" w:space="0" w:color="auto"/>
                    <w:bottom w:val="none" w:sz="0" w:space="0" w:color="auto"/>
                    <w:right w:val="none" w:sz="0" w:space="0" w:color="auto"/>
                  </w:divBdr>
                  <w:divsChild>
                    <w:div w:id="1651472727">
                      <w:marLeft w:val="0"/>
                      <w:marRight w:val="0"/>
                      <w:marTop w:val="0"/>
                      <w:marBottom w:val="0"/>
                      <w:divBdr>
                        <w:top w:val="none" w:sz="0" w:space="0" w:color="auto"/>
                        <w:left w:val="none" w:sz="0" w:space="0" w:color="auto"/>
                        <w:bottom w:val="none" w:sz="0" w:space="0" w:color="auto"/>
                        <w:right w:val="none" w:sz="0" w:space="0" w:color="auto"/>
                      </w:divBdr>
                      <w:divsChild>
                        <w:div w:id="1461534694">
                          <w:marLeft w:val="0"/>
                          <w:marRight w:val="0"/>
                          <w:marTop w:val="0"/>
                          <w:marBottom w:val="0"/>
                          <w:divBdr>
                            <w:top w:val="none" w:sz="0" w:space="0" w:color="auto"/>
                            <w:left w:val="none" w:sz="0" w:space="0" w:color="auto"/>
                            <w:bottom w:val="none" w:sz="0" w:space="0" w:color="auto"/>
                            <w:right w:val="none" w:sz="0" w:space="0" w:color="auto"/>
                          </w:divBdr>
                          <w:divsChild>
                            <w:div w:id="2004815808">
                              <w:marLeft w:val="0"/>
                              <w:marRight w:val="0"/>
                              <w:marTop w:val="0"/>
                              <w:marBottom w:val="0"/>
                              <w:divBdr>
                                <w:top w:val="single" w:sz="24" w:space="6" w:color="auto"/>
                                <w:left w:val="single" w:sz="24" w:space="9" w:color="auto"/>
                                <w:bottom w:val="single" w:sz="24" w:space="6" w:color="auto"/>
                                <w:right w:val="single" w:sz="24" w:space="9" w:color="auto"/>
                              </w:divBdr>
                              <w:divsChild>
                                <w:div w:id="128492612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8581719">
      <w:bodyDiv w:val="1"/>
      <w:marLeft w:val="0"/>
      <w:marRight w:val="0"/>
      <w:marTop w:val="0"/>
      <w:marBottom w:val="0"/>
      <w:divBdr>
        <w:top w:val="none" w:sz="0" w:space="0" w:color="auto"/>
        <w:left w:val="none" w:sz="0" w:space="0" w:color="auto"/>
        <w:bottom w:val="none" w:sz="0" w:space="0" w:color="auto"/>
        <w:right w:val="none" w:sz="0" w:space="0" w:color="auto"/>
      </w:divBdr>
      <w:divsChild>
        <w:div w:id="2069378044">
          <w:marLeft w:val="0"/>
          <w:marRight w:val="0"/>
          <w:marTop w:val="0"/>
          <w:marBottom w:val="0"/>
          <w:divBdr>
            <w:top w:val="none" w:sz="0" w:space="0" w:color="auto"/>
            <w:left w:val="none" w:sz="0" w:space="0" w:color="auto"/>
            <w:bottom w:val="none" w:sz="0" w:space="0" w:color="auto"/>
            <w:right w:val="none" w:sz="0" w:space="0" w:color="auto"/>
          </w:divBdr>
          <w:divsChild>
            <w:div w:id="1597664894">
              <w:marLeft w:val="0"/>
              <w:marRight w:val="0"/>
              <w:marTop w:val="0"/>
              <w:marBottom w:val="0"/>
              <w:divBdr>
                <w:top w:val="none" w:sz="0" w:space="0" w:color="auto"/>
                <w:left w:val="none" w:sz="0" w:space="0" w:color="auto"/>
                <w:bottom w:val="none" w:sz="0" w:space="0" w:color="auto"/>
                <w:right w:val="none" w:sz="0" w:space="0" w:color="auto"/>
              </w:divBdr>
              <w:divsChild>
                <w:div w:id="1072195941">
                  <w:marLeft w:val="0"/>
                  <w:marRight w:val="0"/>
                  <w:marTop w:val="0"/>
                  <w:marBottom w:val="0"/>
                  <w:divBdr>
                    <w:top w:val="none" w:sz="0" w:space="0" w:color="auto"/>
                    <w:left w:val="none" w:sz="0" w:space="0" w:color="auto"/>
                    <w:bottom w:val="none" w:sz="0" w:space="0" w:color="auto"/>
                    <w:right w:val="none" w:sz="0" w:space="0" w:color="auto"/>
                  </w:divBdr>
                  <w:divsChild>
                    <w:div w:id="1644121362">
                      <w:marLeft w:val="0"/>
                      <w:marRight w:val="0"/>
                      <w:marTop w:val="0"/>
                      <w:marBottom w:val="0"/>
                      <w:divBdr>
                        <w:top w:val="none" w:sz="0" w:space="0" w:color="auto"/>
                        <w:left w:val="none" w:sz="0" w:space="0" w:color="auto"/>
                        <w:bottom w:val="none" w:sz="0" w:space="0" w:color="auto"/>
                        <w:right w:val="none" w:sz="0" w:space="0" w:color="auto"/>
                      </w:divBdr>
                      <w:divsChild>
                        <w:div w:id="397093513">
                          <w:marLeft w:val="0"/>
                          <w:marRight w:val="0"/>
                          <w:marTop w:val="0"/>
                          <w:marBottom w:val="0"/>
                          <w:divBdr>
                            <w:top w:val="none" w:sz="0" w:space="0" w:color="auto"/>
                            <w:left w:val="none" w:sz="0" w:space="0" w:color="auto"/>
                            <w:bottom w:val="none" w:sz="0" w:space="0" w:color="auto"/>
                            <w:right w:val="none" w:sz="0" w:space="0" w:color="auto"/>
                          </w:divBdr>
                          <w:divsChild>
                            <w:div w:id="1506818569">
                              <w:marLeft w:val="0"/>
                              <w:marRight w:val="0"/>
                              <w:marTop w:val="0"/>
                              <w:marBottom w:val="0"/>
                              <w:divBdr>
                                <w:top w:val="none" w:sz="0" w:space="0" w:color="auto"/>
                                <w:left w:val="none" w:sz="0" w:space="0" w:color="auto"/>
                                <w:bottom w:val="none" w:sz="0" w:space="0" w:color="auto"/>
                                <w:right w:val="none" w:sz="0" w:space="0" w:color="auto"/>
                              </w:divBdr>
                              <w:divsChild>
                                <w:div w:id="849682962">
                                  <w:marLeft w:val="0"/>
                                  <w:marRight w:val="0"/>
                                  <w:marTop w:val="0"/>
                                  <w:marBottom w:val="0"/>
                                  <w:divBdr>
                                    <w:top w:val="none" w:sz="0" w:space="0" w:color="auto"/>
                                    <w:left w:val="none" w:sz="0" w:space="0" w:color="auto"/>
                                    <w:bottom w:val="none" w:sz="0" w:space="0" w:color="auto"/>
                                    <w:right w:val="none" w:sz="0" w:space="0" w:color="auto"/>
                                  </w:divBdr>
                                  <w:divsChild>
                                    <w:div w:id="98961300">
                                      <w:marLeft w:val="0"/>
                                      <w:marRight w:val="0"/>
                                      <w:marTop w:val="0"/>
                                      <w:marBottom w:val="0"/>
                                      <w:divBdr>
                                        <w:top w:val="none" w:sz="0" w:space="0" w:color="auto"/>
                                        <w:left w:val="none" w:sz="0" w:space="0" w:color="auto"/>
                                        <w:bottom w:val="none" w:sz="0" w:space="0" w:color="auto"/>
                                        <w:right w:val="none" w:sz="0" w:space="0" w:color="auto"/>
                                      </w:divBdr>
                                      <w:divsChild>
                                        <w:div w:id="1521972382">
                                          <w:marLeft w:val="0"/>
                                          <w:marRight w:val="0"/>
                                          <w:marTop w:val="0"/>
                                          <w:marBottom w:val="0"/>
                                          <w:divBdr>
                                            <w:top w:val="none" w:sz="0" w:space="0" w:color="auto"/>
                                            <w:left w:val="none" w:sz="0" w:space="0" w:color="auto"/>
                                            <w:bottom w:val="none" w:sz="0" w:space="0" w:color="auto"/>
                                            <w:right w:val="none" w:sz="0" w:space="0" w:color="auto"/>
                                          </w:divBdr>
                                          <w:divsChild>
                                            <w:div w:id="214436613">
                                              <w:marLeft w:val="0"/>
                                              <w:marRight w:val="0"/>
                                              <w:marTop w:val="0"/>
                                              <w:marBottom w:val="0"/>
                                              <w:divBdr>
                                                <w:top w:val="none" w:sz="0" w:space="0" w:color="auto"/>
                                                <w:left w:val="single" w:sz="12" w:space="0" w:color="auto"/>
                                                <w:bottom w:val="none" w:sz="0" w:space="0" w:color="auto"/>
                                                <w:right w:val="single" w:sz="12" w:space="0" w:color="auto"/>
                                              </w:divBdr>
                                              <w:divsChild>
                                                <w:div w:id="1999188622">
                                                  <w:marLeft w:val="0"/>
                                                  <w:marRight w:val="0"/>
                                                  <w:marTop w:val="0"/>
                                                  <w:marBottom w:val="0"/>
                                                  <w:divBdr>
                                                    <w:top w:val="none" w:sz="0" w:space="0" w:color="auto"/>
                                                    <w:left w:val="none" w:sz="0" w:space="0" w:color="auto"/>
                                                    <w:bottom w:val="none" w:sz="0" w:space="0" w:color="auto"/>
                                                    <w:right w:val="none" w:sz="0" w:space="0" w:color="auto"/>
                                                  </w:divBdr>
                                                  <w:divsChild>
                                                    <w:div w:id="842088172">
                                                      <w:marLeft w:val="0"/>
                                                      <w:marRight w:val="0"/>
                                                      <w:marTop w:val="0"/>
                                                      <w:marBottom w:val="0"/>
                                                      <w:divBdr>
                                                        <w:top w:val="none" w:sz="0" w:space="0" w:color="auto"/>
                                                        <w:left w:val="none" w:sz="0" w:space="0" w:color="auto"/>
                                                        <w:bottom w:val="none" w:sz="0" w:space="0" w:color="auto"/>
                                                        <w:right w:val="none" w:sz="0" w:space="0" w:color="auto"/>
                                                      </w:divBdr>
                                                      <w:divsChild>
                                                        <w:div w:id="2036612565">
                                                          <w:marLeft w:val="0"/>
                                                          <w:marRight w:val="0"/>
                                                          <w:marTop w:val="0"/>
                                                          <w:marBottom w:val="0"/>
                                                          <w:divBdr>
                                                            <w:top w:val="none" w:sz="0" w:space="0" w:color="auto"/>
                                                            <w:left w:val="none" w:sz="0" w:space="0" w:color="auto"/>
                                                            <w:bottom w:val="none" w:sz="0" w:space="0" w:color="auto"/>
                                                            <w:right w:val="none" w:sz="0" w:space="0" w:color="auto"/>
                                                          </w:divBdr>
                                                          <w:divsChild>
                                                            <w:div w:id="135102059">
                                                              <w:marLeft w:val="0"/>
                                                              <w:marRight w:val="0"/>
                                                              <w:marTop w:val="0"/>
                                                              <w:marBottom w:val="0"/>
                                                              <w:divBdr>
                                                                <w:top w:val="none" w:sz="0" w:space="0" w:color="auto"/>
                                                                <w:left w:val="none" w:sz="0" w:space="0" w:color="auto"/>
                                                                <w:bottom w:val="none" w:sz="0" w:space="0" w:color="auto"/>
                                                                <w:right w:val="none" w:sz="0" w:space="0" w:color="auto"/>
                                                              </w:divBdr>
                                                              <w:divsChild>
                                                                <w:div w:id="376205814">
                                                                  <w:marLeft w:val="0"/>
                                                                  <w:marRight w:val="0"/>
                                                                  <w:marTop w:val="0"/>
                                                                  <w:marBottom w:val="0"/>
                                                                  <w:divBdr>
                                                                    <w:top w:val="none" w:sz="0" w:space="0" w:color="auto"/>
                                                                    <w:left w:val="none" w:sz="0" w:space="0" w:color="auto"/>
                                                                    <w:bottom w:val="none" w:sz="0" w:space="0" w:color="auto"/>
                                                                    <w:right w:val="none" w:sz="0" w:space="0" w:color="auto"/>
                                                                  </w:divBdr>
                                                                  <w:divsChild>
                                                                    <w:div w:id="2065061678">
                                                                      <w:marLeft w:val="0"/>
                                                                      <w:marRight w:val="0"/>
                                                                      <w:marTop w:val="0"/>
                                                                      <w:marBottom w:val="0"/>
                                                                      <w:divBdr>
                                                                        <w:top w:val="none" w:sz="0" w:space="0" w:color="auto"/>
                                                                        <w:left w:val="none" w:sz="0" w:space="0" w:color="auto"/>
                                                                        <w:bottom w:val="none" w:sz="0" w:space="0" w:color="auto"/>
                                                                        <w:right w:val="none" w:sz="0" w:space="0" w:color="auto"/>
                                                                      </w:divBdr>
                                                                      <w:divsChild>
                                                                        <w:div w:id="1380939701">
                                                                          <w:marLeft w:val="0"/>
                                                                          <w:marRight w:val="0"/>
                                                                          <w:marTop w:val="0"/>
                                                                          <w:marBottom w:val="0"/>
                                                                          <w:divBdr>
                                                                            <w:top w:val="none" w:sz="0" w:space="0" w:color="auto"/>
                                                                            <w:left w:val="none" w:sz="0" w:space="0" w:color="auto"/>
                                                                            <w:bottom w:val="none" w:sz="0" w:space="0" w:color="auto"/>
                                                                            <w:right w:val="none" w:sz="0" w:space="0" w:color="auto"/>
                                                                          </w:divBdr>
                                                                          <w:divsChild>
                                                                            <w:div w:id="1200973730">
                                                                              <w:marLeft w:val="0"/>
                                                                              <w:marRight w:val="0"/>
                                                                              <w:marTop w:val="0"/>
                                                                              <w:marBottom w:val="0"/>
                                                                              <w:divBdr>
                                                                                <w:top w:val="none" w:sz="0" w:space="0" w:color="auto"/>
                                                                                <w:left w:val="none" w:sz="0" w:space="0" w:color="auto"/>
                                                                                <w:bottom w:val="none" w:sz="0" w:space="0" w:color="auto"/>
                                                                                <w:right w:val="none" w:sz="0" w:space="0" w:color="auto"/>
                                                                              </w:divBdr>
                                                                              <w:divsChild>
                                                                                <w:div w:id="2095659961">
                                                                                  <w:marLeft w:val="0"/>
                                                                                  <w:marRight w:val="0"/>
                                                                                  <w:marTop w:val="0"/>
                                                                                  <w:marBottom w:val="0"/>
                                                                                  <w:divBdr>
                                                                                    <w:top w:val="none" w:sz="0" w:space="0" w:color="auto"/>
                                                                                    <w:left w:val="none" w:sz="0" w:space="0" w:color="auto"/>
                                                                                    <w:bottom w:val="none" w:sz="0" w:space="0" w:color="auto"/>
                                                                                    <w:right w:val="none" w:sz="0" w:space="0" w:color="auto"/>
                                                                                  </w:divBdr>
                                                                                  <w:divsChild>
                                                                                    <w:div w:id="1048190939">
                                                                                      <w:marLeft w:val="0"/>
                                                                                      <w:marRight w:val="0"/>
                                                                                      <w:marTop w:val="0"/>
                                                                                      <w:marBottom w:val="0"/>
                                                                                      <w:divBdr>
                                                                                        <w:top w:val="none" w:sz="0" w:space="0" w:color="auto"/>
                                                                                        <w:left w:val="none" w:sz="0" w:space="0" w:color="auto"/>
                                                                                        <w:bottom w:val="none" w:sz="0" w:space="0" w:color="auto"/>
                                                                                        <w:right w:val="none" w:sz="0" w:space="0" w:color="auto"/>
                                                                                      </w:divBdr>
                                                                                      <w:divsChild>
                                                                                        <w:div w:id="1679849435">
                                                                                          <w:marLeft w:val="0"/>
                                                                                          <w:marRight w:val="0"/>
                                                                                          <w:marTop w:val="0"/>
                                                                                          <w:marBottom w:val="0"/>
                                                                                          <w:divBdr>
                                                                                            <w:top w:val="none" w:sz="0" w:space="0" w:color="auto"/>
                                                                                            <w:left w:val="none" w:sz="0" w:space="0" w:color="auto"/>
                                                                                            <w:bottom w:val="none" w:sz="0" w:space="0" w:color="auto"/>
                                                                                            <w:right w:val="none" w:sz="0" w:space="0" w:color="auto"/>
                                                                                          </w:divBdr>
                                                                                          <w:divsChild>
                                                                                            <w:div w:id="42297384">
                                                                                              <w:marLeft w:val="0"/>
                                                                                              <w:marRight w:val="0"/>
                                                                                              <w:marTop w:val="0"/>
                                                                                              <w:marBottom w:val="0"/>
                                                                                              <w:divBdr>
                                                                                                <w:top w:val="none" w:sz="0" w:space="0" w:color="auto"/>
                                                                                                <w:left w:val="none" w:sz="0" w:space="0" w:color="auto"/>
                                                                                                <w:bottom w:val="none" w:sz="0" w:space="0" w:color="auto"/>
                                                                                                <w:right w:val="none" w:sz="0" w:space="0" w:color="auto"/>
                                                                                              </w:divBdr>
                                                                                              <w:divsChild>
                                                                                                <w:div w:id="1545173427">
                                                                                                  <w:marLeft w:val="0"/>
                                                                                                  <w:marRight w:val="0"/>
                                                                                                  <w:marTop w:val="0"/>
                                                                                                  <w:marBottom w:val="0"/>
                                                                                                  <w:divBdr>
                                                                                                    <w:top w:val="none" w:sz="0" w:space="0" w:color="auto"/>
                                                                                                    <w:left w:val="none" w:sz="0" w:space="0" w:color="auto"/>
                                                                                                    <w:bottom w:val="none" w:sz="0" w:space="0" w:color="auto"/>
                                                                                                    <w:right w:val="none" w:sz="0" w:space="0" w:color="auto"/>
                                                                                                  </w:divBdr>
                                                                                                  <w:divsChild>
                                                                                                    <w:div w:id="1808469369">
                                                                                                      <w:marLeft w:val="0"/>
                                                                                                      <w:marRight w:val="0"/>
                                                                                                      <w:marTop w:val="0"/>
                                                                                                      <w:marBottom w:val="0"/>
                                                                                                      <w:divBdr>
                                                                                                        <w:top w:val="none" w:sz="0" w:space="0" w:color="auto"/>
                                                                                                        <w:left w:val="none" w:sz="0" w:space="0" w:color="auto"/>
                                                                                                        <w:bottom w:val="none" w:sz="0" w:space="0" w:color="auto"/>
                                                                                                        <w:right w:val="none" w:sz="0" w:space="0" w:color="auto"/>
                                                                                                      </w:divBdr>
                                                                                                      <w:divsChild>
                                                                                                        <w:div w:id="1358654060">
                                                                                                          <w:marLeft w:val="0"/>
                                                                                                          <w:marRight w:val="0"/>
                                                                                                          <w:marTop w:val="0"/>
                                                                                                          <w:marBottom w:val="0"/>
                                                                                                          <w:divBdr>
                                                                                                            <w:top w:val="none" w:sz="0" w:space="0" w:color="auto"/>
                                                                                                            <w:left w:val="none" w:sz="0" w:space="0" w:color="auto"/>
                                                                                                            <w:bottom w:val="none" w:sz="0" w:space="0" w:color="auto"/>
                                                                                                            <w:right w:val="none" w:sz="0" w:space="0" w:color="auto"/>
                                                                                                          </w:divBdr>
                                                                                                          <w:divsChild>
                                                                                                            <w:div w:id="1214924704">
                                                                                                              <w:marLeft w:val="0"/>
                                                                                                              <w:marRight w:val="0"/>
                                                                                                              <w:marTop w:val="0"/>
                                                                                                              <w:marBottom w:val="0"/>
                                                                                                              <w:divBdr>
                                                                                                                <w:top w:val="none" w:sz="0" w:space="0" w:color="auto"/>
                                                                                                                <w:left w:val="none" w:sz="0" w:space="0" w:color="auto"/>
                                                                                                                <w:bottom w:val="none" w:sz="0" w:space="0" w:color="auto"/>
                                                                                                                <w:right w:val="none" w:sz="0" w:space="0" w:color="auto"/>
                                                                                                              </w:divBdr>
                                                                                                              <w:divsChild>
                                                                                                                <w:div w:id="1788430373">
                                                                                                                  <w:marLeft w:val="0"/>
                                                                                                                  <w:marRight w:val="0"/>
                                                                                                                  <w:marTop w:val="0"/>
                                                                                                                  <w:marBottom w:val="0"/>
                                                                                                                  <w:divBdr>
                                                                                                                    <w:top w:val="none" w:sz="0" w:space="0" w:color="auto"/>
                                                                                                                    <w:left w:val="none" w:sz="0" w:space="0" w:color="auto"/>
                                                                                                                    <w:bottom w:val="none" w:sz="0" w:space="0" w:color="auto"/>
                                                                                                                    <w:right w:val="none" w:sz="0" w:space="0" w:color="auto"/>
                                                                                                                  </w:divBdr>
                                                                                                                  <w:divsChild>
                                                                                                                    <w:div w:id="387145824">
                                                                                                                      <w:marLeft w:val="0"/>
                                                                                                                      <w:marRight w:val="0"/>
                                                                                                                      <w:marTop w:val="0"/>
                                                                                                                      <w:marBottom w:val="0"/>
                                                                                                                      <w:divBdr>
                                                                                                                        <w:top w:val="none" w:sz="0" w:space="0" w:color="auto"/>
                                                                                                                        <w:left w:val="none" w:sz="0" w:space="0" w:color="auto"/>
                                                                                                                        <w:bottom w:val="none" w:sz="0" w:space="0" w:color="auto"/>
                                                                                                                        <w:right w:val="none" w:sz="0" w:space="0" w:color="auto"/>
                                                                                                                      </w:divBdr>
                                                                                                                      <w:divsChild>
                                                                                                                        <w:div w:id="973485701">
                                                                                                                          <w:marLeft w:val="0"/>
                                                                                                                          <w:marRight w:val="0"/>
                                                                                                                          <w:marTop w:val="0"/>
                                                                                                                          <w:marBottom w:val="0"/>
                                                                                                                          <w:divBdr>
                                                                                                                            <w:top w:val="single" w:sz="24" w:space="6" w:color="auto"/>
                                                                                                                            <w:left w:val="single" w:sz="24" w:space="9" w:color="auto"/>
                                                                                                                            <w:bottom w:val="single" w:sz="24" w:space="6" w:color="auto"/>
                                                                                                                            <w:right w:val="single" w:sz="24" w:space="9" w:color="auto"/>
                                                                                                                          </w:divBdr>
                                                                                                                          <w:divsChild>
                                                                                                                            <w:div w:id="145374903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6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3655">
                                                                                      <w:marLeft w:val="0"/>
                                                                                      <w:marRight w:val="0"/>
                                                                                      <w:marTop w:val="0"/>
                                                                                      <w:marBottom w:val="0"/>
                                                                                      <w:divBdr>
                                                                                        <w:top w:val="none" w:sz="0" w:space="0" w:color="auto"/>
                                                                                        <w:left w:val="none" w:sz="0" w:space="0" w:color="auto"/>
                                                                                        <w:bottom w:val="none" w:sz="0" w:space="0" w:color="auto"/>
                                                                                        <w:right w:val="none" w:sz="0" w:space="0" w:color="auto"/>
                                                                                      </w:divBdr>
                                                                                      <w:divsChild>
                                                                                        <w:div w:id="246815344">
                                                                                          <w:marLeft w:val="0"/>
                                                                                          <w:marRight w:val="0"/>
                                                                                          <w:marTop w:val="0"/>
                                                                                          <w:marBottom w:val="0"/>
                                                                                          <w:divBdr>
                                                                                            <w:top w:val="single" w:sz="2" w:space="9" w:color="auto"/>
                                                                                            <w:left w:val="single" w:sz="2" w:space="9" w:color="auto"/>
                                                                                            <w:bottom w:val="single" w:sz="2" w:space="9" w:color="auto"/>
                                                                                            <w:right w:val="single" w:sz="2" w:space="9" w:color="auto"/>
                                                                                          </w:divBdr>
                                                                                          <w:divsChild>
                                                                                            <w:div w:id="1408651080">
                                                                                              <w:marLeft w:val="0"/>
                                                                                              <w:marRight w:val="0"/>
                                                                                              <w:marTop w:val="0"/>
                                                                                              <w:marBottom w:val="0"/>
                                                                                              <w:divBdr>
                                                                                                <w:top w:val="none" w:sz="0" w:space="0" w:color="auto"/>
                                                                                                <w:left w:val="none" w:sz="0" w:space="0" w:color="auto"/>
                                                                                                <w:bottom w:val="none" w:sz="0" w:space="0" w:color="auto"/>
                                                                                                <w:right w:val="none" w:sz="0" w:space="0" w:color="auto"/>
                                                                                              </w:divBdr>
                                                                                              <w:divsChild>
                                                                                                <w:div w:id="59621354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2293075">
                                  <w:marLeft w:val="0"/>
                                  <w:marRight w:val="0"/>
                                  <w:marTop w:val="0"/>
                                  <w:marBottom w:val="0"/>
                                  <w:divBdr>
                                    <w:top w:val="none" w:sz="0" w:space="0" w:color="auto"/>
                                    <w:left w:val="none" w:sz="0" w:space="0" w:color="auto"/>
                                    <w:bottom w:val="none" w:sz="0" w:space="0" w:color="auto"/>
                                    <w:right w:val="none" w:sz="0" w:space="0" w:color="auto"/>
                                  </w:divBdr>
                                  <w:divsChild>
                                    <w:div w:id="1766878307">
                                      <w:marLeft w:val="0"/>
                                      <w:marRight w:val="0"/>
                                      <w:marTop w:val="0"/>
                                      <w:marBottom w:val="0"/>
                                      <w:divBdr>
                                        <w:top w:val="none" w:sz="0" w:space="0" w:color="auto"/>
                                        <w:left w:val="none" w:sz="0" w:space="0" w:color="auto"/>
                                        <w:bottom w:val="none" w:sz="0" w:space="0" w:color="auto"/>
                                        <w:right w:val="none" w:sz="0" w:space="0" w:color="auto"/>
                                      </w:divBdr>
                                      <w:divsChild>
                                        <w:div w:id="493643406">
                                          <w:marLeft w:val="0"/>
                                          <w:marRight w:val="0"/>
                                          <w:marTop w:val="0"/>
                                          <w:marBottom w:val="0"/>
                                          <w:divBdr>
                                            <w:top w:val="none" w:sz="0" w:space="0" w:color="auto"/>
                                            <w:left w:val="none" w:sz="0" w:space="0" w:color="auto"/>
                                            <w:bottom w:val="none" w:sz="0" w:space="0" w:color="auto"/>
                                            <w:right w:val="none" w:sz="0" w:space="0" w:color="auto"/>
                                          </w:divBdr>
                                          <w:divsChild>
                                            <w:div w:id="1466585578">
                                              <w:marLeft w:val="1500"/>
                                              <w:marRight w:val="0"/>
                                              <w:marTop w:val="0"/>
                                              <w:marBottom w:val="0"/>
                                              <w:divBdr>
                                                <w:top w:val="none" w:sz="0" w:space="0" w:color="auto"/>
                                                <w:left w:val="none" w:sz="0" w:space="0" w:color="auto"/>
                                                <w:bottom w:val="none" w:sz="0" w:space="0" w:color="auto"/>
                                                <w:right w:val="none" w:sz="0" w:space="0" w:color="auto"/>
                                              </w:divBdr>
                                              <w:divsChild>
                                                <w:div w:id="221407669">
                                                  <w:marLeft w:val="0"/>
                                                  <w:marRight w:val="0"/>
                                                  <w:marTop w:val="0"/>
                                                  <w:marBottom w:val="0"/>
                                                  <w:divBdr>
                                                    <w:top w:val="none" w:sz="0" w:space="0" w:color="auto"/>
                                                    <w:left w:val="none" w:sz="0" w:space="0" w:color="auto"/>
                                                    <w:bottom w:val="none" w:sz="0" w:space="0" w:color="auto"/>
                                                    <w:right w:val="none" w:sz="0" w:space="0" w:color="auto"/>
                                                  </w:divBdr>
                                                </w:div>
                                                <w:div w:id="1011686441">
                                                  <w:marLeft w:val="0"/>
                                                  <w:marRight w:val="0"/>
                                                  <w:marTop w:val="0"/>
                                                  <w:marBottom w:val="0"/>
                                                  <w:divBdr>
                                                    <w:top w:val="none" w:sz="0" w:space="0" w:color="auto"/>
                                                    <w:left w:val="none" w:sz="0" w:space="0" w:color="auto"/>
                                                    <w:bottom w:val="none" w:sz="0" w:space="0" w:color="auto"/>
                                                    <w:right w:val="none" w:sz="0" w:space="0" w:color="auto"/>
                                                  </w:divBdr>
                                                  <w:divsChild>
                                                    <w:div w:id="1796483917">
                                                      <w:marLeft w:val="0"/>
                                                      <w:marRight w:val="0"/>
                                                      <w:marTop w:val="0"/>
                                                      <w:marBottom w:val="0"/>
                                                      <w:divBdr>
                                                        <w:top w:val="none" w:sz="0" w:space="0" w:color="auto"/>
                                                        <w:left w:val="none" w:sz="0" w:space="0" w:color="auto"/>
                                                        <w:bottom w:val="none" w:sz="0" w:space="0" w:color="auto"/>
                                                        <w:right w:val="none" w:sz="0" w:space="0" w:color="auto"/>
                                                      </w:divBdr>
                                                      <w:divsChild>
                                                        <w:div w:id="1086196556">
                                                          <w:marLeft w:val="180"/>
                                                          <w:marRight w:val="180"/>
                                                          <w:marTop w:val="120"/>
                                                          <w:marBottom w:val="120"/>
                                                          <w:divBdr>
                                                            <w:top w:val="none" w:sz="0" w:space="0" w:color="auto"/>
                                                            <w:left w:val="none" w:sz="0" w:space="0" w:color="auto"/>
                                                            <w:bottom w:val="none" w:sz="0" w:space="0" w:color="auto"/>
                                                            <w:right w:val="none" w:sz="0" w:space="0" w:color="auto"/>
                                                          </w:divBdr>
                                                          <w:divsChild>
                                                            <w:div w:id="1595243924">
                                                              <w:marLeft w:val="0"/>
                                                              <w:marRight w:val="0"/>
                                                              <w:marTop w:val="0"/>
                                                              <w:marBottom w:val="0"/>
                                                              <w:divBdr>
                                                                <w:top w:val="none" w:sz="0" w:space="0" w:color="auto"/>
                                                                <w:left w:val="none" w:sz="0" w:space="0" w:color="auto"/>
                                                                <w:bottom w:val="none" w:sz="0" w:space="0" w:color="auto"/>
                                                                <w:right w:val="none" w:sz="0" w:space="0" w:color="auto"/>
                                                              </w:divBdr>
                                                            </w:div>
                                                            <w:div w:id="14419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98479309">
      <w:bodyDiv w:val="1"/>
      <w:marLeft w:val="0"/>
      <w:marRight w:val="0"/>
      <w:marTop w:val="0"/>
      <w:marBottom w:val="0"/>
      <w:divBdr>
        <w:top w:val="none" w:sz="0" w:space="0" w:color="auto"/>
        <w:left w:val="none" w:sz="0" w:space="0" w:color="auto"/>
        <w:bottom w:val="none" w:sz="0" w:space="0" w:color="auto"/>
        <w:right w:val="none" w:sz="0" w:space="0" w:color="auto"/>
      </w:divBdr>
      <w:divsChild>
        <w:div w:id="386801658">
          <w:marLeft w:val="0"/>
          <w:marRight w:val="0"/>
          <w:marTop w:val="0"/>
          <w:marBottom w:val="0"/>
          <w:divBdr>
            <w:top w:val="none" w:sz="0" w:space="0" w:color="auto"/>
            <w:left w:val="none" w:sz="0" w:space="0" w:color="auto"/>
            <w:bottom w:val="none" w:sz="0" w:space="0" w:color="auto"/>
            <w:right w:val="none" w:sz="0" w:space="0" w:color="auto"/>
          </w:divBdr>
          <w:divsChild>
            <w:div w:id="835538783">
              <w:marLeft w:val="0"/>
              <w:marRight w:val="0"/>
              <w:marTop w:val="0"/>
              <w:marBottom w:val="0"/>
              <w:divBdr>
                <w:top w:val="none" w:sz="0" w:space="0" w:color="auto"/>
                <w:left w:val="none" w:sz="0" w:space="0" w:color="auto"/>
                <w:bottom w:val="none" w:sz="0" w:space="0" w:color="auto"/>
                <w:right w:val="none" w:sz="0" w:space="0" w:color="auto"/>
              </w:divBdr>
              <w:divsChild>
                <w:div w:id="900360341">
                  <w:marLeft w:val="0"/>
                  <w:marRight w:val="0"/>
                  <w:marTop w:val="0"/>
                  <w:marBottom w:val="0"/>
                  <w:divBdr>
                    <w:top w:val="none" w:sz="0" w:space="0" w:color="auto"/>
                    <w:left w:val="none" w:sz="0" w:space="0" w:color="auto"/>
                    <w:bottom w:val="none" w:sz="0" w:space="0" w:color="auto"/>
                    <w:right w:val="none" w:sz="0" w:space="0" w:color="auto"/>
                  </w:divBdr>
                  <w:divsChild>
                    <w:div w:id="1044478973">
                      <w:marLeft w:val="0"/>
                      <w:marRight w:val="0"/>
                      <w:marTop w:val="0"/>
                      <w:marBottom w:val="0"/>
                      <w:divBdr>
                        <w:top w:val="none" w:sz="0" w:space="0" w:color="auto"/>
                        <w:left w:val="none" w:sz="0" w:space="0" w:color="auto"/>
                        <w:bottom w:val="none" w:sz="0" w:space="0" w:color="auto"/>
                        <w:right w:val="none" w:sz="0" w:space="0" w:color="auto"/>
                      </w:divBdr>
                      <w:divsChild>
                        <w:div w:id="864900941">
                          <w:marLeft w:val="0"/>
                          <w:marRight w:val="0"/>
                          <w:marTop w:val="0"/>
                          <w:marBottom w:val="0"/>
                          <w:divBdr>
                            <w:top w:val="none" w:sz="0" w:space="0" w:color="auto"/>
                            <w:left w:val="none" w:sz="0" w:space="0" w:color="auto"/>
                            <w:bottom w:val="none" w:sz="0" w:space="0" w:color="auto"/>
                            <w:right w:val="none" w:sz="0" w:space="0" w:color="auto"/>
                          </w:divBdr>
                          <w:divsChild>
                            <w:div w:id="489100831">
                              <w:marLeft w:val="0"/>
                              <w:marRight w:val="0"/>
                              <w:marTop w:val="0"/>
                              <w:marBottom w:val="0"/>
                              <w:divBdr>
                                <w:top w:val="single" w:sz="24" w:space="6" w:color="auto"/>
                                <w:left w:val="single" w:sz="24" w:space="9" w:color="auto"/>
                                <w:bottom w:val="single" w:sz="24" w:space="6" w:color="auto"/>
                                <w:right w:val="single" w:sz="24" w:space="9" w:color="auto"/>
                              </w:divBdr>
                              <w:divsChild>
                                <w:div w:id="213158628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3773227">
      <w:bodyDiv w:val="1"/>
      <w:marLeft w:val="0"/>
      <w:marRight w:val="0"/>
      <w:marTop w:val="0"/>
      <w:marBottom w:val="0"/>
      <w:divBdr>
        <w:top w:val="none" w:sz="0" w:space="0" w:color="auto"/>
        <w:left w:val="none" w:sz="0" w:space="0" w:color="auto"/>
        <w:bottom w:val="none" w:sz="0" w:space="0" w:color="auto"/>
        <w:right w:val="none" w:sz="0" w:space="0" w:color="auto"/>
      </w:divBdr>
      <w:divsChild>
        <w:div w:id="1923293975">
          <w:marLeft w:val="0"/>
          <w:marRight w:val="0"/>
          <w:marTop w:val="0"/>
          <w:marBottom w:val="0"/>
          <w:divBdr>
            <w:top w:val="none" w:sz="0" w:space="0" w:color="auto"/>
            <w:left w:val="none" w:sz="0" w:space="0" w:color="auto"/>
            <w:bottom w:val="none" w:sz="0" w:space="0" w:color="auto"/>
            <w:right w:val="none" w:sz="0" w:space="0" w:color="auto"/>
          </w:divBdr>
        </w:div>
      </w:divsChild>
    </w:div>
    <w:div w:id="786778864">
      <w:bodyDiv w:val="1"/>
      <w:marLeft w:val="0"/>
      <w:marRight w:val="0"/>
      <w:marTop w:val="0"/>
      <w:marBottom w:val="0"/>
      <w:divBdr>
        <w:top w:val="none" w:sz="0" w:space="0" w:color="auto"/>
        <w:left w:val="none" w:sz="0" w:space="0" w:color="auto"/>
        <w:bottom w:val="none" w:sz="0" w:space="0" w:color="auto"/>
        <w:right w:val="none" w:sz="0" w:space="0" w:color="auto"/>
      </w:divBdr>
      <w:divsChild>
        <w:div w:id="937560272">
          <w:marLeft w:val="0"/>
          <w:marRight w:val="0"/>
          <w:marTop w:val="0"/>
          <w:marBottom w:val="0"/>
          <w:divBdr>
            <w:top w:val="none" w:sz="0" w:space="0" w:color="auto"/>
            <w:left w:val="none" w:sz="0" w:space="0" w:color="auto"/>
            <w:bottom w:val="none" w:sz="0" w:space="0" w:color="auto"/>
            <w:right w:val="none" w:sz="0" w:space="0" w:color="auto"/>
          </w:divBdr>
        </w:div>
      </w:divsChild>
    </w:div>
    <w:div w:id="787889552">
      <w:bodyDiv w:val="1"/>
      <w:marLeft w:val="0"/>
      <w:marRight w:val="0"/>
      <w:marTop w:val="0"/>
      <w:marBottom w:val="0"/>
      <w:divBdr>
        <w:top w:val="none" w:sz="0" w:space="0" w:color="auto"/>
        <w:left w:val="none" w:sz="0" w:space="0" w:color="auto"/>
        <w:bottom w:val="none" w:sz="0" w:space="0" w:color="auto"/>
        <w:right w:val="none" w:sz="0" w:space="0" w:color="auto"/>
      </w:divBdr>
      <w:divsChild>
        <w:div w:id="1936015986">
          <w:marLeft w:val="0"/>
          <w:marRight w:val="0"/>
          <w:marTop w:val="0"/>
          <w:marBottom w:val="0"/>
          <w:divBdr>
            <w:top w:val="none" w:sz="0" w:space="0" w:color="auto"/>
            <w:left w:val="none" w:sz="0" w:space="0" w:color="auto"/>
            <w:bottom w:val="none" w:sz="0" w:space="0" w:color="auto"/>
            <w:right w:val="none" w:sz="0" w:space="0" w:color="auto"/>
          </w:divBdr>
          <w:divsChild>
            <w:div w:id="896283735">
              <w:marLeft w:val="0"/>
              <w:marRight w:val="0"/>
              <w:marTop w:val="0"/>
              <w:marBottom w:val="0"/>
              <w:divBdr>
                <w:top w:val="none" w:sz="0" w:space="0" w:color="auto"/>
                <w:left w:val="none" w:sz="0" w:space="0" w:color="auto"/>
                <w:bottom w:val="none" w:sz="0" w:space="0" w:color="auto"/>
                <w:right w:val="none" w:sz="0" w:space="0" w:color="auto"/>
              </w:divBdr>
              <w:divsChild>
                <w:div w:id="745150537">
                  <w:marLeft w:val="0"/>
                  <w:marRight w:val="0"/>
                  <w:marTop w:val="0"/>
                  <w:marBottom w:val="0"/>
                  <w:divBdr>
                    <w:top w:val="none" w:sz="0" w:space="0" w:color="auto"/>
                    <w:left w:val="none" w:sz="0" w:space="0" w:color="auto"/>
                    <w:bottom w:val="none" w:sz="0" w:space="0" w:color="auto"/>
                    <w:right w:val="none" w:sz="0" w:space="0" w:color="auto"/>
                  </w:divBdr>
                  <w:divsChild>
                    <w:div w:id="29770094">
                      <w:marLeft w:val="0"/>
                      <w:marRight w:val="0"/>
                      <w:marTop w:val="0"/>
                      <w:marBottom w:val="0"/>
                      <w:divBdr>
                        <w:top w:val="none" w:sz="0" w:space="0" w:color="auto"/>
                        <w:left w:val="none" w:sz="0" w:space="0" w:color="auto"/>
                        <w:bottom w:val="none" w:sz="0" w:space="0" w:color="auto"/>
                        <w:right w:val="none" w:sz="0" w:space="0" w:color="auto"/>
                      </w:divBdr>
                      <w:divsChild>
                        <w:div w:id="868490218">
                          <w:marLeft w:val="0"/>
                          <w:marRight w:val="0"/>
                          <w:marTop w:val="100"/>
                          <w:marBottom w:val="100"/>
                          <w:divBdr>
                            <w:top w:val="none" w:sz="0" w:space="0" w:color="auto"/>
                            <w:left w:val="none" w:sz="0" w:space="0" w:color="auto"/>
                            <w:bottom w:val="none" w:sz="0" w:space="0" w:color="auto"/>
                            <w:right w:val="none" w:sz="0" w:space="0" w:color="auto"/>
                          </w:divBdr>
                          <w:divsChild>
                            <w:div w:id="1906063091">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36510449">
          <w:marLeft w:val="0"/>
          <w:marRight w:val="0"/>
          <w:marTop w:val="0"/>
          <w:marBottom w:val="0"/>
          <w:divBdr>
            <w:top w:val="none" w:sz="0" w:space="0" w:color="auto"/>
            <w:left w:val="none" w:sz="0" w:space="0" w:color="auto"/>
            <w:bottom w:val="none" w:sz="0" w:space="0" w:color="auto"/>
            <w:right w:val="none" w:sz="0" w:space="0" w:color="auto"/>
          </w:divBdr>
          <w:divsChild>
            <w:div w:id="722605301">
              <w:marLeft w:val="0"/>
              <w:marRight w:val="0"/>
              <w:marTop w:val="0"/>
              <w:marBottom w:val="0"/>
              <w:divBdr>
                <w:top w:val="none" w:sz="0" w:space="0" w:color="auto"/>
                <w:left w:val="none" w:sz="0" w:space="0" w:color="auto"/>
                <w:bottom w:val="none" w:sz="0" w:space="0" w:color="auto"/>
                <w:right w:val="none" w:sz="0" w:space="0" w:color="auto"/>
              </w:divBdr>
              <w:divsChild>
                <w:div w:id="658313512">
                  <w:marLeft w:val="0"/>
                  <w:marRight w:val="0"/>
                  <w:marTop w:val="0"/>
                  <w:marBottom w:val="0"/>
                  <w:divBdr>
                    <w:top w:val="none" w:sz="0" w:space="0" w:color="auto"/>
                    <w:left w:val="none" w:sz="0" w:space="0" w:color="auto"/>
                    <w:bottom w:val="none" w:sz="0" w:space="0" w:color="auto"/>
                    <w:right w:val="none" w:sz="0" w:space="0" w:color="auto"/>
                  </w:divBdr>
                  <w:divsChild>
                    <w:div w:id="1349213748">
                      <w:marLeft w:val="0"/>
                      <w:marRight w:val="0"/>
                      <w:marTop w:val="0"/>
                      <w:marBottom w:val="0"/>
                      <w:divBdr>
                        <w:top w:val="none" w:sz="0" w:space="0" w:color="auto"/>
                        <w:left w:val="none" w:sz="0" w:space="0" w:color="auto"/>
                        <w:bottom w:val="none" w:sz="0" w:space="0" w:color="auto"/>
                        <w:right w:val="none" w:sz="0" w:space="0" w:color="auto"/>
                      </w:divBdr>
                      <w:divsChild>
                        <w:div w:id="817262385">
                          <w:marLeft w:val="0"/>
                          <w:marRight w:val="0"/>
                          <w:marTop w:val="0"/>
                          <w:marBottom w:val="0"/>
                          <w:divBdr>
                            <w:top w:val="none" w:sz="0" w:space="0" w:color="auto"/>
                            <w:left w:val="none" w:sz="0" w:space="0" w:color="auto"/>
                            <w:bottom w:val="none" w:sz="0" w:space="0" w:color="auto"/>
                            <w:right w:val="none" w:sz="0" w:space="0" w:color="auto"/>
                          </w:divBdr>
                          <w:divsChild>
                            <w:div w:id="90819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50635">
                      <w:marLeft w:val="0"/>
                      <w:marRight w:val="0"/>
                      <w:marTop w:val="0"/>
                      <w:marBottom w:val="0"/>
                      <w:divBdr>
                        <w:top w:val="none" w:sz="0" w:space="0" w:color="auto"/>
                        <w:left w:val="none" w:sz="0" w:space="0" w:color="auto"/>
                        <w:bottom w:val="none" w:sz="0" w:space="0" w:color="auto"/>
                        <w:right w:val="none" w:sz="0" w:space="0" w:color="auto"/>
                      </w:divBdr>
                      <w:divsChild>
                        <w:div w:id="897475547">
                          <w:marLeft w:val="0"/>
                          <w:marRight w:val="0"/>
                          <w:marTop w:val="0"/>
                          <w:marBottom w:val="0"/>
                          <w:divBdr>
                            <w:top w:val="none" w:sz="0" w:space="0" w:color="auto"/>
                            <w:left w:val="none" w:sz="0" w:space="0" w:color="auto"/>
                            <w:bottom w:val="none" w:sz="0" w:space="0" w:color="auto"/>
                            <w:right w:val="none" w:sz="0" w:space="0" w:color="auto"/>
                          </w:divBdr>
                          <w:divsChild>
                            <w:div w:id="732699624">
                              <w:marLeft w:val="0"/>
                              <w:marRight w:val="0"/>
                              <w:marTop w:val="0"/>
                              <w:marBottom w:val="0"/>
                              <w:divBdr>
                                <w:top w:val="none" w:sz="0" w:space="0" w:color="auto"/>
                                <w:left w:val="none" w:sz="0" w:space="0" w:color="auto"/>
                                <w:bottom w:val="none" w:sz="0" w:space="0" w:color="auto"/>
                                <w:right w:val="none" w:sz="0" w:space="0" w:color="auto"/>
                              </w:divBdr>
                              <w:divsChild>
                                <w:div w:id="1024215063">
                                  <w:marLeft w:val="0"/>
                                  <w:marRight w:val="0"/>
                                  <w:marTop w:val="0"/>
                                  <w:marBottom w:val="0"/>
                                  <w:divBdr>
                                    <w:top w:val="none" w:sz="0" w:space="0" w:color="auto"/>
                                    <w:left w:val="none" w:sz="0" w:space="0" w:color="auto"/>
                                    <w:bottom w:val="none" w:sz="0" w:space="0" w:color="auto"/>
                                    <w:right w:val="none" w:sz="0" w:space="0" w:color="auto"/>
                                  </w:divBdr>
                                  <w:divsChild>
                                    <w:div w:id="467018889">
                                      <w:marLeft w:val="0"/>
                                      <w:marRight w:val="0"/>
                                      <w:marTop w:val="0"/>
                                      <w:marBottom w:val="0"/>
                                      <w:divBdr>
                                        <w:top w:val="none" w:sz="0" w:space="0" w:color="auto"/>
                                        <w:left w:val="none" w:sz="0" w:space="0" w:color="auto"/>
                                        <w:bottom w:val="none" w:sz="0" w:space="0" w:color="auto"/>
                                        <w:right w:val="none" w:sz="0" w:space="0" w:color="auto"/>
                                      </w:divBdr>
                                      <w:divsChild>
                                        <w:div w:id="1366254273">
                                          <w:marLeft w:val="0"/>
                                          <w:marRight w:val="0"/>
                                          <w:marTop w:val="0"/>
                                          <w:marBottom w:val="0"/>
                                          <w:divBdr>
                                            <w:top w:val="none" w:sz="0" w:space="0" w:color="auto"/>
                                            <w:left w:val="none" w:sz="0" w:space="0" w:color="auto"/>
                                            <w:bottom w:val="none" w:sz="0" w:space="0" w:color="auto"/>
                                            <w:right w:val="none" w:sz="0" w:space="0" w:color="auto"/>
                                          </w:divBdr>
                                          <w:divsChild>
                                            <w:div w:id="1032271344">
                                              <w:marLeft w:val="0"/>
                                              <w:marRight w:val="0"/>
                                              <w:marTop w:val="0"/>
                                              <w:marBottom w:val="0"/>
                                              <w:divBdr>
                                                <w:top w:val="none" w:sz="0" w:space="0" w:color="auto"/>
                                                <w:left w:val="none" w:sz="0" w:space="0" w:color="auto"/>
                                                <w:bottom w:val="none" w:sz="0" w:space="0" w:color="auto"/>
                                                <w:right w:val="none" w:sz="0" w:space="0" w:color="auto"/>
                                              </w:divBdr>
                                              <w:divsChild>
                                                <w:div w:id="1411197026">
                                                  <w:marLeft w:val="0"/>
                                                  <w:marRight w:val="0"/>
                                                  <w:marTop w:val="0"/>
                                                  <w:marBottom w:val="0"/>
                                                  <w:divBdr>
                                                    <w:top w:val="single" w:sz="24" w:space="6" w:color="auto"/>
                                                    <w:left w:val="single" w:sz="24" w:space="9" w:color="auto"/>
                                                    <w:bottom w:val="single" w:sz="24" w:space="6" w:color="auto"/>
                                                    <w:right w:val="single" w:sz="24" w:space="9" w:color="auto"/>
                                                  </w:divBdr>
                                                  <w:divsChild>
                                                    <w:div w:id="53419986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9900311">
      <w:bodyDiv w:val="1"/>
      <w:marLeft w:val="0"/>
      <w:marRight w:val="0"/>
      <w:marTop w:val="0"/>
      <w:marBottom w:val="0"/>
      <w:divBdr>
        <w:top w:val="none" w:sz="0" w:space="0" w:color="auto"/>
        <w:left w:val="none" w:sz="0" w:space="0" w:color="auto"/>
        <w:bottom w:val="none" w:sz="0" w:space="0" w:color="auto"/>
        <w:right w:val="none" w:sz="0" w:space="0" w:color="auto"/>
      </w:divBdr>
      <w:divsChild>
        <w:div w:id="869803649">
          <w:marLeft w:val="0"/>
          <w:marRight w:val="0"/>
          <w:marTop w:val="0"/>
          <w:marBottom w:val="0"/>
          <w:divBdr>
            <w:top w:val="none" w:sz="0" w:space="0" w:color="auto"/>
            <w:left w:val="none" w:sz="0" w:space="0" w:color="auto"/>
            <w:bottom w:val="none" w:sz="0" w:space="0" w:color="auto"/>
            <w:right w:val="none" w:sz="0" w:space="0" w:color="auto"/>
          </w:divBdr>
          <w:divsChild>
            <w:div w:id="789662810">
              <w:marLeft w:val="0"/>
              <w:marRight w:val="0"/>
              <w:marTop w:val="0"/>
              <w:marBottom w:val="0"/>
              <w:divBdr>
                <w:top w:val="none" w:sz="0" w:space="0" w:color="auto"/>
                <w:left w:val="none" w:sz="0" w:space="0" w:color="auto"/>
                <w:bottom w:val="none" w:sz="0" w:space="0" w:color="auto"/>
                <w:right w:val="none" w:sz="0" w:space="0" w:color="auto"/>
              </w:divBdr>
              <w:divsChild>
                <w:div w:id="1483084339">
                  <w:marLeft w:val="0"/>
                  <w:marRight w:val="0"/>
                  <w:marTop w:val="0"/>
                  <w:marBottom w:val="0"/>
                  <w:divBdr>
                    <w:top w:val="none" w:sz="0" w:space="0" w:color="auto"/>
                    <w:left w:val="none" w:sz="0" w:space="0" w:color="auto"/>
                    <w:bottom w:val="none" w:sz="0" w:space="0" w:color="auto"/>
                    <w:right w:val="none" w:sz="0" w:space="0" w:color="auto"/>
                  </w:divBdr>
                  <w:divsChild>
                    <w:div w:id="690423334">
                      <w:marLeft w:val="0"/>
                      <w:marRight w:val="0"/>
                      <w:marTop w:val="0"/>
                      <w:marBottom w:val="0"/>
                      <w:divBdr>
                        <w:top w:val="none" w:sz="0" w:space="0" w:color="auto"/>
                        <w:left w:val="none" w:sz="0" w:space="0" w:color="auto"/>
                        <w:bottom w:val="none" w:sz="0" w:space="0" w:color="auto"/>
                        <w:right w:val="none" w:sz="0" w:space="0" w:color="auto"/>
                      </w:divBdr>
                      <w:divsChild>
                        <w:div w:id="250966068">
                          <w:marLeft w:val="0"/>
                          <w:marRight w:val="0"/>
                          <w:marTop w:val="0"/>
                          <w:marBottom w:val="0"/>
                          <w:divBdr>
                            <w:top w:val="none" w:sz="0" w:space="0" w:color="auto"/>
                            <w:left w:val="none" w:sz="0" w:space="0" w:color="auto"/>
                            <w:bottom w:val="none" w:sz="0" w:space="0" w:color="auto"/>
                            <w:right w:val="none" w:sz="0" w:space="0" w:color="auto"/>
                          </w:divBdr>
                          <w:divsChild>
                            <w:div w:id="184560240">
                              <w:marLeft w:val="0"/>
                              <w:marRight w:val="0"/>
                              <w:marTop w:val="0"/>
                              <w:marBottom w:val="0"/>
                              <w:divBdr>
                                <w:top w:val="none" w:sz="0" w:space="0" w:color="auto"/>
                                <w:left w:val="none" w:sz="0" w:space="0" w:color="auto"/>
                                <w:bottom w:val="none" w:sz="0" w:space="0" w:color="auto"/>
                                <w:right w:val="none" w:sz="0" w:space="0" w:color="auto"/>
                              </w:divBdr>
                              <w:divsChild>
                                <w:div w:id="601687828">
                                  <w:marLeft w:val="0"/>
                                  <w:marRight w:val="0"/>
                                  <w:marTop w:val="0"/>
                                  <w:marBottom w:val="0"/>
                                  <w:divBdr>
                                    <w:top w:val="none" w:sz="0" w:space="0" w:color="auto"/>
                                    <w:left w:val="none" w:sz="0" w:space="0" w:color="auto"/>
                                    <w:bottom w:val="none" w:sz="0" w:space="0" w:color="auto"/>
                                    <w:right w:val="none" w:sz="0" w:space="0" w:color="auto"/>
                                  </w:divBdr>
                                  <w:divsChild>
                                    <w:div w:id="1899510816">
                                      <w:marLeft w:val="0"/>
                                      <w:marRight w:val="0"/>
                                      <w:marTop w:val="0"/>
                                      <w:marBottom w:val="0"/>
                                      <w:divBdr>
                                        <w:top w:val="single" w:sz="24" w:space="6" w:color="auto"/>
                                        <w:left w:val="single" w:sz="24" w:space="9" w:color="auto"/>
                                        <w:bottom w:val="single" w:sz="24" w:space="6" w:color="auto"/>
                                        <w:right w:val="single" w:sz="24" w:space="9" w:color="auto"/>
                                      </w:divBdr>
                                      <w:divsChild>
                                        <w:div w:id="137338731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3990022">
      <w:bodyDiv w:val="1"/>
      <w:marLeft w:val="0"/>
      <w:marRight w:val="0"/>
      <w:marTop w:val="0"/>
      <w:marBottom w:val="0"/>
      <w:divBdr>
        <w:top w:val="none" w:sz="0" w:space="0" w:color="auto"/>
        <w:left w:val="none" w:sz="0" w:space="0" w:color="auto"/>
        <w:bottom w:val="none" w:sz="0" w:space="0" w:color="auto"/>
        <w:right w:val="none" w:sz="0" w:space="0" w:color="auto"/>
      </w:divBdr>
      <w:divsChild>
        <w:div w:id="887184873">
          <w:marLeft w:val="0"/>
          <w:marRight w:val="0"/>
          <w:marTop w:val="0"/>
          <w:marBottom w:val="0"/>
          <w:divBdr>
            <w:top w:val="none" w:sz="0" w:space="0" w:color="auto"/>
            <w:left w:val="none" w:sz="0" w:space="0" w:color="auto"/>
            <w:bottom w:val="none" w:sz="0" w:space="0" w:color="auto"/>
            <w:right w:val="none" w:sz="0" w:space="0" w:color="auto"/>
          </w:divBdr>
          <w:divsChild>
            <w:div w:id="1713773137">
              <w:marLeft w:val="0"/>
              <w:marRight w:val="0"/>
              <w:marTop w:val="0"/>
              <w:marBottom w:val="0"/>
              <w:divBdr>
                <w:top w:val="none" w:sz="0" w:space="0" w:color="auto"/>
                <w:left w:val="none" w:sz="0" w:space="0" w:color="auto"/>
                <w:bottom w:val="none" w:sz="0" w:space="0" w:color="auto"/>
                <w:right w:val="none" w:sz="0" w:space="0" w:color="auto"/>
              </w:divBdr>
              <w:divsChild>
                <w:div w:id="171192002">
                  <w:marLeft w:val="0"/>
                  <w:marRight w:val="0"/>
                  <w:marTop w:val="0"/>
                  <w:marBottom w:val="0"/>
                  <w:divBdr>
                    <w:top w:val="none" w:sz="0" w:space="0" w:color="auto"/>
                    <w:left w:val="none" w:sz="0" w:space="0" w:color="auto"/>
                    <w:bottom w:val="none" w:sz="0" w:space="0" w:color="auto"/>
                    <w:right w:val="none" w:sz="0" w:space="0" w:color="auto"/>
                  </w:divBdr>
                  <w:divsChild>
                    <w:div w:id="1683700764">
                      <w:marLeft w:val="0"/>
                      <w:marRight w:val="0"/>
                      <w:marTop w:val="0"/>
                      <w:marBottom w:val="0"/>
                      <w:divBdr>
                        <w:top w:val="none" w:sz="0" w:space="0" w:color="auto"/>
                        <w:left w:val="none" w:sz="0" w:space="0" w:color="auto"/>
                        <w:bottom w:val="none" w:sz="0" w:space="0" w:color="auto"/>
                        <w:right w:val="none" w:sz="0" w:space="0" w:color="auto"/>
                      </w:divBdr>
                      <w:divsChild>
                        <w:div w:id="1939749808">
                          <w:marLeft w:val="0"/>
                          <w:marRight w:val="0"/>
                          <w:marTop w:val="0"/>
                          <w:marBottom w:val="0"/>
                          <w:divBdr>
                            <w:top w:val="none" w:sz="0" w:space="0" w:color="auto"/>
                            <w:left w:val="none" w:sz="0" w:space="0" w:color="auto"/>
                            <w:bottom w:val="none" w:sz="0" w:space="0" w:color="auto"/>
                            <w:right w:val="none" w:sz="0" w:space="0" w:color="auto"/>
                          </w:divBdr>
                          <w:divsChild>
                            <w:div w:id="1897812947">
                              <w:marLeft w:val="0"/>
                              <w:marRight w:val="0"/>
                              <w:marTop w:val="0"/>
                              <w:marBottom w:val="0"/>
                              <w:divBdr>
                                <w:top w:val="single" w:sz="24" w:space="6" w:color="auto"/>
                                <w:left w:val="single" w:sz="24" w:space="9" w:color="auto"/>
                                <w:bottom w:val="single" w:sz="24" w:space="6" w:color="auto"/>
                                <w:right w:val="single" w:sz="24" w:space="9" w:color="auto"/>
                              </w:divBdr>
                              <w:divsChild>
                                <w:div w:id="182531502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9765986">
      <w:bodyDiv w:val="1"/>
      <w:marLeft w:val="0"/>
      <w:marRight w:val="0"/>
      <w:marTop w:val="0"/>
      <w:marBottom w:val="0"/>
      <w:divBdr>
        <w:top w:val="none" w:sz="0" w:space="0" w:color="auto"/>
        <w:left w:val="none" w:sz="0" w:space="0" w:color="auto"/>
        <w:bottom w:val="none" w:sz="0" w:space="0" w:color="auto"/>
        <w:right w:val="none" w:sz="0" w:space="0" w:color="auto"/>
      </w:divBdr>
      <w:divsChild>
        <w:div w:id="408770112">
          <w:marLeft w:val="0"/>
          <w:marRight w:val="0"/>
          <w:marTop w:val="0"/>
          <w:marBottom w:val="0"/>
          <w:divBdr>
            <w:top w:val="none" w:sz="0" w:space="0" w:color="auto"/>
            <w:left w:val="none" w:sz="0" w:space="0" w:color="auto"/>
            <w:bottom w:val="none" w:sz="0" w:space="0" w:color="auto"/>
            <w:right w:val="none" w:sz="0" w:space="0" w:color="auto"/>
          </w:divBdr>
          <w:divsChild>
            <w:div w:id="634332103">
              <w:marLeft w:val="0"/>
              <w:marRight w:val="0"/>
              <w:marTop w:val="0"/>
              <w:marBottom w:val="0"/>
              <w:divBdr>
                <w:top w:val="none" w:sz="0" w:space="0" w:color="auto"/>
                <w:left w:val="none" w:sz="0" w:space="0" w:color="auto"/>
                <w:bottom w:val="none" w:sz="0" w:space="0" w:color="auto"/>
                <w:right w:val="none" w:sz="0" w:space="0" w:color="auto"/>
              </w:divBdr>
              <w:divsChild>
                <w:div w:id="1066686484">
                  <w:marLeft w:val="0"/>
                  <w:marRight w:val="0"/>
                  <w:marTop w:val="0"/>
                  <w:marBottom w:val="0"/>
                  <w:divBdr>
                    <w:top w:val="none" w:sz="0" w:space="0" w:color="auto"/>
                    <w:left w:val="none" w:sz="0" w:space="0" w:color="auto"/>
                    <w:bottom w:val="none" w:sz="0" w:space="0" w:color="auto"/>
                    <w:right w:val="none" w:sz="0" w:space="0" w:color="auto"/>
                  </w:divBdr>
                  <w:divsChild>
                    <w:div w:id="144704594">
                      <w:marLeft w:val="0"/>
                      <w:marRight w:val="0"/>
                      <w:marTop w:val="0"/>
                      <w:marBottom w:val="0"/>
                      <w:divBdr>
                        <w:top w:val="none" w:sz="0" w:space="0" w:color="auto"/>
                        <w:left w:val="none" w:sz="0" w:space="0" w:color="auto"/>
                        <w:bottom w:val="none" w:sz="0" w:space="0" w:color="auto"/>
                        <w:right w:val="none" w:sz="0" w:space="0" w:color="auto"/>
                      </w:divBdr>
                      <w:divsChild>
                        <w:div w:id="942374180">
                          <w:marLeft w:val="0"/>
                          <w:marRight w:val="0"/>
                          <w:marTop w:val="100"/>
                          <w:marBottom w:val="100"/>
                          <w:divBdr>
                            <w:top w:val="none" w:sz="0" w:space="0" w:color="auto"/>
                            <w:left w:val="none" w:sz="0" w:space="0" w:color="auto"/>
                            <w:bottom w:val="none" w:sz="0" w:space="0" w:color="auto"/>
                            <w:right w:val="none" w:sz="0" w:space="0" w:color="auto"/>
                          </w:divBdr>
                          <w:divsChild>
                            <w:div w:id="1905213446">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1863976813">
          <w:marLeft w:val="0"/>
          <w:marRight w:val="0"/>
          <w:marTop w:val="0"/>
          <w:marBottom w:val="0"/>
          <w:divBdr>
            <w:top w:val="none" w:sz="0" w:space="0" w:color="auto"/>
            <w:left w:val="none" w:sz="0" w:space="0" w:color="auto"/>
            <w:bottom w:val="none" w:sz="0" w:space="0" w:color="auto"/>
            <w:right w:val="none" w:sz="0" w:space="0" w:color="auto"/>
          </w:divBdr>
          <w:divsChild>
            <w:div w:id="580065812">
              <w:marLeft w:val="0"/>
              <w:marRight w:val="0"/>
              <w:marTop w:val="0"/>
              <w:marBottom w:val="0"/>
              <w:divBdr>
                <w:top w:val="none" w:sz="0" w:space="0" w:color="auto"/>
                <w:left w:val="none" w:sz="0" w:space="0" w:color="auto"/>
                <w:bottom w:val="none" w:sz="0" w:space="0" w:color="auto"/>
                <w:right w:val="none" w:sz="0" w:space="0" w:color="auto"/>
              </w:divBdr>
              <w:divsChild>
                <w:div w:id="2107575424">
                  <w:marLeft w:val="0"/>
                  <w:marRight w:val="0"/>
                  <w:marTop w:val="0"/>
                  <w:marBottom w:val="0"/>
                  <w:divBdr>
                    <w:top w:val="none" w:sz="0" w:space="0" w:color="auto"/>
                    <w:left w:val="none" w:sz="0" w:space="0" w:color="auto"/>
                    <w:bottom w:val="none" w:sz="0" w:space="0" w:color="auto"/>
                    <w:right w:val="none" w:sz="0" w:space="0" w:color="auto"/>
                  </w:divBdr>
                  <w:divsChild>
                    <w:div w:id="419375031">
                      <w:marLeft w:val="0"/>
                      <w:marRight w:val="0"/>
                      <w:marTop w:val="0"/>
                      <w:marBottom w:val="0"/>
                      <w:divBdr>
                        <w:top w:val="none" w:sz="0" w:space="0" w:color="auto"/>
                        <w:left w:val="none" w:sz="0" w:space="0" w:color="auto"/>
                        <w:bottom w:val="none" w:sz="0" w:space="0" w:color="auto"/>
                        <w:right w:val="none" w:sz="0" w:space="0" w:color="auto"/>
                      </w:divBdr>
                      <w:divsChild>
                        <w:div w:id="1068188093">
                          <w:marLeft w:val="0"/>
                          <w:marRight w:val="0"/>
                          <w:marTop w:val="0"/>
                          <w:marBottom w:val="0"/>
                          <w:divBdr>
                            <w:top w:val="none" w:sz="0" w:space="0" w:color="auto"/>
                            <w:left w:val="none" w:sz="0" w:space="0" w:color="auto"/>
                            <w:bottom w:val="none" w:sz="0" w:space="0" w:color="auto"/>
                            <w:right w:val="none" w:sz="0" w:space="0" w:color="auto"/>
                          </w:divBdr>
                          <w:divsChild>
                            <w:div w:id="171804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98699">
                      <w:marLeft w:val="0"/>
                      <w:marRight w:val="0"/>
                      <w:marTop w:val="0"/>
                      <w:marBottom w:val="0"/>
                      <w:divBdr>
                        <w:top w:val="none" w:sz="0" w:space="0" w:color="auto"/>
                        <w:left w:val="none" w:sz="0" w:space="0" w:color="auto"/>
                        <w:bottom w:val="none" w:sz="0" w:space="0" w:color="auto"/>
                        <w:right w:val="none" w:sz="0" w:space="0" w:color="auto"/>
                      </w:divBdr>
                      <w:divsChild>
                        <w:div w:id="1056582965">
                          <w:marLeft w:val="0"/>
                          <w:marRight w:val="0"/>
                          <w:marTop w:val="0"/>
                          <w:marBottom w:val="0"/>
                          <w:divBdr>
                            <w:top w:val="none" w:sz="0" w:space="0" w:color="auto"/>
                            <w:left w:val="none" w:sz="0" w:space="0" w:color="auto"/>
                            <w:bottom w:val="none" w:sz="0" w:space="0" w:color="auto"/>
                            <w:right w:val="none" w:sz="0" w:space="0" w:color="auto"/>
                          </w:divBdr>
                          <w:divsChild>
                            <w:div w:id="1080559611">
                              <w:marLeft w:val="0"/>
                              <w:marRight w:val="0"/>
                              <w:marTop w:val="0"/>
                              <w:marBottom w:val="0"/>
                              <w:divBdr>
                                <w:top w:val="none" w:sz="0" w:space="0" w:color="auto"/>
                                <w:left w:val="none" w:sz="0" w:space="0" w:color="auto"/>
                                <w:bottom w:val="none" w:sz="0" w:space="0" w:color="auto"/>
                                <w:right w:val="none" w:sz="0" w:space="0" w:color="auto"/>
                              </w:divBdr>
                              <w:divsChild>
                                <w:div w:id="1678537190">
                                  <w:marLeft w:val="0"/>
                                  <w:marRight w:val="0"/>
                                  <w:marTop w:val="0"/>
                                  <w:marBottom w:val="0"/>
                                  <w:divBdr>
                                    <w:top w:val="none" w:sz="0" w:space="0" w:color="auto"/>
                                    <w:left w:val="none" w:sz="0" w:space="0" w:color="auto"/>
                                    <w:bottom w:val="none" w:sz="0" w:space="0" w:color="auto"/>
                                    <w:right w:val="none" w:sz="0" w:space="0" w:color="auto"/>
                                  </w:divBdr>
                                  <w:divsChild>
                                    <w:div w:id="289822525">
                                      <w:marLeft w:val="0"/>
                                      <w:marRight w:val="0"/>
                                      <w:marTop w:val="0"/>
                                      <w:marBottom w:val="0"/>
                                      <w:divBdr>
                                        <w:top w:val="none" w:sz="0" w:space="0" w:color="auto"/>
                                        <w:left w:val="none" w:sz="0" w:space="0" w:color="auto"/>
                                        <w:bottom w:val="none" w:sz="0" w:space="0" w:color="auto"/>
                                        <w:right w:val="none" w:sz="0" w:space="0" w:color="auto"/>
                                      </w:divBdr>
                                      <w:divsChild>
                                        <w:div w:id="2040350332">
                                          <w:marLeft w:val="0"/>
                                          <w:marRight w:val="0"/>
                                          <w:marTop w:val="0"/>
                                          <w:marBottom w:val="0"/>
                                          <w:divBdr>
                                            <w:top w:val="none" w:sz="0" w:space="0" w:color="auto"/>
                                            <w:left w:val="none" w:sz="0" w:space="0" w:color="auto"/>
                                            <w:bottom w:val="none" w:sz="0" w:space="0" w:color="auto"/>
                                            <w:right w:val="none" w:sz="0" w:space="0" w:color="auto"/>
                                          </w:divBdr>
                                          <w:divsChild>
                                            <w:div w:id="338774037">
                                              <w:marLeft w:val="0"/>
                                              <w:marRight w:val="0"/>
                                              <w:marTop w:val="0"/>
                                              <w:marBottom w:val="0"/>
                                              <w:divBdr>
                                                <w:top w:val="none" w:sz="0" w:space="0" w:color="auto"/>
                                                <w:left w:val="none" w:sz="0" w:space="0" w:color="auto"/>
                                                <w:bottom w:val="none" w:sz="0" w:space="0" w:color="auto"/>
                                                <w:right w:val="none" w:sz="0" w:space="0" w:color="auto"/>
                                              </w:divBdr>
                                              <w:divsChild>
                                                <w:div w:id="1501120157">
                                                  <w:marLeft w:val="0"/>
                                                  <w:marRight w:val="0"/>
                                                  <w:marTop w:val="0"/>
                                                  <w:marBottom w:val="0"/>
                                                  <w:divBdr>
                                                    <w:top w:val="single" w:sz="24" w:space="6" w:color="auto"/>
                                                    <w:left w:val="single" w:sz="24" w:space="9" w:color="auto"/>
                                                    <w:bottom w:val="single" w:sz="24" w:space="6" w:color="auto"/>
                                                    <w:right w:val="single" w:sz="24" w:space="9" w:color="auto"/>
                                                  </w:divBdr>
                                                  <w:divsChild>
                                                    <w:div w:id="7976042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0463364">
      <w:bodyDiv w:val="1"/>
      <w:marLeft w:val="0"/>
      <w:marRight w:val="0"/>
      <w:marTop w:val="0"/>
      <w:marBottom w:val="0"/>
      <w:divBdr>
        <w:top w:val="none" w:sz="0" w:space="0" w:color="auto"/>
        <w:left w:val="none" w:sz="0" w:space="0" w:color="auto"/>
        <w:bottom w:val="none" w:sz="0" w:space="0" w:color="auto"/>
        <w:right w:val="none" w:sz="0" w:space="0" w:color="auto"/>
      </w:divBdr>
      <w:divsChild>
        <w:div w:id="987977040">
          <w:marLeft w:val="0"/>
          <w:marRight w:val="0"/>
          <w:marTop w:val="0"/>
          <w:marBottom w:val="0"/>
          <w:divBdr>
            <w:top w:val="none" w:sz="0" w:space="0" w:color="auto"/>
            <w:left w:val="none" w:sz="0" w:space="0" w:color="auto"/>
            <w:bottom w:val="none" w:sz="0" w:space="0" w:color="auto"/>
            <w:right w:val="none" w:sz="0" w:space="0" w:color="auto"/>
          </w:divBdr>
          <w:divsChild>
            <w:div w:id="1457526814">
              <w:marLeft w:val="0"/>
              <w:marRight w:val="0"/>
              <w:marTop w:val="0"/>
              <w:marBottom w:val="0"/>
              <w:divBdr>
                <w:top w:val="none" w:sz="0" w:space="0" w:color="auto"/>
                <w:left w:val="none" w:sz="0" w:space="0" w:color="auto"/>
                <w:bottom w:val="none" w:sz="0" w:space="0" w:color="auto"/>
                <w:right w:val="none" w:sz="0" w:space="0" w:color="auto"/>
              </w:divBdr>
              <w:divsChild>
                <w:div w:id="453409459">
                  <w:marLeft w:val="0"/>
                  <w:marRight w:val="0"/>
                  <w:marTop w:val="0"/>
                  <w:marBottom w:val="0"/>
                  <w:divBdr>
                    <w:top w:val="none" w:sz="0" w:space="0" w:color="auto"/>
                    <w:left w:val="none" w:sz="0" w:space="0" w:color="auto"/>
                    <w:bottom w:val="none" w:sz="0" w:space="0" w:color="auto"/>
                    <w:right w:val="none" w:sz="0" w:space="0" w:color="auto"/>
                  </w:divBdr>
                  <w:divsChild>
                    <w:div w:id="521553455">
                      <w:marLeft w:val="0"/>
                      <w:marRight w:val="0"/>
                      <w:marTop w:val="0"/>
                      <w:marBottom w:val="0"/>
                      <w:divBdr>
                        <w:top w:val="none" w:sz="0" w:space="0" w:color="auto"/>
                        <w:left w:val="none" w:sz="0" w:space="0" w:color="auto"/>
                        <w:bottom w:val="none" w:sz="0" w:space="0" w:color="auto"/>
                        <w:right w:val="none" w:sz="0" w:space="0" w:color="auto"/>
                      </w:divBdr>
                      <w:divsChild>
                        <w:div w:id="1806507668">
                          <w:marLeft w:val="0"/>
                          <w:marRight w:val="0"/>
                          <w:marTop w:val="100"/>
                          <w:marBottom w:val="100"/>
                          <w:divBdr>
                            <w:top w:val="none" w:sz="0" w:space="0" w:color="auto"/>
                            <w:left w:val="none" w:sz="0" w:space="0" w:color="auto"/>
                            <w:bottom w:val="none" w:sz="0" w:space="0" w:color="auto"/>
                            <w:right w:val="none" w:sz="0" w:space="0" w:color="auto"/>
                          </w:divBdr>
                          <w:divsChild>
                            <w:div w:id="843474977">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71465715">
          <w:marLeft w:val="0"/>
          <w:marRight w:val="0"/>
          <w:marTop w:val="0"/>
          <w:marBottom w:val="0"/>
          <w:divBdr>
            <w:top w:val="none" w:sz="0" w:space="0" w:color="auto"/>
            <w:left w:val="none" w:sz="0" w:space="0" w:color="auto"/>
            <w:bottom w:val="none" w:sz="0" w:space="0" w:color="auto"/>
            <w:right w:val="none" w:sz="0" w:space="0" w:color="auto"/>
          </w:divBdr>
          <w:divsChild>
            <w:div w:id="2146073512">
              <w:marLeft w:val="0"/>
              <w:marRight w:val="0"/>
              <w:marTop w:val="0"/>
              <w:marBottom w:val="0"/>
              <w:divBdr>
                <w:top w:val="none" w:sz="0" w:space="0" w:color="auto"/>
                <w:left w:val="none" w:sz="0" w:space="0" w:color="auto"/>
                <w:bottom w:val="none" w:sz="0" w:space="0" w:color="auto"/>
                <w:right w:val="none" w:sz="0" w:space="0" w:color="auto"/>
              </w:divBdr>
              <w:divsChild>
                <w:div w:id="1298028030">
                  <w:marLeft w:val="0"/>
                  <w:marRight w:val="0"/>
                  <w:marTop w:val="0"/>
                  <w:marBottom w:val="0"/>
                  <w:divBdr>
                    <w:top w:val="none" w:sz="0" w:space="0" w:color="auto"/>
                    <w:left w:val="none" w:sz="0" w:space="0" w:color="auto"/>
                    <w:bottom w:val="none" w:sz="0" w:space="0" w:color="auto"/>
                    <w:right w:val="none" w:sz="0" w:space="0" w:color="auto"/>
                  </w:divBdr>
                  <w:divsChild>
                    <w:div w:id="809518171">
                      <w:marLeft w:val="0"/>
                      <w:marRight w:val="0"/>
                      <w:marTop w:val="0"/>
                      <w:marBottom w:val="0"/>
                      <w:divBdr>
                        <w:top w:val="none" w:sz="0" w:space="0" w:color="auto"/>
                        <w:left w:val="none" w:sz="0" w:space="0" w:color="auto"/>
                        <w:bottom w:val="none" w:sz="0" w:space="0" w:color="auto"/>
                        <w:right w:val="none" w:sz="0" w:space="0" w:color="auto"/>
                      </w:divBdr>
                      <w:divsChild>
                        <w:div w:id="738791583">
                          <w:marLeft w:val="0"/>
                          <w:marRight w:val="0"/>
                          <w:marTop w:val="0"/>
                          <w:marBottom w:val="0"/>
                          <w:divBdr>
                            <w:top w:val="none" w:sz="0" w:space="0" w:color="auto"/>
                            <w:left w:val="none" w:sz="0" w:space="0" w:color="auto"/>
                            <w:bottom w:val="none" w:sz="0" w:space="0" w:color="auto"/>
                            <w:right w:val="none" w:sz="0" w:space="0" w:color="auto"/>
                          </w:divBdr>
                          <w:divsChild>
                            <w:div w:id="213077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270562">
                      <w:marLeft w:val="0"/>
                      <w:marRight w:val="0"/>
                      <w:marTop w:val="0"/>
                      <w:marBottom w:val="0"/>
                      <w:divBdr>
                        <w:top w:val="none" w:sz="0" w:space="0" w:color="auto"/>
                        <w:left w:val="none" w:sz="0" w:space="0" w:color="auto"/>
                        <w:bottom w:val="none" w:sz="0" w:space="0" w:color="auto"/>
                        <w:right w:val="none" w:sz="0" w:space="0" w:color="auto"/>
                      </w:divBdr>
                      <w:divsChild>
                        <w:div w:id="1520659887">
                          <w:marLeft w:val="0"/>
                          <w:marRight w:val="0"/>
                          <w:marTop w:val="0"/>
                          <w:marBottom w:val="0"/>
                          <w:divBdr>
                            <w:top w:val="none" w:sz="0" w:space="0" w:color="auto"/>
                            <w:left w:val="none" w:sz="0" w:space="0" w:color="auto"/>
                            <w:bottom w:val="none" w:sz="0" w:space="0" w:color="auto"/>
                            <w:right w:val="none" w:sz="0" w:space="0" w:color="auto"/>
                          </w:divBdr>
                          <w:divsChild>
                            <w:div w:id="1745761970">
                              <w:marLeft w:val="0"/>
                              <w:marRight w:val="0"/>
                              <w:marTop w:val="0"/>
                              <w:marBottom w:val="0"/>
                              <w:divBdr>
                                <w:top w:val="none" w:sz="0" w:space="0" w:color="auto"/>
                                <w:left w:val="none" w:sz="0" w:space="0" w:color="auto"/>
                                <w:bottom w:val="none" w:sz="0" w:space="0" w:color="auto"/>
                                <w:right w:val="none" w:sz="0" w:space="0" w:color="auto"/>
                              </w:divBdr>
                              <w:divsChild>
                                <w:div w:id="666639621">
                                  <w:marLeft w:val="0"/>
                                  <w:marRight w:val="0"/>
                                  <w:marTop w:val="0"/>
                                  <w:marBottom w:val="0"/>
                                  <w:divBdr>
                                    <w:top w:val="none" w:sz="0" w:space="0" w:color="auto"/>
                                    <w:left w:val="none" w:sz="0" w:space="0" w:color="auto"/>
                                    <w:bottom w:val="none" w:sz="0" w:space="0" w:color="auto"/>
                                    <w:right w:val="none" w:sz="0" w:space="0" w:color="auto"/>
                                  </w:divBdr>
                                  <w:divsChild>
                                    <w:div w:id="1440220131">
                                      <w:marLeft w:val="0"/>
                                      <w:marRight w:val="0"/>
                                      <w:marTop w:val="0"/>
                                      <w:marBottom w:val="0"/>
                                      <w:divBdr>
                                        <w:top w:val="none" w:sz="0" w:space="0" w:color="auto"/>
                                        <w:left w:val="none" w:sz="0" w:space="0" w:color="auto"/>
                                        <w:bottom w:val="none" w:sz="0" w:space="0" w:color="auto"/>
                                        <w:right w:val="none" w:sz="0" w:space="0" w:color="auto"/>
                                      </w:divBdr>
                                      <w:divsChild>
                                        <w:div w:id="1955600695">
                                          <w:marLeft w:val="0"/>
                                          <w:marRight w:val="0"/>
                                          <w:marTop w:val="0"/>
                                          <w:marBottom w:val="0"/>
                                          <w:divBdr>
                                            <w:top w:val="none" w:sz="0" w:space="0" w:color="auto"/>
                                            <w:left w:val="none" w:sz="0" w:space="0" w:color="auto"/>
                                            <w:bottom w:val="none" w:sz="0" w:space="0" w:color="auto"/>
                                            <w:right w:val="none" w:sz="0" w:space="0" w:color="auto"/>
                                          </w:divBdr>
                                          <w:divsChild>
                                            <w:div w:id="1751076589">
                                              <w:marLeft w:val="0"/>
                                              <w:marRight w:val="0"/>
                                              <w:marTop w:val="0"/>
                                              <w:marBottom w:val="0"/>
                                              <w:divBdr>
                                                <w:top w:val="none" w:sz="0" w:space="0" w:color="auto"/>
                                                <w:left w:val="none" w:sz="0" w:space="0" w:color="auto"/>
                                                <w:bottom w:val="none" w:sz="0" w:space="0" w:color="auto"/>
                                                <w:right w:val="none" w:sz="0" w:space="0" w:color="auto"/>
                                              </w:divBdr>
                                              <w:divsChild>
                                                <w:div w:id="808211875">
                                                  <w:marLeft w:val="0"/>
                                                  <w:marRight w:val="0"/>
                                                  <w:marTop w:val="0"/>
                                                  <w:marBottom w:val="0"/>
                                                  <w:divBdr>
                                                    <w:top w:val="single" w:sz="24" w:space="6" w:color="auto"/>
                                                    <w:left w:val="single" w:sz="24" w:space="9" w:color="auto"/>
                                                    <w:bottom w:val="single" w:sz="24" w:space="6" w:color="auto"/>
                                                    <w:right w:val="single" w:sz="24" w:space="9" w:color="auto"/>
                                                  </w:divBdr>
                                                  <w:divsChild>
                                                    <w:div w:id="165133017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0682048">
      <w:bodyDiv w:val="1"/>
      <w:marLeft w:val="0"/>
      <w:marRight w:val="0"/>
      <w:marTop w:val="0"/>
      <w:marBottom w:val="0"/>
      <w:divBdr>
        <w:top w:val="none" w:sz="0" w:space="0" w:color="auto"/>
        <w:left w:val="none" w:sz="0" w:space="0" w:color="auto"/>
        <w:bottom w:val="none" w:sz="0" w:space="0" w:color="auto"/>
        <w:right w:val="none" w:sz="0" w:space="0" w:color="auto"/>
      </w:divBdr>
      <w:divsChild>
        <w:div w:id="1373194330">
          <w:marLeft w:val="0"/>
          <w:marRight w:val="0"/>
          <w:marTop w:val="0"/>
          <w:marBottom w:val="0"/>
          <w:divBdr>
            <w:top w:val="none" w:sz="0" w:space="0" w:color="auto"/>
            <w:left w:val="none" w:sz="0" w:space="0" w:color="auto"/>
            <w:bottom w:val="none" w:sz="0" w:space="0" w:color="auto"/>
            <w:right w:val="none" w:sz="0" w:space="0" w:color="auto"/>
          </w:divBdr>
          <w:divsChild>
            <w:div w:id="210845626">
              <w:marLeft w:val="0"/>
              <w:marRight w:val="0"/>
              <w:marTop w:val="0"/>
              <w:marBottom w:val="0"/>
              <w:divBdr>
                <w:top w:val="none" w:sz="0" w:space="0" w:color="auto"/>
                <w:left w:val="none" w:sz="0" w:space="0" w:color="auto"/>
                <w:bottom w:val="none" w:sz="0" w:space="0" w:color="auto"/>
                <w:right w:val="none" w:sz="0" w:space="0" w:color="auto"/>
              </w:divBdr>
              <w:divsChild>
                <w:div w:id="2054108918">
                  <w:marLeft w:val="0"/>
                  <w:marRight w:val="0"/>
                  <w:marTop w:val="0"/>
                  <w:marBottom w:val="0"/>
                  <w:divBdr>
                    <w:top w:val="none" w:sz="0" w:space="0" w:color="auto"/>
                    <w:left w:val="none" w:sz="0" w:space="0" w:color="auto"/>
                    <w:bottom w:val="none" w:sz="0" w:space="0" w:color="auto"/>
                    <w:right w:val="none" w:sz="0" w:space="0" w:color="auto"/>
                  </w:divBdr>
                  <w:divsChild>
                    <w:div w:id="970326366">
                      <w:marLeft w:val="0"/>
                      <w:marRight w:val="0"/>
                      <w:marTop w:val="0"/>
                      <w:marBottom w:val="0"/>
                      <w:divBdr>
                        <w:top w:val="none" w:sz="0" w:space="0" w:color="auto"/>
                        <w:left w:val="none" w:sz="0" w:space="0" w:color="auto"/>
                        <w:bottom w:val="none" w:sz="0" w:space="0" w:color="auto"/>
                        <w:right w:val="none" w:sz="0" w:space="0" w:color="auto"/>
                      </w:divBdr>
                      <w:divsChild>
                        <w:div w:id="824859389">
                          <w:marLeft w:val="0"/>
                          <w:marRight w:val="0"/>
                          <w:marTop w:val="100"/>
                          <w:marBottom w:val="100"/>
                          <w:divBdr>
                            <w:top w:val="none" w:sz="0" w:space="0" w:color="auto"/>
                            <w:left w:val="none" w:sz="0" w:space="0" w:color="auto"/>
                            <w:bottom w:val="none" w:sz="0" w:space="0" w:color="auto"/>
                            <w:right w:val="none" w:sz="0" w:space="0" w:color="auto"/>
                          </w:divBdr>
                          <w:divsChild>
                            <w:div w:id="865563324">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1203128738">
          <w:marLeft w:val="0"/>
          <w:marRight w:val="0"/>
          <w:marTop w:val="0"/>
          <w:marBottom w:val="0"/>
          <w:divBdr>
            <w:top w:val="none" w:sz="0" w:space="0" w:color="auto"/>
            <w:left w:val="none" w:sz="0" w:space="0" w:color="auto"/>
            <w:bottom w:val="none" w:sz="0" w:space="0" w:color="auto"/>
            <w:right w:val="none" w:sz="0" w:space="0" w:color="auto"/>
          </w:divBdr>
          <w:divsChild>
            <w:div w:id="1432121801">
              <w:marLeft w:val="0"/>
              <w:marRight w:val="0"/>
              <w:marTop w:val="0"/>
              <w:marBottom w:val="0"/>
              <w:divBdr>
                <w:top w:val="none" w:sz="0" w:space="0" w:color="auto"/>
                <w:left w:val="none" w:sz="0" w:space="0" w:color="auto"/>
                <w:bottom w:val="none" w:sz="0" w:space="0" w:color="auto"/>
                <w:right w:val="none" w:sz="0" w:space="0" w:color="auto"/>
              </w:divBdr>
              <w:divsChild>
                <w:div w:id="932860272">
                  <w:marLeft w:val="0"/>
                  <w:marRight w:val="0"/>
                  <w:marTop w:val="0"/>
                  <w:marBottom w:val="0"/>
                  <w:divBdr>
                    <w:top w:val="none" w:sz="0" w:space="0" w:color="auto"/>
                    <w:left w:val="none" w:sz="0" w:space="0" w:color="auto"/>
                    <w:bottom w:val="none" w:sz="0" w:space="0" w:color="auto"/>
                    <w:right w:val="none" w:sz="0" w:space="0" w:color="auto"/>
                  </w:divBdr>
                  <w:divsChild>
                    <w:div w:id="1960721128">
                      <w:marLeft w:val="0"/>
                      <w:marRight w:val="0"/>
                      <w:marTop w:val="0"/>
                      <w:marBottom w:val="0"/>
                      <w:divBdr>
                        <w:top w:val="none" w:sz="0" w:space="0" w:color="auto"/>
                        <w:left w:val="none" w:sz="0" w:space="0" w:color="auto"/>
                        <w:bottom w:val="none" w:sz="0" w:space="0" w:color="auto"/>
                        <w:right w:val="none" w:sz="0" w:space="0" w:color="auto"/>
                      </w:divBdr>
                      <w:divsChild>
                        <w:div w:id="1758331717">
                          <w:marLeft w:val="0"/>
                          <w:marRight w:val="0"/>
                          <w:marTop w:val="0"/>
                          <w:marBottom w:val="0"/>
                          <w:divBdr>
                            <w:top w:val="none" w:sz="0" w:space="0" w:color="auto"/>
                            <w:left w:val="none" w:sz="0" w:space="0" w:color="auto"/>
                            <w:bottom w:val="none" w:sz="0" w:space="0" w:color="auto"/>
                            <w:right w:val="none" w:sz="0" w:space="0" w:color="auto"/>
                          </w:divBdr>
                          <w:divsChild>
                            <w:div w:id="80381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93367">
                      <w:marLeft w:val="0"/>
                      <w:marRight w:val="0"/>
                      <w:marTop w:val="0"/>
                      <w:marBottom w:val="0"/>
                      <w:divBdr>
                        <w:top w:val="none" w:sz="0" w:space="0" w:color="auto"/>
                        <w:left w:val="none" w:sz="0" w:space="0" w:color="auto"/>
                        <w:bottom w:val="none" w:sz="0" w:space="0" w:color="auto"/>
                        <w:right w:val="none" w:sz="0" w:space="0" w:color="auto"/>
                      </w:divBdr>
                      <w:divsChild>
                        <w:div w:id="259799734">
                          <w:marLeft w:val="0"/>
                          <w:marRight w:val="0"/>
                          <w:marTop w:val="0"/>
                          <w:marBottom w:val="0"/>
                          <w:divBdr>
                            <w:top w:val="none" w:sz="0" w:space="0" w:color="auto"/>
                            <w:left w:val="none" w:sz="0" w:space="0" w:color="auto"/>
                            <w:bottom w:val="none" w:sz="0" w:space="0" w:color="auto"/>
                            <w:right w:val="none" w:sz="0" w:space="0" w:color="auto"/>
                          </w:divBdr>
                          <w:divsChild>
                            <w:div w:id="1239634990">
                              <w:marLeft w:val="0"/>
                              <w:marRight w:val="0"/>
                              <w:marTop w:val="0"/>
                              <w:marBottom w:val="0"/>
                              <w:divBdr>
                                <w:top w:val="none" w:sz="0" w:space="0" w:color="auto"/>
                                <w:left w:val="none" w:sz="0" w:space="0" w:color="auto"/>
                                <w:bottom w:val="none" w:sz="0" w:space="0" w:color="auto"/>
                                <w:right w:val="none" w:sz="0" w:space="0" w:color="auto"/>
                              </w:divBdr>
                              <w:divsChild>
                                <w:div w:id="1873491783">
                                  <w:marLeft w:val="0"/>
                                  <w:marRight w:val="0"/>
                                  <w:marTop w:val="0"/>
                                  <w:marBottom w:val="0"/>
                                  <w:divBdr>
                                    <w:top w:val="none" w:sz="0" w:space="0" w:color="auto"/>
                                    <w:left w:val="none" w:sz="0" w:space="0" w:color="auto"/>
                                    <w:bottom w:val="none" w:sz="0" w:space="0" w:color="auto"/>
                                    <w:right w:val="none" w:sz="0" w:space="0" w:color="auto"/>
                                  </w:divBdr>
                                  <w:divsChild>
                                    <w:div w:id="1013609630">
                                      <w:marLeft w:val="0"/>
                                      <w:marRight w:val="0"/>
                                      <w:marTop w:val="0"/>
                                      <w:marBottom w:val="0"/>
                                      <w:divBdr>
                                        <w:top w:val="none" w:sz="0" w:space="0" w:color="auto"/>
                                        <w:left w:val="none" w:sz="0" w:space="0" w:color="auto"/>
                                        <w:bottom w:val="none" w:sz="0" w:space="0" w:color="auto"/>
                                        <w:right w:val="none" w:sz="0" w:space="0" w:color="auto"/>
                                      </w:divBdr>
                                      <w:divsChild>
                                        <w:div w:id="1772704909">
                                          <w:marLeft w:val="0"/>
                                          <w:marRight w:val="0"/>
                                          <w:marTop w:val="0"/>
                                          <w:marBottom w:val="0"/>
                                          <w:divBdr>
                                            <w:top w:val="none" w:sz="0" w:space="0" w:color="auto"/>
                                            <w:left w:val="none" w:sz="0" w:space="0" w:color="auto"/>
                                            <w:bottom w:val="none" w:sz="0" w:space="0" w:color="auto"/>
                                            <w:right w:val="none" w:sz="0" w:space="0" w:color="auto"/>
                                          </w:divBdr>
                                          <w:divsChild>
                                            <w:div w:id="1303924624">
                                              <w:marLeft w:val="0"/>
                                              <w:marRight w:val="0"/>
                                              <w:marTop w:val="0"/>
                                              <w:marBottom w:val="0"/>
                                              <w:divBdr>
                                                <w:top w:val="none" w:sz="0" w:space="0" w:color="auto"/>
                                                <w:left w:val="none" w:sz="0" w:space="0" w:color="auto"/>
                                                <w:bottom w:val="none" w:sz="0" w:space="0" w:color="auto"/>
                                                <w:right w:val="none" w:sz="0" w:space="0" w:color="auto"/>
                                              </w:divBdr>
                                              <w:divsChild>
                                                <w:div w:id="1715151466">
                                                  <w:marLeft w:val="0"/>
                                                  <w:marRight w:val="0"/>
                                                  <w:marTop w:val="0"/>
                                                  <w:marBottom w:val="0"/>
                                                  <w:divBdr>
                                                    <w:top w:val="single" w:sz="24" w:space="6" w:color="auto"/>
                                                    <w:left w:val="single" w:sz="24" w:space="9" w:color="auto"/>
                                                    <w:bottom w:val="single" w:sz="24" w:space="6" w:color="auto"/>
                                                    <w:right w:val="single" w:sz="24" w:space="9" w:color="auto"/>
                                                  </w:divBdr>
                                                  <w:divsChild>
                                                    <w:div w:id="3624800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4901809">
      <w:bodyDiv w:val="1"/>
      <w:marLeft w:val="0"/>
      <w:marRight w:val="0"/>
      <w:marTop w:val="0"/>
      <w:marBottom w:val="0"/>
      <w:divBdr>
        <w:top w:val="none" w:sz="0" w:space="0" w:color="auto"/>
        <w:left w:val="none" w:sz="0" w:space="0" w:color="auto"/>
        <w:bottom w:val="none" w:sz="0" w:space="0" w:color="auto"/>
        <w:right w:val="none" w:sz="0" w:space="0" w:color="auto"/>
      </w:divBdr>
    </w:div>
    <w:div w:id="2004313930">
      <w:bodyDiv w:val="1"/>
      <w:marLeft w:val="0"/>
      <w:marRight w:val="0"/>
      <w:marTop w:val="0"/>
      <w:marBottom w:val="0"/>
      <w:divBdr>
        <w:top w:val="none" w:sz="0" w:space="0" w:color="auto"/>
        <w:left w:val="none" w:sz="0" w:space="0" w:color="auto"/>
        <w:bottom w:val="none" w:sz="0" w:space="0" w:color="auto"/>
        <w:right w:val="none" w:sz="0" w:space="0" w:color="auto"/>
      </w:divBdr>
      <w:divsChild>
        <w:div w:id="732897686">
          <w:marLeft w:val="0"/>
          <w:marRight w:val="0"/>
          <w:marTop w:val="0"/>
          <w:marBottom w:val="0"/>
          <w:divBdr>
            <w:top w:val="none" w:sz="0" w:space="0" w:color="auto"/>
            <w:left w:val="none" w:sz="0" w:space="0" w:color="auto"/>
            <w:bottom w:val="none" w:sz="0" w:space="0" w:color="auto"/>
            <w:right w:val="none" w:sz="0" w:space="0" w:color="auto"/>
          </w:divBdr>
          <w:divsChild>
            <w:div w:id="595402291">
              <w:marLeft w:val="0"/>
              <w:marRight w:val="0"/>
              <w:marTop w:val="0"/>
              <w:marBottom w:val="0"/>
              <w:divBdr>
                <w:top w:val="none" w:sz="0" w:space="0" w:color="auto"/>
                <w:left w:val="none" w:sz="0" w:space="0" w:color="auto"/>
                <w:bottom w:val="none" w:sz="0" w:space="0" w:color="auto"/>
                <w:right w:val="none" w:sz="0" w:space="0" w:color="auto"/>
              </w:divBdr>
              <w:divsChild>
                <w:div w:id="1022707658">
                  <w:marLeft w:val="0"/>
                  <w:marRight w:val="0"/>
                  <w:marTop w:val="0"/>
                  <w:marBottom w:val="0"/>
                  <w:divBdr>
                    <w:top w:val="none" w:sz="0" w:space="0" w:color="auto"/>
                    <w:left w:val="none" w:sz="0" w:space="0" w:color="auto"/>
                    <w:bottom w:val="none" w:sz="0" w:space="0" w:color="auto"/>
                    <w:right w:val="none" w:sz="0" w:space="0" w:color="auto"/>
                  </w:divBdr>
                  <w:divsChild>
                    <w:div w:id="1413552184">
                      <w:marLeft w:val="0"/>
                      <w:marRight w:val="0"/>
                      <w:marTop w:val="0"/>
                      <w:marBottom w:val="0"/>
                      <w:divBdr>
                        <w:top w:val="none" w:sz="0" w:space="0" w:color="auto"/>
                        <w:left w:val="none" w:sz="0" w:space="0" w:color="auto"/>
                        <w:bottom w:val="none" w:sz="0" w:space="0" w:color="auto"/>
                        <w:right w:val="none" w:sz="0" w:space="0" w:color="auto"/>
                      </w:divBdr>
                      <w:divsChild>
                        <w:div w:id="182596864">
                          <w:marLeft w:val="0"/>
                          <w:marRight w:val="0"/>
                          <w:marTop w:val="0"/>
                          <w:marBottom w:val="0"/>
                          <w:divBdr>
                            <w:top w:val="none" w:sz="0" w:space="0" w:color="auto"/>
                            <w:left w:val="none" w:sz="0" w:space="0" w:color="auto"/>
                            <w:bottom w:val="none" w:sz="0" w:space="0" w:color="auto"/>
                            <w:right w:val="none" w:sz="0" w:space="0" w:color="auto"/>
                          </w:divBdr>
                          <w:divsChild>
                            <w:div w:id="2119401137">
                              <w:marLeft w:val="0"/>
                              <w:marRight w:val="0"/>
                              <w:marTop w:val="0"/>
                              <w:marBottom w:val="0"/>
                              <w:divBdr>
                                <w:top w:val="single" w:sz="24" w:space="6" w:color="auto"/>
                                <w:left w:val="single" w:sz="24" w:space="9" w:color="auto"/>
                                <w:bottom w:val="single" w:sz="24" w:space="6" w:color="auto"/>
                                <w:right w:val="single" w:sz="24" w:space="9" w:color="auto"/>
                              </w:divBdr>
                              <w:divsChild>
                                <w:div w:id="81915566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8678647">
      <w:bodyDiv w:val="1"/>
      <w:marLeft w:val="0"/>
      <w:marRight w:val="0"/>
      <w:marTop w:val="0"/>
      <w:marBottom w:val="0"/>
      <w:divBdr>
        <w:top w:val="none" w:sz="0" w:space="0" w:color="auto"/>
        <w:left w:val="none" w:sz="0" w:space="0" w:color="auto"/>
        <w:bottom w:val="none" w:sz="0" w:space="0" w:color="auto"/>
        <w:right w:val="none" w:sz="0" w:space="0" w:color="auto"/>
      </w:divBdr>
      <w:divsChild>
        <w:div w:id="1214393664">
          <w:marLeft w:val="0"/>
          <w:marRight w:val="0"/>
          <w:marTop w:val="0"/>
          <w:marBottom w:val="0"/>
          <w:divBdr>
            <w:top w:val="none" w:sz="0" w:space="0" w:color="auto"/>
            <w:left w:val="none" w:sz="0" w:space="0" w:color="auto"/>
            <w:bottom w:val="none" w:sz="0" w:space="0" w:color="auto"/>
            <w:right w:val="none" w:sz="0" w:space="0" w:color="auto"/>
          </w:divBdr>
          <w:divsChild>
            <w:div w:id="2128501605">
              <w:marLeft w:val="0"/>
              <w:marRight w:val="0"/>
              <w:marTop w:val="0"/>
              <w:marBottom w:val="0"/>
              <w:divBdr>
                <w:top w:val="none" w:sz="0" w:space="0" w:color="auto"/>
                <w:left w:val="none" w:sz="0" w:space="0" w:color="auto"/>
                <w:bottom w:val="none" w:sz="0" w:space="0" w:color="auto"/>
                <w:right w:val="none" w:sz="0" w:space="0" w:color="auto"/>
              </w:divBdr>
              <w:divsChild>
                <w:div w:id="1444766647">
                  <w:marLeft w:val="0"/>
                  <w:marRight w:val="0"/>
                  <w:marTop w:val="0"/>
                  <w:marBottom w:val="0"/>
                  <w:divBdr>
                    <w:top w:val="none" w:sz="0" w:space="0" w:color="auto"/>
                    <w:left w:val="none" w:sz="0" w:space="0" w:color="auto"/>
                    <w:bottom w:val="none" w:sz="0" w:space="0" w:color="auto"/>
                    <w:right w:val="none" w:sz="0" w:space="0" w:color="auto"/>
                  </w:divBdr>
                  <w:divsChild>
                    <w:div w:id="1656647750">
                      <w:marLeft w:val="0"/>
                      <w:marRight w:val="0"/>
                      <w:marTop w:val="0"/>
                      <w:marBottom w:val="0"/>
                      <w:divBdr>
                        <w:top w:val="none" w:sz="0" w:space="0" w:color="auto"/>
                        <w:left w:val="none" w:sz="0" w:space="0" w:color="auto"/>
                        <w:bottom w:val="none" w:sz="0" w:space="0" w:color="auto"/>
                        <w:right w:val="none" w:sz="0" w:space="0" w:color="auto"/>
                      </w:divBdr>
                      <w:divsChild>
                        <w:div w:id="15497894">
                          <w:marLeft w:val="0"/>
                          <w:marRight w:val="0"/>
                          <w:marTop w:val="0"/>
                          <w:marBottom w:val="0"/>
                          <w:divBdr>
                            <w:top w:val="none" w:sz="0" w:space="0" w:color="auto"/>
                            <w:left w:val="none" w:sz="0" w:space="0" w:color="auto"/>
                            <w:bottom w:val="none" w:sz="0" w:space="0" w:color="auto"/>
                            <w:right w:val="none" w:sz="0" w:space="0" w:color="auto"/>
                          </w:divBdr>
                          <w:divsChild>
                            <w:div w:id="1913005055">
                              <w:marLeft w:val="0"/>
                              <w:marRight w:val="0"/>
                              <w:marTop w:val="0"/>
                              <w:marBottom w:val="0"/>
                              <w:divBdr>
                                <w:top w:val="single" w:sz="24" w:space="6" w:color="auto"/>
                                <w:left w:val="single" w:sz="24" w:space="9" w:color="auto"/>
                                <w:bottom w:val="single" w:sz="24" w:space="6" w:color="auto"/>
                                <w:right w:val="single" w:sz="24" w:space="9" w:color="auto"/>
                              </w:divBdr>
                              <w:divsChild>
                                <w:div w:id="142796880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8821592">
      <w:bodyDiv w:val="1"/>
      <w:marLeft w:val="0"/>
      <w:marRight w:val="0"/>
      <w:marTop w:val="0"/>
      <w:marBottom w:val="0"/>
      <w:divBdr>
        <w:top w:val="none" w:sz="0" w:space="0" w:color="auto"/>
        <w:left w:val="none" w:sz="0" w:space="0" w:color="auto"/>
        <w:bottom w:val="none" w:sz="0" w:space="0" w:color="auto"/>
        <w:right w:val="none" w:sz="0" w:space="0" w:color="auto"/>
      </w:divBdr>
      <w:divsChild>
        <w:div w:id="1988776816">
          <w:marLeft w:val="0"/>
          <w:marRight w:val="0"/>
          <w:marTop w:val="0"/>
          <w:marBottom w:val="0"/>
          <w:divBdr>
            <w:top w:val="none" w:sz="0" w:space="0" w:color="auto"/>
            <w:left w:val="none" w:sz="0" w:space="0" w:color="auto"/>
            <w:bottom w:val="none" w:sz="0" w:space="0" w:color="auto"/>
            <w:right w:val="none" w:sz="0" w:space="0" w:color="auto"/>
          </w:divBdr>
          <w:divsChild>
            <w:div w:id="225650026">
              <w:marLeft w:val="0"/>
              <w:marRight w:val="0"/>
              <w:marTop w:val="0"/>
              <w:marBottom w:val="0"/>
              <w:divBdr>
                <w:top w:val="none" w:sz="0" w:space="0" w:color="auto"/>
                <w:left w:val="none" w:sz="0" w:space="0" w:color="auto"/>
                <w:bottom w:val="none" w:sz="0" w:space="0" w:color="auto"/>
                <w:right w:val="none" w:sz="0" w:space="0" w:color="auto"/>
              </w:divBdr>
              <w:divsChild>
                <w:div w:id="1665276923">
                  <w:marLeft w:val="0"/>
                  <w:marRight w:val="0"/>
                  <w:marTop w:val="0"/>
                  <w:marBottom w:val="0"/>
                  <w:divBdr>
                    <w:top w:val="none" w:sz="0" w:space="0" w:color="auto"/>
                    <w:left w:val="none" w:sz="0" w:space="0" w:color="auto"/>
                    <w:bottom w:val="none" w:sz="0" w:space="0" w:color="auto"/>
                    <w:right w:val="none" w:sz="0" w:space="0" w:color="auto"/>
                  </w:divBdr>
                  <w:divsChild>
                    <w:div w:id="725299459">
                      <w:marLeft w:val="0"/>
                      <w:marRight w:val="0"/>
                      <w:marTop w:val="0"/>
                      <w:marBottom w:val="0"/>
                      <w:divBdr>
                        <w:top w:val="none" w:sz="0" w:space="0" w:color="auto"/>
                        <w:left w:val="none" w:sz="0" w:space="0" w:color="auto"/>
                        <w:bottom w:val="none" w:sz="0" w:space="0" w:color="auto"/>
                        <w:right w:val="none" w:sz="0" w:space="0" w:color="auto"/>
                      </w:divBdr>
                      <w:divsChild>
                        <w:div w:id="65539961">
                          <w:marLeft w:val="0"/>
                          <w:marRight w:val="0"/>
                          <w:marTop w:val="100"/>
                          <w:marBottom w:val="100"/>
                          <w:divBdr>
                            <w:top w:val="none" w:sz="0" w:space="0" w:color="auto"/>
                            <w:left w:val="none" w:sz="0" w:space="0" w:color="auto"/>
                            <w:bottom w:val="none" w:sz="0" w:space="0" w:color="auto"/>
                            <w:right w:val="none" w:sz="0" w:space="0" w:color="auto"/>
                          </w:divBdr>
                          <w:divsChild>
                            <w:div w:id="1723366769">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2091003043">
          <w:marLeft w:val="0"/>
          <w:marRight w:val="0"/>
          <w:marTop w:val="0"/>
          <w:marBottom w:val="0"/>
          <w:divBdr>
            <w:top w:val="none" w:sz="0" w:space="0" w:color="auto"/>
            <w:left w:val="none" w:sz="0" w:space="0" w:color="auto"/>
            <w:bottom w:val="none" w:sz="0" w:space="0" w:color="auto"/>
            <w:right w:val="none" w:sz="0" w:space="0" w:color="auto"/>
          </w:divBdr>
          <w:divsChild>
            <w:div w:id="1781752745">
              <w:marLeft w:val="0"/>
              <w:marRight w:val="0"/>
              <w:marTop w:val="0"/>
              <w:marBottom w:val="0"/>
              <w:divBdr>
                <w:top w:val="none" w:sz="0" w:space="0" w:color="auto"/>
                <w:left w:val="none" w:sz="0" w:space="0" w:color="auto"/>
                <w:bottom w:val="none" w:sz="0" w:space="0" w:color="auto"/>
                <w:right w:val="none" w:sz="0" w:space="0" w:color="auto"/>
              </w:divBdr>
              <w:divsChild>
                <w:div w:id="1519544470">
                  <w:marLeft w:val="0"/>
                  <w:marRight w:val="0"/>
                  <w:marTop w:val="0"/>
                  <w:marBottom w:val="0"/>
                  <w:divBdr>
                    <w:top w:val="none" w:sz="0" w:space="0" w:color="auto"/>
                    <w:left w:val="none" w:sz="0" w:space="0" w:color="auto"/>
                    <w:bottom w:val="none" w:sz="0" w:space="0" w:color="auto"/>
                    <w:right w:val="none" w:sz="0" w:space="0" w:color="auto"/>
                  </w:divBdr>
                  <w:divsChild>
                    <w:div w:id="1320962696">
                      <w:marLeft w:val="0"/>
                      <w:marRight w:val="0"/>
                      <w:marTop w:val="0"/>
                      <w:marBottom w:val="0"/>
                      <w:divBdr>
                        <w:top w:val="none" w:sz="0" w:space="0" w:color="auto"/>
                        <w:left w:val="none" w:sz="0" w:space="0" w:color="auto"/>
                        <w:bottom w:val="none" w:sz="0" w:space="0" w:color="auto"/>
                        <w:right w:val="none" w:sz="0" w:space="0" w:color="auto"/>
                      </w:divBdr>
                      <w:divsChild>
                        <w:div w:id="696929601">
                          <w:marLeft w:val="0"/>
                          <w:marRight w:val="0"/>
                          <w:marTop w:val="0"/>
                          <w:marBottom w:val="0"/>
                          <w:divBdr>
                            <w:top w:val="none" w:sz="0" w:space="0" w:color="auto"/>
                            <w:left w:val="none" w:sz="0" w:space="0" w:color="auto"/>
                            <w:bottom w:val="none" w:sz="0" w:space="0" w:color="auto"/>
                            <w:right w:val="none" w:sz="0" w:space="0" w:color="auto"/>
                          </w:divBdr>
                          <w:divsChild>
                            <w:div w:id="4399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112350">
                      <w:marLeft w:val="0"/>
                      <w:marRight w:val="0"/>
                      <w:marTop w:val="0"/>
                      <w:marBottom w:val="0"/>
                      <w:divBdr>
                        <w:top w:val="none" w:sz="0" w:space="0" w:color="auto"/>
                        <w:left w:val="none" w:sz="0" w:space="0" w:color="auto"/>
                        <w:bottom w:val="none" w:sz="0" w:space="0" w:color="auto"/>
                        <w:right w:val="none" w:sz="0" w:space="0" w:color="auto"/>
                      </w:divBdr>
                      <w:divsChild>
                        <w:div w:id="1979264072">
                          <w:marLeft w:val="0"/>
                          <w:marRight w:val="0"/>
                          <w:marTop w:val="0"/>
                          <w:marBottom w:val="0"/>
                          <w:divBdr>
                            <w:top w:val="none" w:sz="0" w:space="0" w:color="auto"/>
                            <w:left w:val="none" w:sz="0" w:space="0" w:color="auto"/>
                            <w:bottom w:val="none" w:sz="0" w:space="0" w:color="auto"/>
                            <w:right w:val="none" w:sz="0" w:space="0" w:color="auto"/>
                          </w:divBdr>
                          <w:divsChild>
                            <w:div w:id="1190028802">
                              <w:marLeft w:val="0"/>
                              <w:marRight w:val="0"/>
                              <w:marTop w:val="0"/>
                              <w:marBottom w:val="0"/>
                              <w:divBdr>
                                <w:top w:val="none" w:sz="0" w:space="0" w:color="auto"/>
                                <w:left w:val="none" w:sz="0" w:space="0" w:color="auto"/>
                                <w:bottom w:val="none" w:sz="0" w:space="0" w:color="auto"/>
                                <w:right w:val="none" w:sz="0" w:space="0" w:color="auto"/>
                              </w:divBdr>
                              <w:divsChild>
                                <w:div w:id="1419792335">
                                  <w:marLeft w:val="0"/>
                                  <w:marRight w:val="0"/>
                                  <w:marTop w:val="0"/>
                                  <w:marBottom w:val="0"/>
                                  <w:divBdr>
                                    <w:top w:val="none" w:sz="0" w:space="0" w:color="auto"/>
                                    <w:left w:val="none" w:sz="0" w:space="0" w:color="auto"/>
                                    <w:bottom w:val="none" w:sz="0" w:space="0" w:color="auto"/>
                                    <w:right w:val="none" w:sz="0" w:space="0" w:color="auto"/>
                                  </w:divBdr>
                                  <w:divsChild>
                                    <w:div w:id="1145045334">
                                      <w:marLeft w:val="0"/>
                                      <w:marRight w:val="0"/>
                                      <w:marTop w:val="0"/>
                                      <w:marBottom w:val="0"/>
                                      <w:divBdr>
                                        <w:top w:val="none" w:sz="0" w:space="0" w:color="auto"/>
                                        <w:left w:val="none" w:sz="0" w:space="0" w:color="auto"/>
                                        <w:bottom w:val="none" w:sz="0" w:space="0" w:color="auto"/>
                                        <w:right w:val="none" w:sz="0" w:space="0" w:color="auto"/>
                                      </w:divBdr>
                                      <w:divsChild>
                                        <w:div w:id="1296180338">
                                          <w:marLeft w:val="0"/>
                                          <w:marRight w:val="0"/>
                                          <w:marTop w:val="0"/>
                                          <w:marBottom w:val="0"/>
                                          <w:divBdr>
                                            <w:top w:val="none" w:sz="0" w:space="0" w:color="auto"/>
                                            <w:left w:val="none" w:sz="0" w:space="0" w:color="auto"/>
                                            <w:bottom w:val="none" w:sz="0" w:space="0" w:color="auto"/>
                                            <w:right w:val="none" w:sz="0" w:space="0" w:color="auto"/>
                                          </w:divBdr>
                                          <w:divsChild>
                                            <w:div w:id="250167125">
                                              <w:marLeft w:val="0"/>
                                              <w:marRight w:val="0"/>
                                              <w:marTop w:val="0"/>
                                              <w:marBottom w:val="0"/>
                                              <w:divBdr>
                                                <w:top w:val="none" w:sz="0" w:space="0" w:color="auto"/>
                                                <w:left w:val="none" w:sz="0" w:space="0" w:color="auto"/>
                                                <w:bottom w:val="none" w:sz="0" w:space="0" w:color="auto"/>
                                                <w:right w:val="none" w:sz="0" w:space="0" w:color="auto"/>
                                              </w:divBdr>
                                              <w:divsChild>
                                                <w:div w:id="48454976">
                                                  <w:marLeft w:val="0"/>
                                                  <w:marRight w:val="0"/>
                                                  <w:marTop w:val="0"/>
                                                  <w:marBottom w:val="0"/>
                                                  <w:divBdr>
                                                    <w:top w:val="single" w:sz="24" w:space="6" w:color="auto"/>
                                                    <w:left w:val="single" w:sz="24" w:space="9" w:color="auto"/>
                                                    <w:bottom w:val="single" w:sz="24" w:space="6" w:color="auto"/>
                                                    <w:right w:val="single" w:sz="24" w:space="9" w:color="auto"/>
                                                  </w:divBdr>
                                                  <w:divsChild>
                                                    <w:div w:id="139258109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hgplc.com/~/media/Files/I/Ihg-Plc/investors/annual-report/kpis-202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bs.hilton.com/us/en/benefits-gp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6ae733670df4d731aa45-69a7fa6948449b2129e39800b33047c8.r8.cf1.rackcdn.com/Downloads/Hilton_Recognition_1pager.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ccenture.com/ae-en/case-studies/travel/hr-transformati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forbes.com/sites/salesforce/2020/11/05/how-hilton-uses-the-golden-rule-to-drive-commercial-success/?sh=45c44f7b733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5CD2E-D41F-40F1-8F84-2553DE16E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14</Pages>
  <Words>3337</Words>
  <Characters>19027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Agrigoroaei</dc:creator>
  <cp:keywords/>
  <dc:description/>
  <cp:lastModifiedBy>Ionut Agrigoroaei</cp:lastModifiedBy>
  <cp:revision>20</cp:revision>
  <dcterms:created xsi:type="dcterms:W3CDTF">2024-06-07T03:21:00Z</dcterms:created>
  <dcterms:modified xsi:type="dcterms:W3CDTF">2024-06-07T16:27:00Z</dcterms:modified>
</cp:coreProperties>
</file>