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6A05DF" w14:textId="77777777" w:rsidR="00952F7D" w:rsidRPr="008F6C7E" w:rsidRDefault="00DF198B" w:rsidP="00063B0B">
      <w:pPr>
        <w:pStyle w:val="GraphicAnchor"/>
      </w:pPr>
      <w:r w:rsidRPr="008F6C7E">
        <w:rPr>
          <w:noProof/>
          <w:lang w:bidi="en-GB"/>
        </w:rPr>
        <w:drawing>
          <wp:anchor distT="0" distB="0" distL="114300" distR="114300" simplePos="0" relativeHeight="251658240" behindDoc="1" locked="0" layoutInCell="1" allowOverlap="1" wp14:anchorId="0AE3120E" wp14:editId="4438555D">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107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99"/>
        <w:gridCol w:w="5995"/>
        <w:gridCol w:w="1199"/>
        <w:gridCol w:w="39"/>
        <w:gridCol w:w="1160"/>
      </w:tblGrid>
      <w:tr w:rsidR="00DF198B" w:rsidRPr="008F6C7E" w14:paraId="0C730D64" w14:textId="77777777" w:rsidTr="005216DB">
        <w:trPr>
          <w:trHeight w:val="1083"/>
        </w:trPr>
        <w:tc>
          <w:tcPr>
            <w:tcW w:w="10790" w:type="dxa"/>
            <w:gridSpan w:val="7"/>
          </w:tcPr>
          <w:p w14:paraId="74701F70" w14:textId="77777777" w:rsidR="00DF198B" w:rsidRPr="008F6C7E" w:rsidRDefault="00DF198B"/>
        </w:tc>
      </w:tr>
      <w:tr w:rsidR="00DF198B" w:rsidRPr="008F6C7E" w14:paraId="6A66E37E" w14:textId="77777777" w:rsidTr="005216DB">
        <w:trPr>
          <w:trHeight w:val="1068"/>
        </w:trPr>
        <w:tc>
          <w:tcPr>
            <w:tcW w:w="1198" w:type="dxa"/>
            <w:gridSpan w:val="2"/>
            <w:tcBorders>
              <w:right w:val="single" w:sz="18" w:space="0" w:color="476166" w:themeColor="accent1"/>
            </w:tcBorders>
          </w:tcPr>
          <w:p w14:paraId="34D578FD" w14:textId="77777777" w:rsidR="00DF198B" w:rsidRPr="008F6C7E" w:rsidRDefault="00DF198B"/>
        </w:tc>
        <w:tc>
          <w:tcPr>
            <w:tcW w:w="8393" w:type="dxa"/>
            <w:gridSpan w:val="3"/>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38B7DECC" w14:textId="77777777" w:rsidR="00DE2B9A" w:rsidRDefault="00D50391" w:rsidP="00DE2B9A">
            <w:pPr>
              <w:pStyle w:val="Text"/>
              <w:jc w:val="center"/>
              <w:rPr>
                <w:rFonts w:asciiTheme="majorHAnsi" w:hAnsiTheme="majorHAnsi"/>
                <w:color w:val="476166" w:themeColor="accent1"/>
                <w:sz w:val="36"/>
                <w:szCs w:val="36"/>
              </w:rPr>
            </w:pPr>
            <w:r>
              <w:rPr>
                <w:rFonts w:asciiTheme="majorHAnsi" w:hAnsiTheme="majorHAnsi"/>
                <w:color w:val="476166" w:themeColor="accent1"/>
                <w:sz w:val="36"/>
                <w:szCs w:val="36"/>
              </w:rPr>
              <w:t>Fault Tree Analysis</w:t>
            </w:r>
          </w:p>
          <w:p w14:paraId="7C8F5C92" w14:textId="361402B0" w:rsidR="003B3EF3" w:rsidRPr="00580D25" w:rsidRDefault="00D50391" w:rsidP="00DE2B9A">
            <w:pPr>
              <w:pStyle w:val="Text"/>
              <w:jc w:val="center"/>
              <w:rPr>
                <w:rFonts w:asciiTheme="majorHAnsi" w:hAnsiTheme="majorHAnsi"/>
                <w:i/>
                <w:iCs/>
              </w:rPr>
            </w:pPr>
            <w:r>
              <w:rPr>
                <w:rFonts w:asciiTheme="majorHAnsi" w:hAnsiTheme="majorHAnsi"/>
                <w:i/>
                <w:iCs/>
                <w:color w:val="476166" w:themeColor="accent1"/>
              </w:rPr>
              <w:t>Investigation into the implementation of fault tree analysis</w:t>
            </w:r>
          </w:p>
        </w:tc>
        <w:tc>
          <w:tcPr>
            <w:tcW w:w="1199" w:type="dxa"/>
            <w:gridSpan w:val="2"/>
            <w:tcBorders>
              <w:left w:val="single" w:sz="18" w:space="0" w:color="476166" w:themeColor="accent1"/>
            </w:tcBorders>
          </w:tcPr>
          <w:p w14:paraId="22DF4500" w14:textId="77777777" w:rsidR="00DF198B" w:rsidRPr="008F6C7E" w:rsidRDefault="00DF198B"/>
        </w:tc>
      </w:tr>
      <w:tr w:rsidR="00DF198B" w:rsidRPr="008F6C7E" w14:paraId="4BA41710" w14:textId="77777777" w:rsidTr="005216DB">
        <w:trPr>
          <w:trHeight w:val="1837"/>
        </w:trPr>
        <w:tc>
          <w:tcPr>
            <w:tcW w:w="1170" w:type="dxa"/>
          </w:tcPr>
          <w:p w14:paraId="08325874" w14:textId="77777777" w:rsidR="00DF198B" w:rsidRPr="008F6C7E" w:rsidRDefault="00DF198B"/>
        </w:tc>
        <w:tc>
          <w:tcPr>
            <w:tcW w:w="8460" w:type="dxa"/>
            <w:gridSpan w:val="5"/>
          </w:tcPr>
          <w:p w14:paraId="0E782167" w14:textId="77777777" w:rsidR="00DF198B" w:rsidRPr="008F6C7E" w:rsidRDefault="00DF198B"/>
        </w:tc>
        <w:tc>
          <w:tcPr>
            <w:tcW w:w="1160" w:type="dxa"/>
          </w:tcPr>
          <w:p w14:paraId="31A615EE" w14:textId="77777777" w:rsidR="00DF198B" w:rsidRPr="008F6C7E" w:rsidRDefault="00DF198B"/>
        </w:tc>
      </w:tr>
      <w:tr w:rsidR="00DF198B" w:rsidRPr="008F6C7E" w14:paraId="091BC554" w14:textId="77777777" w:rsidTr="005216DB">
        <w:trPr>
          <w:trHeight w:val="929"/>
        </w:trPr>
        <w:tc>
          <w:tcPr>
            <w:tcW w:w="2397" w:type="dxa"/>
            <w:gridSpan w:val="3"/>
          </w:tcPr>
          <w:p w14:paraId="7115A537" w14:textId="77777777" w:rsidR="00DF198B" w:rsidRPr="008F6C7E" w:rsidRDefault="00DF198B"/>
        </w:tc>
        <w:tc>
          <w:tcPr>
            <w:tcW w:w="5995" w:type="dxa"/>
            <w:shd w:val="clear" w:color="auto" w:fill="FFFFFF" w:themeFill="background1"/>
          </w:tcPr>
          <w:p w14:paraId="6670181A" w14:textId="77777777" w:rsidR="00DF198B" w:rsidRPr="008F6C7E" w:rsidRDefault="00DF198B" w:rsidP="00DF198B">
            <w:pPr>
              <w:jc w:val="center"/>
              <w:rPr>
                <w:rFonts w:ascii="Georgia" w:hAnsi="Georgia"/>
                <w:sz w:val="48"/>
                <w:szCs w:val="48"/>
              </w:rPr>
            </w:pPr>
          </w:p>
        </w:tc>
        <w:tc>
          <w:tcPr>
            <w:tcW w:w="2398" w:type="dxa"/>
            <w:gridSpan w:val="3"/>
          </w:tcPr>
          <w:p w14:paraId="755997A7" w14:textId="77777777" w:rsidR="00DF198B" w:rsidRPr="008F6C7E" w:rsidRDefault="00DF198B"/>
        </w:tc>
      </w:tr>
      <w:tr w:rsidR="00DF198B" w:rsidRPr="008F6C7E" w14:paraId="04908794" w14:textId="77777777" w:rsidTr="005216DB">
        <w:trPr>
          <w:trHeight w:val="1460"/>
        </w:trPr>
        <w:tc>
          <w:tcPr>
            <w:tcW w:w="2397" w:type="dxa"/>
            <w:gridSpan w:val="3"/>
          </w:tcPr>
          <w:p w14:paraId="096DCB1C" w14:textId="77777777" w:rsidR="00DF198B" w:rsidRPr="008F6C7E" w:rsidRDefault="00DF198B"/>
        </w:tc>
        <w:tc>
          <w:tcPr>
            <w:tcW w:w="5995" w:type="dxa"/>
            <w:shd w:val="clear" w:color="auto" w:fill="FFFFFF" w:themeFill="background1"/>
          </w:tcPr>
          <w:p w14:paraId="5415AF5D" w14:textId="4A5C3890" w:rsidR="00DF198B" w:rsidRPr="008F6C7E" w:rsidRDefault="003B3EF3" w:rsidP="00580D25">
            <w:pPr>
              <w:pStyle w:val="Text"/>
              <w:jc w:val="center"/>
            </w:pPr>
            <w:r w:rsidRPr="00580D25">
              <w:rPr>
                <w:sz w:val="40"/>
                <w:szCs w:val="40"/>
              </w:rPr>
              <w:t>Arun Sherlock</w:t>
            </w:r>
          </w:p>
        </w:tc>
        <w:tc>
          <w:tcPr>
            <w:tcW w:w="2398" w:type="dxa"/>
            <w:gridSpan w:val="3"/>
          </w:tcPr>
          <w:p w14:paraId="5EF5537B" w14:textId="77777777" w:rsidR="00DF198B" w:rsidRPr="008F6C7E" w:rsidRDefault="00DF198B"/>
        </w:tc>
      </w:tr>
      <w:tr w:rsidR="00DF198B" w:rsidRPr="008F6C7E" w14:paraId="66B9BDB6" w14:textId="77777777" w:rsidTr="005216DB">
        <w:trPr>
          <w:trHeight w:val="8172"/>
        </w:trPr>
        <w:tc>
          <w:tcPr>
            <w:tcW w:w="2397" w:type="dxa"/>
            <w:gridSpan w:val="3"/>
            <w:vAlign w:val="bottom"/>
          </w:tcPr>
          <w:p w14:paraId="37ADEFD7" w14:textId="77777777" w:rsidR="00DF198B" w:rsidRPr="008F6C7E"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26D6D1FD" w14:textId="6B1BD5BF" w:rsidR="00DF198B" w:rsidRPr="008F6C7E" w:rsidRDefault="00DE2B9A" w:rsidP="00580D25">
            <w:pPr>
              <w:pStyle w:val="Text"/>
              <w:jc w:val="center"/>
            </w:pPr>
            <w:r>
              <w:t>15/04/2026</w:t>
            </w:r>
          </w:p>
          <w:p w14:paraId="1A42AA4F" w14:textId="77777777" w:rsidR="00874FE7" w:rsidRPr="008F6C7E" w:rsidRDefault="0030278E" w:rsidP="00580D25">
            <w:pPr>
              <w:pStyle w:val="Text"/>
              <w:jc w:val="center"/>
            </w:pPr>
            <w:sdt>
              <w:sdtPr>
                <w:id w:val="-1516760087"/>
                <w:placeholder>
                  <w:docPart w:val="2EB9699BFED241B1B293F14EC5FA4BFD"/>
                </w:placeholder>
                <w:temporary/>
                <w:showingPlcHdr/>
                <w15:appearance w15:val="hidden"/>
              </w:sdtPr>
              <w:sdtEndPr/>
              <w:sdtContent>
                <w:r w:rsidR="00874FE7" w:rsidRPr="008F6C7E">
                  <w:rPr>
                    <w:lang w:bidi="en-GB"/>
                  </w:rPr>
                  <w:t>—</w:t>
                </w:r>
              </w:sdtContent>
            </w:sdt>
          </w:p>
          <w:p w14:paraId="0A8C528C" w14:textId="6FC0253D" w:rsidR="00DF198B" w:rsidRPr="00580D25" w:rsidRDefault="00CE62DC" w:rsidP="00580D25">
            <w:pPr>
              <w:pStyle w:val="Text"/>
              <w:jc w:val="center"/>
              <w:rPr>
                <w:sz w:val="36"/>
                <w:szCs w:val="36"/>
              </w:rPr>
            </w:pPr>
            <w:r>
              <w:rPr>
                <w:sz w:val="36"/>
                <w:szCs w:val="36"/>
              </w:rPr>
              <w:t>ACDA</w:t>
            </w:r>
            <w:r w:rsidR="002960FB">
              <w:rPr>
                <w:sz w:val="36"/>
                <w:szCs w:val="36"/>
              </w:rPr>
              <w:t>-5021</w:t>
            </w:r>
          </w:p>
          <w:p w14:paraId="44478107" w14:textId="77777777" w:rsidR="00DF198B" w:rsidRPr="008F6C7E" w:rsidRDefault="0030278E" w:rsidP="00580D25">
            <w:pPr>
              <w:pStyle w:val="Text"/>
              <w:jc w:val="center"/>
            </w:pPr>
            <w:sdt>
              <w:sdtPr>
                <w:id w:val="1492440299"/>
                <w:placeholder>
                  <w:docPart w:val="6619B5E34FE7480BA16E3A0B2403525C"/>
                </w:placeholder>
                <w:temporary/>
                <w:showingPlcHdr/>
                <w15:appearance w15:val="hidden"/>
              </w:sdtPr>
              <w:sdtEndPr/>
              <w:sdtContent>
                <w:r w:rsidR="00874FE7" w:rsidRPr="008F6C7E">
                  <w:rPr>
                    <w:lang w:bidi="en-GB"/>
                  </w:rPr>
                  <w:t>—</w:t>
                </w:r>
              </w:sdtContent>
            </w:sdt>
          </w:p>
          <w:p w14:paraId="062DBDEB" w14:textId="71AC5785" w:rsidR="00DF198B" w:rsidRPr="00580D25" w:rsidRDefault="007A0323" w:rsidP="00580D25">
            <w:pPr>
              <w:pStyle w:val="Text"/>
              <w:jc w:val="center"/>
              <w:rPr>
                <w:sz w:val="36"/>
                <w:szCs w:val="36"/>
              </w:rPr>
            </w:pPr>
            <w:r>
              <w:rPr>
                <w:sz w:val="36"/>
                <w:szCs w:val="36"/>
              </w:rPr>
              <w:t>D. Holley &amp; J. Steen</w:t>
            </w:r>
          </w:p>
          <w:p w14:paraId="23DB81B7" w14:textId="77777777" w:rsidR="00DF198B" w:rsidRPr="008F6C7E" w:rsidRDefault="00DF198B" w:rsidP="00DF198B"/>
        </w:tc>
        <w:tc>
          <w:tcPr>
            <w:tcW w:w="2398" w:type="dxa"/>
            <w:gridSpan w:val="3"/>
            <w:vAlign w:val="bottom"/>
          </w:tcPr>
          <w:p w14:paraId="370C1CCD" w14:textId="77777777" w:rsidR="00DF198B" w:rsidRPr="008F6C7E" w:rsidRDefault="00DF198B" w:rsidP="00DF198B">
            <w:pPr>
              <w:jc w:val="center"/>
            </w:pPr>
          </w:p>
        </w:tc>
      </w:tr>
    </w:tbl>
    <w:sdt>
      <w:sdtPr>
        <w:rPr>
          <w:rFonts w:asciiTheme="minorHAnsi" w:eastAsiaTheme="minorHAnsi" w:hAnsiTheme="minorHAnsi" w:cstheme="minorBidi"/>
          <w:color w:val="auto"/>
          <w:sz w:val="24"/>
          <w:szCs w:val="24"/>
          <w:lang w:val="en-GB"/>
        </w:rPr>
        <w:id w:val="1038095040"/>
        <w:docPartObj>
          <w:docPartGallery w:val="Table of Contents"/>
          <w:docPartUnique/>
        </w:docPartObj>
      </w:sdtPr>
      <w:sdtEndPr>
        <w:rPr>
          <w:b/>
          <w:bCs/>
          <w:noProof/>
        </w:rPr>
      </w:sdtEndPr>
      <w:sdtContent>
        <w:p w14:paraId="54C3969A" w14:textId="0787D89E" w:rsidR="00C734B9" w:rsidRPr="005216DB" w:rsidRDefault="00C734B9">
          <w:pPr>
            <w:pStyle w:val="TOCHeading"/>
            <w:rPr>
              <w:rFonts w:asciiTheme="minorHAnsi" w:eastAsiaTheme="minorHAnsi" w:hAnsiTheme="minorHAnsi" w:cstheme="minorBidi"/>
              <w:color w:val="auto"/>
              <w:sz w:val="24"/>
              <w:szCs w:val="24"/>
              <w:lang w:val="en-GB"/>
            </w:rPr>
          </w:pPr>
          <w:r>
            <w:t>Contents</w:t>
          </w:r>
        </w:p>
        <w:p w14:paraId="704C4861" w14:textId="435C2AF7" w:rsidR="00111F17" w:rsidRDefault="00C734B9">
          <w:pPr>
            <w:pStyle w:val="TOC1"/>
            <w:tabs>
              <w:tab w:val="left" w:pos="480"/>
              <w:tab w:val="right" w:leader="dot" w:pos="10772"/>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227313132" w:history="1">
            <w:r w:rsidR="00111F17" w:rsidRPr="00A6407E">
              <w:rPr>
                <w:rStyle w:val="Hyperlink"/>
                <w:noProof/>
              </w:rPr>
              <w:t>1.</w:t>
            </w:r>
            <w:r w:rsidR="00111F17">
              <w:rPr>
                <w:rFonts w:eastAsiaTheme="minorEastAsia"/>
                <w:noProof/>
                <w:kern w:val="2"/>
                <w:lang w:eastAsia="en-GB"/>
                <w14:ligatures w14:val="standardContextual"/>
              </w:rPr>
              <w:tab/>
            </w:r>
            <w:r w:rsidR="00111F17" w:rsidRPr="00A6407E">
              <w:rPr>
                <w:rStyle w:val="Hyperlink"/>
                <w:noProof/>
              </w:rPr>
              <w:t>Abstract</w:t>
            </w:r>
            <w:r w:rsidR="00111F17">
              <w:rPr>
                <w:noProof/>
                <w:webHidden/>
              </w:rPr>
              <w:tab/>
            </w:r>
            <w:r w:rsidR="00111F17">
              <w:rPr>
                <w:noProof/>
                <w:webHidden/>
              </w:rPr>
              <w:fldChar w:fldCharType="begin"/>
            </w:r>
            <w:r w:rsidR="00111F17">
              <w:rPr>
                <w:noProof/>
                <w:webHidden/>
              </w:rPr>
              <w:instrText xml:space="preserve"> PAGEREF _Toc227313132 \h </w:instrText>
            </w:r>
            <w:r w:rsidR="00111F17">
              <w:rPr>
                <w:noProof/>
                <w:webHidden/>
              </w:rPr>
            </w:r>
            <w:r w:rsidR="00111F17">
              <w:rPr>
                <w:noProof/>
                <w:webHidden/>
              </w:rPr>
              <w:fldChar w:fldCharType="separate"/>
            </w:r>
            <w:r w:rsidR="00111F17">
              <w:rPr>
                <w:noProof/>
                <w:webHidden/>
              </w:rPr>
              <w:t>3</w:t>
            </w:r>
            <w:r w:rsidR="00111F17">
              <w:rPr>
                <w:noProof/>
                <w:webHidden/>
              </w:rPr>
              <w:fldChar w:fldCharType="end"/>
            </w:r>
          </w:hyperlink>
        </w:p>
        <w:p w14:paraId="3981AEBE" w14:textId="27B4D27B" w:rsidR="00111F17" w:rsidRDefault="00111F17">
          <w:pPr>
            <w:pStyle w:val="TOC1"/>
            <w:tabs>
              <w:tab w:val="left" w:pos="480"/>
              <w:tab w:val="right" w:leader="dot" w:pos="10772"/>
            </w:tabs>
            <w:rPr>
              <w:rFonts w:eastAsiaTheme="minorEastAsia"/>
              <w:noProof/>
              <w:kern w:val="2"/>
              <w:lang w:eastAsia="en-GB"/>
              <w14:ligatures w14:val="standardContextual"/>
            </w:rPr>
          </w:pPr>
          <w:hyperlink w:anchor="_Toc227313133" w:history="1">
            <w:r w:rsidRPr="00A6407E">
              <w:rPr>
                <w:rStyle w:val="Hyperlink"/>
                <w:noProof/>
              </w:rPr>
              <w:t>2.</w:t>
            </w:r>
            <w:r>
              <w:rPr>
                <w:rFonts w:eastAsiaTheme="minorEastAsia"/>
                <w:noProof/>
                <w:kern w:val="2"/>
                <w:lang w:eastAsia="en-GB"/>
                <w14:ligatures w14:val="standardContextual"/>
              </w:rPr>
              <w:tab/>
            </w:r>
            <w:r w:rsidRPr="00A6407E">
              <w:rPr>
                <w:rStyle w:val="Hyperlink"/>
                <w:noProof/>
              </w:rPr>
              <w:t>Introduction</w:t>
            </w:r>
            <w:r>
              <w:rPr>
                <w:noProof/>
                <w:webHidden/>
              </w:rPr>
              <w:tab/>
            </w:r>
            <w:r>
              <w:rPr>
                <w:noProof/>
                <w:webHidden/>
              </w:rPr>
              <w:fldChar w:fldCharType="begin"/>
            </w:r>
            <w:r>
              <w:rPr>
                <w:noProof/>
                <w:webHidden/>
              </w:rPr>
              <w:instrText xml:space="preserve"> PAGEREF _Toc227313133 \h </w:instrText>
            </w:r>
            <w:r>
              <w:rPr>
                <w:noProof/>
                <w:webHidden/>
              </w:rPr>
            </w:r>
            <w:r>
              <w:rPr>
                <w:noProof/>
                <w:webHidden/>
              </w:rPr>
              <w:fldChar w:fldCharType="separate"/>
            </w:r>
            <w:r>
              <w:rPr>
                <w:noProof/>
                <w:webHidden/>
              </w:rPr>
              <w:t>3</w:t>
            </w:r>
            <w:r>
              <w:rPr>
                <w:noProof/>
                <w:webHidden/>
              </w:rPr>
              <w:fldChar w:fldCharType="end"/>
            </w:r>
          </w:hyperlink>
        </w:p>
        <w:p w14:paraId="3F199274" w14:textId="702EBE85" w:rsidR="00111F17" w:rsidRDefault="00111F17">
          <w:pPr>
            <w:pStyle w:val="TOC1"/>
            <w:tabs>
              <w:tab w:val="left" w:pos="480"/>
              <w:tab w:val="right" w:leader="dot" w:pos="10772"/>
            </w:tabs>
            <w:rPr>
              <w:rFonts w:eastAsiaTheme="minorEastAsia"/>
              <w:noProof/>
              <w:kern w:val="2"/>
              <w:lang w:eastAsia="en-GB"/>
              <w14:ligatures w14:val="standardContextual"/>
            </w:rPr>
          </w:pPr>
          <w:hyperlink w:anchor="_Toc227313134" w:history="1">
            <w:r w:rsidRPr="00A6407E">
              <w:rPr>
                <w:rStyle w:val="Hyperlink"/>
                <w:noProof/>
              </w:rPr>
              <w:t>3.</w:t>
            </w:r>
            <w:r>
              <w:rPr>
                <w:rFonts w:eastAsiaTheme="minorEastAsia"/>
                <w:noProof/>
                <w:kern w:val="2"/>
                <w:lang w:eastAsia="en-GB"/>
                <w14:ligatures w14:val="standardContextual"/>
              </w:rPr>
              <w:tab/>
            </w:r>
            <w:r w:rsidRPr="00A6407E">
              <w:rPr>
                <w:rStyle w:val="Hyperlink"/>
                <w:noProof/>
              </w:rPr>
              <w:t>Fault Tree Analysis</w:t>
            </w:r>
            <w:r>
              <w:rPr>
                <w:noProof/>
                <w:webHidden/>
              </w:rPr>
              <w:tab/>
            </w:r>
            <w:r>
              <w:rPr>
                <w:noProof/>
                <w:webHidden/>
              </w:rPr>
              <w:fldChar w:fldCharType="begin"/>
            </w:r>
            <w:r>
              <w:rPr>
                <w:noProof/>
                <w:webHidden/>
              </w:rPr>
              <w:instrText xml:space="preserve"> PAGEREF _Toc227313134 \h </w:instrText>
            </w:r>
            <w:r>
              <w:rPr>
                <w:noProof/>
                <w:webHidden/>
              </w:rPr>
            </w:r>
            <w:r>
              <w:rPr>
                <w:noProof/>
                <w:webHidden/>
              </w:rPr>
              <w:fldChar w:fldCharType="separate"/>
            </w:r>
            <w:r>
              <w:rPr>
                <w:noProof/>
                <w:webHidden/>
              </w:rPr>
              <w:t>4</w:t>
            </w:r>
            <w:r>
              <w:rPr>
                <w:noProof/>
                <w:webHidden/>
              </w:rPr>
              <w:fldChar w:fldCharType="end"/>
            </w:r>
          </w:hyperlink>
        </w:p>
        <w:p w14:paraId="53144767" w14:textId="2E95EFD5" w:rsidR="00111F17" w:rsidRDefault="00111F17">
          <w:pPr>
            <w:pStyle w:val="TOC2"/>
            <w:tabs>
              <w:tab w:val="right" w:leader="dot" w:pos="10772"/>
            </w:tabs>
            <w:rPr>
              <w:rFonts w:eastAsiaTheme="minorEastAsia"/>
              <w:noProof/>
              <w:kern w:val="2"/>
              <w:lang w:eastAsia="en-GB"/>
              <w14:ligatures w14:val="standardContextual"/>
            </w:rPr>
          </w:pPr>
          <w:hyperlink w:anchor="_Toc227313135" w:history="1">
            <w:r w:rsidRPr="00A6407E">
              <w:rPr>
                <w:rStyle w:val="Hyperlink"/>
                <w:noProof/>
              </w:rPr>
              <w:t>3.1 Theory</w:t>
            </w:r>
            <w:r>
              <w:rPr>
                <w:noProof/>
                <w:webHidden/>
              </w:rPr>
              <w:tab/>
            </w:r>
            <w:r>
              <w:rPr>
                <w:noProof/>
                <w:webHidden/>
              </w:rPr>
              <w:fldChar w:fldCharType="begin"/>
            </w:r>
            <w:r>
              <w:rPr>
                <w:noProof/>
                <w:webHidden/>
              </w:rPr>
              <w:instrText xml:space="preserve"> PAGEREF _Toc227313135 \h </w:instrText>
            </w:r>
            <w:r>
              <w:rPr>
                <w:noProof/>
                <w:webHidden/>
              </w:rPr>
            </w:r>
            <w:r>
              <w:rPr>
                <w:noProof/>
                <w:webHidden/>
              </w:rPr>
              <w:fldChar w:fldCharType="separate"/>
            </w:r>
            <w:r>
              <w:rPr>
                <w:noProof/>
                <w:webHidden/>
              </w:rPr>
              <w:t>4</w:t>
            </w:r>
            <w:r>
              <w:rPr>
                <w:noProof/>
                <w:webHidden/>
              </w:rPr>
              <w:fldChar w:fldCharType="end"/>
            </w:r>
          </w:hyperlink>
        </w:p>
        <w:p w14:paraId="4C041D66" w14:textId="3255B576" w:rsidR="00111F17" w:rsidRDefault="00111F17">
          <w:pPr>
            <w:pStyle w:val="TOC2"/>
            <w:tabs>
              <w:tab w:val="left" w:pos="960"/>
              <w:tab w:val="right" w:leader="dot" w:pos="10772"/>
            </w:tabs>
            <w:rPr>
              <w:rFonts w:eastAsiaTheme="minorEastAsia"/>
              <w:noProof/>
              <w:kern w:val="2"/>
              <w:lang w:eastAsia="en-GB"/>
              <w14:ligatures w14:val="standardContextual"/>
            </w:rPr>
          </w:pPr>
          <w:hyperlink w:anchor="_Toc227313136" w:history="1">
            <w:r w:rsidRPr="00A6407E">
              <w:rPr>
                <w:rStyle w:val="Hyperlink"/>
                <w:noProof/>
              </w:rPr>
              <w:t>3.2</w:t>
            </w:r>
            <w:r>
              <w:rPr>
                <w:rFonts w:eastAsiaTheme="minorEastAsia"/>
                <w:noProof/>
                <w:kern w:val="2"/>
                <w:lang w:eastAsia="en-GB"/>
                <w14:ligatures w14:val="standardContextual"/>
              </w:rPr>
              <w:tab/>
            </w:r>
            <w:r w:rsidRPr="00A6407E">
              <w:rPr>
                <w:rStyle w:val="Hyperlink"/>
                <w:noProof/>
              </w:rPr>
              <w:t>Calculation</w:t>
            </w:r>
            <w:r>
              <w:rPr>
                <w:noProof/>
                <w:webHidden/>
              </w:rPr>
              <w:tab/>
            </w:r>
            <w:r>
              <w:rPr>
                <w:noProof/>
                <w:webHidden/>
              </w:rPr>
              <w:fldChar w:fldCharType="begin"/>
            </w:r>
            <w:r>
              <w:rPr>
                <w:noProof/>
                <w:webHidden/>
              </w:rPr>
              <w:instrText xml:space="preserve"> PAGEREF _Toc227313136 \h </w:instrText>
            </w:r>
            <w:r>
              <w:rPr>
                <w:noProof/>
                <w:webHidden/>
              </w:rPr>
            </w:r>
            <w:r>
              <w:rPr>
                <w:noProof/>
                <w:webHidden/>
              </w:rPr>
              <w:fldChar w:fldCharType="separate"/>
            </w:r>
            <w:r>
              <w:rPr>
                <w:noProof/>
                <w:webHidden/>
              </w:rPr>
              <w:t>4</w:t>
            </w:r>
            <w:r>
              <w:rPr>
                <w:noProof/>
                <w:webHidden/>
              </w:rPr>
              <w:fldChar w:fldCharType="end"/>
            </w:r>
          </w:hyperlink>
        </w:p>
        <w:p w14:paraId="54E8A9DF" w14:textId="52EE66D9" w:rsidR="00111F17" w:rsidRDefault="00111F17">
          <w:pPr>
            <w:pStyle w:val="TOC1"/>
            <w:tabs>
              <w:tab w:val="left" w:pos="480"/>
              <w:tab w:val="right" w:leader="dot" w:pos="10772"/>
            </w:tabs>
            <w:rPr>
              <w:rFonts w:eastAsiaTheme="minorEastAsia"/>
              <w:noProof/>
              <w:kern w:val="2"/>
              <w:lang w:eastAsia="en-GB"/>
              <w14:ligatures w14:val="standardContextual"/>
            </w:rPr>
          </w:pPr>
          <w:hyperlink w:anchor="_Toc227313137" w:history="1">
            <w:r w:rsidRPr="00A6407E">
              <w:rPr>
                <w:rStyle w:val="Hyperlink"/>
                <w:noProof/>
              </w:rPr>
              <w:t>4.</w:t>
            </w:r>
            <w:r>
              <w:rPr>
                <w:rFonts w:eastAsiaTheme="minorEastAsia"/>
                <w:noProof/>
                <w:kern w:val="2"/>
                <w:lang w:eastAsia="en-GB"/>
                <w14:ligatures w14:val="standardContextual"/>
              </w:rPr>
              <w:tab/>
            </w:r>
            <w:r w:rsidRPr="00A6407E">
              <w:rPr>
                <w:rStyle w:val="Hyperlink"/>
                <w:noProof/>
              </w:rPr>
              <w:t>Incorporation of Human Factors</w:t>
            </w:r>
            <w:r>
              <w:rPr>
                <w:noProof/>
                <w:webHidden/>
              </w:rPr>
              <w:tab/>
            </w:r>
            <w:r>
              <w:rPr>
                <w:noProof/>
                <w:webHidden/>
              </w:rPr>
              <w:fldChar w:fldCharType="begin"/>
            </w:r>
            <w:r>
              <w:rPr>
                <w:noProof/>
                <w:webHidden/>
              </w:rPr>
              <w:instrText xml:space="preserve"> PAGEREF _Toc227313137 \h </w:instrText>
            </w:r>
            <w:r>
              <w:rPr>
                <w:noProof/>
                <w:webHidden/>
              </w:rPr>
            </w:r>
            <w:r>
              <w:rPr>
                <w:noProof/>
                <w:webHidden/>
              </w:rPr>
              <w:fldChar w:fldCharType="separate"/>
            </w:r>
            <w:r>
              <w:rPr>
                <w:noProof/>
                <w:webHidden/>
              </w:rPr>
              <w:t>6</w:t>
            </w:r>
            <w:r>
              <w:rPr>
                <w:noProof/>
                <w:webHidden/>
              </w:rPr>
              <w:fldChar w:fldCharType="end"/>
            </w:r>
          </w:hyperlink>
        </w:p>
        <w:p w14:paraId="7CC9A55A" w14:textId="72B24A62" w:rsidR="00111F17" w:rsidRDefault="00111F17">
          <w:pPr>
            <w:pStyle w:val="TOC1"/>
            <w:tabs>
              <w:tab w:val="left" w:pos="480"/>
              <w:tab w:val="right" w:leader="dot" w:pos="10772"/>
            </w:tabs>
            <w:rPr>
              <w:rFonts w:eastAsiaTheme="minorEastAsia"/>
              <w:noProof/>
              <w:kern w:val="2"/>
              <w:lang w:eastAsia="en-GB"/>
              <w14:ligatures w14:val="standardContextual"/>
            </w:rPr>
          </w:pPr>
          <w:hyperlink w:anchor="_Toc227313138" w:history="1">
            <w:r w:rsidRPr="00A6407E">
              <w:rPr>
                <w:rStyle w:val="Hyperlink"/>
                <w:noProof/>
              </w:rPr>
              <w:t>5.</w:t>
            </w:r>
            <w:r>
              <w:rPr>
                <w:rFonts w:eastAsiaTheme="minorEastAsia"/>
                <w:noProof/>
                <w:kern w:val="2"/>
                <w:lang w:eastAsia="en-GB"/>
                <w14:ligatures w14:val="standardContextual"/>
              </w:rPr>
              <w:tab/>
            </w:r>
            <w:r w:rsidRPr="00A6407E">
              <w:rPr>
                <w:rStyle w:val="Hyperlink"/>
                <w:noProof/>
              </w:rPr>
              <w:t>Conclusions</w:t>
            </w:r>
            <w:r>
              <w:rPr>
                <w:noProof/>
                <w:webHidden/>
              </w:rPr>
              <w:tab/>
            </w:r>
            <w:r>
              <w:rPr>
                <w:noProof/>
                <w:webHidden/>
              </w:rPr>
              <w:fldChar w:fldCharType="begin"/>
            </w:r>
            <w:r>
              <w:rPr>
                <w:noProof/>
                <w:webHidden/>
              </w:rPr>
              <w:instrText xml:space="preserve"> PAGEREF _Toc227313138 \h </w:instrText>
            </w:r>
            <w:r>
              <w:rPr>
                <w:noProof/>
                <w:webHidden/>
              </w:rPr>
            </w:r>
            <w:r>
              <w:rPr>
                <w:noProof/>
                <w:webHidden/>
              </w:rPr>
              <w:fldChar w:fldCharType="separate"/>
            </w:r>
            <w:r>
              <w:rPr>
                <w:noProof/>
                <w:webHidden/>
              </w:rPr>
              <w:t>7</w:t>
            </w:r>
            <w:r>
              <w:rPr>
                <w:noProof/>
                <w:webHidden/>
              </w:rPr>
              <w:fldChar w:fldCharType="end"/>
            </w:r>
          </w:hyperlink>
        </w:p>
        <w:p w14:paraId="5ED969A0" w14:textId="70BEEC73" w:rsidR="00111F17" w:rsidRDefault="00111F17">
          <w:pPr>
            <w:pStyle w:val="TOC1"/>
            <w:tabs>
              <w:tab w:val="left" w:pos="480"/>
              <w:tab w:val="right" w:leader="dot" w:pos="10772"/>
            </w:tabs>
            <w:rPr>
              <w:rFonts w:eastAsiaTheme="minorEastAsia"/>
              <w:noProof/>
              <w:kern w:val="2"/>
              <w:lang w:eastAsia="en-GB"/>
              <w14:ligatures w14:val="standardContextual"/>
            </w:rPr>
          </w:pPr>
          <w:hyperlink w:anchor="_Toc227313139" w:history="1">
            <w:r w:rsidRPr="00A6407E">
              <w:rPr>
                <w:rStyle w:val="Hyperlink"/>
                <w:noProof/>
              </w:rPr>
              <w:t>6.</w:t>
            </w:r>
            <w:r>
              <w:rPr>
                <w:rFonts w:eastAsiaTheme="minorEastAsia"/>
                <w:noProof/>
                <w:kern w:val="2"/>
                <w:lang w:eastAsia="en-GB"/>
                <w14:ligatures w14:val="standardContextual"/>
              </w:rPr>
              <w:tab/>
            </w:r>
            <w:r w:rsidRPr="00A6407E">
              <w:rPr>
                <w:rStyle w:val="Hyperlink"/>
                <w:noProof/>
              </w:rPr>
              <w:t>References</w:t>
            </w:r>
            <w:r>
              <w:rPr>
                <w:noProof/>
                <w:webHidden/>
              </w:rPr>
              <w:tab/>
            </w:r>
            <w:r>
              <w:rPr>
                <w:noProof/>
                <w:webHidden/>
              </w:rPr>
              <w:fldChar w:fldCharType="begin"/>
            </w:r>
            <w:r>
              <w:rPr>
                <w:noProof/>
                <w:webHidden/>
              </w:rPr>
              <w:instrText xml:space="preserve"> PAGEREF _Toc227313139 \h </w:instrText>
            </w:r>
            <w:r>
              <w:rPr>
                <w:noProof/>
                <w:webHidden/>
              </w:rPr>
            </w:r>
            <w:r>
              <w:rPr>
                <w:noProof/>
                <w:webHidden/>
              </w:rPr>
              <w:fldChar w:fldCharType="separate"/>
            </w:r>
            <w:r>
              <w:rPr>
                <w:noProof/>
                <w:webHidden/>
              </w:rPr>
              <w:t>8</w:t>
            </w:r>
            <w:r>
              <w:rPr>
                <w:noProof/>
                <w:webHidden/>
              </w:rPr>
              <w:fldChar w:fldCharType="end"/>
            </w:r>
          </w:hyperlink>
        </w:p>
        <w:p w14:paraId="6E75827C" w14:textId="55B609BF" w:rsidR="00C734B9" w:rsidRDefault="00C734B9">
          <w:r>
            <w:rPr>
              <w:b/>
              <w:bCs/>
              <w:noProof/>
            </w:rPr>
            <w:fldChar w:fldCharType="end"/>
          </w:r>
        </w:p>
      </w:sdtContent>
    </w:sdt>
    <w:p w14:paraId="68015C07" w14:textId="72448212" w:rsidR="00C40AE6" w:rsidRPr="00DE2B9A" w:rsidRDefault="00C734B9" w:rsidP="00DE2B9A">
      <w:r>
        <w:br w:type="page"/>
      </w:r>
    </w:p>
    <w:p w14:paraId="5B1DA68C" w14:textId="5197F207" w:rsidR="00796441" w:rsidRDefault="00796441" w:rsidP="007A0323">
      <w:pPr>
        <w:pStyle w:val="Heading1"/>
        <w:numPr>
          <w:ilvl w:val="0"/>
          <w:numId w:val="2"/>
        </w:numPr>
      </w:pPr>
      <w:bookmarkStart w:id="0" w:name="_Toc227313132"/>
      <w:r>
        <w:lastRenderedPageBreak/>
        <w:t>Abstract</w:t>
      </w:r>
      <w:bookmarkEnd w:id="0"/>
    </w:p>
    <w:p w14:paraId="4E2B8FC7" w14:textId="3412D60E" w:rsidR="00796441" w:rsidRPr="00796441" w:rsidRDefault="006C790D" w:rsidP="00796441">
      <w:r>
        <w:t xml:space="preserve">A short calculation report, considering the </w:t>
      </w:r>
      <w:r w:rsidR="00051ADC">
        <w:t xml:space="preserve">concept of a fault tree analysis, the mathematics behind them &amp; their implementation to consider the failure probability within complex systems. Human factors are also considered, and their </w:t>
      </w:r>
      <w:r w:rsidR="00E22BAA">
        <w:t>influence on the probability of successful manufac</w:t>
      </w:r>
      <w:r w:rsidR="002F27DE">
        <w:t>turing a hot cup of tea.</w:t>
      </w:r>
    </w:p>
    <w:p w14:paraId="6382DEEC" w14:textId="70071781" w:rsidR="00C1196E" w:rsidRDefault="00C734B9" w:rsidP="007A0323">
      <w:pPr>
        <w:pStyle w:val="Heading1"/>
        <w:numPr>
          <w:ilvl w:val="0"/>
          <w:numId w:val="2"/>
        </w:numPr>
      </w:pPr>
      <w:bookmarkStart w:id="1" w:name="_Toc227313133"/>
      <w:r>
        <w:t>Introduction</w:t>
      </w:r>
      <w:bookmarkEnd w:id="1"/>
    </w:p>
    <w:p w14:paraId="25006BF6" w14:textId="6FE8CD52" w:rsidR="00D50391" w:rsidRDefault="00763007" w:rsidP="00D50391">
      <w:r>
        <w:t xml:space="preserve">A fault tree analysis is a tool which may be used to determine the </w:t>
      </w:r>
      <w:r w:rsidR="00FE5E17">
        <w:t xml:space="preserve">causes of a system failure (product or process) by </w:t>
      </w:r>
      <w:r w:rsidR="006E0D0B">
        <w:t>identifying root causes, their probabilities &amp; relationships</w:t>
      </w:r>
      <w:r w:rsidR="00FF6C48">
        <w:t xml:space="preserve"> </w:t>
      </w:r>
      <w:sdt>
        <w:sdtPr>
          <w:id w:val="1007476726"/>
          <w:citation/>
        </w:sdtPr>
        <w:sdtEndPr/>
        <w:sdtContent>
          <w:r w:rsidR="00FF6C48">
            <w:fldChar w:fldCharType="begin"/>
          </w:r>
          <w:r w:rsidR="00842F53">
            <w:instrText xml:space="preserve">CITATION Bar73 \l 2057 </w:instrText>
          </w:r>
          <w:r w:rsidR="00FF6C48">
            <w:fldChar w:fldCharType="separate"/>
          </w:r>
          <w:r w:rsidR="004769BD" w:rsidRPr="004769BD">
            <w:rPr>
              <w:noProof/>
            </w:rPr>
            <w:t>[1]</w:t>
          </w:r>
          <w:r w:rsidR="00FF6C48">
            <w:fldChar w:fldCharType="end"/>
          </w:r>
        </w:sdtContent>
      </w:sdt>
      <w:r w:rsidR="00FF6C48">
        <w:t xml:space="preserve">. This allows the user to </w:t>
      </w:r>
      <w:r w:rsidR="009F3031">
        <w:t>determine the reliability or safety of complex systems</w:t>
      </w:r>
      <w:r w:rsidR="00842F53">
        <w:t>, an</w:t>
      </w:r>
      <w:r w:rsidR="00EB795F">
        <w:t xml:space="preserve">d the identification of critical elements which could result in failure </w:t>
      </w:r>
      <w:sdt>
        <w:sdtPr>
          <w:id w:val="2075085621"/>
          <w:citation/>
        </w:sdtPr>
        <w:sdtEndPr/>
        <w:sdtContent>
          <w:r w:rsidR="00EB795F">
            <w:fldChar w:fldCharType="begin"/>
          </w:r>
          <w:r w:rsidR="00EB795F">
            <w:instrText xml:space="preserve"> CITATION Bar73 \l 2057 </w:instrText>
          </w:r>
          <w:r w:rsidR="00EB795F">
            <w:fldChar w:fldCharType="separate"/>
          </w:r>
          <w:r w:rsidR="004769BD" w:rsidRPr="004769BD">
            <w:rPr>
              <w:noProof/>
            </w:rPr>
            <w:t>[1]</w:t>
          </w:r>
          <w:r w:rsidR="00EB795F">
            <w:fldChar w:fldCharType="end"/>
          </w:r>
        </w:sdtContent>
      </w:sdt>
      <w:r w:rsidR="00EB795F">
        <w:t xml:space="preserve">. </w:t>
      </w:r>
      <w:r w:rsidR="0031494F">
        <w:t xml:space="preserve">This fault tree is built upon the concept of coherent structure failure </w:t>
      </w:r>
      <w:sdt>
        <w:sdtPr>
          <w:id w:val="-1641796490"/>
          <w:citation/>
        </w:sdtPr>
        <w:sdtEndPr/>
        <w:sdtContent>
          <w:r w:rsidR="00E9482B">
            <w:fldChar w:fldCharType="begin"/>
          </w:r>
          <w:r w:rsidR="00E9482B">
            <w:instrText xml:space="preserve"> CITATION ZWB61 \l 2057 </w:instrText>
          </w:r>
          <w:r w:rsidR="00E9482B">
            <w:fldChar w:fldCharType="separate"/>
          </w:r>
          <w:r w:rsidR="004769BD" w:rsidRPr="004769BD">
            <w:rPr>
              <w:noProof/>
            </w:rPr>
            <w:t>[2]</w:t>
          </w:r>
          <w:r w:rsidR="00E9482B">
            <w:fldChar w:fldCharType="end"/>
          </w:r>
        </w:sdtContent>
      </w:sdt>
      <w:r w:rsidR="00E9482B">
        <w:t>, wh</w:t>
      </w:r>
      <w:r w:rsidR="003E7133">
        <w:t xml:space="preserve">ich assumes that the </w:t>
      </w:r>
      <w:r w:rsidR="00EE082A">
        <w:t>where components (or process steps) fail</w:t>
      </w:r>
      <w:r w:rsidR="00217E58">
        <w:t xml:space="preserve"> the probability of system failure shall only increase</w:t>
      </w:r>
      <w:r w:rsidR="00CE4FF0">
        <w:t xml:space="preserve"> </w:t>
      </w:r>
      <w:sdt>
        <w:sdtPr>
          <w:id w:val="-175812702"/>
          <w:citation/>
        </w:sdtPr>
        <w:sdtEndPr/>
        <w:sdtContent>
          <w:r w:rsidR="00CE4FF0">
            <w:fldChar w:fldCharType="begin"/>
          </w:r>
          <w:r w:rsidR="00CE4FF0">
            <w:instrText xml:space="preserve"> CITATION ZWB61 \l 2057 </w:instrText>
          </w:r>
          <w:r w:rsidR="00CE4FF0">
            <w:fldChar w:fldCharType="separate"/>
          </w:r>
          <w:r w:rsidR="004769BD" w:rsidRPr="004769BD">
            <w:rPr>
              <w:noProof/>
            </w:rPr>
            <w:t>[2]</w:t>
          </w:r>
          <w:r w:rsidR="00CE4FF0">
            <w:fldChar w:fldCharType="end"/>
          </w:r>
        </w:sdtContent>
      </w:sdt>
      <w:r w:rsidR="00CE4FF0">
        <w:t>. The fault tree is constructed using Boolean logi</w:t>
      </w:r>
      <w:r w:rsidR="00F13E3D">
        <w:t>c, specifically and / or gates, which can be used in conjunction with quan</w:t>
      </w:r>
      <w:r w:rsidR="005657E0">
        <w:t>tative</w:t>
      </w:r>
      <w:r w:rsidR="00F13E3D">
        <w:t xml:space="preserve"> probabilities </w:t>
      </w:r>
      <w:r w:rsidR="000D1BE5">
        <w:t>to mathematically</w:t>
      </w:r>
      <w:r w:rsidR="008F4657">
        <w:t xml:space="preserve"> solve the probability of system failure</w:t>
      </w:r>
      <w:r w:rsidR="00C90B4B">
        <w:t xml:space="preserve"> </w:t>
      </w:r>
      <w:sdt>
        <w:sdtPr>
          <w:id w:val="366573434"/>
          <w:citation/>
        </w:sdtPr>
        <w:sdtEndPr/>
        <w:sdtContent>
          <w:r w:rsidR="00C90B4B">
            <w:fldChar w:fldCharType="begin"/>
          </w:r>
          <w:r w:rsidR="00C90B4B">
            <w:instrText xml:space="preserve"> CITATION Bar73 \l 2057 </w:instrText>
          </w:r>
          <w:r w:rsidR="00C90B4B">
            <w:fldChar w:fldCharType="separate"/>
          </w:r>
          <w:r w:rsidR="004769BD" w:rsidRPr="004769BD">
            <w:rPr>
              <w:noProof/>
            </w:rPr>
            <w:t>[1]</w:t>
          </w:r>
          <w:r w:rsidR="00C90B4B">
            <w:fldChar w:fldCharType="end"/>
          </w:r>
        </w:sdtContent>
      </w:sdt>
      <w:r w:rsidR="00C90B4B">
        <w:t>.</w:t>
      </w:r>
    </w:p>
    <w:p w14:paraId="6F0CB6DD" w14:textId="2051BAC5" w:rsidR="00DA24F1" w:rsidRDefault="00DA24F1" w:rsidP="00D50391">
      <w:r>
        <w:t xml:space="preserve">Human factors is the </w:t>
      </w:r>
      <w:r w:rsidR="005A5401">
        <w:t>study of human influence in process</w:t>
      </w:r>
      <w:r w:rsidR="00F5312D">
        <w:t>;</w:t>
      </w:r>
      <w:r w:rsidR="002C4147">
        <w:t xml:space="preserve"> their </w:t>
      </w:r>
      <w:r w:rsidR="00F5312D">
        <w:t xml:space="preserve">interaction with the process, their working conditions, the complexity of the task and the </w:t>
      </w:r>
      <w:r w:rsidR="002A07E8">
        <w:t>wider factors which may influence their ability to succeed in carrying out their task</w:t>
      </w:r>
      <w:sdt>
        <w:sdtPr>
          <w:id w:val="-1552989349"/>
          <w:citation/>
        </w:sdtPr>
        <w:sdtEndPr/>
        <w:sdtContent>
          <w:r w:rsidR="002A07E8">
            <w:fldChar w:fldCharType="begin"/>
          </w:r>
          <w:r w:rsidR="002A07E8">
            <w:instrText xml:space="preserve"> CITATION Hea24 \l 2057 </w:instrText>
          </w:r>
          <w:r w:rsidR="002A07E8">
            <w:fldChar w:fldCharType="separate"/>
          </w:r>
          <w:r w:rsidR="004769BD">
            <w:rPr>
              <w:noProof/>
            </w:rPr>
            <w:t xml:space="preserve"> </w:t>
          </w:r>
          <w:r w:rsidR="004769BD" w:rsidRPr="004769BD">
            <w:rPr>
              <w:noProof/>
            </w:rPr>
            <w:t>[3]</w:t>
          </w:r>
          <w:r w:rsidR="002A07E8">
            <w:fldChar w:fldCharType="end"/>
          </w:r>
        </w:sdtContent>
      </w:sdt>
      <w:r w:rsidR="002A07E8">
        <w:t>.</w:t>
      </w:r>
      <w:r w:rsidR="001A1806">
        <w:t xml:space="preserve"> In high hazard processing or where a product may pose a high hazard, a human factors analysis (HFA) </w:t>
      </w:r>
      <w:r w:rsidR="00122EFB">
        <w:t>is undertaken to better understand the potential failure modes, and identify improvements which could reduce these failures</w:t>
      </w:r>
      <w:r w:rsidR="007E73F3">
        <w:t xml:space="preserve"> </w:t>
      </w:r>
      <w:sdt>
        <w:sdtPr>
          <w:id w:val="-1559859655"/>
          <w:citation/>
        </w:sdtPr>
        <w:sdtEndPr/>
        <w:sdtContent>
          <w:r w:rsidR="007E73F3">
            <w:fldChar w:fldCharType="begin"/>
          </w:r>
          <w:r w:rsidR="007E73F3">
            <w:instrText xml:space="preserve"> CITATION Hea24 \l 2057 </w:instrText>
          </w:r>
          <w:r w:rsidR="007E73F3">
            <w:fldChar w:fldCharType="separate"/>
          </w:r>
          <w:r w:rsidR="004769BD" w:rsidRPr="004769BD">
            <w:rPr>
              <w:noProof/>
            </w:rPr>
            <w:t>[3]</w:t>
          </w:r>
          <w:r w:rsidR="007E73F3">
            <w:fldChar w:fldCharType="end"/>
          </w:r>
        </w:sdtContent>
      </w:sdt>
      <w:r w:rsidR="007E73F3">
        <w:t>.</w:t>
      </w:r>
    </w:p>
    <w:p w14:paraId="538FAA9B" w14:textId="50E8D541" w:rsidR="00886517" w:rsidRPr="00A8309C" w:rsidRDefault="00C90B4B" w:rsidP="00A8309C">
      <w:r>
        <w:t xml:space="preserve">In this study, </w:t>
      </w:r>
      <w:r w:rsidR="00612750">
        <w:t xml:space="preserve">the probability of failure during the manufacture of a hot beverage shall be investigated, </w:t>
      </w:r>
      <w:r w:rsidR="00012D50">
        <w:t xml:space="preserve">through fault tree analysis. Once completed, the effects of human factors on this process shall be </w:t>
      </w:r>
      <w:r w:rsidR="004C34C6">
        <w:t xml:space="preserve">incorporated to further develop the </w:t>
      </w:r>
      <w:r w:rsidR="000A0018">
        <w:t>scope of the study.</w:t>
      </w:r>
      <w:r w:rsidR="00886517">
        <w:br w:type="page"/>
      </w:r>
    </w:p>
    <w:p w14:paraId="2B3342DA" w14:textId="532F2AF4" w:rsidR="00D50391" w:rsidRDefault="000A0018" w:rsidP="00D50391">
      <w:pPr>
        <w:pStyle w:val="Heading1"/>
        <w:numPr>
          <w:ilvl w:val="0"/>
          <w:numId w:val="2"/>
        </w:numPr>
      </w:pPr>
      <w:bookmarkStart w:id="2" w:name="_Toc227313134"/>
      <w:r>
        <w:lastRenderedPageBreak/>
        <w:t>Fault Tree Analysis</w:t>
      </w:r>
      <w:bookmarkEnd w:id="2"/>
    </w:p>
    <w:p w14:paraId="737462B8" w14:textId="4C4E68AF" w:rsidR="00D50391" w:rsidRDefault="00472E91" w:rsidP="00472E91">
      <w:pPr>
        <w:pStyle w:val="Heading2"/>
      </w:pPr>
      <w:bookmarkStart w:id="3" w:name="_Toc227313135"/>
      <w:r>
        <w:t xml:space="preserve">3.1 </w:t>
      </w:r>
      <w:r w:rsidR="00EF7470">
        <w:t>Theory</w:t>
      </w:r>
      <w:bookmarkEnd w:id="3"/>
    </w:p>
    <w:p w14:paraId="05ADFE5C" w14:textId="667AF2DB" w:rsidR="00472E91" w:rsidRDefault="00F04BFD" w:rsidP="00472E91">
      <w:r>
        <w:t>In terms of th</w:t>
      </w:r>
      <w:r w:rsidR="00B72CFF">
        <w:t xml:space="preserve">e given problem, the manufacture </w:t>
      </w:r>
      <w:r w:rsidR="00F176B2">
        <w:t xml:space="preserve">of a hot beverage, the process is broken down into individual steps </w:t>
      </w:r>
      <w:r w:rsidR="007A1415">
        <w:t xml:space="preserve">required to complete each process task. The </w:t>
      </w:r>
      <w:r w:rsidR="00C10F75">
        <w:t>probabilities</w:t>
      </w:r>
      <w:r w:rsidR="007A1415">
        <w:t xml:space="preserve"> of the initial tasks are </w:t>
      </w:r>
      <w:r w:rsidR="00010A88">
        <w:t>defined;</w:t>
      </w:r>
      <w:r w:rsidR="007A1415">
        <w:t xml:space="preserve"> these can then be </w:t>
      </w:r>
      <w:r w:rsidR="00997B5C">
        <w:t xml:space="preserve">calculated </w:t>
      </w:r>
      <w:r>
        <w:t>through a series of equations to determine the overall probability of success</w:t>
      </w:r>
      <w:r w:rsidR="007A1415">
        <w:t>.</w:t>
      </w:r>
    </w:p>
    <w:p w14:paraId="20139AF6" w14:textId="1B3D736A" w:rsidR="00472E91" w:rsidRDefault="00EF7470" w:rsidP="00EF7470">
      <w:pPr>
        <w:pStyle w:val="Heading2"/>
        <w:numPr>
          <w:ilvl w:val="1"/>
          <w:numId w:val="2"/>
        </w:numPr>
      </w:pPr>
      <w:bookmarkStart w:id="4" w:name="_Toc227313136"/>
      <w:r>
        <w:t>Calculation</w:t>
      </w:r>
      <w:bookmarkEnd w:id="4"/>
    </w:p>
    <w:p w14:paraId="141DB82C" w14:textId="0EB622D7" w:rsidR="00886517" w:rsidRDefault="00381BF8" w:rsidP="002177A9">
      <w:r>
        <w:t xml:space="preserve">To calculate the probability of </w:t>
      </w:r>
      <w:r w:rsidR="00886517">
        <w:t xml:space="preserve">successful completion of the process, the probabilities are calculated from the base to the final level. Figure one below depicts the probabilities and their </w:t>
      </w:r>
      <w:r w:rsidR="00ED1588">
        <w:t xml:space="preserve">identifies through equations </w:t>
      </w:r>
      <w:r w:rsidR="004444E4">
        <w:t>one</w:t>
      </w:r>
      <w:r w:rsidR="00ED1588">
        <w:t xml:space="preserve"> </w:t>
      </w:r>
      <w:r w:rsidR="004444E4">
        <w:t>to nine</w:t>
      </w:r>
      <w:r w:rsidR="00ED1588">
        <w:t>.</w:t>
      </w:r>
      <w:r w:rsidR="004444E4">
        <w:t xml:space="preserve"> Equation one gives the probability of success in the operation </w:t>
      </w:r>
      <w:r w:rsidR="006E589A">
        <w:t>of manufacturing a hot cup of tea at 0.68</w:t>
      </w:r>
      <w:r w:rsidR="00A600D4">
        <w:t>49 (rounded, full answer included in equation one).</w:t>
      </w:r>
    </w:p>
    <w:p w14:paraId="4D6F0853" w14:textId="07F3D4A1" w:rsidR="002177A9" w:rsidRDefault="00010A88" w:rsidP="00ED1588">
      <w:pPr>
        <w:jc w:val="center"/>
      </w:pPr>
      <w:r>
        <w:rPr>
          <w:noProof/>
        </w:rPr>
        <w:drawing>
          <wp:inline distT="0" distB="0" distL="0" distR="0" wp14:anchorId="3030E933" wp14:editId="123EDBEA">
            <wp:extent cx="3991554" cy="2859466"/>
            <wp:effectExtent l="0" t="0" r="9525" b="0"/>
            <wp:docPr id="2112272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272503" name="Picture 2112272503"/>
                    <pic:cNvPicPr/>
                  </pic:nvPicPr>
                  <pic:blipFill>
                    <a:blip r:embed="rId12">
                      <a:extLst>
                        <a:ext uri="{28A0092B-C50C-407E-A947-70E740481C1C}">
                          <a14:useLocalDpi xmlns:a14="http://schemas.microsoft.com/office/drawing/2010/main" val="0"/>
                        </a:ext>
                      </a:extLst>
                    </a:blip>
                    <a:stretch>
                      <a:fillRect/>
                    </a:stretch>
                  </pic:blipFill>
                  <pic:spPr>
                    <a:xfrm>
                      <a:off x="0" y="0"/>
                      <a:ext cx="3998808" cy="2864662"/>
                    </a:xfrm>
                    <a:prstGeom prst="rect">
                      <a:avLst/>
                    </a:prstGeom>
                  </pic:spPr>
                </pic:pic>
              </a:graphicData>
            </a:graphic>
          </wp:inline>
        </w:drawing>
      </w:r>
    </w:p>
    <w:p w14:paraId="70698998" w14:textId="1479AC02" w:rsidR="00ED1588" w:rsidRDefault="00ED1588" w:rsidP="00E05C54">
      <w:pPr>
        <w:pStyle w:val="GraphicAnchor"/>
      </w:pPr>
      <w:r>
        <w:t>Figure 1 – Fault tree with probabilities &amp; Algebraic identifiers.</w:t>
      </w:r>
    </w:p>
    <w:p w14:paraId="5F031A5D" w14:textId="166DBFB8" w:rsidR="00E05C54" w:rsidRDefault="00C10F75" w:rsidP="00E05C54">
      <w:r>
        <w:t xml:space="preserve">The first calculations consider the probability of successfully </w:t>
      </w:r>
      <w:r w:rsidR="00E05C54">
        <w:t xml:space="preserve">having water in the kettle to enable boiling of water. Equation one defines the calculation required, where an </w:t>
      </w:r>
      <w:r w:rsidR="009B79CA">
        <w:t>“</w:t>
      </w:r>
      <w:r w:rsidR="00E05C54">
        <w:t>and</w:t>
      </w:r>
      <w:r w:rsidR="009B79CA">
        <w:t>”</w:t>
      </w:r>
      <w:r w:rsidR="00E05C54">
        <w:t xml:space="preserve"> gate is present, the probabilities are multiplied to determine the combined probability.</w:t>
      </w:r>
      <w:r w:rsidR="00323433">
        <w:t xml:space="preserve"> The specified probability defines the probability of the kettle </w:t>
      </w:r>
      <w:r w:rsidR="005B5DE8">
        <w:t>leaking;</w:t>
      </w:r>
      <w:r w:rsidR="00323433">
        <w:t xml:space="preserve"> </w:t>
      </w:r>
      <w:r w:rsidR="005B5DE8">
        <w:t>therefore,</w:t>
      </w:r>
      <w:r w:rsidR="00C83449">
        <w:t xml:space="preserve"> the inverse is required.</w:t>
      </w:r>
    </w:p>
    <w:p w14:paraId="779CC71A" w14:textId="29FA9298" w:rsidR="00E05C54" w:rsidRPr="003C61C7" w:rsidRDefault="00E05C54" w:rsidP="00E05C54">
      <w:pPr>
        <w:rPr>
          <w:rFonts w:eastAsiaTheme="minorEastAsia"/>
        </w:rPr>
      </w:pPr>
      <w:r w:rsidRPr="00E05C54">
        <w:rPr>
          <w:rFonts w:ascii="Cambria Math" w:eastAsiaTheme="minorEastAsia" w:hAnsi="Cambria Math"/>
          <w:i/>
        </w:rPr>
        <w:br/>
      </w:r>
      <m:oMathPara>
        <m:oMath>
          <m:r>
            <w:rPr>
              <w:rFonts w:ascii="Cambria Math" w:eastAsiaTheme="minorEastAsia" w:hAnsi="Cambria Math"/>
            </w:rPr>
            <m:t>P</m:t>
          </m:r>
          <m:d>
            <m:dPr>
              <m:ctrlPr>
                <w:rPr>
                  <w:rFonts w:ascii="Cambria Math" w:eastAsiaTheme="minorEastAsia" w:hAnsi="Cambria Math"/>
                  <w:i/>
                </w:rPr>
              </m:ctrlPr>
            </m:dPr>
            <m:e>
              <m:r>
                <w:rPr>
                  <w:rFonts w:ascii="Cambria Math" w:eastAsiaTheme="minorEastAsia" w:hAnsi="Cambria Math"/>
                </w:rPr>
                <m:t>A</m:t>
              </m:r>
            </m:e>
          </m:d>
          <m:r>
            <w:rPr>
              <w:rFonts w:ascii="Cambria Math" w:eastAsiaTheme="minorEastAsia" w:hAnsi="Cambria Math"/>
            </w:rPr>
            <m:t>=0.99 ×</m:t>
          </m:r>
          <m:r>
            <w:rPr>
              <w:rFonts w:ascii="Cambria Math" w:eastAsiaTheme="minorEastAsia" w:hAnsi="Cambria Math"/>
            </w:rPr>
            <m:t>(1-0.001)</m:t>
          </m:r>
          <m:r>
            <w:rPr>
              <w:rFonts w:ascii="Cambria Math" w:eastAsiaTheme="minorEastAsia" w:hAnsi="Cambria Math"/>
            </w:rPr>
            <m:t>=</m:t>
          </m:r>
          <m:r>
            <w:rPr>
              <w:rFonts w:ascii="Cambria Math" w:eastAsiaTheme="minorEastAsia" w:hAnsi="Cambria Math"/>
            </w:rPr>
            <m:t>0.98901</m:t>
          </m:r>
        </m:oMath>
      </m:oMathPara>
    </w:p>
    <w:p w14:paraId="548F215C" w14:textId="63C12887" w:rsidR="00E05C54" w:rsidRDefault="00E05C54" w:rsidP="00E05C54">
      <w:pPr>
        <w:pStyle w:val="GraphicAnchor"/>
      </w:pPr>
      <w:r>
        <w:t xml:space="preserve">Equation </w:t>
      </w:r>
      <w:r>
        <w:t>1</w:t>
      </w:r>
      <w:r>
        <w:t xml:space="preserve"> – Calculation of probability of water in kettle.</w:t>
      </w:r>
    </w:p>
    <w:p w14:paraId="4349E4B3" w14:textId="720765D8" w:rsidR="00FB3E15" w:rsidRPr="00B938B8" w:rsidRDefault="004C2A73" w:rsidP="00FB3E15">
      <w:pPr>
        <w:rPr>
          <w:rFonts w:eastAsiaTheme="minorEastAsia"/>
        </w:rPr>
      </w:pPr>
      <w:r>
        <w:t>This process is then repeated in equations two and three, where the same logic is used to determine the probabilities of power being available to the heating element within the kettle, and th</w:t>
      </w:r>
      <w:r w:rsidR="00FB3E15">
        <w:t>at milk of suitable quality is available.</w:t>
      </w:r>
      <w:r w:rsidR="00FB3E15" w:rsidRPr="00FB3E15">
        <w:rPr>
          <w:rFonts w:ascii="Cambria Math" w:eastAsiaTheme="minorEastAsia" w:hAnsi="Cambria Math"/>
          <w:i/>
        </w:rPr>
        <w:br/>
      </w:r>
      <m:oMathPara>
        <m:oMath>
          <m:r>
            <w:rPr>
              <w:rFonts w:ascii="Cambria Math" w:eastAsiaTheme="minorEastAsia" w:hAnsi="Cambria Math"/>
            </w:rPr>
            <m:t>P</m:t>
          </m:r>
          <m:d>
            <m:dPr>
              <m:ctrlPr>
                <w:rPr>
                  <w:rFonts w:ascii="Cambria Math" w:eastAsiaTheme="minorEastAsia" w:hAnsi="Cambria Math"/>
                  <w:i/>
                </w:rPr>
              </m:ctrlPr>
            </m:dPr>
            <m:e>
              <m:r>
                <w:rPr>
                  <w:rFonts w:ascii="Cambria Math" w:eastAsiaTheme="minorEastAsia" w:hAnsi="Cambria Math"/>
                </w:rPr>
                <m:t>B</m:t>
              </m:r>
            </m:e>
          </m:d>
          <m:r>
            <w:rPr>
              <w:rFonts w:ascii="Cambria Math" w:eastAsiaTheme="minorEastAsia" w:hAnsi="Cambria Math"/>
            </w:rPr>
            <m:t>=0.89 × 0.89 ×0.99 ×0.99=0.77633721</m:t>
          </m:r>
        </m:oMath>
      </m:oMathPara>
    </w:p>
    <w:p w14:paraId="04D77C4D" w14:textId="37144F3F" w:rsidR="00FB3E15" w:rsidRDefault="00FB3E15" w:rsidP="00FB3E15">
      <w:pPr>
        <w:pStyle w:val="GraphicAnchor"/>
      </w:pPr>
      <w:r>
        <w:t xml:space="preserve">Equation </w:t>
      </w:r>
      <w:r>
        <w:t>2</w:t>
      </w:r>
      <w:r>
        <w:t xml:space="preserve"> – Calculation of probability of power available to kettle element.</w:t>
      </w:r>
    </w:p>
    <w:p w14:paraId="37EDACEC" w14:textId="77777777" w:rsidR="00FB3E15" w:rsidRPr="00C70F31" w:rsidRDefault="00FB3E15" w:rsidP="00FB3E15">
      <w:pPr>
        <w:rPr>
          <w:rFonts w:eastAsiaTheme="minorEastAsia"/>
        </w:rPr>
      </w:pPr>
      <m:oMathPara>
        <m:oMath>
          <m:r>
            <w:rPr>
              <w:rFonts w:ascii="Cambria Math" w:eastAsiaTheme="minorEastAsia" w:hAnsi="Cambria Math"/>
            </w:rPr>
            <m:t>P</m:t>
          </m:r>
          <m:d>
            <m:dPr>
              <m:ctrlPr>
                <w:rPr>
                  <w:rFonts w:ascii="Cambria Math" w:eastAsiaTheme="minorEastAsia" w:hAnsi="Cambria Math"/>
                  <w:i/>
                </w:rPr>
              </m:ctrlPr>
            </m:dPr>
            <m:e>
              <m:r>
                <w:rPr>
                  <w:rFonts w:ascii="Cambria Math" w:eastAsiaTheme="minorEastAsia" w:hAnsi="Cambria Math"/>
                </w:rPr>
                <m:t>G</m:t>
              </m:r>
            </m:e>
          </m:d>
          <m:r>
            <w:rPr>
              <w:rFonts w:ascii="Cambria Math" w:eastAsiaTheme="minorEastAsia" w:hAnsi="Cambria Math"/>
            </w:rPr>
            <m:t>=0.95×0.95=0.9025</m:t>
          </m:r>
        </m:oMath>
      </m:oMathPara>
    </w:p>
    <w:p w14:paraId="340FAABC" w14:textId="6F041FEE" w:rsidR="00FB3E15" w:rsidRDefault="00FB3E15" w:rsidP="00FB3E15">
      <w:pPr>
        <w:pStyle w:val="GraphicAnchor"/>
      </w:pPr>
      <w:r>
        <w:t xml:space="preserve">Equation </w:t>
      </w:r>
      <w:r>
        <w:t>3</w:t>
      </w:r>
      <w:r>
        <w:t xml:space="preserve"> – Calculation of the probability that milk is available.</w:t>
      </w:r>
    </w:p>
    <w:p w14:paraId="59878CF8" w14:textId="1E5A932D" w:rsidR="00C10F75" w:rsidRDefault="009B79CA" w:rsidP="00C10F75">
      <w:r>
        <w:lastRenderedPageBreak/>
        <w:t xml:space="preserve">Next the </w:t>
      </w:r>
      <w:r w:rsidR="00880CE2">
        <w:t>“</w:t>
      </w:r>
      <w:r>
        <w:t>or</w:t>
      </w:r>
      <w:r w:rsidR="00880CE2">
        <w:t>”</w:t>
      </w:r>
      <w:r>
        <w:t xml:space="preserve"> gates shall be considered. As the specified </w:t>
      </w:r>
      <w:r w:rsidR="00120FE1">
        <w:t>drink required is tea, the probability of accidentally making coffee should be considered</w:t>
      </w:r>
      <w:r w:rsidR="00863026">
        <w:t xml:space="preserve">. The probabilities are considered using the “or” gate logic, </w:t>
      </w:r>
      <w:r w:rsidR="00B00F17">
        <w:t>whereby</w:t>
      </w:r>
      <w:r w:rsidR="00863026">
        <w:t xml:space="preserve"> the inverse of each is found before </w:t>
      </w:r>
      <w:r w:rsidR="00B00F17">
        <w:t>multiplying both &amp; finding the inverse of the result. This is shown in equation four.</w:t>
      </w:r>
    </w:p>
    <w:p w14:paraId="6153B54F" w14:textId="77777777" w:rsidR="00120FE1" w:rsidRPr="00C74C03" w:rsidRDefault="00120FE1" w:rsidP="00120FE1">
      <w:pPr>
        <w:rPr>
          <w:rFonts w:eastAsiaTheme="minorEastAsia"/>
        </w:rPr>
      </w:pPr>
      <m:oMathPara>
        <m:oMath>
          <m:r>
            <w:rPr>
              <w:rFonts w:ascii="Cambria Math" w:eastAsiaTheme="minorEastAsia" w:hAnsi="Cambria Math"/>
            </w:rPr>
            <m:t>P</m:t>
          </m:r>
          <m:d>
            <m:dPr>
              <m:ctrlPr>
                <w:rPr>
                  <w:rFonts w:ascii="Cambria Math" w:eastAsiaTheme="minorEastAsia" w:hAnsi="Cambria Math"/>
                  <w:i/>
                </w:rPr>
              </m:ctrlPr>
            </m:dPr>
            <m:e>
              <m:r>
                <w:rPr>
                  <w:rFonts w:ascii="Cambria Math" w:eastAsiaTheme="minorEastAsia" w:hAnsi="Cambria Math"/>
                </w:rPr>
                <m:t>E</m:t>
              </m:r>
            </m:e>
          </m:d>
          <m:r>
            <w:rPr>
              <w:rFonts w:ascii="Cambria Math" w:eastAsiaTheme="minorEastAsia" w:hAnsi="Cambria Math"/>
            </w:rPr>
            <m:t>=1-</m:t>
          </m:r>
          <m:d>
            <m:dPr>
              <m:ctrlPr>
                <w:rPr>
                  <w:rFonts w:ascii="Cambria Math" w:eastAsiaTheme="minorEastAsia" w:hAnsi="Cambria Math"/>
                  <w:i/>
                </w:rPr>
              </m:ctrlPr>
            </m:dPr>
            <m:e>
              <m:r>
                <w:rPr>
                  <w:rFonts w:ascii="Cambria Math" w:eastAsiaTheme="minorEastAsia" w:hAnsi="Cambria Math"/>
                </w:rPr>
                <m:t>1-0.98</m:t>
              </m:r>
            </m:e>
          </m:d>
          <m:d>
            <m:dPr>
              <m:ctrlPr>
                <w:rPr>
                  <w:rFonts w:ascii="Cambria Math" w:eastAsiaTheme="minorEastAsia" w:hAnsi="Cambria Math"/>
                  <w:i/>
                </w:rPr>
              </m:ctrlPr>
            </m:dPr>
            <m:e>
              <m:r>
                <w:rPr>
                  <w:rFonts w:ascii="Cambria Math" w:eastAsiaTheme="minorEastAsia" w:hAnsi="Cambria Math"/>
                </w:rPr>
                <m:t>1-0.98</m:t>
              </m:r>
            </m:e>
          </m:d>
          <m:r>
            <w:rPr>
              <w:rFonts w:ascii="Cambria Math" w:eastAsiaTheme="minorEastAsia" w:hAnsi="Cambria Math"/>
            </w:rPr>
            <m:t>=0.9996</m:t>
          </m:r>
        </m:oMath>
      </m:oMathPara>
    </w:p>
    <w:p w14:paraId="635F78A8" w14:textId="0DCA8D66" w:rsidR="00120FE1" w:rsidRDefault="00120FE1" w:rsidP="00120FE1">
      <w:pPr>
        <w:pStyle w:val="GraphicAnchor"/>
      </w:pPr>
      <w:r>
        <w:t xml:space="preserve">Equation </w:t>
      </w:r>
      <w:r>
        <w:t>4</w:t>
      </w:r>
      <w:r>
        <w:t xml:space="preserve"> – Calculation of probability that correct drink is chosen</w:t>
      </w:r>
    </w:p>
    <w:p w14:paraId="3F2AA048" w14:textId="7EA58F4F" w:rsidR="00120FE1" w:rsidRDefault="00880CE2" w:rsidP="00C10F75">
      <w:r>
        <w:t xml:space="preserve">In terms of the </w:t>
      </w:r>
      <w:r w:rsidR="00A7736D">
        <w:t xml:space="preserve">addition of either white sugar or sweetener, no option is specified in the technical description </w:t>
      </w:r>
      <w:r w:rsidR="00E313BB">
        <w:t xml:space="preserve">of the tea as to the preference, therefore, the calculation shall be considered as a standard </w:t>
      </w:r>
      <w:r w:rsidR="00F1455A">
        <w:t>or gate, where the inverse is found as detailed in equation five below.</w:t>
      </w:r>
    </w:p>
    <w:p w14:paraId="5648AA18" w14:textId="77777777" w:rsidR="00F1455A" w:rsidRPr="00C70F31" w:rsidRDefault="00F1455A" w:rsidP="00F1455A">
      <w:pPr>
        <w:rPr>
          <w:rFonts w:eastAsiaTheme="minorEastAsia"/>
        </w:rPr>
      </w:pPr>
      <m:oMathPara>
        <m:oMath>
          <m:r>
            <w:rPr>
              <w:rFonts w:ascii="Cambria Math" w:eastAsiaTheme="minorEastAsia" w:hAnsi="Cambria Math"/>
            </w:rPr>
            <m:t>P</m:t>
          </m:r>
          <m:d>
            <m:dPr>
              <m:ctrlPr>
                <w:rPr>
                  <w:rFonts w:ascii="Cambria Math" w:eastAsiaTheme="minorEastAsia" w:hAnsi="Cambria Math"/>
                  <w:i/>
                </w:rPr>
              </m:ctrlPr>
            </m:dPr>
            <m:e>
              <m:r>
                <w:rPr>
                  <w:rFonts w:ascii="Cambria Math" w:eastAsiaTheme="minorEastAsia" w:hAnsi="Cambria Math"/>
                </w:rPr>
                <m:t>F</m:t>
              </m:r>
            </m:e>
          </m:d>
          <m:r>
            <w:rPr>
              <w:rFonts w:ascii="Cambria Math" w:eastAsiaTheme="minorEastAsia" w:hAnsi="Cambria Math"/>
            </w:rPr>
            <m:t>=1-</m:t>
          </m:r>
          <m:d>
            <m:dPr>
              <m:ctrlPr>
                <w:rPr>
                  <w:rFonts w:ascii="Cambria Math" w:eastAsiaTheme="minorEastAsia" w:hAnsi="Cambria Math"/>
                  <w:i/>
                </w:rPr>
              </m:ctrlPr>
            </m:dPr>
            <m:e>
              <m:r>
                <w:rPr>
                  <w:rFonts w:ascii="Cambria Math" w:eastAsiaTheme="minorEastAsia" w:hAnsi="Cambria Math"/>
                </w:rPr>
                <m:t>1-0.88</m:t>
              </m:r>
            </m:e>
          </m:d>
          <m:d>
            <m:dPr>
              <m:ctrlPr>
                <w:rPr>
                  <w:rFonts w:ascii="Cambria Math" w:eastAsiaTheme="minorEastAsia" w:hAnsi="Cambria Math"/>
                  <w:i/>
                </w:rPr>
              </m:ctrlPr>
            </m:dPr>
            <m:e>
              <m:r>
                <w:rPr>
                  <w:rFonts w:ascii="Cambria Math" w:eastAsiaTheme="minorEastAsia" w:hAnsi="Cambria Math"/>
                </w:rPr>
                <m:t>1-0.99</m:t>
              </m:r>
            </m:e>
          </m:d>
          <m:r>
            <w:rPr>
              <w:rFonts w:ascii="Cambria Math" w:eastAsiaTheme="minorEastAsia" w:hAnsi="Cambria Math"/>
            </w:rPr>
            <m:t>=0.9988</m:t>
          </m:r>
        </m:oMath>
      </m:oMathPara>
    </w:p>
    <w:p w14:paraId="3CB242B8" w14:textId="59236EA8" w:rsidR="00F1455A" w:rsidRDefault="00F1455A" w:rsidP="00F1455A">
      <w:pPr>
        <w:pStyle w:val="GraphicAnchor"/>
      </w:pPr>
      <w:r>
        <w:t xml:space="preserve">Equation </w:t>
      </w:r>
      <w:r>
        <w:t>5</w:t>
      </w:r>
      <w:r>
        <w:t xml:space="preserve"> – Calculation of the probability that correct additive is added.</w:t>
      </w:r>
    </w:p>
    <w:p w14:paraId="7DC31DA9" w14:textId="7131511C" w:rsidR="00F1455A" w:rsidRDefault="0018471B" w:rsidP="00C10F75">
      <w:r>
        <w:t xml:space="preserve">Next, the probabilities are followed up the tree to the next stages (Hot water, Suitable Cup &amp; Ingredients in cup). These are all “and” gates, and as such the same logic applies where the probabilities are multiplied together for each. This is detailed in equations </w:t>
      </w:r>
      <w:r w:rsidR="0009627E">
        <w:t>six, seven and eight below.</w:t>
      </w:r>
    </w:p>
    <w:p w14:paraId="1723EC7A" w14:textId="04F1E621" w:rsidR="004B273F" w:rsidRPr="00CC0C58" w:rsidRDefault="00CC0C58" w:rsidP="002177A9">
      <w:pPr>
        <w:rPr>
          <w:rFonts w:eastAsiaTheme="minorEastAsia"/>
        </w:rPr>
      </w:pPr>
      <m:oMathPara>
        <m:oMath>
          <m:r>
            <w:rPr>
              <w:rFonts w:ascii="Cambria Math" w:hAnsi="Cambria Math"/>
            </w:rPr>
            <m:t>P</m:t>
          </m:r>
          <m:d>
            <m:dPr>
              <m:ctrlPr>
                <w:rPr>
                  <w:rFonts w:ascii="Cambria Math" w:hAnsi="Cambria Math"/>
                  <w:i/>
                </w:rPr>
              </m:ctrlPr>
            </m:dPr>
            <m:e>
              <m:r>
                <w:rPr>
                  <w:rFonts w:ascii="Cambria Math" w:hAnsi="Cambria Math"/>
                </w:rPr>
                <m:t>C</m:t>
              </m:r>
            </m:e>
          </m:d>
          <m:r>
            <w:rPr>
              <w:rFonts w:ascii="Cambria Math" w:hAnsi="Cambria Math"/>
            </w:rPr>
            <m:t>=P</m:t>
          </m:r>
          <m:d>
            <m:dPr>
              <m:ctrlPr>
                <w:rPr>
                  <w:rFonts w:ascii="Cambria Math" w:hAnsi="Cambria Math"/>
                  <w:i/>
                </w:rPr>
              </m:ctrlPr>
            </m:dPr>
            <m:e>
              <m:r>
                <w:rPr>
                  <w:rFonts w:ascii="Cambria Math" w:hAnsi="Cambria Math"/>
                </w:rPr>
                <m:t>A</m:t>
              </m:r>
            </m:e>
          </m:d>
          <m:r>
            <w:rPr>
              <w:rFonts w:ascii="Cambria Math" w:hAnsi="Cambria Math"/>
            </w:rPr>
            <m:t>×P</m:t>
          </m:r>
          <m:d>
            <m:dPr>
              <m:ctrlPr>
                <w:rPr>
                  <w:rFonts w:ascii="Cambria Math" w:hAnsi="Cambria Math"/>
                  <w:i/>
                </w:rPr>
              </m:ctrlPr>
            </m:dPr>
            <m:e>
              <m:r>
                <w:rPr>
                  <w:rFonts w:ascii="Cambria Math" w:hAnsi="Cambria Math"/>
                </w:rPr>
                <m:t>B</m:t>
              </m:r>
            </m:e>
          </m:d>
          <m:r>
            <w:rPr>
              <w:rFonts w:ascii="Cambria Math" w:hAnsi="Cambria Math"/>
            </w:rPr>
            <m:t>=0.7678052640621</m:t>
          </m:r>
        </m:oMath>
      </m:oMathPara>
    </w:p>
    <w:p w14:paraId="23CA5CFE" w14:textId="56B697B8" w:rsidR="00CC0C58" w:rsidRDefault="000B20F1" w:rsidP="000B20F1">
      <w:pPr>
        <w:pStyle w:val="GraphicAnchor"/>
      </w:pPr>
      <w:r>
        <w:t xml:space="preserve">Equation </w:t>
      </w:r>
      <w:r w:rsidR="0009627E">
        <w:t>6</w:t>
      </w:r>
      <w:r>
        <w:t xml:space="preserve"> – Calculation of hot water probability of success.</w:t>
      </w:r>
    </w:p>
    <w:p w14:paraId="03D2FC53" w14:textId="37B063F4" w:rsidR="00B938B8" w:rsidRPr="008C30E9" w:rsidRDefault="00B938B8" w:rsidP="002177A9">
      <w:pPr>
        <w:rPr>
          <w:rFonts w:eastAsiaTheme="minorEastAsia"/>
        </w:rPr>
      </w:pPr>
      <m:oMathPara>
        <m:oMath>
          <m:r>
            <w:rPr>
              <w:rFonts w:ascii="Cambria Math" w:eastAsiaTheme="minorEastAsia" w:hAnsi="Cambria Math"/>
            </w:rPr>
            <m:t>P</m:t>
          </m:r>
          <m:d>
            <m:dPr>
              <m:ctrlPr>
                <w:rPr>
                  <w:rFonts w:ascii="Cambria Math" w:eastAsiaTheme="minorEastAsia" w:hAnsi="Cambria Math"/>
                  <w:i/>
                </w:rPr>
              </m:ctrlPr>
            </m:dPr>
            <m:e>
              <m:r>
                <w:rPr>
                  <w:rFonts w:ascii="Cambria Math" w:eastAsiaTheme="minorEastAsia" w:hAnsi="Cambria Math"/>
                </w:rPr>
                <m:t>D</m:t>
              </m:r>
            </m:e>
          </m:d>
          <m:r>
            <w:rPr>
              <w:rFonts w:ascii="Cambria Math" w:eastAsiaTheme="minorEastAsia" w:hAnsi="Cambria Math"/>
            </w:rPr>
            <m:t>=0.99 ×1=</m:t>
          </m:r>
          <m:r>
            <w:rPr>
              <w:rFonts w:ascii="Cambria Math" w:eastAsiaTheme="minorEastAsia" w:hAnsi="Cambria Math"/>
            </w:rPr>
            <m:t>0.99</m:t>
          </m:r>
        </m:oMath>
      </m:oMathPara>
    </w:p>
    <w:p w14:paraId="589AE627" w14:textId="0379A47A" w:rsidR="008C30E9" w:rsidRDefault="004444E4" w:rsidP="004444E4">
      <w:pPr>
        <w:pStyle w:val="GraphicAnchor"/>
      </w:pPr>
      <w:r>
        <w:t xml:space="preserve">Equation </w:t>
      </w:r>
      <w:r w:rsidR="0009627E">
        <w:t>7</w:t>
      </w:r>
      <w:r>
        <w:t xml:space="preserve"> – Calculation of probability that a cup shall be available.</w:t>
      </w:r>
    </w:p>
    <w:p w14:paraId="6279341A" w14:textId="71DE40A7" w:rsidR="008C30E9" w:rsidRPr="004444E4" w:rsidRDefault="001C4DCF" w:rsidP="002177A9">
      <w:pPr>
        <w:rPr>
          <w:rFonts w:eastAsiaTheme="minorEastAsia"/>
        </w:rPr>
      </w:pPr>
      <m:oMathPara>
        <m:oMath>
          <m:r>
            <w:rPr>
              <w:rFonts w:ascii="Cambria Math" w:eastAsiaTheme="minorEastAsia" w:hAnsi="Cambria Math"/>
            </w:rPr>
            <m:t>P</m:t>
          </m:r>
          <m:d>
            <m:dPr>
              <m:ctrlPr>
                <w:rPr>
                  <w:rFonts w:ascii="Cambria Math" w:eastAsiaTheme="minorEastAsia" w:hAnsi="Cambria Math"/>
                  <w:i/>
                </w:rPr>
              </m:ctrlPr>
            </m:dPr>
            <m:e>
              <m:r>
                <w:rPr>
                  <w:rFonts w:ascii="Cambria Math" w:eastAsiaTheme="minorEastAsia" w:hAnsi="Cambria Math"/>
                </w:rPr>
                <m:t>H</m:t>
              </m:r>
            </m:e>
          </m:d>
          <m:r>
            <w:rPr>
              <w:rFonts w:ascii="Cambria Math" w:eastAsiaTheme="minorEastAsia" w:hAnsi="Cambria Math"/>
            </w:rPr>
            <m:t>=P</m:t>
          </m:r>
          <m:d>
            <m:dPr>
              <m:ctrlPr>
                <w:rPr>
                  <w:rFonts w:ascii="Cambria Math" w:eastAsiaTheme="minorEastAsia" w:hAnsi="Cambria Math"/>
                  <w:i/>
                </w:rPr>
              </m:ctrlPr>
            </m:dPr>
            <m:e>
              <m:r>
                <w:rPr>
                  <w:rFonts w:ascii="Cambria Math" w:eastAsiaTheme="minorEastAsia" w:hAnsi="Cambria Math"/>
                </w:rPr>
                <m:t>E</m:t>
              </m:r>
            </m:e>
          </m:d>
          <m:r>
            <w:rPr>
              <w:rFonts w:ascii="Cambria Math" w:eastAsiaTheme="minorEastAsia" w:hAnsi="Cambria Math"/>
            </w:rPr>
            <m:t>×P</m:t>
          </m:r>
          <m:d>
            <m:dPr>
              <m:ctrlPr>
                <w:rPr>
                  <w:rFonts w:ascii="Cambria Math" w:eastAsiaTheme="minorEastAsia" w:hAnsi="Cambria Math"/>
                  <w:i/>
                </w:rPr>
              </m:ctrlPr>
            </m:dPr>
            <m:e>
              <m:r>
                <w:rPr>
                  <w:rFonts w:ascii="Cambria Math" w:eastAsiaTheme="minorEastAsia" w:hAnsi="Cambria Math"/>
                </w:rPr>
                <m:t>F</m:t>
              </m:r>
            </m:e>
          </m:d>
          <m:r>
            <w:rPr>
              <w:rFonts w:ascii="Cambria Math" w:eastAsiaTheme="minorEastAsia" w:hAnsi="Cambria Math"/>
            </w:rPr>
            <m:t>×P</m:t>
          </m:r>
          <m:d>
            <m:dPr>
              <m:ctrlPr>
                <w:rPr>
                  <w:rFonts w:ascii="Cambria Math" w:eastAsiaTheme="minorEastAsia" w:hAnsi="Cambria Math"/>
                  <w:i/>
                </w:rPr>
              </m:ctrlPr>
            </m:dPr>
            <m:e>
              <m:r>
                <w:rPr>
                  <w:rFonts w:ascii="Cambria Math" w:eastAsiaTheme="minorEastAsia" w:hAnsi="Cambria Math"/>
                </w:rPr>
                <m:t>G</m:t>
              </m:r>
            </m:e>
          </m:d>
          <m:r>
            <w:rPr>
              <w:rFonts w:ascii="Cambria Math" w:eastAsiaTheme="minorEastAsia" w:hAnsi="Cambria Math"/>
            </w:rPr>
            <m:t>=</m:t>
          </m:r>
          <m:r>
            <w:rPr>
              <w:rFonts w:ascii="Cambria Math" w:eastAsiaTheme="minorEastAsia" w:hAnsi="Cambria Math"/>
            </w:rPr>
            <m:t>0.9010564332</m:t>
          </m:r>
        </m:oMath>
      </m:oMathPara>
    </w:p>
    <w:p w14:paraId="201ABDF6" w14:textId="7224E3B6" w:rsidR="004444E4" w:rsidRPr="001C4DCF" w:rsidRDefault="004444E4" w:rsidP="004444E4">
      <w:pPr>
        <w:pStyle w:val="GraphicAnchor"/>
      </w:pPr>
      <w:r>
        <w:t xml:space="preserve">Equation </w:t>
      </w:r>
      <w:r w:rsidR="0009627E">
        <w:t>8</w:t>
      </w:r>
      <w:r>
        <w:t xml:space="preserve"> – Calculation of probability that all relevant ingredients are in cup.</w:t>
      </w:r>
    </w:p>
    <w:p w14:paraId="35CA6D9E" w14:textId="16BC206C" w:rsidR="00C70F31" w:rsidRPr="00C70F31" w:rsidRDefault="0009627E" w:rsidP="002177A9">
      <w:pPr>
        <w:rPr>
          <w:rFonts w:eastAsiaTheme="minorEastAsia"/>
        </w:rPr>
      </w:pPr>
      <w:r>
        <w:rPr>
          <w:rFonts w:eastAsiaTheme="minorEastAsia"/>
        </w:rPr>
        <w:t xml:space="preserve">Finally, these probabilities are again </w:t>
      </w:r>
      <w:r w:rsidR="005908E5">
        <w:rPr>
          <w:rFonts w:eastAsiaTheme="minorEastAsia"/>
        </w:rPr>
        <w:t>related by an “and” gate, as such they are multiplied to determine the final probability as defined below in equation nine.</w:t>
      </w:r>
    </w:p>
    <w:p w14:paraId="466BBB04" w14:textId="77777777" w:rsidR="0018471B" w:rsidRPr="00ED1588" w:rsidRDefault="0018471B" w:rsidP="0018471B">
      <w:pPr>
        <w:rPr>
          <w:rFonts w:eastAsiaTheme="minorEastAsia"/>
        </w:rPr>
      </w:pPr>
      <m:oMathPara>
        <m:oMath>
          <m:r>
            <w:rPr>
              <w:rFonts w:ascii="Cambria Math" w:hAnsi="Cambria Math"/>
            </w:rPr>
            <m:t>P1=P</m:t>
          </m:r>
          <m:d>
            <m:dPr>
              <m:ctrlPr>
                <w:rPr>
                  <w:rFonts w:ascii="Cambria Math" w:hAnsi="Cambria Math"/>
                  <w:i/>
                </w:rPr>
              </m:ctrlPr>
            </m:dPr>
            <m:e>
              <m:r>
                <w:rPr>
                  <w:rFonts w:ascii="Cambria Math" w:hAnsi="Cambria Math"/>
                </w:rPr>
                <m:t>C</m:t>
              </m:r>
            </m:e>
          </m:d>
          <m:r>
            <w:rPr>
              <w:rFonts w:ascii="Cambria Math" w:hAnsi="Cambria Math"/>
            </w:rPr>
            <m:t>×P</m:t>
          </m:r>
          <m:d>
            <m:dPr>
              <m:ctrlPr>
                <w:rPr>
                  <w:rFonts w:ascii="Cambria Math" w:hAnsi="Cambria Math"/>
                  <w:i/>
                </w:rPr>
              </m:ctrlPr>
            </m:dPr>
            <m:e>
              <m:r>
                <w:rPr>
                  <w:rFonts w:ascii="Cambria Math" w:hAnsi="Cambria Math"/>
                </w:rPr>
                <m:t>D</m:t>
              </m:r>
            </m:e>
          </m:d>
          <m:r>
            <w:rPr>
              <w:rFonts w:ascii="Cambria Math" w:hAnsi="Cambria Math"/>
            </w:rPr>
            <m:t>×P</m:t>
          </m:r>
          <m:d>
            <m:dPr>
              <m:ctrlPr>
                <w:rPr>
                  <w:rFonts w:ascii="Cambria Math" w:hAnsi="Cambria Math"/>
                  <w:i/>
                </w:rPr>
              </m:ctrlPr>
            </m:dPr>
            <m:e>
              <m:r>
                <w:rPr>
                  <w:rFonts w:ascii="Cambria Math" w:hAnsi="Cambria Math"/>
                </w:rPr>
                <m:t>H</m:t>
              </m:r>
            </m:e>
          </m:d>
          <m:r>
            <w:rPr>
              <w:rFonts w:ascii="Cambria Math" w:hAnsi="Cambria Math"/>
            </w:rPr>
            <m:t>=</m:t>
          </m:r>
          <m:r>
            <w:rPr>
              <w:rFonts w:ascii="Cambria Math" w:hAnsi="Cambria Math"/>
            </w:rPr>
            <m:t>0.6849175139017</m:t>
          </m:r>
        </m:oMath>
      </m:oMathPara>
    </w:p>
    <w:p w14:paraId="2DF26AD6" w14:textId="37AACC84" w:rsidR="0018471B" w:rsidRDefault="0018471B" w:rsidP="0018471B">
      <w:pPr>
        <w:pStyle w:val="GraphicAnchor"/>
      </w:pPr>
      <w:r>
        <w:t xml:space="preserve">Equation </w:t>
      </w:r>
      <w:r w:rsidR="0009627E">
        <w:t>9</w:t>
      </w:r>
      <w:r>
        <w:t xml:space="preserve"> – Calculation of final probability.</w:t>
      </w:r>
    </w:p>
    <w:p w14:paraId="5FE85F5A" w14:textId="27803026" w:rsidR="005908E5" w:rsidRPr="004B273F" w:rsidRDefault="005908E5" w:rsidP="005908E5">
      <w:r>
        <w:t xml:space="preserve">The probability of successfully manufacturing a cup of tea </w:t>
      </w:r>
      <w:r w:rsidRPr="007040ED">
        <w:t xml:space="preserve">is therefore </w:t>
      </w:r>
      <w:r w:rsidR="007040ED">
        <w:t>0.6849175139017.</w:t>
      </w:r>
    </w:p>
    <w:p w14:paraId="2A445A00" w14:textId="577B2873" w:rsidR="00EF7470" w:rsidRPr="00EF7470" w:rsidRDefault="00EF7470" w:rsidP="00BF71FC">
      <w:pPr>
        <w:jc w:val="center"/>
      </w:pPr>
    </w:p>
    <w:p w14:paraId="1638615E" w14:textId="77777777" w:rsidR="005B5DE8" w:rsidRDefault="005B5DE8">
      <w:pPr>
        <w:spacing w:before="0" w:after="0"/>
        <w:rPr>
          <w:rFonts w:asciiTheme="majorHAnsi" w:hAnsiTheme="majorHAnsi"/>
          <w:b/>
          <w:color w:val="476166" w:themeColor="accent1"/>
          <w:sz w:val="52"/>
          <w:szCs w:val="52"/>
        </w:rPr>
      </w:pPr>
      <w:r>
        <w:br w:type="page"/>
      </w:r>
    </w:p>
    <w:p w14:paraId="3D760147" w14:textId="0B60A8CC" w:rsidR="00D50391" w:rsidRDefault="000A0018" w:rsidP="00D50391">
      <w:pPr>
        <w:pStyle w:val="Heading1"/>
        <w:numPr>
          <w:ilvl w:val="0"/>
          <w:numId w:val="2"/>
        </w:numPr>
      </w:pPr>
      <w:bookmarkStart w:id="5" w:name="_Toc227313137"/>
      <w:r>
        <w:lastRenderedPageBreak/>
        <w:t>Incorporation of Human Factors</w:t>
      </w:r>
      <w:bookmarkEnd w:id="5"/>
    </w:p>
    <w:p w14:paraId="368B8054" w14:textId="6936DA68" w:rsidR="00010A88" w:rsidRDefault="00A600D4" w:rsidP="00E634E9">
      <w:r>
        <w:t xml:space="preserve">The operation shall now be completed at a different time of day, </w:t>
      </w:r>
      <w:r w:rsidR="0026524A">
        <w:t>specifically during the night. This shall influence the chance of success</w:t>
      </w:r>
      <w:r w:rsidR="008C5E67">
        <w:t xml:space="preserve">, as </w:t>
      </w:r>
      <w:r w:rsidR="00C83E62">
        <w:t>humans</w:t>
      </w:r>
      <w:r w:rsidR="008C5E67">
        <w:t xml:space="preserve"> are less likely to complete tasks correctly at night. The given multipliers affect the </w:t>
      </w:r>
      <w:r w:rsidR="00917710">
        <w:t xml:space="preserve">ability to plug in &amp; switch </w:t>
      </w:r>
      <w:r w:rsidR="00C673BD">
        <w:t>on the kettle, as well as the ability to select a suitable cup. The specific effect is shown in figure 2. Equations</w:t>
      </w:r>
      <w:r w:rsidR="003F7F4A">
        <w:t xml:space="preserve"> two, six, seven and nine</w:t>
      </w:r>
      <w:r w:rsidR="00C673BD">
        <w:t xml:space="preserve"> shall remain the same as section three, as there is no change to their value</w:t>
      </w:r>
      <w:r w:rsidR="00FA5938">
        <w:t xml:space="preserve"> or influence from the changes.</w:t>
      </w:r>
    </w:p>
    <w:p w14:paraId="71CA5655" w14:textId="77777777" w:rsidR="00FA5938" w:rsidRPr="00A600D4" w:rsidRDefault="00FA5938" w:rsidP="00FA5938">
      <w:pPr>
        <w:pStyle w:val="GraphicAnchor"/>
      </w:pPr>
    </w:p>
    <w:p w14:paraId="5020C948" w14:textId="5D13C717" w:rsidR="00C71C48" w:rsidRDefault="001A7AB6" w:rsidP="004F6351">
      <w:pPr>
        <w:jc w:val="center"/>
      </w:pPr>
      <w:r>
        <w:rPr>
          <w:noProof/>
        </w:rPr>
        <w:drawing>
          <wp:inline distT="0" distB="0" distL="0" distR="0" wp14:anchorId="5AC9AF8B" wp14:editId="7FC39290">
            <wp:extent cx="3721210" cy="2757603"/>
            <wp:effectExtent l="0" t="0" r="0" b="5080"/>
            <wp:docPr id="363540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54096" name="Picture 36354096"/>
                    <pic:cNvPicPr/>
                  </pic:nvPicPr>
                  <pic:blipFill>
                    <a:blip r:embed="rId13">
                      <a:extLst>
                        <a:ext uri="{28A0092B-C50C-407E-A947-70E740481C1C}">
                          <a14:useLocalDpi xmlns:a14="http://schemas.microsoft.com/office/drawing/2010/main" val="0"/>
                        </a:ext>
                      </a:extLst>
                    </a:blip>
                    <a:stretch>
                      <a:fillRect/>
                    </a:stretch>
                  </pic:blipFill>
                  <pic:spPr>
                    <a:xfrm>
                      <a:off x="0" y="0"/>
                      <a:ext cx="3732390" cy="2765888"/>
                    </a:xfrm>
                    <a:prstGeom prst="rect">
                      <a:avLst/>
                    </a:prstGeom>
                  </pic:spPr>
                </pic:pic>
              </a:graphicData>
            </a:graphic>
          </wp:inline>
        </w:drawing>
      </w:r>
    </w:p>
    <w:p w14:paraId="7E3AA758" w14:textId="0EB07234" w:rsidR="00E634E9" w:rsidRDefault="00E634E9" w:rsidP="00E634E9">
      <w:pPr>
        <w:pStyle w:val="GraphicAnchor"/>
      </w:pPr>
      <w:r>
        <w:t>Figure 2 – Fault tree for manufacture of a cup of tea, considering human factors.</w:t>
      </w:r>
    </w:p>
    <w:p w14:paraId="4935DC5E" w14:textId="1CC6FC6C" w:rsidR="005B5DE8" w:rsidRDefault="00012DF0" w:rsidP="00012DF0">
      <w:pPr>
        <w:rPr>
          <w:rFonts w:eastAsiaTheme="minorEastAsia"/>
        </w:rPr>
      </w:pPr>
      <w:r>
        <w:rPr>
          <w:rFonts w:eastAsiaTheme="minorEastAsia"/>
        </w:rPr>
        <w:t>First</w:t>
      </w:r>
      <w:r w:rsidR="00F54D81">
        <w:rPr>
          <w:rFonts w:eastAsiaTheme="minorEastAsia"/>
        </w:rPr>
        <w:t>ly</w:t>
      </w:r>
      <w:r>
        <w:rPr>
          <w:rFonts w:eastAsiaTheme="minorEastAsia"/>
        </w:rPr>
        <w:t xml:space="preserve">, the plugged in &amp; switched in values are </w:t>
      </w:r>
      <w:r w:rsidR="00EF3A64">
        <w:rPr>
          <w:rFonts w:eastAsiaTheme="minorEastAsia"/>
        </w:rPr>
        <w:t xml:space="preserve">multiplied to determine the </w:t>
      </w:r>
      <w:r w:rsidR="00F54D81">
        <w:rPr>
          <w:rFonts w:eastAsiaTheme="minorEastAsia"/>
        </w:rPr>
        <w:t>new values, this is done within equation ten</w:t>
      </w:r>
      <w:r w:rsidR="009A43D1">
        <w:rPr>
          <w:rFonts w:eastAsiaTheme="minorEastAsia"/>
        </w:rPr>
        <w:t xml:space="preserve"> as well as determining the overall probability of having power supplied to the heating element.</w:t>
      </w:r>
    </w:p>
    <w:p w14:paraId="2C535367" w14:textId="67F5511E" w:rsidR="008E3ECD" w:rsidRPr="008E3ECD" w:rsidRDefault="008E3ECD" w:rsidP="0009565D">
      <w:pPr>
        <w:jc w:val="center"/>
        <w:rPr>
          <w:rFonts w:eastAsiaTheme="minorEastAsia"/>
        </w:rPr>
      </w:pPr>
      <m:oMathPara>
        <m:oMath>
          <m:r>
            <w:rPr>
              <w:rFonts w:ascii="Cambria Math" w:eastAsiaTheme="minorEastAsia" w:hAnsi="Cambria Math"/>
            </w:rPr>
            <m:t>P</m:t>
          </m:r>
          <m:d>
            <m:dPr>
              <m:ctrlPr>
                <w:rPr>
                  <w:rFonts w:ascii="Cambria Math" w:eastAsiaTheme="minorEastAsia" w:hAnsi="Cambria Math"/>
                  <w:i/>
                </w:rPr>
              </m:ctrlPr>
            </m:dPr>
            <m:e>
              <m:r>
                <w:rPr>
                  <w:rFonts w:ascii="Cambria Math" w:eastAsiaTheme="minorEastAsia" w:hAnsi="Cambria Math"/>
                </w:rPr>
                <m:t>B2</m:t>
              </m:r>
            </m:e>
          </m:d>
          <m:r>
            <w:rPr>
              <w:rFonts w:ascii="Cambria Math" w:eastAsiaTheme="minorEastAsia" w:hAnsi="Cambria Math"/>
            </w:rPr>
            <m:t>=(0.89 ×0.75)×(0.89×0.75) ×0.99 ×0.99=0.436689680625</m:t>
          </m:r>
        </m:oMath>
      </m:oMathPara>
    </w:p>
    <w:p w14:paraId="7DA2B6AF" w14:textId="08656988" w:rsidR="008E3ECD" w:rsidRDefault="009A43D1" w:rsidP="009A43D1">
      <w:pPr>
        <w:pStyle w:val="GraphicAnchor"/>
      </w:pPr>
      <w:r>
        <w:t>Equation 10 – Determining the probability of having power supplied to element with human factors considered.</w:t>
      </w:r>
    </w:p>
    <w:p w14:paraId="576CEA63" w14:textId="1ECD8572" w:rsidR="00E634E9" w:rsidRDefault="00B76085" w:rsidP="00E634E9">
      <w:r>
        <w:t xml:space="preserve">Next, the probability of selecting a suitable </w:t>
      </w:r>
      <w:r w:rsidR="000A6F0A">
        <w:t>cup</w:t>
      </w:r>
      <w:r>
        <w:t xml:space="preserve"> is considered. Again, the probability is multiplied by the percentage to determine the new value, however in this calculation </w:t>
      </w:r>
      <w:r w:rsidR="00633388">
        <w:t>both “in good order” and “available” are considered. This is defined below in equation eleven.</w:t>
      </w:r>
    </w:p>
    <w:p w14:paraId="2B3BEB5C" w14:textId="251D7762" w:rsidR="008E3ECD" w:rsidRPr="00734D08" w:rsidRDefault="008E3ECD" w:rsidP="008E3ECD">
      <w:pPr>
        <w:rPr>
          <w:rFonts w:eastAsiaTheme="minorEastAsia"/>
        </w:rPr>
      </w:pPr>
      <m:oMathPara>
        <m:oMath>
          <m:r>
            <w:rPr>
              <w:rFonts w:ascii="Cambria Math" w:eastAsiaTheme="minorEastAsia" w:hAnsi="Cambria Math"/>
            </w:rPr>
            <m:t>P</m:t>
          </m:r>
          <m:d>
            <m:dPr>
              <m:ctrlPr>
                <w:rPr>
                  <w:rFonts w:ascii="Cambria Math" w:eastAsiaTheme="minorEastAsia" w:hAnsi="Cambria Math"/>
                  <w:i/>
                </w:rPr>
              </m:ctrlPr>
            </m:dPr>
            <m:e>
              <m:r>
                <w:rPr>
                  <w:rFonts w:ascii="Cambria Math" w:eastAsiaTheme="minorEastAsia" w:hAnsi="Cambria Math"/>
                </w:rPr>
                <m:t>D2</m:t>
              </m:r>
            </m:e>
          </m:d>
          <m:r>
            <w:rPr>
              <w:rFonts w:ascii="Cambria Math" w:eastAsiaTheme="minorEastAsia" w:hAnsi="Cambria Math"/>
            </w:rPr>
            <m:t>=(0.99 ×1)×0.9=0.891</m:t>
          </m:r>
        </m:oMath>
      </m:oMathPara>
    </w:p>
    <w:p w14:paraId="1114DF0B" w14:textId="4FC27AB6" w:rsidR="00734D08" w:rsidRDefault="00633388" w:rsidP="00633388">
      <w:pPr>
        <w:pStyle w:val="GraphicAnchor"/>
      </w:pPr>
      <w:r>
        <w:t>Equation 11 – Determining the probability of selecting a suitable mug.</w:t>
      </w:r>
    </w:p>
    <w:p w14:paraId="27E96437" w14:textId="1784D480" w:rsidR="000A6F0A" w:rsidRPr="00734D08" w:rsidRDefault="000A6F0A" w:rsidP="000A6F0A">
      <w:r>
        <w:t>Finally, these changes are flowed up the tree. To determine the new</w:t>
      </w:r>
      <w:r w:rsidR="003E6C03">
        <w:t xml:space="preserve"> probability of having hot water available, the </w:t>
      </w:r>
      <w:r w:rsidR="00F651A0">
        <w:t>“</w:t>
      </w:r>
      <w:r w:rsidR="003E6C03">
        <w:t>and</w:t>
      </w:r>
      <w:r w:rsidR="00F651A0">
        <w:t>”</w:t>
      </w:r>
      <w:r w:rsidR="003E6C03">
        <w:t xml:space="preserve"> gate probabilities below are multiplied in equation twelve.</w:t>
      </w:r>
      <w:r>
        <w:t xml:space="preserve"> As the probability of selecting a suitable cup is at the final and gate, </w:t>
      </w:r>
      <w:r w:rsidR="003E6C03">
        <w:t>it is simply inputted into the final calculation as described in equation thirteen.</w:t>
      </w:r>
    </w:p>
    <w:p w14:paraId="16BE1154" w14:textId="2B1AEA1A" w:rsidR="00734D08" w:rsidRPr="000A7CF0" w:rsidRDefault="00734D08" w:rsidP="00734D08">
      <w:pPr>
        <w:rPr>
          <w:rFonts w:eastAsiaTheme="minorEastAsia"/>
        </w:rPr>
      </w:pPr>
      <m:oMathPara>
        <m:oMath>
          <m:r>
            <w:rPr>
              <w:rFonts w:ascii="Cambria Math" w:hAnsi="Cambria Math"/>
            </w:rPr>
            <m:t>P</m:t>
          </m:r>
          <m:d>
            <m:dPr>
              <m:ctrlPr>
                <w:rPr>
                  <w:rFonts w:ascii="Cambria Math" w:hAnsi="Cambria Math"/>
                  <w:i/>
                </w:rPr>
              </m:ctrlPr>
            </m:dPr>
            <m:e>
              <m:r>
                <w:rPr>
                  <w:rFonts w:ascii="Cambria Math" w:hAnsi="Cambria Math"/>
                </w:rPr>
                <m:t>C2</m:t>
              </m:r>
            </m:e>
          </m:d>
          <m:r>
            <w:rPr>
              <w:rFonts w:ascii="Cambria Math" w:hAnsi="Cambria Math"/>
            </w:rPr>
            <m:t>=P</m:t>
          </m:r>
          <m:d>
            <m:dPr>
              <m:ctrlPr>
                <w:rPr>
                  <w:rFonts w:ascii="Cambria Math" w:hAnsi="Cambria Math"/>
                  <w:i/>
                </w:rPr>
              </m:ctrlPr>
            </m:dPr>
            <m:e>
              <m:r>
                <w:rPr>
                  <w:rFonts w:ascii="Cambria Math" w:hAnsi="Cambria Math"/>
                </w:rPr>
                <m:t>A</m:t>
              </m:r>
            </m:e>
          </m:d>
          <m:r>
            <w:rPr>
              <w:rFonts w:ascii="Cambria Math" w:hAnsi="Cambria Math"/>
            </w:rPr>
            <m:t>×P</m:t>
          </m:r>
          <m:d>
            <m:dPr>
              <m:ctrlPr>
                <w:rPr>
                  <w:rFonts w:ascii="Cambria Math" w:hAnsi="Cambria Math"/>
                  <w:i/>
                </w:rPr>
              </m:ctrlPr>
            </m:dPr>
            <m:e>
              <m:r>
                <w:rPr>
                  <w:rFonts w:ascii="Cambria Math" w:hAnsi="Cambria Math"/>
                </w:rPr>
                <m:t>B2</m:t>
              </m:r>
            </m:e>
          </m:d>
          <m:r>
            <w:rPr>
              <w:rFonts w:ascii="Cambria Math" w:hAnsi="Cambria Math"/>
            </w:rPr>
            <m:t>=</m:t>
          </m:r>
          <m:r>
            <w:rPr>
              <w:rFonts w:ascii="Cambria Math" w:hAnsi="Cambria Math"/>
            </w:rPr>
            <m:t>0.431</m:t>
          </m:r>
          <m:r>
            <w:rPr>
              <w:rFonts w:ascii="Cambria Math" w:hAnsi="Cambria Math"/>
            </w:rPr>
            <m:t>89046103493</m:t>
          </m:r>
          <m:r>
            <w:rPr>
              <w:rFonts w:ascii="Cambria Math" w:hAnsi="Cambria Math"/>
            </w:rPr>
            <m:t xml:space="preserve"> </m:t>
          </m:r>
        </m:oMath>
      </m:oMathPara>
    </w:p>
    <w:p w14:paraId="51F52D65" w14:textId="26A6607C" w:rsidR="000A7CF0" w:rsidRPr="00CC0C58" w:rsidRDefault="003E6C03" w:rsidP="003E6C03">
      <w:pPr>
        <w:pStyle w:val="GraphicAnchor"/>
      </w:pPr>
      <w:r>
        <w:t>Equation 12 – Determining the probability of having hot water available.</w:t>
      </w:r>
    </w:p>
    <w:p w14:paraId="63D57D71" w14:textId="518C6ABE" w:rsidR="008E3ECD" w:rsidRPr="003E6C03" w:rsidRDefault="000A7CF0" w:rsidP="008E3ECD">
      <w:pPr>
        <w:rPr>
          <w:rFonts w:eastAsiaTheme="minorEastAsia"/>
        </w:rPr>
      </w:pPr>
      <m:oMathPara>
        <m:oMath>
          <m:r>
            <w:rPr>
              <w:rFonts w:ascii="Cambria Math" w:hAnsi="Cambria Math"/>
            </w:rPr>
            <m:t>P2=P</m:t>
          </m:r>
          <m:d>
            <m:dPr>
              <m:ctrlPr>
                <w:rPr>
                  <w:rFonts w:ascii="Cambria Math" w:hAnsi="Cambria Math"/>
                  <w:i/>
                </w:rPr>
              </m:ctrlPr>
            </m:dPr>
            <m:e>
              <m:r>
                <w:rPr>
                  <w:rFonts w:ascii="Cambria Math" w:hAnsi="Cambria Math"/>
                </w:rPr>
                <m:t>C2</m:t>
              </m:r>
            </m:e>
          </m:d>
          <m:r>
            <w:rPr>
              <w:rFonts w:ascii="Cambria Math" w:hAnsi="Cambria Math"/>
            </w:rPr>
            <m:t>×P</m:t>
          </m:r>
          <m:d>
            <m:dPr>
              <m:ctrlPr>
                <w:rPr>
                  <w:rFonts w:ascii="Cambria Math" w:hAnsi="Cambria Math"/>
                  <w:i/>
                </w:rPr>
              </m:ctrlPr>
            </m:dPr>
            <m:e>
              <m:r>
                <w:rPr>
                  <w:rFonts w:ascii="Cambria Math" w:hAnsi="Cambria Math"/>
                </w:rPr>
                <m:t>D2</m:t>
              </m:r>
            </m:e>
          </m:d>
          <m:r>
            <w:rPr>
              <w:rFonts w:ascii="Cambria Math" w:hAnsi="Cambria Math"/>
            </w:rPr>
            <m:t>×P</m:t>
          </m:r>
          <m:d>
            <m:dPr>
              <m:ctrlPr>
                <w:rPr>
                  <w:rFonts w:ascii="Cambria Math" w:hAnsi="Cambria Math"/>
                  <w:i/>
                </w:rPr>
              </m:ctrlPr>
            </m:dPr>
            <m:e>
              <m:r>
                <w:rPr>
                  <w:rFonts w:ascii="Cambria Math" w:hAnsi="Cambria Math"/>
                </w:rPr>
                <m:t>H</m:t>
              </m:r>
            </m:e>
          </m:d>
          <m:r>
            <w:rPr>
              <w:rFonts w:ascii="Cambria Math" w:hAnsi="Cambria Math"/>
            </w:rPr>
            <m:t>=</m:t>
          </m:r>
          <m:r>
            <w:rPr>
              <w:rFonts w:ascii="Cambria Math" w:hAnsi="Cambria Math"/>
            </w:rPr>
            <m:t>0.346</m:t>
          </m:r>
          <m:r>
            <w:rPr>
              <w:rFonts w:ascii="Cambria Math" w:hAnsi="Cambria Math"/>
            </w:rPr>
            <m:t>73949141274</m:t>
          </m:r>
        </m:oMath>
      </m:oMathPara>
    </w:p>
    <w:p w14:paraId="69111572" w14:textId="5D00FEAD" w:rsidR="003E6C03" w:rsidRDefault="003E6C03" w:rsidP="003E6C03">
      <w:pPr>
        <w:pStyle w:val="GraphicAnchor"/>
      </w:pPr>
      <w:r>
        <w:t>Equation 13 – Determining the probability of successfully manufacturing a cup of tea considering human factors.</w:t>
      </w:r>
    </w:p>
    <w:p w14:paraId="22D3465A" w14:textId="39FB7C0F" w:rsidR="003E6C03" w:rsidRPr="00FA5938" w:rsidRDefault="003E6C03" w:rsidP="00FA5938">
      <w:r>
        <w:t xml:space="preserve">As described </w:t>
      </w:r>
      <w:r w:rsidR="00F651A0">
        <w:t>in equation thirteen, the final probability of successfully manufacturing</w:t>
      </w:r>
      <w:r w:rsidR="00A91DC6">
        <w:t xml:space="preserve"> a cup of tea, while considering human factors results in a probability of </w:t>
      </w:r>
      <w:r w:rsidR="0030519D">
        <w:t>0.34673949</w:t>
      </w:r>
      <w:r w:rsidR="004C4582">
        <w:t>141274</w:t>
      </w:r>
      <w:r w:rsidR="00FA5938">
        <w:t>.</w:t>
      </w:r>
    </w:p>
    <w:p w14:paraId="583F6228" w14:textId="62744DA3" w:rsidR="00C734B9" w:rsidRDefault="00C734B9" w:rsidP="00C734B9">
      <w:pPr>
        <w:pStyle w:val="Heading1"/>
        <w:numPr>
          <w:ilvl w:val="0"/>
          <w:numId w:val="2"/>
        </w:numPr>
      </w:pPr>
      <w:bookmarkStart w:id="6" w:name="_Toc227313138"/>
      <w:r>
        <w:lastRenderedPageBreak/>
        <w:t>Conclusions</w:t>
      </w:r>
      <w:bookmarkEnd w:id="6"/>
    </w:p>
    <w:p w14:paraId="25E9B380" w14:textId="55847309" w:rsidR="00216627" w:rsidRDefault="00B038C0" w:rsidP="00C71C48">
      <w:r>
        <w:t xml:space="preserve">In terms of the results, the implementation of human factors considerations made a major difference to the </w:t>
      </w:r>
      <w:r w:rsidR="00A55A7C">
        <w:t>probability of success, highlighting the importance of including these considerations</w:t>
      </w:r>
      <w:r w:rsidR="00A315ED">
        <w:t>, as in a real-world context these shall always apply</w:t>
      </w:r>
      <w:r w:rsidR="003435EE">
        <w:t xml:space="preserve">, </w:t>
      </w:r>
      <w:r w:rsidR="00D933B4">
        <w:t>whether</w:t>
      </w:r>
      <w:r w:rsidR="003435EE">
        <w:t xml:space="preserve"> the cause of failure being deliberate, a task performed in the wrong order or </w:t>
      </w:r>
      <w:r w:rsidR="00D933B4">
        <w:t xml:space="preserve">the wrong material </w:t>
      </w:r>
      <w:sdt>
        <w:sdtPr>
          <w:id w:val="1486050950"/>
          <w:citation/>
        </w:sdtPr>
        <w:sdtContent>
          <w:r w:rsidR="00D933B4">
            <w:fldChar w:fldCharType="begin"/>
          </w:r>
          <w:r w:rsidR="00D933B4">
            <w:instrText xml:space="preserve"> CITATION JHe26 \l 2057 </w:instrText>
          </w:r>
          <w:r w:rsidR="00D933B4">
            <w:fldChar w:fldCharType="separate"/>
          </w:r>
          <w:r w:rsidR="004769BD" w:rsidRPr="004769BD">
            <w:rPr>
              <w:noProof/>
            </w:rPr>
            <w:t>[4]</w:t>
          </w:r>
          <w:r w:rsidR="00D933B4">
            <w:fldChar w:fldCharType="end"/>
          </w:r>
        </w:sdtContent>
      </w:sdt>
      <w:r w:rsidR="00D933B4">
        <w:t>.</w:t>
      </w:r>
      <w:r w:rsidR="00A315ED">
        <w:t xml:space="preserve">A more complex investigation may be undertaken utilizing a “human factors assessment” to consider the </w:t>
      </w:r>
      <w:r w:rsidR="00ED7574">
        <w:t>human interaction with the system and any potential failure points.</w:t>
      </w:r>
    </w:p>
    <w:p w14:paraId="52A2232E" w14:textId="502684E3" w:rsidR="008A678E" w:rsidRDefault="00FA5938" w:rsidP="00C71C48">
      <w:r>
        <w:t xml:space="preserve">In conclusion, fault tree analyses may be utilized to consider the probability of failures occurring in complex systems, especially where </w:t>
      </w:r>
      <w:r w:rsidR="008A678E">
        <w:t>relationships exist which may only result in failure if all events occur, or where only one event may be required</w:t>
      </w:r>
      <w:r w:rsidR="009A63D7">
        <w:t xml:space="preserve"> </w:t>
      </w:r>
      <w:sdt>
        <w:sdtPr>
          <w:id w:val="-866067165"/>
          <w:citation/>
        </w:sdtPr>
        <w:sdtContent>
          <w:r w:rsidR="009A63D7">
            <w:fldChar w:fldCharType="begin"/>
          </w:r>
          <w:r w:rsidR="009A63D7">
            <w:instrText xml:space="preserve"> CITATION Min23 \l 2057 </w:instrText>
          </w:r>
          <w:r w:rsidR="009A63D7">
            <w:fldChar w:fldCharType="separate"/>
          </w:r>
          <w:r w:rsidR="004769BD" w:rsidRPr="004769BD">
            <w:rPr>
              <w:noProof/>
            </w:rPr>
            <w:t>[5]</w:t>
          </w:r>
          <w:r w:rsidR="009A63D7">
            <w:fldChar w:fldCharType="end"/>
          </w:r>
        </w:sdtContent>
      </w:sdt>
      <w:r w:rsidR="008A678E">
        <w:t>. They may also be used as described in this report to determine the probability of success.</w:t>
      </w:r>
    </w:p>
    <w:p w14:paraId="389E76F8" w14:textId="7BE81D0A" w:rsidR="00FA5938" w:rsidRPr="0044214B" w:rsidRDefault="00975D2D" w:rsidP="0044214B">
      <w:r>
        <w:t>In summary, fault tree analyses are a critical tool for use in the design of complex systems, especially where the result of a failure could result in a major hazard scenario.</w:t>
      </w:r>
      <w:r w:rsidR="00ED7574">
        <w:t xml:space="preserve"> In terms of a real-world context, these should be utilized alongside other toolsets, such as hazard identification &amp; operability studies to determine the </w:t>
      </w:r>
      <w:r w:rsidR="005D421B">
        <w:t xml:space="preserve">consequences and therefore criticality of failures. A failure mode evaluation assessment may also be undertaken to better understand the </w:t>
      </w:r>
      <w:r w:rsidR="006C790D">
        <w:t>methodology and context of any failures.</w:t>
      </w:r>
      <w:r w:rsidR="00FA5938">
        <w:br w:type="page"/>
      </w:r>
    </w:p>
    <w:p w14:paraId="62A03230" w14:textId="4895DF25" w:rsidR="00100684" w:rsidRDefault="00C71C48" w:rsidP="007A0323">
      <w:pPr>
        <w:pStyle w:val="Heading1"/>
        <w:numPr>
          <w:ilvl w:val="0"/>
          <w:numId w:val="2"/>
        </w:numPr>
      </w:pPr>
      <w:bookmarkStart w:id="7" w:name="_Toc227313139"/>
      <w:r>
        <w:lastRenderedPageBreak/>
        <w:t>References</w:t>
      </w:r>
      <w:bookmarkEnd w:id="7"/>
    </w:p>
    <w:sdt>
      <w:sdtPr>
        <w:rPr>
          <w:b/>
        </w:rPr>
        <w:id w:val="-1751034609"/>
        <w:docPartObj>
          <w:docPartGallery w:val="Bibliographies"/>
          <w:docPartUnique/>
        </w:docPartObj>
      </w:sdtPr>
      <w:sdtEndPr>
        <w:rPr>
          <w:b w:val="0"/>
        </w:rPr>
      </w:sdtEndPr>
      <w:sdtContent>
        <w:sdt>
          <w:sdtPr>
            <w:id w:val="-573587230"/>
            <w:bibliography/>
          </w:sdtPr>
          <w:sdtEndPr/>
          <w:sdtContent>
            <w:p w14:paraId="6AD2D02B" w14:textId="77777777" w:rsidR="004769BD" w:rsidRDefault="00E21C96" w:rsidP="00975D2D">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1"/>
                <w:gridCol w:w="10391"/>
              </w:tblGrid>
              <w:tr w:rsidR="004769BD" w14:paraId="4557235C" w14:textId="77777777">
                <w:trPr>
                  <w:divId w:val="1399401135"/>
                  <w:tblCellSpacing w:w="15" w:type="dxa"/>
                </w:trPr>
                <w:tc>
                  <w:tcPr>
                    <w:tcW w:w="50" w:type="pct"/>
                    <w:hideMark/>
                  </w:tcPr>
                  <w:p w14:paraId="0F5FF416" w14:textId="129B4C82" w:rsidR="004769BD" w:rsidRDefault="004769BD">
                    <w:pPr>
                      <w:pStyle w:val="Bibliography"/>
                      <w:rPr>
                        <w:noProof/>
                      </w:rPr>
                    </w:pPr>
                    <w:r>
                      <w:rPr>
                        <w:noProof/>
                      </w:rPr>
                      <w:t xml:space="preserve">[1] </w:t>
                    </w:r>
                  </w:p>
                </w:tc>
                <w:tc>
                  <w:tcPr>
                    <w:tcW w:w="0" w:type="auto"/>
                    <w:hideMark/>
                  </w:tcPr>
                  <w:p w14:paraId="6F23A3FD" w14:textId="77777777" w:rsidR="004769BD" w:rsidRDefault="004769BD">
                    <w:pPr>
                      <w:pStyle w:val="Bibliography"/>
                      <w:rPr>
                        <w:noProof/>
                      </w:rPr>
                    </w:pPr>
                    <w:r>
                      <w:rPr>
                        <w:noProof/>
                      </w:rPr>
                      <w:t>R. E. Barlow and P. Chatterjee, “Introduction to fault tree analysis,” United States Air Force Systems Command, Ohio, 1973.</w:t>
                    </w:r>
                  </w:p>
                </w:tc>
              </w:tr>
              <w:tr w:rsidR="004769BD" w14:paraId="3ADE5924" w14:textId="77777777">
                <w:trPr>
                  <w:divId w:val="1399401135"/>
                  <w:tblCellSpacing w:w="15" w:type="dxa"/>
                </w:trPr>
                <w:tc>
                  <w:tcPr>
                    <w:tcW w:w="50" w:type="pct"/>
                    <w:hideMark/>
                  </w:tcPr>
                  <w:p w14:paraId="3AF46367" w14:textId="77777777" w:rsidR="004769BD" w:rsidRDefault="004769BD">
                    <w:pPr>
                      <w:pStyle w:val="Bibliography"/>
                      <w:rPr>
                        <w:noProof/>
                      </w:rPr>
                    </w:pPr>
                    <w:r>
                      <w:rPr>
                        <w:noProof/>
                      </w:rPr>
                      <w:t xml:space="preserve">[2] </w:t>
                    </w:r>
                  </w:p>
                </w:tc>
                <w:tc>
                  <w:tcPr>
                    <w:tcW w:w="0" w:type="auto"/>
                    <w:hideMark/>
                  </w:tcPr>
                  <w:p w14:paraId="4C963E3C" w14:textId="77777777" w:rsidR="004769BD" w:rsidRDefault="004769BD">
                    <w:pPr>
                      <w:pStyle w:val="Bibliography"/>
                      <w:rPr>
                        <w:noProof/>
                      </w:rPr>
                    </w:pPr>
                    <w:r>
                      <w:rPr>
                        <w:noProof/>
                      </w:rPr>
                      <w:t>Z. W. Birnbaum; J. D. Esary; S. C. Saunders, “Multi-Component Systems and Structures and Their Reliability,” Taylor &amp; Francis Group, Washington, 1961.</w:t>
                    </w:r>
                  </w:p>
                </w:tc>
              </w:tr>
              <w:tr w:rsidR="004769BD" w14:paraId="41229BB1" w14:textId="77777777">
                <w:trPr>
                  <w:divId w:val="1399401135"/>
                  <w:tblCellSpacing w:w="15" w:type="dxa"/>
                </w:trPr>
                <w:tc>
                  <w:tcPr>
                    <w:tcW w:w="50" w:type="pct"/>
                    <w:hideMark/>
                  </w:tcPr>
                  <w:p w14:paraId="7F0E8FA5" w14:textId="77777777" w:rsidR="004769BD" w:rsidRDefault="004769BD">
                    <w:pPr>
                      <w:pStyle w:val="Bibliography"/>
                      <w:rPr>
                        <w:noProof/>
                      </w:rPr>
                    </w:pPr>
                    <w:r>
                      <w:rPr>
                        <w:noProof/>
                      </w:rPr>
                      <w:t xml:space="preserve">[3] </w:t>
                    </w:r>
                  </w:p>
                </w:tc>
                <w:tc>
                  <w:tcPr>
                    <w:tcW w:w="0" w:type="auto"/>
                    <w:hideMark/>
                  </w:tcPr>
                  <w:p w14:paraId="6CA9976A" w14:textId="77777777" w:rsidR="004769BD" w:rsidRDefault="004769BD">
                    <w:pPr>
                      <w:pStyle w:val="Bibliography"/>
                      <w:rPr>
                        <w:noProof/>
                      </w:rPr>
                    </w:pPr>
                    <w:r>
                      <w:rPr>
                        <w:noProof/>
                      </w:rPr>
                      <w:t>Health and Safety Executive, “Introduction to Human Factors,” Health and Safety Executive, 06 10 2024. [Online]. Available: https://www.hse.gov.uk/humanfactors/introduction.htm. [Accessed 07 04 2026].</w:t>
                    </w:r>
                  </w:p>
                </w:tc>
              </w:tr>
              <w:tr w:rsidR="004769BD" w14:paraId="3A034DFD" w14:textId="77777777">
                <w:trPr>
                  <w:divId w:val="1399401135"/>
                  <w:tblCellSpacing w:w="15" w:type="dxa"/>
                </w:trPr>
                <w:tc>
                  <w:tcPr>
                    <w:tcW w:w="50" w:type="pct"/>
                    <w:hideMark/>
                  </w:tcPr>
                  <w:p w14:paraId="67BBBB93" w14:textId="77777777" w:rsidR="004769BD" w:rsidRDefault="004769BD">
                    <w:pPr>
                      <w:pStyle w:val="Bibliography"/>
                      <w:rPr>
                        <w:noProof/>
                      </w:rPr>
                    </w:pPr>
                    <w:r>
                      <w:rPr>
                        <w:noProof/>
                      </w:rPr>
                      <w:t xml:space="preserve">[4] </w:t>
                    </w:r>
                  </w:p>
                </w:tc>
                <w:tc>
                  <w:tcPr>
                    <w:tcW w:w="0" w:type="auto"/>
                    <w:hideMark/>
                  </w:tcPr>
                  <w:p w14:paraId="2817F449" w14:textId="77777777" w:rsidR="004769BD" w:rsidRDefault="004769BD">
                    <w:pPr>
                      <w:pStyle w:val="Bibliography"/>
                      <w:rPr>
                        <w:noProof/>
                      </w:rPr>
                    </w:pPr>
                    <w:r>
                      <w:rPr>
                        <w:noProof/>
                      </w:rPr>
                      <w:t>J. Henderson, “Failure Modes and Mechanisms in Safety Critical Task Analysis,” Human Reliability, 01 01 2026. [Online]. Available: https://www.humanreliability.com/2024/08/failure-modes-and-mechanisms-in-safety-critical-task-analysis/. [Accessed 15 04 2026].</w:t>
                    </w:r>
                  </w:p>
                </w:tc>
              </w:tr>
              <w:tr w:rsidR="004769BD" w14:paraId="5B82EBCD" w14:textId="77777777">
                <w:trPr>
                  <w:divId w:val="1399401135"/>
                  <w:tblCellSpacing w:w="15" w:type="dxa"/>
                </w:trPr>
                <w:tc>
                  <w:tcPr>
                    <w:tcW w:w="50" w:type="pct"/>
                    <w:hideMark/>
                  </w:tcPr>
                  <w:p w14:paraId="2BD3C8F7" w14:textId="77777777" w:rsidR="004769BD" w:rsidRDefault="004769BD">
                    <w:pPr>
                      <w:pStyle w:val="Bibliography"/>
                      <w:rPr>
                        <w:noProof/>
                      </w:rPr>
                    </w:pPr>
                    <w:r>
                      <w:rPr>
                        <w:noProof/>
                      </w:rPr>
                      <w:t xml:space="preserve">[5] </w:t>
                    </w:r>
                  </w:p>
                </w:tc>
                <w:tc>
                  <w:tcPr>
                    <w:tcW w:w="0" w:type="auto"/>
                    <w:hideMark/>
                  </w:tcPr>
                  <w:p w14:paraId="76D16E57" w14:textId="77777777" w:rsidR="004769BD" w:rsidRDefault="004769BD">
                    <w:pPr>
                      <w:pStyle w:val="Bibliography"/>
                      <w:rPr>
                        <w:noProof/>
                      </w:rPr>
                    </w:pPr>
                    <w:r>
                      <w:rPr>
                        <w:noProof/>
                      </w:rPr>
                      <w:t>Ministry of Defence, “Aquisition Safety and Environmental management system,” 23 11 2023. [Online]. Available: https://www.asems.mod.uk/printpdf/toolkit/fault-tree-analysis. [Accessed 14 04 2026].</w:t>
                    </w:r>
                  </w:p>
                </w:tc>
              </w:tr>
            </w:tbl>
            <w:p w14:paraId="489CFC67" w14:textId="77777777" w:rsidR="004769BD" w:rsidRDefault="004769BD">
              <w:pPr>
                <w:divId w:val="1399401135"/>
                <w:rPr>
                  <w:rFonts w:eastAsia="Times New Roman"/>
                  <w:noProof/>
                </w:rPr>
              </w:pPr>
            </w:p>
            <w:p w14:paraId="5DC66D71" w14:textId="79F806E2" w:rsidR="00C71C48" w:rsidRPr="00C71C48" w:rsidRDefault="00E21C96" w:rsidP="00975D2D">
              <w:r>
                <w:rPr>
                  <w:b/>
                  <w:bCs/>
                  <w:noProof/>
                </w:rPr>
                <w:fldChar w:fldCharType="end"/>
              </w:r>
            </w:p>
          </w:sdtContent>
        </w:sdt>
      </w:sdtContent>
    </w:sdt>
    <w:sectPr w:rsidR="00C71C48" w:rsidRPr="00C71C48" w:rsidSect="00CD7613">
      <w:footerReference w:type="even" r:id="rId14"/>
      <w:footerReference w:type="default" r:id="rId15"/>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A7BCF4" w14:textId="77777777" w:rsidR="0030278E" w:rsidRDefault="0030278E" w:rsidP="00E74B29">
      <w:r>
        <w:separator/>
      </w:r>
    </w:p>
  </w:endnote>
  <w:endnote w:type="continuationSeparator" w:id="0">
    <w:p w14:paraId="2FFD38FF" w14:textId="77777777" w:rsidR="0030278E" w:rsidRDefault="0030278E"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Hei">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936648"/>
      <w:docPartObj>
        <w:docPartGallery w:val="Page Numbers (Bottom of Page)"/>
        <w:docPartUnique/>
      </w:docPartObj>
    </w:sdtPr>
    <w:sdtEndPr>
      <w:rPr>
        <w:rStyle w:val="PageNumber"/>
      </w:rPr>
    </w:sdtEndPr>
    <w:sdtContent>
      <w:p w14:paraId="5160945F" w14:textId="77777777" w:rsidR="00E74B29" w:rsidRDefault="00E74B29" w:rsidP="006709F1">
        <w:pPr>
          <w:pStyle w:val="Footer"/>
          <w:rPr>
            <w:rStyle w:val="PageNumber"/>
          </w:rPr>
        </w:pPr>
        <w:r>
          <w:rPr>
            <w:rStyle w:val="PageNumber"/>
            <w:lang w:bidi="en-GB"/>
          </w:rPr>
          <w:fldChar w:fldCharType="begin"/>
        </w:r>
        <w:r>
          <w:rPr>
            <w:rStyle w:val="PageNumber"/>
            <w:lang w:bidi="en-GB"/>
          </w:rPr>
          <w:instrText xml:space="preserve"> PAGE </w:instrText>
        </w:r>
        <w:r>
          <w:rPr>
            <w:rStyle w:val="PageNumber"/>
            <w:lang w:bidi="en-GB"/>
          </w:rPr>
          <w:fldChar w:fldCharType="end"/>
        </w:r>
      </w:p>
    </w:sdtContent>
  </w:sdt>
  <w:p w14:paraId="0128D64F"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681971"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07285DFC" w14:textId="77777777" w:rsidTr="006709F1">
      <w:tc>
        <w:tcPr>
          <w:tcW w:w="1079" w:type="dxa"/>
        </w:tcPr>
        <w:p w14:paraId="44A4EFE9" w14:textId="77777777" w:rsidR="00E74B29" w:rsidRPr="00E74B29" w:rsidRDefault="00E74B29" w:rsidP="006709F1">
          <w:pPr>
            <w:pStyle w:val="Footer"/>
          </w:pPr>
        </w:p>
      </w:tc>
      <w:tc>
        <w:tcPr>
          <w:tcW w:w="5395" w:type="dxa"/>
        </w:tcPr>
        <w:p w14:paraId="0694965D" w14:textId="065CC0B8" w:rsidR="00E74B29" w:rsidRPr="00874FE7" w:rsidRDefault="00D50391" w:rsidP="006709F1">
          <w:pPr>
            <w:pStyle w:val="Footer"/>
          </w:pPr>
          <w:r>
            <w:t>Systems Engineering: Fault Tree Analysis</w:t>
          </w:r>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0D5923A9" w14:textId="77777777" w:rsidR="00E74B29" w:rsidRPr="00E74B29" w:rsidRDefault="00E74B29" w:rsidP="006709F1">
              <w:pPr>
                <w:pStyle w:val="Footer"/>
                <w:jc w:val="right"/>
              </w:pPr>
              <w:r w:rsidRPr="00E74B29">
                <w:rPr>
                  <w:lang w:bidi="en-GB"/>
                </w:rPr>
                <w:t xml:space="preserve">PAGE </w:t>
              </w:r>
              <w:r w:rsidRPr="00E74B29">
                <w:rPr>
                  <w:lang w:bidi="en-GB"/>
                </w:rPr>
                <w:fldChar w:fldCharType="begin"/>
              </w:r>
              <w:r w:rsidRPr="00E74B29">
                <w:rPr>
                  <w:lang w:bidi="en-GB"/>
                </w:rPr>
                <w:instrText xml:space="preserve"> PAGE </w:instrText>
              </w:r>
              <w:r w:rsidRPr="00E74B29">
                <w:rPr>
                  <w:lang w:bidi="en-GB"/>
                </w:rPr>
                <w:fldChar w:fldCharType="separate"/>
              </w:r>
              <w:r w:rsidR="00874EE2">
                <w:rPr>
                  <w:noProof/>
                  <w:lang w:bidi="en-GB"/>
                </w:rPr>
                <w:t>4</w:t>
              </w:r>
              <w:r w:rsidRPr="00E74B29">
                <w:rPr>
                  <w:lang w:bidi="en-GB"/>
                </w:rPr>
                <w:fldChar w:fldCharType="end"/>
              </w:r>
            </w:p>
          </w:sdtContent>
        </w:sdt>
      </w:tc>
      <w:tc>
        <w:tcPr>
          <w:tcW w:w="1079" w:type="dxa"/>
        </w:tcPr>
        <w:p w14:paraId="2FB9D4E0" w14:textId="77777777" w:rsidR="00E74B29" w:rsidRPr="00E74B29" w:rsidRDefault="00E74B29" w:rsidP="006709F1">
          <w:pPr>
            <w:pStyle w:val="Footer"/>
          </w:pPr>
        </w:p>
      </w:tc>
    </w:tr>
  </w:tbl>
  <w:p w14:paraId="32AA4066"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13089D" w14:textId="77777777" w:rsidR="0030278E" w:rsidRDefault="0030278E" w:rsidP="00E74B29">
      <w:r>
        <w:separator/>
      </w:r>
    </w:p>
  </w:footnote>
  <w:footnote w:type="continuationSeparator" w:id="0">
    <w:p w14:paraId="5356FAE6" w14:textId="77777777" w:rsidR="0030278E" w:rsidRDefault="0030278E"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25FC8"/>
    <w:multiLevelType w:val="multilevel"/>
    <w:tmpl w:val="9E941CC0"/>
    <w:lvl w:ilvl="0">
      <w:start w:val="1"/>
      <w:numFmt w:val="decimal"/>
      <w:lvlText w:val="%1."/>
      <w:lvlJc w:val="left"/>
      <w:pPr>
        <w:ind w:left="720" w:hanging="360"/>
      </w:pPr>
    </w:lvl>
    <w:lvl w:ilvl="1">
      <w:start w:val="2"/>
      <w:numFmt w:val="decimal"/>
      <w:isLgl/>
      <w:lvlText w:val="%1.%2"/>
      <w:lvlJc w:val="left"/>
      <w:pPr>
        <w:ind w:left="1245" w:hanging="885"/>
      </w:pPr>
      <w:rPr>
        <w:rFonts w:hint="default"/>
      </w:rPr>
    </w:lvl>
    <w:lvl w:ilvl="2">
      <w:start w:val="1"/>
      <w:numFmt w:val="decimal"/>
      <w:isLgl/>
      <w:lvlText w:val="%1.%2.%3"/>
      <w:lvlJc w:val="left"/>
      <w:pPr>
        <w:ind w:left="1245" w:hanging="885"/>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16cid:durableId="648830170">
    <w:abstractNumId w:val="1"/>
  </w:num>
  <w:num w:numId="2" w16cid:durableId="2662358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62D"/>
    <w:rsid w:val="0000096A"/>
    <w:rsid w:val="00005226"/>
    <w:rsid w:val="00005DFA"/>
    <w:rsid w:val="00010A88"/>
    <w:rsid w:val="00012D50"/>
    <w:rsid w:val="00012DF0"/>
    <w:rsid w:val="00015DB6"/>
    <w:rsid w:val="00046761"/>
    <w:rsid w:val="00051ADC"/>
    <w:rsid w:val="00056DAA"/>
    <w:rsid w:val="00063B0B"/>
    <w:rsid w:val="00076981"/>
    <w:rsid w:val="00080AE4"/>
    <w:rsid w:val="00086FA5"/>
    <w:rsid w:val="0009565D"/>
    <w:rsid w:val="0009627E"/>
    <w:rsid w:val="000A0018"/>
    <w:rsid w:val="000A0AEC"/>
    <w:rsid w:val="000A1E1F"/>
    <w:rsid w:val="000A6F0A"/>
    <w:rsid w:val="000A7CF0"/>
    <w:rsid w:val="000B09EE"/>
    <w:rsid w:val="000B1A89"/>
    <w:rsid w:val="000B20F1"/>
    <w:rsid w:val="000B2584"/>
    <w:rsid w:val="000B6480"/>
    <w:rsid w:val="000C4961"/>
    <w:rsid w:val="000C4964"/>
    <w:rsid w:val="000D1BE5"/>
    <w:rsid w:val="000E4234"/>
    <w:rsid w:val="000E4641"/>
    <w:rsid w:val="00100684"/>
    <w:rsid w:val="001070A0"/>
    <w:rsid w:val="00111F17"/>
    <w:rsid w:val="00116C7D"/>
    <w:rsid w:val="00117847"/>
    <w:rsid w:val="00120FE1"/>
    <w:rsid w:val="00122EFB"/>
    <w:rsid w:val="00122F57"/>
    <w:rsid w:val="0013257F"/>
    <w:rsid w:val="00135B80"/>
    <w:rsid w:val="00151F66"/>
    <w:rsid w:val="00156BC2"/>
    <w:rsid w:val="00157434"/>
    <w:rsid w:val="00161D63"/>
    <w:rsid w:val="00162D6C"/>
    <w:rsid w:val="00162D97"/>
    <w:rsid w:val="00164431"/>
    <w:rsid w:val="0016778A"/>
    <w:rsid w:val="00170188"/>
    <w:rsid w:val="00170CE3"/>
    <w:rsid w:val="001757D7"/>
    <w:rsid w:val="00177F8D"/>
    <w:rsid w:val="00180B64"/>
    <w:rsid w:val="0018269A"/>
    <w:rsid w:val="0018471B"/>
    <w:rsid w:val="00185F4A"/>
    <w:rsid w:val="00187C39"/>
    <w:rsid w:val="00197969"/>
    <w:rsid w:val="001A1806"/>
    <w:rsid w:val="001A245B"/>
    <w:rsid w:val="001A4043"/>
    <w:rsid w:val="001A4752"/>
    <w:rsid w:val="001A49BC"/>
    <w:rsid w:val="001A7AB6"/>
    <w:rsid w:val="001C4DCF"/>
    <w:rsid w:val="001C7B7F"/>
    <w:rsid w:val="001D79B3"/>
    <w:rsid w:val="001E7669"/>
    <w:rsid w:val="00200E7C"/>
    <w:rsid w:val="00216627"/>
    <w:rsid w:val="002177A9"/>
    <w:rsid w:val="00217E58"/>
    <w:rsid w:val="00221C0B"/>
    <w:rsid w:val="00225D14"/>
    <w:rsid w:val="002267F5"/>
    <w:rsid w:val="002352D9"/>
    <w:rsid w:val="00241F79"/>
    <w:rsid w:val="00262414"/>
    <w:rsid w:val="00262BE4"/>
    <w:rsid w:val="0026524A"/>
    <w:rsid w:val="00275624"/>
    <w:rsid w:val="002803E1"/>
    <w:rsid w:val="00284529"/>
    <w:rsid w:val="0029247E"/>
    <w:rsid w:val="00292AC6"/>
    <w:rsid w:val="002960FB"/>
    <w:rsid w:val="002A07E8"/>
    <w:rsid w:val="002A5505"/>
    <w:rsid w:val="002C4147"/>
    <w:rsid w:val="002C6736"/>
    <w:rsid w:val="002D2200"/>
    <w:rsid w:val="002D5C8D"/>
    <w:rsid w:val="002E0D7D"/>
    <w:rsid w:val="002F0927"/>
    <w:rsid w:val="002F27DE"/>
    <w:rsid w:val="0030278E"/>
    <w:rsid w:val="00304C7D"/>
    <w:rsid w:val="0030519D"/>
    <w:rsid w:val="003058ED"/>
    <w:rsid w:val="003109A4"/>
    <w:rsid w:val="00313233"/>
    <w:rsid w:val="00313461"/>
    <w:rsid w:val="0031494F"/>
    <w:rsid w:val="00323433"/>
    <w:rsid w:val="00342EA3"/>
    <w:rsid w:val="003435EE"/>
    <w:rsid w:val="00347F90"/>
    <w:rsid w:val="00353E6F"/>
    <w:rsid w:val="003701F6"/>
    <w:rsid w:val="0037691A"/>
    <w:rsid w:val="00381BF8"/>
    <w:rsid w:val="00381EB5"/>
    <w:rsid w:val="003845DB"/>
    <w:rsid w:val="0039223D"/>
    <w:rsid w:val="003937B6"/>
    <w:rsid w:val="003955A0"/>
    <w:rsid w:val="003A181A"/>
    <w:rsid w:val="003B3EF3"/>
    <w:rsid w:val="003B48F2"/>
    <w:rsid w:val="003B4B76"/>
    <w:rsid w:val="003C61C7"/>
    <w:rsid w:val="003D4DD1"/>
    <w:rsid w:val="003E30FB"/>
    <w:rsid w:val="003E40BA"/>
    <w:rsid w:val="003E6C03"/>
    <w:rsid w:val="003E7133"/>
    <w:rsid w:val="003F7F4A"/>
    <w:rsid w:val="00402FBB"/>
    <w:rsid w:val="0040564B"/>
    <w:rsid w:val="004273B6"/>
    <w:rsid w:val="004321B7"/>
    <w:rsid w:val="00440155"/>
    <w:rsid w:val="0044214B"/>
    <w:rsid w:val="0044377B"/>
    <w:rsid w:val="004444E4"/>
    <w:rsid w:val="00446D71"/>
    <w:rsid w:val="004476D8"/>
    <w:rsid w:val="00451636"/>
    <w:rsid w:val="0045605F"/>
    <w:rsid w:val="004715B1"/>
    <w:rsid w:val="00472E91"/>
    <w:rsid w:val="00473FDD"/>
    <w:rsid w:val="004769BD"/>
    <w:rsid w:val="0048120C"/>
    <w:rsid w:val="004909D9"/>
    <w:rsid w:val="0049166E"/>
    <w:rsid w:val="004A1DD9"/>
    <w:rsid w:val="004A62DC"/>
    <w:rsid w:val="004B0D3F"/>
    <w:rsid w:val="004B1254"/>
    <w:rsid w:val="004B273F"/>
    <w:rsid w:val="004C2A73"/>
    <w:rsid w:val="004C34C6"/>
    <w:rsid w:val="004C4582"/>
    <w:rsid w:val="004C59AE"/>
    <w:rsid w:val="004C6A75"/>
    <w:rsid w:val="004D0424"/>
    <w:rsid w:val="004D3E30"/>
    <w:rsid w:val="004D526F"/>
    <w:rsid w:val="004D5D60"/>
    <w:rsid w:val="004E2DB3"/>
    <w:rsid w:val="004E4243"/>
    <w:rsid w:val="004E75AA"/>
    <w:rsid w:val="004F6351"/>
    <w:rsid w:val="005021F3"/>
    <w:rsid w:val="00506392"/>
    <w:rsid w:val="00521481"/>
    <w:rsid w:val="005216DB"/>
    <w:rsid w:val="00526379"/>
    <w:rsid w:val="005317F1"/>
    <w:rsid w:val="0053465E"/>
    <w:rsid w:val="00536363"/>
    <w:rsid w:val="00552F4F"/>
    <w:rsid w:val="005657E0"/>
    <w:rsid w:val="0057000B"/>
    <w:rsid w:val="0057349D"/>
    <w:rsid w:val="00580D25"/>
    <w:rsid w:val="005832DB"/>
    <w:rsid w:val="005908E5"/>
    <w:rsid w:val="005925C5"/>
    <w:rsid w:val="00592907"/>
    <w:rsid w:val="005A5401"/>
    <w:rsid w:val="005B4B2D"/>
    <w:rsid w:val="005B5DE8"/>
    <w:rsid w:val="005B77F5"/>
    <w:rsid w:val="005D421B"/>
    <w:rsid w:val="005E62E6"/>
    <w:rsid w:val="005F4433"/>
    <w:rsid w:val="005F596E"/>
    <w:rsid w:val="0060038E"/>
    <w:rsid w:val="00603A2F"/>
    <w:rsid w:val="006071DB"/>
    <w:rsid w:val="006072FE"/>
    <w:rsid w:val="00612750"/>
    <w:rsid w:val="00623AE8"/>
    <w:rsid w:val="00627200"/>
    <w:rsid w:val="00631637"/>
    <w:rsid w:val="00633388"/>
    <w:rsid w:val="006338AB"/>
    <w:rsid w:val="00640467"/>
    <w:rsid w:val="00641941"/>
    <w:rsid w:val="00657337"/>
    <w:rsid w:val="00657C03"/>
    <w:rsid w:val="0066455C"/>
    <w:rsid w:val="00665110"/>
    <w:rsid w:val="006709F1"/>
    <w:rsid w:val="0068138E"/>
    <w:rsid w:val="00696622"/>
    <w:rsid w:val="006A3B7C"/>
    <w:rsid w:val="006B29E2"/>
    <w:rsid w:val="006B670E"/>
    <w:rsid w:val="006C60E6"/>
    <w:rsid w:val="006C790D"/>
    <w:rsid w:val="006D0E88"/>
    <w:rsid w:val="006E0D0B"/>
    <w:rsid w:val="006E589A"/>
    <w:rsid w:val="006E7717"/>
    <w:rsid w:val="006F228A"/>
    <w:rsid w:val="00700BFF"/>
    <w:rsid w:val="007040ED"/>
    <w:rsid w:val="00711FCE"/>
    <w:rsid w:val="00715826"/>
    <w:rsid w:val="0072088D"/>
    <w:rsid w:val="00730932"/>
    <w:rsid w:val="0073428E"/>
    <w:rsid w:val="00734D08"/>
    <w:rsid w:val="00734D0A"/>
    <w:rsid w:val="00734DB0"/>
    <w:rsid w:val="00737FEB"/>
    <w:rsid w:val="00743626"/>
    <w:rsid w:val="0075129A"/>
    <w:rsid w:val="00751E9F"/>
    <w:rsid w:val="007620E8"/>
    <w:rsid w:val="00763007"/>
    <w:rsid w:val="00764EA0"/>
    <w:rsid w:val="0077417C"/>
    <w:rsid w:val="00784131"/>
    <w:rsid w:val="0078604A"/>
    <w:rsid w:val="0079002D"/>
    <w:rsid w:val="007912B1"/>
    <w:rsid w:val="00796441"/>
    <w:rsid w:val="00797359"/>
    <w:rsid w:val="007A0323"/>
    <w:rsid w:val="007A1415"/>
    <w:rsid w:val="007A2B0D"/>
    <w:rsid w:val="007D4B17"/>
    <w:rsid w:val="007E40AE"/>
    <w:rsid w:val="007E58FA"/>
    <w:rsid w:val="007E73F3"/>
    <w:rsid w:val="007F0EC4"/>
    <w:rsid w:val="007F1CCD"/>
    <w:rsid w:val="007F2FA0"/>
    <w:rsid w:val="007F720C"/>
    <w:rsid w:val="00810B05"/>
    <w:rsid w:val="00826CB4"/>
    <w:rsid w:val="00827D16"/>
    <w:rsid w:val="0083061A"/>
    <w:rsid w:val="00830A59"/>
    <w:rsid w:val="00831153"/>
    <w:rsid w:val="00832F52"/>
    <w:rsid w:val="008336BE"/>
    <w:rsid w:val="00835662"/>
    <w:rsid w:val="00837914"/>
    <w:rsid w:val="00841491"/>
    <w:rsid w:val="00842F53"/>
    <w:rsid w:val="00852F38"/>
    <w:rsid w:val="00863026"/>
    <w:rsid w:val="00863BE4"/>
    <w:rsid w:val="0087195A"/>
    <w:rsid w:val="00874EE2"/>
    <w:rsid w:val="00874FE7"/>
    <w:rsid w:val="008760D1"/>
    <w:rsid w:val="0087707A"/>
    <w:rsid w:val="00880CE2"/>
    <w:rsid w:val="0088600E"/>
    <w:rsid w:val="00886517"/>
    <w:rsid w:val="00890789"/>
    <w:rsid w:val="008A552E"/>
    <w:rsid w:val="008A678E"/>
    <w:rsid w:val="008A7452"/>
    <w:rsid w:val="008A765D"/>
    <w:rsid w:val="008B7E68"/>
    <w:rsid w:val="008C2F85"/>
    <w:rsid w:val="008C30E9"/>
    <w:rsid w:val="008C58A1"/>
    <w:rsid w:val="008C5E67"/>
    <w:rsid w:val="008C7E01"/>
    <w:rsid w:val="008D30C9"/>
    <w:rsid w:val="008E3ECD"/>
    <w:rsid w:val="008F0A91"/>
    <w:rsid w:val="008F4657"/>
    <w:rsid w:val="008F6C7E"/>
    <w:rsid w:val="00906672"/>
    <w:rsid w:val="00917710"/>
    <w:rsid w:val="00920529"/>
    <w:rsid w:val="00934705"/>
    <w:rsid w:val="00936EB0"/>
    <w:rsid w:val="00944F12"/>
    <w:rsid w:val="0094534A"/>
    <w:rsid w:val="00945379"/>
    <w:rsid w:val="00947145"/>
    <w:rsid w:val="00952F7D"/>
    <w:rsid w:val="0095496A"/>
    <w:rsid w:val="009622EA"/>
    <w:rsid w:val="00963FFC"/>
    <w:rsid w:val="009753C1"/>
    <w:rsid w:val="00975631"/>
    <w:rsid w:val="00975D2D"/>
    <w:rsid w:val="00980652"/>
    <w:rsid w:val="00985F19"/>
    <w:rsid w:val="00986ABF"/>
    <w:rsid w:val="009943D5"/>
    <w:rsid w:val="0099662D"/>
    <w:rsid w:val="00997B5C"/>
    <w:rsid w:val="009A1892"/>
    <w:rsid w:val="009A2CEF"/>
    <w:rsid w:val="009A38BA"/>
    <w:rsid w:val="009A43D1"/>
    <w:rsid w:val="009A63D7"/>
    <w:rsid w:val="009A6432"/>
    <w:rsid w:val="009B79CA"/>
    <w:rsid w:val="009C5EBE"/>
    <w:rsid w:val="009C68A0"/>
    <w:rsid w:val="009C7323"/>
    <w:rsid w:val="009D02A2"/>
    <w:rsid w:val="009D0432"/>
    <w:rsid w:val="009E5052"/>
    <w:rsid w:val="009E52CF"/>
    <w:rsid w:val="009F0987"/>
    <w:rsid w:val="009F3031"/>
    <w:rsid w:val="00A0250C"/>
    <w:rsid w:val="00A122F5"/>
    <w:rsid w:val="00A13031"/>
    <w:rsid w:val="00A16E98"/>
    <w:rsid w:val="00A17EB1"/>
    <w:rsid w:val="00A23E1A"/>
    <w:rsid w:val="00A24AEC"/>
    <w:rsid w:val="00A31382"/>
    <w:rsid w:val="00A315ED"/>
    <w:rsid w:val="00A41002"/>
    <w:rsid w:val="00A41475"/>
    <w:rsid w:val="00A45E12"/>
    <w:rsid w:val="00A46F00"/>
    <w:rsid w:val="00A50E86"/>
    <w:rsid w:val="00A528C8"/>
    <w:rsid w:val="00A55A7C"/>
    <w:rsid w:val="00A600D4"/>
    <w:rsid w:val="00A66437"/>
    <w:rsid w:val="00A701DF"/>
    <w:rsid w:val="00A7736D"/>
    <w:rsid w:val="00A77AD4"/>
    <w:rsid w:val="00A812F8"/>
    <w:rsid w:val="00A8309C"/>
    <w:rsid w:val="00A87C02"/>
    <w:rsid w:val="00A91DC6"/>
    <w:rsid w:val="00AA71B7"/>
    <w:rsid w:val="00AB735F"/>
    <w:rsid w:val="00AC1CE4"/>
    <w:rsid w:val="00AC23BC"/>
    <w:rsid w:val="00AC34E4"/>
    <w:rsid w:val="00AC3712"/>
    <w:rsid w:val="00AC5E6A"/>
    <w:rsid w:val="00B00F17"/>
    <w:rsid w:val="00B016BE"/>
    <w:rsid w:val="00B0249C"/>
    <w:rsid w:val="00B038C0"/>
    <w:rsid w:val="00B07865"/>
    <w:rsid w:val="00B07BBB"/>
    <w:rsid w:val="00B15929"/>
    <w:rsid w:val="00B24EB8"/>
    <w:rsid w:val="00B26088"/>
    <w:rsid w:val="00B36E56"/>
    <w:rsid w:val="00B37257"/>
    <w:rsid w:val="00B43E11"/>
    <w:rsid w:val="00B4690E"/>
    <w:rsid w:val="00B65B1B"/>
    <w:rsid w:val="00B66D06"/>
    <w:rsid w:val="00B72CFF"/>
    <w:rsid w:val="00B76085"/>
    <w:rsid w:val="00B806C1"/>
    <w:rsid w:val="00B8087C"/>
    <w:rsid w:val="00B8619F"/>
    <w:rsid w:val="00B87D93"/>
    <w:rsid w:val="00B938B8"/>
    <w:rsid w:val="00B9581D"/>
    <w:rsid w:val="00BA2149"/>
    <w:rsid w:val="00BA7662"/>
    <w:rsid w:val="00BB0BD1"/>
    <w:rsid w:val="00BB4EC0"/>
    <w:rsid w:val="00BC4DA8"/>
    <w:rsid w:val="00BD02BE"/>
    <w:rsid w:val="00BD05B4"/>
    <w:rsid w:val="00BD0A14"/>
    <w:rsid w:val="00BD0C8D"/>
    <w:rsid w:val="00BD3E12"/>
    <w:rsid w:val="00BD67E9"/>
    <w:rsid w:val="00BE24D7"/>
    <w:rsid w:val="00BF08DB"/>
    <w:rsid w:val="00BF71FC"/>
    <w:rsid w:val="00C0057C"/>
    <w:rsid w:val="00C05582"/>
    <w:rsid w:val="00C102C4"/>
    <w:rsid w:val="00C10F75"/>
    <w:rsid w:val="00C1196E"/>
    <w:rsid w:val="00C13D4D"/>
    <w:rsid w:val="00C16461"/>
    <w:rsid w:val="00C20164"/>
    <w:rsid w:val="00C24296"/>
    <w:rsid w:val="00C254AB"/>
    <w:rsid w:val="00C37E9F"/>
    <w:rsid w:val="00C40AE6"/>
    <w:rsid w:val="00C40CF5"/>
    <w:rsid w:val="00C458EF"/>
    <w:rsid w:val="00C56DA2"/>
    <w:rsid w:val="00C67253"/>
    <w:rsid w:val="00C673BD"/>
    <w:rsid w:val="00C70F31"/>
    <w:rsid w:val="00C71C48"/>
    <w:rsid w:val="00C734B9"/>
    <w:rsid w:val="00C7461C"/>
    <w:rsid w:val="00C74C03"/>
    <w:rsid w:val="00C755AB"/>
    <w:rsid w:val="00C83449"/>
    <w:rsid w:val="00C83E62"/>
    <w:rsid w:val="00C86009"/>
    <w:rsid w:val="00C90B4B"/>
    <w:rsid w:val="00C95167"/>
    <w:rsid w:val="00CA034F"/>
    <w:rsid w:val="00CA64D3"/>
    <w:rsid w:val="00CB4742"/>
    <w:rsid w:val="00CB7F13"/>
    <w:rsid w:val="00CC0C58"/>
    <w:rsid w:val="00CC1AAA"/>
    <w:rsid w:val="00CC1F75"/>
    <w:rsid w:val="00CC1FE8"/>
    <w:rsid w:val="00CC26CB"/>
    <w:rsid w:val="00CD0F88"/>
    <w:rsid w:val="00CD20BC"/>
    <w:rsid w:val="00CD2347"/>
    <w:rsid w:val="00CD7613"/>
    <w:rsid w:val="00CE4FF0"/>
    <w:rsid w:val="00CE62DC"/>
    <w:rsid w:val="00CF0358"/>
    <w:rsid w:val="00CF41B2"/>
    <w:rsid w:val="00D02B84"/>
    <w:rsid w:val="00D03DF3"/>
    <w:rsid w:val="00D20E63"/>
    <w:rsid w:val="00D232CB"/>
    <w:rsid w:val="00D37F41"/>
    <w:rsid w:val="00D43125"/>
    <w:rsid w:val="00D47531"/>
    <w:rsid w:val="00D50391"/>
    <w:rsid w:val="00D50747"/>
    <w:rsid w:val="00D51DAA"/>
    <w:rsid w:val="00D51E0E"/>
    <w:rsid w:val="00D541C2"/>
    <w:rsid w:val="00D566B8"/>
    <w:rsid w:val="00D6174F"/>
    <w:rsid w:val="00D6540B"/>
    <w:rsid w:val="00D65805"/>
    <w:rsid w:val="00D66A3A"/>
    <w:rsid w:val="00D71E86"/>
    <w:rsid w:val="00D71F0F"/>
    <w:rsid w:val="00D73625"/>
    <w:rsid w:val="00D80A47"/>
    <w:rsid w:val="00D82415"/>
    <w:rsid w:val="00D87E11"/>
    <w:rsid w:val="00D916DA"/>
    <w:rsid w:val="00D9284A"/>
    <w:rsid w:val="00D933B4"/>
    <w:rsid w:val="00D937C6"/>
    <w:rsid w:val="00DA1902"/>
    <w:rsid w:val="00DA24F1"/>
    <w:rsid w:val="00DC3144"/>
    <w:rsid w:val="00DE2B9A"/>
    <w:rsid w:val="00DF198B"/>
    <w:rsid w:val="00DF61BB"/>
    <w:rsid w:val="00DF7C10"/>
    <w:rsid w:val="00E03326"/>
    <w:rsid w:val="00E05C54"/>
    <w:rsid w:val="00E1124F"/>
    <w:rsid w:val="00E148A8"/>
    <w:rsid w:val="00E21C96"/>
    <w:rsid w:val="00E22BAA"/>
    <w:rsid w:val="00E26189"/>
    <w:rsid w:val="00E30CB5"/>
    <w:rsid w:val="00E313BB"/>
    <w:rsid w:val="00E35DAF"/>
    <w:rsid w:val="00E5356D"/>
    <w:rsid w:val="00E60EA5"/>
    <w:rsid w:val="00E634E9"/>
    <w:rsid w:val="00E7079E"/>
    <w:rsid w:val="00E74B29"/>
    <w:rsid w:val="00E843BB"/>
    <w:rsid w:val="00E8646B"/>
    <w:rsid w:val="00E92A8D"/>
    <w:rsid w:val="00E9407B"/>
    <w:rsid w:val="00E9482B"/>
    <w:rsid w:val="00EA2ADB"/>
    <w:rsid w:val="00EA7DD4"/>
    <w:rsid w:val="00EB41B1"/>
    <w:rsid w:val="00EB795F"/>
    <w:rsid w:val="00EC47D0"/>
    <w:rsid w:val="00ED1588"/>
    <w:rsid w:val="00ED2F6E"/>
    <w:rsid w:val="00ED648A"/>
    <w:rsid w:val="00ED7574"/>
    <w:rsid w:val="00EE082A"/>
    <w:rsid w:val="00EE1066"/>
    <w:rsid w:val="00EE1FEB"/>
    <w:rsid w:val="00EE3BC6"/>
    <w:rsid w:val="00EE4750"/>
    <w:rsid w:val="00EE7AD4"/>
    <w:rsid w:val="00EF3A64"/>
    <w:rsid w:val="00EF7470"/>
    <w:rsid w:val="00F04BFD"/>
    <w:rsid w:val="00F11C6D"/>
    <w:rsid w:val="00F13E3D"/>
    <w:rsid w:val="00F1455A"/>
    <w:rsid w:val="00F176B2"/>
    <w:rsid w:val="00F3108F"/>
    <w:rsid w:val="00F375D5"/>
    <w:rsid w:val="00F50233"/>
    <w:rsid w:val="00F50791"/>
    <w:rsid w:val="00F5312D"/>
    <w:rsid w:val="00F54D81"/>
    <w:rsid w:val="00F572CB"/>
    <w:rsid w:val="00F651A0"/>
    <w:rsid w:val="00F66E62"/>
    <w:rsid w:val="00F70907"/>
    <w:rsid w:val="00F84724"/>
    <w:rsid w:val="00F85E44"/>
    <w:rsid w:val="00FA2461"/>
    <w:rsid w:val="00FA5938"/>
    <w:rsid w:val="00FA6E15"/>
    <w:rsid w:val="00FB2F1A"/>
    <w:rsid w:val="00FB3E15"/>
    <w:rsid w:val="00FB5F1E"/>
    <w:rsid w:val="00FC663C"/>
    <w:rsid w:val="00FC6DF1"/>
    <w:rsid w:val="00FD1A4A"/>
    <w:rsid w:val="00FE2CDB"/>
    <w:rsid w:val="00FE5E17"/>
    <w:rsid w:val="00FF183F"/>
    <w:rsid w:val="00FF3A78"/>
    <w:rsid w:val="00FF604B"/>
    <w:rsid w:val="00FF6C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9327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BD02BE"/>
    <w:pPr>
      <w:spacing w:before="120" w:after="120"/>
    </w:pPr>
    <w:rPr>
      <w:lang w:val="en-GB"/>
    </w:rPr>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063B0B"/>
    <w:pPr>
      <w:jc w:val="center"/>
    </w:pPr>
    <w:rPr>
      <w:sz w:val="14"/>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C734B9"/>
    <w:pPr>
      <w:keepNext/>
      <w:keepLines/>
      <w:spacing w:before="240" w:line="259" w:lineRule="auto"/>
      <w:jc w:val="left"/>
      <w:outlineLvl w:val="9"/>
    </w:pPr>
    <w:rPr>
      <w:rFonts w:eastAsiaTheme="majorEastAsia" w:cstheme="majorBidi"/>
      <w:b w:val="0"/>
      <w:color w:val="35484C" w:themeColor="accent1" w:themeShade="BF"/>
      <w:sz w:val="32"/>
      <w:szCs w:val="32"/>
      <w:lang w:val="en-US"/>
    </w:rPr>
  </w:style>
  <w:style w:type="paragraph" w:styleId="TOC1">
    <w:name w:val="toc 1"/>
    <w:basedOn w:val="Normal"/>
    <w:next w:val="Normal"/>
    <w:autoRedefine/>
    <w:uiPriority w:val="39"/>
    <w:rsid w:val="00C734B9"/>
    <w:pPr>
      <w:spacing w:after="100"/>
    </w:pPr>
  </w:style>
  <w:style w:type="paragraph" w:styleId="TOC2">
    <w:name w:val="toc 2"/>
    <w:basedOn w:val="Normal"/>
    <w:next w:val="Normal"/>
    <w:autoRedefine/>
    <w:uiPriority w:val="39"/>
    <w:rsid w:val="00C734B9"/>
    <w:pPr>
      <w:spacing w:after="100"/>
      <w:ind w:left="240"/>
    </w:pPr>
  </w:style>
  <w:style w:type="paragraph" w:styleId="TOC3">
    <w:name w:val="toc 3"/>
    <w:basedOn w:val="Normal"/>
    <w:next w:val="Normal"/>
    <w:autoRedefine/>
    <w:uiPriority w:val="39"/>
    <w:rsid w:val="00C734B9"/>
    <w:pPr>
      <w:spacing w:after="100"/>
      <w:ind w:left="480"/>
    </w:pPr>
  </w:style>
  <w:style w:type="character" w:styleId="Hyperlink">
    <w:name w:val="Hyperlink"/>
    <w:basedOn w:val="DefaultParagraphFont"/>
    <w:uiPriority w:val="99"/>
    <w:unhideWhenUsed/>
    <w:rsid w:val="00C734B9"/>
    <w:rPr>
      <w:color w:val="0000FF" w:themeColor="hyperlink"/>
      <w:u w:val="single"/>
    </w:rPr>
  </w:style>
  <w:style w:type="paragraph" w:styleId="ListParagraph">
    <w:name w:val="List Paragraph"/>
    <w:basedOn w:val="Normal"/>
    <w:uiPriority w:val="34"/>
    <w:semiHidden/>
    <w:qFormat/>
    <w:rsid w:val="009A6432"/>
    <w:pPr>
      <w:ind w:left="720"/>
      <w:contextualSpacing/>
    </w:pPr>
  </w:style>
  <w:style w:type="paragraph" w:styleId="Bibliography">
    <w:name w:val="Bibliography"/>
    <w:basedOn w:val="Normal"/>
    <w:next w:val="Normal"/>
    <w:uiPriority w:val="37"/>
    <w:unhideWhenUsed/>
    <w:rsid w:val="00A130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471134">
      <w:bodyDiv w:val="1"/>
      <w:marLeft w:val="0"/>
      <w:marRight w:val="0"/>
      <w:marTop w:val="0"/>
      <w:marBottom w:val="0"/>
      <w:divBdr>
        <w:top w:val="none" w:sz="0" w:space="0" w:color="auto"/>
        <w:left w:val="none" w:sz="0" w:space="0" w:color="auto"/>
        <w:bottom w:val="none" w:sz="0" w:space="0" w:color="auto"/>
        <w:right w:val="none" w:sz="0" w:space="0" w:color="auto"/>
      </w:divBdr>
    </w:div>
    <w:div w:id="22949186">
      <w:bodyDiv w:val="1"/>
      <w:marLeft w:val="0"/>
      <w:marRight w:val="0"/>
      <w:marTop w:val="0"/>
      <w:marBottom w:val="0"/>
      <w:divBdr>
        <w:top w:val="none" w:sz="0" w:space="0" w:color="auto"/>
        <w:left w:val="none" w:sz="0" w:space="0" w:color="auto"/>
        <w:bottom w:val="none" w:sz="0" w:space="0" w:color="auto"/>
        <w:right w:val="none" w:sz="0" w:space="0" w:color="auto"/>
      </w:divBdr>
    </w:div>
    <w:div w:id="54862685">
      <w:bodyDiv w:val="1"/>
      <w:marLeft w:val="0"/>
      <w:marRight w:val="0"/>
      <w:marTop w:val="0"/>
      <w:marBottom w:val="0"/>
      <w:divBdr>
        <w:top w:val="none" w:sz="0" w:space="0" w:color="auto"/>
        <w:left w:val="none" w:sz="0" w:space="0" w:color="auto"/>
        <w:bottom w:val="none" w:sz="0" w:space="0" w:color="auto"/>
        <w:right w:val="none" w:sz="0" w:space="0" w:color="auto"/>
      </w:divBdr>
    </w:div>
    <w:div w:id="57244747">
      <w:bodyDiv w:val="1"/>
      <w:marLeft w:val="0"/>
      <w:marRight w:val="0"/>
      <w:marTop w:val="0"/>
      <w:marBottom w:val="0"/>
      <w:divBdr>
        <w:top w:val="none" w:sz="0" w:space="0" w:color="auto"/>
        <w:left w:val="none" w:sz="0" w:space="0" w:color="auto"/>
        <w:bottom w:val="none" w:sz="0" w:space="0" w:color="auto"/>
        <w:right w:val="none" w:sz="0" w:space="0" w:color="auto"/>
      </w:divBdr>
    </w:div>
    <w:div w:id="78872320">
      <w:bodyDiv w:val="1"/>
      <w:marLeft w:val="0"/>
      <w:marRight w:val="0"/>
      <w:marTop w:val="0"/>
      <w:marBottom w:val="0"/>
      <w:divBdr>
        <w:top w:val="none" w:sz="0" w:space="0" w:color="auto"/>
        <w:left w:val="none" w:sz="0" w:space="0" w:color="auto"/>
        <w:bottom w:val="none" w:sz="0" w:space="0" w:color="auto"/>
        <w:right w:val="none" w:sz="0" w:space="0" w:color="auto"/>
      </w:divBdr>
    </w:div>
    <w:div w:id="101611933">
      <w:bodyDiv w:val="1"/>
      <w:marLeft w:val="0"/>
      <w:marRight w:val="0"/>
      <w:marTop w:val="0"/>
      <w:marBottom w:val="0"/>
      <w:divBdr>
        <w:top w:val="none" w:sz="0" w:space="0" w:color="auto"/>
        <w:left w:val="none" w:sz="0" w:space="0" w:color="auto"/>
        <w:bottom w:val="none" w:sz="0" w:space="0" w:color="auto"/>
        <w:right w:val="none" w:sz="0" w:space="0" w:color="auto"/>
      </w:divBdr>
    </w:div>
    <w:div w:id="115760669">
      <w:bodyDiv w:val="1"/>
      <w:marLeft w:val="0"/>
      <w:marRight w:val="0"/>
      <w:marTop w:val="0"/>
      <w:marBottom w:val="0"/>
      <w:divBdr>
        <w:top w:val="none" w:sz="0" w:space="0" w:color="auto"/>
        <w:left w:val="none" w:sz="0" w:space="0" w:color="auto"/>
        <w:bottom w:val="none" w:sz="0" w:space="0" w:color="auto"/>
        <w:right w:val="none" w:sz="0" w:space="0" w:color="auto"/>
      </w:divBdr>
    </w:div>
    <w:div w:id="137916497">
      <w:bodyDiv w:val="1"/>
      <w:marLeft w:val="0"/>
      <w:marRight w:val="0"/>
      <w:marTop w:val="0"/>
      <w:marBottom w:val="0"/>
      <w:divBdr>
        <w:top w:val="none" w:sz="0" w:space="0" w:color="auto"/>
        <w:left w:val="none" w:sz="0" w:space="0" w:color="auto"/>
        <w:bottom w:val="none" w:sz="0" w:space="0" w:color="auto"/>
        <w:right w:val="none" w:sz="0" w:space="0" w:color="auto"/>
      </w:divBdr>
    </w:div>
    <w:div w:id="160242327">
      <w:bodyDiv w:val="1"/>
      <w:marLeft w:val="0"/>
      <w:marRight w:val="0"/>
      <w:marTop w:val="0"/>
      <w:marBottom w:val="0"/>
      <w:divBdr>
        <w:top w:val="none" w:sz="0" w:space="0" w:color="auto"/>
        <w:left w:val="none" w:sz="0" w:space="0" w:color="auto"/>
        <w:bottom w:val="none" w:sz="0" w:space="0" w:color="auto"/>
        <w:right w:val="none" w:sz="0" w:space="0" w:color="auto"/>
      </w:divBdr>
    </w:div>
    <w:div w:id="162598645">
      <w:bodyDiv w:val="1"/>
      <w:marLeft w:val="0"/>
      <w:marRight w:val="0"/>
      <w:marTop w:val="0"/>
      <w:marBottom w:val="0"/>
      <w:divBdr>
        <w:top w:val="none" w:sz="0" w:space="0" w:color="auto"/>
        <w:left w:val="none" w:sz="0" w:space="0" w:color="auto"/>
        <w:bottom w:val="none" w:sz="0" w:space="0" w:color="auto"/>
        <w:right w:val="none" w:sz="0" w:space="0" w:color="auto"/>
      </w:divBdr>
    </w:div>
    <w:div w:id="177818499">
      <w:bodyDiv w:val="1"/>
      <w:marLeft w:val="0"/>
      <w:marRight w:val="0"/>
      <w:marTop w:val="0"/>
      <w:marBottom w:val="0"/>
      <w:divBdr>
        <w:top w:val="none" w:sz="0" w:space="0" w:color="auto"/>
        <w:left w:val="none" w:sz="0" w:space="0" w:color="auto"/>
        <w:bottom w:val="none" w:sz="0" w:space="0" w:color="auto"/>
        <w:right w:val="none" w:sz="0" w:space="0" w:color="auto"/>
      </w:divBdr>
    </w:div>
    <w:div w:id="229730202">
      <w:bodyDiv w:val="1"/>
      <w:marLeft w:val="0"/>
      <w:marRight w:val="0"/>
      <w:marTop w:val="0"/>
      <w:marBottom w:val="0"/>
      <w:divBdr>
        <w:top w:val="none" w:sz="0" w:space="0" w:color="auto"/>
        <w:left w:val="none" w:sz="0" w:space="0" w:color="auto"/>
        <w:bottom w:val="none" w:sz="0" w:space="0" w:color="auto"/>
        <w:right w:val="none" w:sz="0" w:space="0" w:color="auto"/>
      </w:divBdr>
    </w:div>
    <w:div w:id="241834885">
      <w:bodyDiv w:val="1"/>
      <w:marLeft w:val="0"/>
      <w:marRight w:val="0"/>
      <w:marTop w:val="0"/>
      <w:marBottom w:val="0"/>
      <w:divBdr>
        <w:top w:val="none" w:sz="0" w:space="0" w:color="auto"/>
        <w:left w:val="none" w:sz="0" w:space="0" w:color="auto"/>
        <w:bottom w:val="none" w:sz="0" w:space="0" w:color="auto"/>
        <w:right w:val="none" w:sz="0" w:space="0" w:color="auto"/>
      </w:divBdr>
    </w:div>
    <w:div w:id="247234390">
      <w:bodyDiv w:val="1"/>
      <w:marLeft w:val="0"/>
      <w:marRight w:val="0"/>
      <w:marTop w:val="0"/>
      <w:marBottom w:val="0"/>
      <w:divBdr>
        <w:top w:val="none" w:sz="0" w:space="0" w:color="auto"/>
        <w:left w:val="none" w:sz="0" w:space="0" w:color="auto"/>
        <w:bottom w:val="none" w:sz="0" w:space="0" w:color="auto"/>
        <w:right w:val="none" w:sz="0" w:space="0" w:color="auto"/>
      </w:divBdr>
    </w:div>
    <w:div w:id="264584208">
      <w:bodyDiv w:val="1"/>
      <w:marLeft w:val="0"/>
      <w:marRight w:val="0"/>
      <w:marTop w:val="0"/>
      <w:marBottom w:val="0"/>
      <w:divBdr>
        <w:top w:val="none" w:sz="0" w:space="0" w:color="auto"/>
        <w:left w:val="none" w:sz="0" w:space="0" w:color="auto"/>
        <w:bottom w:val="none" w:sz="0" w:space="0" w:color="auto"/>
        <w:right w:val="none" w:sz="0" w:space="0" w:color="auto"/>
      </w:divBdr>
    </w:div>
    <w:div w:id="272443741">
      <w:bodyDiv w:val="1"/>
      <w:marLeft w:val="0"/>
      <w:marRight w:val="0"/>
      <w:marTop w:val="0"/>
      <w:marBottom w:val="0"/>
      <w:divBdr>
        <w:top w:val="none" w:sz="0" w:space="0" w:color="auto"/>
        <w:left w:val="none" w:sz="0" w:space="0" w:color="auto"/>
        <w:bottom w:val="none" w:sz="0" w:space="0" w:color="auto"/>
        <w:right w:val="none" w:sz="0" w:space="0" w:color="auto"/>
      </w:divBdr>
    </w:div>
    <w:div w:id="298918633">
      <w:bodyDiv w:val="1"/>
      <w:marLeft w:val="0"/>
      <w:marRight w:val="0"/>
      <w:marTop w:val="0"/>
      <w:marBottom w:val="0"/>
      <w:divBdr>
        <w:top w:val="none" w:sz="0" w:space="0" w:color="auto"/>
        <w:left w:val="none" w:sz="0" w:space="0" w:color="auto"/>
        <w:bottom w:val="none" w:sz="0" w:space="0" w:color="auto"/>
        <w:right w:val="none" w:sz="0" w:space="0" w:color="auto"/>
      </w:divBdr>
    </w:div>
    <w:div w:id="310989357">
      <w:bodyDiv w:val="1"/>
      <w:marLeft w:val="0"/>
      <w:marRight w:val="0"/>
      <w:marTop w:val="0"/>
      <w:marBottom w:val="0"/>
      <w:divBdr>
        <w:top w:val="none" w:sz="0" w:space="0" w:color="auto"/>
        <w:left w:val="none" w:sz="0" w:space="0" w:color="auto"/>
        <w:bottom w:val="none" w:sz="0" w:space="0" w:color="auto"/>
        <w:right w:val="none" w:sz="0" w:space="0" w:color="auto"/>
      </w:divBdr>
    </w:div>
    <w:div w:id="312949865">
      <w:bodyDiv w:val="1"/>
      <w:marLeft w:val="0"/>
      <w:marRight w:val="0"/>
      <w:marTop w:val="0"/>
      <w:marBottom w:val="0"/>
      <w:divBdr>
        <w:top w:val="none" w:sz="0" w:space="0" w:color="auto"/>
        <w:left w:val="none" w:sz="0" w:space="0" w:color="auto"/>
        <w:bottom w:val="none" w:sz="0" w:space="0" w:color="auto"/>
        <w:right w:val="none" w:sz="0" w:space="0" w:color="auto"/>
      </w:divBdr>
    </w:div>
    <w:div w:id="313797791">
      <w:bodyDiv w:val="1"/>
      <w:marLeft w:val="0"/>
      <w:marRight w:val="0"/>
      <w:marTop w:val="0"/>
      <w:marBottom w:val="0"/>
      <w:divBdr>
        <w:top w:val="none" w:sz="0" w:space="0" w:color="auto"/>
        <w:left w:val="none" w:sz="0" w:space="0" w:color="auto"/>
        <w:bottom w:val="none" w:sz="0" w:space="0" w:color="auto"/>
        <w:right w:val="none" w:sz="0" w:space="0" w:color="auto"/>
      </w:divBdr>
    </w:div>
    <w:div w:id="318778253">
      <w:bodyDiv w:val="1"/>
      <w:marLeft w:val="0"/>
      <w:marRight w:val="0"/>
      <w:marTop w:val="0"/>
      <w:marBottom w:val="0"/>
      <w:divBdr>
        <w:top w:val="none" w:sz="0" w:space="0" w:color="auto"/>
        <w:left w:val="none" w:sz="0" w:space="0" w:color="auto"/>
        <w:bottom w:val="none" w:sz="0" w:space="0" w:color="auto"/>
        <w:right w:val="none" w:sz="0" w:space="0" w:color="auto"/>
      </w:divBdr>
    </w:div>
    <w:div w:id="336612533">
      <w:bodyDiv w:val="1"/>
      <w:marLeft w:val="0"/>
      <w:marRight w:val="0"/>
      <w:marTop w:val="0"/>
      <w:marBottom w:val="0"/>
      <w:divBdr>
        <w:top w:val="none" w:sz="0" w:space="0" w:color="auto"/>
        <w:left w:val="none" w:sz="0" w:space="0" w:color="auto"/>
        <w:bottom w:val="none" w:sz="0" w:space="0" w:color="auto"/>
        <w:right w:val="none" w:sz="0" w:space="0" w:color="auto"/>
      </w:divBdr>
    </w:div>
    <w:div w:id="338121613">
      <w:bodyDiv w:val="1"/>
      <w:marLeft w:val="0"/>
      <w:marRight w:val="0"/>
      <w:marTop w:val="0"/>
      <w:marBottom w:val="0"/>
      <w:divBdr>
        <w:top w:val="none" w:sz="0" w:space="0" w:color="auto"/>
        <w:left w:val="none" w:sz="0" w:space="0" w:color="auto"/>
        <w:bottom w:val="none" w:sz="0" w:space="0" w:color="auto"/>
        <w:right w:val="none" w:sz="0" w:space="0" w:color="auto"/>
      </w:divBdr>
    </w:div>
    <w:div w:id="352266404">
      <w:bodyDiv w:val="1"/>
      <w:marLeft w:val="0"/>
      <w:marRight w:val="0"/>
      <w:marTop w:val="0"/>
      <w:marBottom w:val="0"/>
      <w:divBdr>
        <w:top w:val="none" w:sz="0" w:space="0" w:color="auto"/>
        <w:left w:val="none" w:sz="0" w:space="0" w:color="auto"/>
        <w:bottom w:val="none" w:sz="0" w:space="0" w:color="auto"/>
        <w:right w:val="none" w:sz="0" w:space="0" w:color="auto"/>
      </w:divBdr>
    </w:div>
    <w:div w:id="371538895">
      <w:bodyDiv w:val="1"/>
      <w:marLeft w:val="0"/>
      <w:marRight w:val="0"/>
      <w:marTop w:val="0"/>
      <w:marBottom w:val="0"/>
      <w:divBdr>
        <w:top w:val="none" w:sz="0" w:space="0" w:color="auto"/>
        <w:left w:val="none" w:sz="0" w:space="0" w:color="auto"/>
        <w:bottom w:val="none" w:sz="0" w:space="0" w:color="auto"/>
        <w:right w:val="none" w:sz="0" w:space="0" w:color="auto"/>
      </w:divBdr>
    </w:div>
    <w:div w:id="384259070">
      <w:bodyDiv w:val="1"/>
      <w:marLeft w:val="0"/>
      <w:marRight w:val="0"/>
      <w:marTop w:val="0"/>
      <w:marBottom w:val="0"/>
      <w:divBdr>
        <w:top w:val="none" w:sz="0" w:space="0" w:color="auto"/>
        <w:left w:val="none" w:sz="0" w:space="0" w:color="auto"/>
        <w:bottom w:val="none" w:sz="0" w:space="0" w:color="auto"/>
        <w:right w:val="none" w:sz="0" w:space="0" w:color="auto"/>
      </w:divBdr>
    </w:div>
    <w:div w:id="392047958">
      <w:bodyDiv w:val="1"/>
      <w:marLeft w:val="0"/>
      <w:marRight w:val="0"/>
      <w:marTop w:val="0"/>
      <w:marBottom w:val="0"/>
      <w:divBdr>
        <w:top w:val="none" w:sz="0" w:space="0" w:color="auto"/>
        <w:left w:val="none" w:sz="0" w:space="0" w:color="auto"/>
        <w:bottom w:val="none" w:sz="0" w:space="0" w:color="auto"/>
        <w:right w:val="none" w:sz="0" w:space="0" w:color="auto"/>
      </w:divBdr>
    </w:div>
    <w:div w:id="409038517">
      <w:bodyDiv w:val="1"/>
      <w:marLeft w:val="0"/>
      <w:marRight w:val="0"/>
      <w:marTop w:val="0"/>
      <w:marBottom w:val="0"/>
      <w:divBdr>
        <w:top w:val="none" w:sz="0" w:space="0" w:color="auto"/>
        <w:left w:val="none" w:sz="0" w:space="0" w:color="auto"/>
        <w:bottom w:val="none" w:sz="0" w:space="0" w:color="auto"/>
        <w:right w:val="none" w:sz="0" w:space="0" w:color="auto"/>
      </w:divBdr>
    </w:div>
    <w:div w:id="418257056">
      <w:bodyDiv w:val="1"/>
      <w:marLeft w:val="0"/>
      <w:marRight w:val="0"/>
      <w:marTop w:val="0"/>
      <w:marBottom w:val="0"/>
      <w:divBdr>
        <w:top w:val="none" w:sz="0" w:space="0" w:color="auto"/>
        <w:left w:val="none" w:sz="0" w:space="0" w:color="auto"/>
        <w:bottom w:val="none" w:sz="0" w:space="0" w:color="auto"/>
        <w:right w:val="none" w:sz="0" w:space="0" w:color="auto"/>
      </w:divBdr>
    </w:div>
    <w:div w:id="428165920">
      <w:bodyDiv w:val="1"/>
      <w:marLeft w:val="0"/>
      <w:marRight w:val="0"/>
      <w:marTop w:val="0"/>
      <w:marBottom w:val="0"/>
      <w:divBdr>
        <w:top w:val="none" w:sz="0" w:space="0" w:color="auto"/>
        <w:left w:val="none" w:sz="0" w:space="0" w:color="auto"/>
        <w:bottom w:val="none" w:sz="0" w:space="0" w:color="auto"/>
        <w:right w:val="none" w:sz="0" w:space="0" w:color="auto"/>
      </w:divBdr>
    </w:div>
    <w:div w:id="450050079">
      <w:bodyDiv w:val="1"/>
      <w:marLeft w:val="0"/>
      <w:marRight w:val="0"/>
      <w:marTop w:val="0"/>
      <w:marBottom w:val="0"/>
      <w:divBdr>
        <w:top w:val="none" w:sz="0" w:space="0" w:color="auto"/>
        <w:left w:val="none" w:sz="0" w:space="0" w:color="auto"/>
        <w:bottom w:val="none" w:sz="0" w:space="0" w:color="auto"/>
        <w:right w:val="none" w:sz="0" w:space="0" w:color="auto"/>
      </w:divBdr>
    </w:div>
    <w:div w:id="463811932">
      <w:bodyDiv w:val="1"/>
      <w:marLeft w:val="0"/>
      <w:marRight w:val="0"/>
      <w:marTop w:val="0"/>
      <w:marBottom w:val="0"/>
      <w:divBdr>
        <w:top w:val="none" w:sz="0" w:space="0" w:color="auto"/>
        <w:left w:val="none" w:sz="0" w:space="0" w:color="auto"/>
        <w:bottom w:val="none" w:sz="0" w:space="0" w:color="auto"/>
        <w:right w:val="none" w:sz="0" w:space="0" w:color="auto"/>
      </w:divBdr>
    </w:div>
    <w:div w:id="474221084">
      <w:bodyDiv w:val="1"/>
      <w:marLeft w:val="0"/>
      <w:marRight w:val="0"/>
      <w:marTop w:val="0"/>
      <w:marBottom w:val="0"/>
      <w:divBdr>
        <w:top w:val="none" w:sz="0" w:space="0" w:color="auto"/>
        <w:left w:val="none" w:sz="0" w:space="0" w:color="auto"/>
        <w:bottom w:val="none" w:sz="0" w:space="0" w:color="auto"/>
        <w:right w:val="none" w:sz="0" w:space="0" w:color="auto"/>
      </w:divBdr>
    </w:div>
    <w:div w:id="547423938">
      <w:bodyDiv w:val="1"/>
      <w:marLeft w:val="0"/>
      <w:marRight w:val="0"/>
      <w:marTop w:val="0"/>
      <w:marBottom w:val="0"/>
      <w:divBdr>
        <w:top w:val="none" w:sz="0" w:space="0" w:color="auto"/>
        <w:left w:val="none" w:sz="0" w:space="0" w:color="auto"/>
        <w:bottom w:val="none" w:sz="0" w:space="0" w:color="auto"/>
        <w:right w:val="none" w:sz="0" w:space="0" w:color="auto"/>
      </w:divBdr>
    </w:div>
    <w:div w:id="570962653">
      <w:bodyDiv w:val="1"/>
      <w:marLeft w:val="0"/>
      <w:marRight w:val="0"/>
      <w:marTop w:val="0"/>
      <w:marBottom w:val="0"/>
      <w:divBdr>
        <w:top w:val="none" w:sz="0" w:space="0" w:color="auto"/>
        <w:left w:val="none" w:sz="0" w:space="0" w:color="auto"/>
        <w:bottom w:val="none" w:sz="0" w:space="0" w:color="auto"/>
        <w:right w:val="none" w:sz="0" w:space="0" w:color="auto"/>
      </w:divBdr>
    </w:div>
    <w:div w:id="584874598">
      <w:bodyDiv w:val="1"/>
      <w:marLeft w:val="0"/>
      <w:marRight w:val="0"/>
      <w:marTop w:val="0"/>
      <w:marBottom w:val="0"/>
      <w:divBdr>
        <w:top w:val="none" w:sz="0" w:space="0" w:color="auto"/>
        <w:left w:val="none" w:sz="0" w:space="0" w:color="auto"/>
        <w:bottom w:val="none" w:sz="0" w:space="0" w:color="auto"/>
        <w:right w:val="none" w:sz="0" w:space="0" w:color="auto"/>
      </w:divBdr>
    </w:div>
    <w:div w:id="633870735">
      <w:bodyDiv w:val="1"/>
      <w:marLeft w:val="0"/>
      <w:marRight w:val="0"/>
      <w:marTop w:val="0"/>
      <w:marBottom w:val="0"/>
      <w:divBdr>
        <w:top w:val="none" w:sz="0" w:space="0" w:color="auto"/>
        <w:left w:val="none" w:sz="0" w:space="0" w:color="auto"/>
        <w:bottom w:val="none" w:sz="0" w:space="0" w:color="auto"/>
        <w:right w:val="none" w:sz="0" w:space="0" w:color="auto"/>
      </w:divBdr>
    </w:div>
    <w:div w:id="656229500">
      <w:bodyDiv w:val="1"/>
      <w:marLeft w:val="0"/>
      <w:marRight w:val="0"/>
      <w:marTop w:val="0"/>
      <w:marBottom w:val="0"/>
      <w:divBdr>
        <w:top w:val="none" w:sz="0" w:space="0" w:color="auto"/>
        <w:left w:val="none" w:sz="0" w:space="0" w:color="auto"/>
        <w:bottom w:val="none" w:sz="0" w:space="0" w:color="auto"/>
        <w:right w:val="none" w:sz="0" w:space="0" w:color="auto"/>
      </w:divBdr>
    </w:div>
    <w:div w:id="660817711">
      <w:bodyDiv w:val="1"/>
      <w:marLeft w:val="0"/>
      <w:marRight w:val="0"/>
      <w:marTop w:val="0"/>
      <w:marBottom w:val="0"/>
      <w:divBdr>
        <w:top w:val="none" w:sz="0" w:space="0" w:color="auto"/>
        <w:left w:val="none" w:sz="0" w:space="0" w:color="auto"/>
        <w:bottom w:val="none" w:sz="0" w:space="0" w:color="auto"/>
        <w:right w:val="none" w:sz="0" w:space="0" w:color="auto"/>
      </w:divBdr>
    </w:div>
    <w:div w:id="661205724">
      <w:bodyDiv w:val="1"/>
      <w:marLeft w:val="0"/>
      <w:marRight w:val="0"/>
      <w:marTop w:val="0"/>
      <w:marBottom w:val="0"/>
      <w:divBdr>
        <w:top w:val="none" w:sz="0" w:space="0" w:color="auto"/>
        <w:left w:val="none" w:sz="0" w:space="0" w:color="auto"/>
        <w:bottom w:val="none" w:sz="0" w:space="0" w:color="auto"/>
        <w:right w:val="none" w:sz="0" w:space="0" w:color="auto"/>
      </w:divBdr>
    </w:div>
    <w:div w:id="664356285">
      <w:bodyDiv w:val="1"/>
      <w:marLeft w:val="0"/>
      <w:marRight w:val="0"/>
      <w:marTop w:val="0"/>
      <w:marBottom w:val="0"/>
      <w:divBdr>
        <w:top w:val="none" w:sz="0" w:space="0" w:color="auto"/>
        <w:left w:val="none" w:sz="0" w:space="0" w:color="auto"/>
        <w:bottom w:val="none" w:sz="0" w:space="0" w:color="auto"/>
        <w:right w:val="none" w:sz="0" w:space="0" w:color="auto"/>
      </w:divBdr>
    </w:div>
    <w:div w:id="698434262">
      <w:bodyDiv w:val="1"/>
      <w:marLeft w:val="0"/>
      <w:marRight w:val="0"/>
      <w:marTop w:val="0"/>
      <w:marBottom w:val="0"/>
      <w:divBdr>
        <w:top w:val="none" w:sz="0" w:space="0" w:color="auto"/>
        <w:left w:val="none" w:sz="0" w:space="0" w:color="auto"/>
        <w:bottom w:val="none" w:sz="0" w:space="0" w:color="auto"/>
        <w:right w:val="none" w:sz="0" w:space="0" w:color="auto"/>
      </w:divBdr>
    </w:div>
    <w:div w:id="714428766">
      <w:bodyDiv w:val="1"/>
      <w:marLeft w:val="0"/>
      <w:marRight w:val="0"/>
      <w:marTop w:val="0"/>
      <w:marBottom w:val="0"/>
      <w:divBdr>
        <w:top w:val="none" w:sz="0" w:space="0" w:color="auto"/>
        <w:left w:val="none" w:sz="0" w:space="0" w:color="auto"/>
        <w:bottom w:val="none" w:sz="0" w:space="0" w:color="auto"/>
        <w:right w:val="none" w:sz="0" w:space="0" w:color="auto"/>
      </w:divBdr>
    </w:div>
    <w:div w:id="722948847">
      <w:bodyDiv w:val="1"/>
      <w:marLeft w:val="0"/>
      <w:marRight w:val="0"/>
      <w:marTop w:val="0"/>
      <w:marBottom w:val="0"/>
      <w:divBdr>
        <w:top w:val="none" w:sz="0" w:space="0" w:color="auto"/>
        <w:left w:val="none" w:sz="0" w:space="0" w:color="auto"/>
        <w:bottom w:val="none" w:sz="0" w:space="0" w:color="auto"/>
        <w:right w:val="none" w:sz="0" w:space="0" w:color="auto"/>
      </w:divBdr>
    </w:div>
    <w:div w:id="724067395">
      <w:bodyDiv w:val="1"/>
      <w:marLeft w:val="0"/>
      <w:marRight w:val="0"/>
      <w:marTop w:val="0"/>
      <w:marBottom w:val="0"/>
      <w:divBdr>
        <w:top w:val="none" w:sz="0" w:space="0" w:color="auto"/>
        <w:left w:val="none" w:sz="0" w:space="0" w:color="auto"/>
        <w:bottom w:val="none" w:sz="0" w:space="0" w:color="auto"/>
        <w:right w:val="none" w:sz="0" w:space="0" w:color="auto"/>
      </w:divBdr>
    </w:div>
    <w:div w:id="752966775">
      <w:bodyDiv w:val="1"/>
      <w:marLeft w:val="0"/>
      <w:marRight w:val="0"/>
      <w:marTop w:val="0"/>
      <w:marBottom w:val="0"/>
      <w:divBdr>
        <w:top w:val="none" w:sz="0" w:space="0" w:color="auto"/>
        <w:left w:val="none" w:sz="0" w:space="0" w:color="auto"/>
        <w:bottom w:val="none" w:sz="0" w:space="0" w:color="auto"/>
        <w:right w:val="none" w:sz="0" w:space="0" w:color="auto"/>
      </w:divBdr>
    </w:div>
    <w:div w:id="752968177">
      <w:bodyDiv w:val="1"/>
      <w:marLeft w:val="0"/>
      <w:marRight w:val="0"/>
      <w:marTop w:val="0"/>
      <w:marBottom w:val="0"/>
      <w:divBdr>
        <w:top w:val="none" w:sz="0" w:space="0" w:color="auto"/>
        <w:left w:val="none" w:sz="0" w:space="0" w:color="auto"/>
        <w:bottom w:val="none" w:sz="0" w:space="0" w:color="auto"/>
        <w:right w:val="none" w:sz="0" w:space="0" w:color="auto"/>
      </w:divBdr>
    </w:div>
    <w:div w:id="771895666">
      <w:bodyDiv w:val="1"/>
      <w:marLeft w:val="0"/>
      <w:marRight w:val="0"/>
      <w:marTop w:val="0"/>
      <w:marBottom w:val="0"/>
      <w:divBdr>
        <w:top w:val="none" w:sz="0" w:space="0" w:color="auto"/>
        <w:left w:val="none" w:sz="0" w:space="0" w:color="auto"/>
        <w:bottom w:val="none" w:sz="0" w:space="0" w:color="auto"/>
        <w:right w:val="none" w:sz="0" w:space="0" w:color="auto"/>
      </w:divBdr>
    </w:div>
    <w:div w:id="816997915">
      <w:bodyDiv w:val="1"/>
      <w:marLeft w:val="0"/>
      <w:marRight w:val="0"/>
      <w:marTop w:val="0"/>
      <w:marBottom w:val="0"/>
      <w:divBdr>
        <w:top w:val="none" w:sz="0" w:space="0" w:color="auto"/>
        <w:left w:val="none" w:sz="0" w:space="0" w:color="auto"/>
        <w:bottom w:val="none" w:sz="0" w:space="0" w:color="auto"/>
        <w:right w:val="none" w:sz="0" w:space="0" w:color="auto"/>
      </w:divBdr>
    </w:div>
    <w:div w:id="828180481">
      <w:bodyDiv w:val="1"/>
      <w:marLeft w:val="0"/>
      <w:marRight w:val="0"/>
      <w:marTop w:val="0"/>
      <w:marBottom w:val="0"/>
      <w:divBdr>
        <w:top w:val="none" w:sz="0" w:space="0" w:color="auto"/>
        <w:left w:val="none" w:sz="0" w:space="0" w:color="auto"/>
        <w:bottom w:val="none" w:sz="0" w:space="0" w:color="auto"/>
        <w:right w:val="none" w:sz="0" w:space="0" w:color="auto"/>
      </w:divBdr>
    </w:div>
    <w:div w:id="859508138">
      <w:bodyDiv w:val="1"/>
      <w:marLeft w:val="0"/>
      <w:marRight w:val="0"/>
      <w:marTop w:val="0"/>
      <w:marBottom w:val="0"/>
      <w:divBdr>
        <w:top w:val="none" w:sz="0" w:space="0" w:color="auto"/>
        <w:left w:val="none" w:sz="0" w:space="0" w:color="auto"/>
        <w:bottom w:val="none" w:sz="0" w:space="0" w:color="auto"/>
        <w:right w:val="none" w:sz="0" w:space="0" w:color="auto"/>
      </w:divBdr>
    </w:div>
    <w:div w:id="872033088">
      <w:bodyDiv w:val="1"/>
      <w:marLeft w:val="0"/>
      <w:marRight w:val="0"/>
      <w:marTop w:val="0"/>
      <w:marBottom w:val="0"/>
      <w:divBdr>
        <w:top w:val="none" w:sz="0" w:space="0" w:color="auto"/>
        <w:left w:val="none" w:sz="0" w:space="0" w:color="auto"/>
        <w:bottom w:val="none" w:sz="0" w:space="0" w:color="auto"/>
        <w:right w:val="none" w:sz="0" w:space="0" w:color="auto"/>
      </w:divBdr>
    </w:div>
    <w:div w:id="879242722">
      <w:bodyDiv w:val="1"/>
      <w:marLeft w:val="0"/>
      <w:marRight w:val="0"/>
      <w:marTop w:val="0"/>
      <w:marBottom w:val="0"/>
      <w:divBdr>
        <w:top w:val="none" w:sz="0" w:space="0" w:color="auto"/>
        <w:left w:val="none" w:sz="0" w:space="0" w:color="auto"/>
        <w:bottom w:val="none" w:sz="0" w:space="0" w:color="auto"/>
        <w:right w:val="none" w:sz="0" w:space="0" w:color="auto"/>
      </w:divBdr>
    </w:div>
    <w:div w:id="919754837">
      <w:bodyDiv w:val="1"/>
      <w:marLeft w:val="0"/>
      <w:marRight w:val="0"/>
      <w:marTop w:val="0"/>
      <w:marBottom w:val="0"/>
      <w:divBdr>
        <w:top w:val="none" w:sz="0" w:space="0" w:color="auto"/>
        <w:left w:val="none" w:sz="0" w:space="0" w:color="auto"/>
        <w:bottom w:val="none" w:sz="0" w:space="0" w:color="auto"/>
        <w:right w:val="none" w:sz="0" w:space="0" w:color="auto"/>
      </w:divBdr>
    </w:div>
    <w:div w:id="941453985">
      <w:bodyDiv w:val="1"/>
      <w:marLeft w:val="0"/>
      <w:marRight w:val="0"/>
      <w:marTop w:val="0"/>
      <w:marBottom w:val="0"/>
      <w:divBdr>
        <w:top w:val="none" w:sz="0" w:space="0" w:color="auto"/>
        <w:left w:val="none" w:sz="0" w:space="0" w:color="auto"/>
        <w:bottom w:val="none" w:sz="0" w:space="0" w:color="auto"/>
        <w:right w:val="none" w:sz="0" w:space="0" w:color="auto"/>
      </w:divBdr>
    </w:div>
    <w:div w:id="1000891802">
      <w:bodyDiv w:val="1"/>
      <w:marLeft w:val="0"/>
      <w:marRight w:val="0"/>
      <w:marTop w:val="0"/>
      <w:marBottom w:val="0"/>
      <w:divBdr>
        <w:top w:val="none" w:sz="0" w:space="0" w:color="auto"/>
        <w:left w:val="none" w:sz="0" w:space="0" w:color="auto"/>
        <w:bottom w:val="none" w:sz="0" w:space="0" w:color="auto"/>
        <w:right w:val="none" w:sz="0" w:space="0" w:color="auto"/>
      </w:divBdr>
    </w:div>
    <w:div w:id="1026179311">
      <w:bodyDiv w:val="1"/>
      <w:marLeft w:val="0"/>
      <w:marRight w:val="0"/>
      <w:marTop w:val="0"/>
      <w:marBottom w:val="0"/>
      <w:divBdr>
        <w:top w:val="none" w:sz="0" w:space="0" w:color="auto"/>
        <w:left w:val="none" w:sz="0" w:space="0" w:color="auto"/>
        <w:bottom w:val="none" w:sz="0" w:space="0" w:color="auto"/>
        <w:right w:val="none" w:sz="0" w:space="0" w:color="auto"/>
      </w:divBdr>
    </w:div>
    <w:div w:id="1028408361">
      <w:bodyDiv w:val="1"/>
      <w:marLeft w:val="0"/>
      <w:marRight w:val="0"/>
      <w:marTop w:val="0"/>
      <w:marBottom w:val="0"/>
      <w:divBdr>
        <w:top w:val="none" w:sz="0" w:space="0" w:color="auto"/>
        <w:left w:val="none" w:sz="0" w:space="0" w:color="auto"/>
        <w:bottom w:val="none" w:sz="0" w:space="0" w:color="auto"/>
        <w:right w:val="none" w:sz="0" w:space="0" w:color="auto"/>
      </w:divBdr>
    </w:div>
    <w:div w:id="1062948219">
      <w:bodyDiv w:val="1"/>
      <w:marLeft w:val="0"/>
      <w:marRight w:val="0"/>
      <w:marTop w:val="0"/>
      <w:marBottom w:val="0"/>
      <w:divBdr>
        <w:top w:val="none" w:sz="0" w:space="0" w:color="auto"/>
        <w:left w:val="none" w:sz="0" w:space="0" w:color="auto"/>
        <w:bottom w:val="none" w:sz="0" w:space="0" w:color="auto"/>
        <w:right w:val="none" w:sz="0" w:space="0" w:color="auto"/>
      </w:divBdr>
    </w:div>
    <w:div w:id="1065252341">
      <w:bodyDiv w:val="1"/>
      <w:marLeft w:val="0"/>
      <w:marRight w:val="0"/>
      <w:marTop w:val="0"/>
      <w:marBottom w:val="0"/>
      <w:divBdr>
        <w:top w:val="none" w:sz="0" w:space="0" w:color="auto"/>
        <w:left w:val="none" w:sz="0" w:space="0" w:color="auto"/>
        <w:bottom w:val="none" w:sz="0" w:space="0" w:color="auto"/>
        <w:right w:val="none" w:sz="0" w:space="0" w:color="auto"/>
      </w:divBdr>
    </w:div>
    <w:div w:id="1072658489">
      <w:bodyDiv w:val="1"/>
      <w:marLeft w:val="0"/>
      <w:marRight w:val="0"/>
      <w:marTop w:val="0"/>
      <w:marBottom w:val="0"/>
      <w:divBdr>
        <w:top w:val="none" w:sz="0" w:space="0" w:color="auto"/>
        <w:left w:val="none" w:sz="0" w:space="0" w:color="auto"/>
        <w:bottom w:val="none" w:sz="0" w:space="0" w:color="auto"/>
        <w:right w:val="none" w:sz="0" w:space="0" w:color="auto"/>
      </w:divBdr>
    </w:div>
    <w:div w:id="1129980570">
      <w:bodyDiv w:val="1"/>
      <w:marLeft w:val="0"/>
      <w:marRight w:val="0"/>
      <w:marTop w:val="0"/>
      <w:marBottom w:val="0"/>
      <w:divBdr>
        <w:top w:val="none" w:sz="0" w:space="0" w:color="auto"/>
        <w:left w:val="none" w:sz="0" w:space="0" w:color="auto"/>
        <w:bottom w:val="none" w:sz="0" w:space="0" w:color="auto"/>
        <w:right w:val="none" w:sz="0" w:space="0" w:color="auto"/>
      </w:divBdr>
    </w:div>
    <w:div w:id="1159347863">
      <w:bodyDiv w:val="1"/>
      <w:marLeft w:val="0"/>
      <w:marRight w:val="0"/>
      <w:marTop w:val="0"/>
      <w:marBottom w:val="0"/>
      <w:divBdr>
        <w:top w:val="none" w:sz="0" w:space="0" w:color="auto"/>
        <w:left w:val="none" w:sz="0" w:space="0" w:color="auto"/>
        <w:bottom w:val="none" w:sz="0" w:space="0" w:color="auto"/>
        <w:right w:val="none" w:sz="0" w:space="0" w:color="auto"/>
      </w:divBdr>
    </w:div>
    <w:div w:id="1177960499">
      <w:bodyDiv w:val="1"/>
      <w:marLeft w:val="0"/>
      <w:marRight w:val="0"/>
      <w:marTop w:val="0"/>
      <w:marBottom w:val="0"/>
      <w:divBdr>
        <w:top w:val="none" w:sz="0" w:space="0" w:color="auto"/>
        <w:left w:val="none" w:sz="0" w:space="0" w:color="auto"/>
        <w:bottom w:val="none" w:sz="0" w:space="0" w:color="auto"/>
        <w:right w:val="none" w:sz="0" w:space="0" w:color="auto"/>
      </w:divBdr>
    </w:div>
    <w:div w:id="1267233123">
      <w:bodyDiv w:val="1"/>
      <w:marLeft w:val="0"/>
      <w:marRight w:val="0"/>
      <w:marTop w:val="0"/>
      <w:marBottom w:val="0"/>
      <w:divBdr>
        <w:top w:val="none" w:sz="0" w:space="0" w:color="auto"/>
        <w:left w:val="none" w:sz="0" w:space="0" w:color="auto"/>
        <w:bottom w:val="none" w:sz="0" w:space="0" w:color="auto"/>
        <w:right w:val="none" w:sz="0" w:space="0" w:color="auto"/>
      </w:divBdr>
    </w:div>
    <w:div w:id="1267424218">
      <w:bodyDiv w:val="1"/>
      <w:marLeft w:val="0"/>
      <w:marRight w:val="0"/>
      <w:marTop w:val="0"/>
      <w:marBottom w:val="0"/>
      <w:divBdr>
        <w:top w:val="none" w:sz="0" w:space="0" w:color="auto"/>
        <w:left w:val="none" w:sz="0" w:space="0" w:color="auto"/>
        <w:bottom w:val="none" w:sz="0" w:space="0" w:color="auto"/>
        <w:right w:val="none" w:sz="0" w:space="0" w:color="auto"/>
      </w:divBdr>
    </w:div>
    <w:div w:id="1278757699">
      <w:bodyDiv w:val="1"/>
      <w:marLeft w:val="0"/>
      <w:marRight w:val="0"/>
      <w:marTop w:val="0"/>
      <w:marBottom w:val="0"/>
      <w:divBdr>
        <w:top w:val="none" w:sz="0" w:space="0" w:color="auto"/>
        <w:left w:val="none" w:sz="0" w:space="0" w:color="auto"/>
        <w:bottom w:val="none" w:sz="0" w:space="0" w:color="auto"/>
        <w:right w:val="none" w:sz="0" w:space="0" w:color="auto"/>
      </w:divBdr>
    </w:div>
    <w:div w:id="1299148631">
      <w:bodyDiv w:val="1"/>
      <w:marLeft w:val="0"/>
      <w:marRight w:val="0"/>
      <w:marTop w:val="0"/>
      <w:marBottom w:val="0"/>
      <w:divBdr>
        <w:top w:val="none" w:sz="0" w:space="0" w:color="auto"/>
        <w:left w:val="none" w:sz="0" w:space="0" w:color="auto"/>
        <w:bottom w:val="none" w:sz="0" w:space="0" w:color="auto"/>
        <w:right w:val="none" w:sz="0" w:space="0" w:color="auto"/>
      </w:divBdr>
    </w:div>
    <w:div w:id="1321738897">
      <w:bodyDiv w:val="1"/>
      <w:marLeft w:val="0"/>
      <w:marRight w:val="0"/>
      <w:marTop w:val="0"/>
      <w:marBottom w:val="0"/>
      <w:divBdr>
        <w:top w:val="none" w:sz="0" w:space="0" w:color="auto"/>
        <w:left w:val="none" w:sz="0" w:space="0" w:color="auto"/>
        <w:bottom w:val="none" w:sz="0" w:space="0" w:color="auto"/>
        <w:right w:val="none" w:sz="0" w:space="0" w:color="auto"/>
      </w:divBdr>
    </w:div>
    <w:div w:id="1354648685">
      <w:bodyDiv w:val="1"/>
      <w:marLeft w:val="0"/>
      <w:marRight w:val="0"/>
      <w:marTop w:val="0"/>
      <w:marBottom w:val="0"/>
      <w:divBdr>
        <w:top w:val="none" w:sz="0" w:space="0" w:color="auto"/>
        <w:left w:val="none" w:sz="0" w:space="0" w:color="auto"/>
        <w:bottom w:val="none" w:sz="0" w:space="0" w:color="auto"/>
        <w:right w:val="none" w:sz="0" w:space="0" w:color="auto"/>
      </w:divBdr>
    </w:div>
    <w:div w:id="1365057223">
      <w:bodyDiv w:val="1"/>
      <w:marLeft w:val="0"/>
      <w:marRight w:val="0"/>
      <w:marTop w:val="0"/>
      <w:marBottom w:val="0"/>
      <w:divBdr>
        <w:top w:val="none" w:sz="0" w:space="0" w:color="auto"/>
        <w:left w:val="none" w:sz="0" w:space="0" w:color="auto"/>
        <w:bottom w:val="none" w:sz="0" w:space="0" w:color="auto"/>
        <w:right w:val="none" w:sz="0" w:space="0" w:color="auto"/>
      </w:divBdr>
    </w:div>
    <w:div w:id="1383751983">
      <w:bodyDiv w:val="1"/>
      <w:marLeft w:val="0"/>
      <w:marRight w:val="0"/>
      <w:marTop w:val="0"/>
      <w:marBottom w:val="0"/>
      <w:divBdr>
        <w:top w:val="none" w:sz="0" w:space="0" w:color="auto"/>
        <w:left w:val="none" w:sz="0" w:space="0" w:color="auto"/>
        <w:bottom w:val="none" w:sz="0" w:space="0" w:color="auto"/>
        <w:right w:val="none" w:sz="0" w:space="0" w:color="auto"/>
      </w:divBdr>
    </w:div>
    <w:div w:id="1391147876">
      <w:bodyDiv w:val="1"/>
      <w:marLeft w:val="0"/>
      <w:marRight w:val="0"/>
      <w:marTop w:val="0"/>
      <w:marBottom w:val="0"/>
      <w:divBdr>
        <w:top w:val="none" w:sz="0" w:space="0" w:color="auto"/>
        <w:left w:val="none" w:sz="0" w:space="0" w:color="auto"/>
        <w:bottom w:val="none" w:sz="0" w:space="0" w:color="auto"/>
        <w:right w:val="none" w:sz="0" w:space="0" w:color="auto"/>
      </w:divBdr>
    </w:div>
    <w:div w:id="1399401135">
      <w:bodyDiv w:val="1"/>
      <w:marLeft w:val="0"/>
      <w:marRight w:val="0"/>
      <w:marTop w:val="0"/>
      <w:marBottom w:val="0"/>
      <w:divBdr>
        <w:top w:val="none" w:sz="0" w:space="0" w:color="auto"/>
        <w:left w:val="none" w:sz="0" w:space="0" w:color="auto"/>
        <w:bottom w:val="none" w:sz="0" w:space="0" w:color="auto"/>
        <w:right w:val="none" w:sz="0" w:space="0" w:color="auto"/>
      </w:divBdr>
    </w:div>
    <w:div w:id="1411537481">
      <w:bodyDiv w:val="1"/>
      <w:marLeft w:val="0"/>
      <w:marRight w:val="0"/>
      <w:marTop w:val="0"/>
      <w:marBottom w:val="0"/>
      <w:divBdr>
        <w:top w:val="none" w:sz="0" w:space="0" w:color="auto"/>
        <w:left w:val="none" w:sz="0" w:space="0" w:color="auto"/>
        <w:bottom w:val="none" w:sz="0" w:space="0" w:color="auto"/>
        <w:right w:val="none" w:sz="0" w:space="0" w:color="auto"/>
      </w:divBdr>
    </w:div>
    <w:div w:id="1413432216">
      <w:bodyDiv w:val="1"/>
      <w:marLeft w:val="0"/>
      <w:marRight w:val="0"/>
      <w:marTop w:val="0"/>
      <w:marBottom w:val="0"/>
      <w:divBdr>
        <w:top w:val="none" w:sz="0" w:space="0" w:color="auto"/>
        <w:left w:val="none" w:sz="0" w:space="0" w:color="auto"/>
        <w:bottom w:val="none" w:sz="0" w:space="0" w:color="auto"/>
        <w:right w:val="none" w:sz="0" w:space="0" w:color="auto"/>
      </w:divBdr>
    </w:div>
    <w:div w:id="1413891161">
      <w:bodyDiv w:val="1"/>
      <w:marLeft w:val="0"/>
      <w:marRight w:val="0"/>
      <w:marTop w:val="0"/>
      <w:marBottom w:val="0"/>
      <w:divBdr>
        <w:top w:val="none" w:sz="0" w:space="0" w:color="auto"/>
        <w:left w:val="none" w:sz="0" w:space="0" w:color="auto"/>
        <w:bottom w:val="none" w:sz="0" w:space="0" w:color="auto"/>
        <w:right w:val="none" w:sz="0" w:space="0" w:color="auto"/>
      </w:divBdr>
    </w:div>
    <w:div w:id="1440758472">
      <w:bodyDiv w:val="1"/>
      <w:marLeft w:val="0"/>
      <w:marRight w:val="0"/>
      <w:marTop w:val="0"/>
      <w:marBottom w:val="0"/>
      <w:divBdr>
        <w:top w:val="none" w:sz="0" w:space="0" w:color="auto"/>
        <w:left w:val="none" w:sz="0" w:space="0" w:color="auto"/>
        <w:bottom w:val="none" w:sz="0" w:space="0" w:color="auto"/>
        <w:right w:val="none" w:sz="0" w:space="0" w:color="auto"/>
      </w:divBdr>
    </w:div>
    <w:div w:id="1454447600">
      <w:bodyDiv w:val="1"/>
      <w:marLeft w:val="0"/>
      <w:marRight w:val="0"/>
      <w:marTop w:val="0"/>
      <w:marBottom w:val="0"/>
      <w:divBdr>
        <w:top w:val="none" w:sz="0" w:space="0" w:color="auto"/>
        <w:left w:val="none" w:sz="0" w:space="0" w:color="auto"/>
        <w:bottom w:val="none" w:sz="0" w:space="0" w:color="auto"/>
        <w:right w:val="none" w:sz="0" w:space="0" w:color="auto"/>
      </w:divBdr>
    </w:div>
    <w:div w:id="1457409769">
      <w:bodyDiv w:val="1"/>
      <w:marLeft w:val="0"/>
      <w:marRight w:val="0"/>
      <w:marTop w:val="0"/>
      <w:marBottom w:val="0"/>
      <w:divBdr>
        <w:top w:val="none" w:sz="0" w:space="0" w:color="auto"/>
        <w:left w:val="none" w:sz="0" w:space="0" w:color="auto"/>
        <w:bottom w:val="none" w:sz="0" w:space="0" w:color="auto"/>
        <w:right w:val="none" w:sz="0" w:space="0" w:color="auto"/>
      </w:divBdr>
    </w:div>
    <w:div w:id="1462848134">
      <w:bodyDiv w:val="1"/>
      <w:marLeft w:val="0"/>
      <w:marRight w:val="0"/>
      <w:marTop w:val="0"/>
      <w:marBottom w:val="0"/>
      <w:divBdr>
        <w:top w:val="none" w:sz="0" w:space="0" w:color="auto"/>
        <w:left w:val="none" w:sz="0" w:space="0" w:color="auto"/>
        <w:bottom w:val="none" w:sz="0" w:space="0" w:color="auto"/>
        <w:right w:val="none" w:sz="0" w:space="0" w:color="auto"/>
      </w:divBdr>
    </w:div>
    <w:div w:id="1468281823">
      <w:bodyDiv w:val="1"/>
      <w:marLeft w:val="0"/>
      <w:marRight w:val="0"/>
      <w:marTop w:val="0"/>
      <w:marBottom w:val="0"/>
      <w:divBdr>
        <w:top w:val="none" w:sz="0" w:space="0" w:color="auto"/>
        <w:left w:val="none" w:sz="0" w:space="0" w:color="auto"/>
        <w:bottom w:val="none" w:sz="0" w:space="0" w:color="auto"/>
        <w:right w:val="none" w:sz="0" w:space="0" w:color="auto"/>
      </w:divBdr>
    </w:div>
    <w:div w:id="1494907580">
      <w:bodyDiv w:val="1"/>
      <w:marLeft w:val="0"/>
      <w:marRight w:val="0"/>
      <w:marTop w:val="0"/>
      <w:marBottom w:val="0"/>
      <w:divBdr>
        <w:top w:val="none" w:sz="0" w:space="0" w:color="auto"/>
        <w:left w:val="none" w:sz="0" w:space="0" w:color="auto"/>
        <w:bottom w:val="none" w:sz="0" w:space="0" w:color="auto"/>
        <w:right w:val="none" w:sz="0" w:space="0" w:color="auto"/>
      </w:divBdr>
    </w:div>
    <w:div w:id="1503007823">
      <w:bodyDiv w:val="1"/>
      <w:marLeft w:val="0"/>
      <w:marRight w:val="0"/>
      <w:marTop w:val="0"/>
      <w:marBottom w:val="0"/>
      <w:divBdr>
        <w:top w:val="none" w:sz="0" w:space="0" w:color="auto"/>
        <w:left w:val="none" w:sz="0" w:space="0" w:color="auto"/>
        <w:bottom w:val="none" w:sz="0" w:space="0" w:color="auto"/>
        <w:right w:val="none" w:sz="0" w:space="0" w:color="auto"/>
      </w:divBdr>
    </w:div>
    <w:div w:id="1520504871">
      <w:bodyDiv w:val="1"/>
      <w:marLeft w:val="0"/>
      <w:marRight w:val="0"/>
      <w:marTop w:val="0"/>
      <w:marBottom w:val="0"/>
      <w:divBdr>
        <w:top w:val="none" w:sz="0" w:space="0" w:color="auto"/>
        <w:left w:val="none" w:sz="0" w:space="0" w:color="auto"/>
        <w:bottom w:val="none" w:sz="0" w:space="0" w:color="auto"/>
        <w:right w:val="none" w:sz="0" w:space="0" w:color="auto"/>
      </w:divBdr>
    </w:div>
    <w:div w:id="1547327615">
      <w:bodyDiv w:val="1"/>
      <w:marLeft w:val="0"/>
      <w:marRight w:val="0"/>
      <w:marTop w:val="0"/>
      <w:marBottom w:val="0"/>
      <w:divBdr>
        <w:top w:val="none" w:sz="0" w:space="0" w:color="auto"/>
        <w:left w:val="none" w:sz="0" w:space="0" w:color="auto"/>
        <w:bottom w:val="none" w:sz="0" w:space="0" w:color="auto"/>
        <w:right w:val="none" w:sz="0" w:space="0" w:color="auto"/>
      </w:divBdr>
    </w:div>
    <w:div w:id="1578636660">
      <w:bodyDiv w:val="1"/>
      <w:marLeft w:val="0"/>
      <w:marRight w:val="0"/>
      <w:marTop w:val="0"/>
      <w:marBottom w:val="0"/>
      <w:divBdr>
        <w:top w:val="none" w:sz="0" w:space="0" w:color="auto"/>
        <w:left w:val="none" w:sz="0" w:space="0" w:color="auto"/>
        <w:bottom w:val="none" w:sz="0" w:space="0" w:color="auto"/>
        <w:right w:val="none" w:sz="0" w:space="0" w:color="auto"/>
      </w:divBdr>
    </w:div>
    <w:div w:id="1594894812">
      <w:bodyDiv w:val="1"/>
      <w:marLeft w:val="0"/>
      <w:marRight w:val="0"/>
      <w:marTop w:val="0"/>
      <w:marBottom w:val="0"/>
      <w:divBdr>
        <w:top w:val="none" w:sz="0" w:space="0" w:color="auto"/>
        <w:left w:val="none" w:sz="0" w:space="0" w:color="auto"/>
        <w:bottom w:val="none" w:sz="0" w:space="0" w:color="auto"/>
        <w:right w:val="none" w:sz="0" w:space="0" w:color="auto"/>
      </w:divBdr>
    </w:div>
    <w:div w:id="1625692970">
      <w:bodyDiv w:val="1"/>
      <w:marLeft w:val="0"/>
      <w:marRight w:val="0"/>
      <w:marTop w:val="0"/>
      <w:marBottom w:val="0"/>
      <w:divBdr>
        <w:top w:val="none" w:sz="0" w:space="0" w:color="auto"/>
        <w:left w:val="none" w:sz="0" w:space="0" w:color="auto"/>
        <w:bottom w:val="none" w:sz="0" w:space="0" w:color="auto"/>
        <w:right w:val="none" w:sz="0" w:space="0" w:color="auto"/>
      </w:divBdr>
    </w:div>
    <w:div w:id="1668168149">
      <w:bodyDiv w:val="1"/>
      <w:marLeft w:val="0"/>
      <w:marRight w:val="0"/>
      <w:marTop w:val="0"/>
      <w:marBottom w:val="0"/>
      <w:divBdr>
        <w:top w:val="none" w:sz="0" w:space="0" w:color="auto"/>
        <w:left w:val="none" w:sz="0" w:space="0" w:color="auto"/>
        <w:bottom w:val="none" w:sz="0" w:space="0" w:color="auto"/>
        <w:right w:val="none" w:sz="0" w:space="0" w:color="auto"/>
      </w:divBdr>
    </w:div>
    <w:div w:id="1673992004">
      <w:bodyDiv w:val="1"/>
      <w:marLeft w:val="0"/>
      <w:marRight w:val="0"/>
      <w:marTop w:val="0"/>
      <w:marBottom w:val="0"/>
      <w:divBdr>
        <w:top w:val="none" w:sz="0" w:space="0" w:color="auto"/>
        <w:left w:val="none" w:sz="0" w:space="0" w:color="auto"/>
        <w:bottom w:val="none" w:sz="0" w:space="0" w:color="auto"/>
        <w:right w:val="none" w:sz="0" w:space="0" w:color="auto"/>
      </w:divBdr>
    </w:div>
    <w:div w:id="1711219884">
      <w:bodyDiv w:val="1"/>
      <w:marLeft w:val="0"/>
      <w:marRight w:val="0"/>
      <w:marTop w:val="0"/>
      <w:marBottom w:val="0"/>
      <w:divBdr>
        <w:top w:val="none" w:sz="0" w:space="0" w:color="auto"/>
        <w:left w:val="none" w:sz="0" w:space="0" w:color="auto"/>
        <w:bottom w:val="none" w:sz="0" w:space="0" w:color="auto"/>
        <w:right w:val="none" w:sz="0" w:space="0" w:color="auto"/>
      </w:divBdr>
    </w:div>
    <w:div w:id="1730499882">
      <w:bodyDiv w:val="1"/>
      <w:marLeft w:val="0"/>
      <w:marRight w:val="0"/>
      <w:marTop w:val="0"/>
      <w:marBottom w:val="0"/>
      <w:divBdr>
        <w:top w:val="none" w:sz="0" w:space="0" w:color="auto"/>
        <w:left w:val="none" w:sz="0" w:space="0" w:color="auto"/>
        <w:bottom w:val="none" w:sz="0" w:space="0" w:color="auto"/>
        <w:right w:val="none" w:sz="0" w:space="0" w:color="auto"/>
      </w:divBdr>
    </w:div>
    <w:div w:id="1768304257">
      <w:bodyDiv w:val="1"/>
      <w:marLeft w:val="0"/>
      <w:marRight w:val="0"/>
      <w:marTop w:val="0"/>
      <w:marBottom w:val="0"/>
      <w:divBdr>
        <w:top w:val="none" w:sz="0" w:space="0" w:color="auto"/>
        <w:left w:val="none" w:sz="0" w:space="0" w:color="auto"/>
        <w:bottom w:val="none" w:sz="0" w:space="0" w:color="auto"/>
        <w:right w:val="none" w:sz="0" w:space="0" w:color="auto"/>
      </w:divBdr>
    </w:div>
    <w:div w:id="1776753933">
      <w:bodyDiv w:val="1"/>
      <w:marLeft w:val="0"/>
      <w:marRight w:val="0"/>
      <w:marTop w:val="0"/>
      <w:marBottom w:val="0"/>
      <w:divBdr>
        <w:top w:val="none" w:sz="0" w:space="0" w:color="auto"/>
        <w:left w:val="none" w:sz="0" w:space="0" w:color="auto"/>
        <w:bottom w:val="none" w:sz="0" w:space="0" w:color="auto"/>
        <w:right w:val="none" w:sz="0" w:space="0" w:color="auto"/>
      </w:divBdr>
    </w:div>
    <w:div w:id="1785614381">
      <w:bodyDiv w:val="1"/>
      <w:marLeft w:val="0"/>
      <w:marRight w:val="0"/>
      <w:marTop w:val="0"/>
      <w:marBottom w:val="0"/>
      <w:divBdr>
        <w:top w:val="none" w:sz="0" w:space="0" w:color="auto"/>
        <w:left w:val="none" w:sz="0" w:space="0" w:color="auto"/>
        <w:bottom w:val="none" w:sz="0" w:space="0" w:color="auto"/>
        <w:right w:val="none" w:sz="0" w:space="0" w:color="auto"/>
      </w:divBdr>
    </w:div>
    <w:div w:id="1786656506">
      <w:bodyDiv w:val="1"/>
      <w:marLeft w:val="0"/>
      <w:marRight w:val="0"/>
      <w:marTop w:val="0"/>
      <w:marBottom w:val="0"/>
      <w:divBdr>
        <w:top w:val="none" w:sz="0" w:space="0" w:color="auto"/>
        <w:left w:val="none" w:sz="0" w:space="0" w:color="auto"/>
        <w:bottom w:val="none" w:sz="0" w:space="0" w:color="auto"/>
        <w:right w:val="none" w:sz="0" w:space="0" w:color="auto"/>
      </w:divBdr>
    </w:div>
    <w:div w:id="1790316251">
      <w:bodyDiv w:val="1"/>
      <w:marLeft w:val="0"/>
      <w:marRight w:val="0"/>
      <w:marTop w:val="0"/>
      <w:marBottom w:val="0"/>
      <w:divBdr>
        <w:top w:val="none" w:sz="0" w:space="0" w:color="auto"/>
        <w:left w:val="none" w:sz="0" w:space="0" w:color="auto"/>
        <w:bottom w:val="none" w:sz="0" w:space="0" w:color="auto"/>
        <w:right w:val="none" w:sz="0" w:space="0" w:color="auto"/>
      </w:divBdr>
    </w:div>
    <w:div w:id="1829246297">
      <w:bodyDiv w:val="1"/>
      <w:marLeft w:val="0"/>
      <w:marRight w:val="0"/>
      <w:marTop w:val="0"/>
      <w:marBottom w:val="0"/>
      <w:divBdr>
        <w:top w:val="none" w:sz="0" w:space="0" w:color="auto"/>
        <w:left w:val="none" w:sz="0" w:space="0" w:color="auto"/>
        <w:bottom w:val="none" w:sz="0" w:space="0" w:color="auto"/>
        <w:right w:val="none" w:sz="0" w:space="0" w:color="auto"/>
      </w:divBdr>
    </w:div>
    <w:div w:id="1833334356">
      <w:bodyDiv w:val="1"/>
      <w:marLeft w:val="0"/>
      <w:marRight w:val="0"/>
      <w:marTop w:val="0"/>
      <w:marBottom w:val="0"/>
      <w:divBdr>
        <w:top w:val="none" w:sz="0" w:space="0" w:color="auto"/>
        <w:left w:val="none" w:sz="0" w:space="0" w:color="auto"/>
        <w:bottom w:val="none" w:sz="0" w:space="0" w:color="auto"/>
        <w:right w:val="none" w:sz="0" w:space="0" w:color="auto"/>
      </w:divBdr>
    </w:div>
    <w:div w:id="1844203253">
      <w:bodyDiv w:val="1"/>
      <w:marLeft w:val="0"/>
      <w:marRight w:val="0"/>
      <w:marTop w:val="0"/>
      <w:marBottom w:val="0"/>
      <w:divBdr>
        <w:top w:val="none" w:sz="0" w:space="0" w:color="auto"/>
        <w:left w:val="none" w:sz="0" w:space="0" w:color="auto"/>
        <w:bottom w:val="none" w:sz="0" w:space="0" w:color="auto"/>
        <w:right w:val="none" w:sz="0" w:space="0" w:color="auto"/>
      </w:divBdr>
    </w:div>
    <w:div w:id="1855992039">
      <w:bodyDiv w:val="1"/>
      <w:marLeft w:val="0"/>
      <w:marRight w:val="0"/>
      <w:marTop w:val="0"/>
      <w:marBottom w:val="0"/>
      <w:divBdr>
        <w:top w:val="none" w:sz="0" w:space="0" w:color="auto"/>
        <w:left w:val="none" w:sz="0" w:space="0" w:color="auto"/>
        <w:bottom w:val="none" w:sz="0" w:space="0" w:color="auto"/>
        <w:right w:val="none" w:sz="0" w:space="0" w:color="auto"/>
      </w:divBdr>
    </w:div>
    <w:div w:id="1886328694">
      <w:bodyDiv w:val="1"/>
      <w:marLeft w:val="0"/>
      <w:marRight w:val="0"/>
      <w:marTop w:val="0"/>
      <w:marBottom w:val="0"/>
      <w:divBdr>
        <w:top w:val="none" w:sz="0" w:space="0" w:color="auto"/>
        <w:left w:val="none" w:sz="0" w:space="0" w:color="auto"/>
        <w:bottom w:val="none" w:sz="0" w:space="0" w:color="auto"/>
        <w:right w:val="none" w:sz="0" w:space="0" w:color="auto"/>
      </w:divBdr>
    </w:div>
    <w:div w:id="1934432552">
      <w:bodyDiv w:val="1"/>
      <w:marLeft w:val="0"/>
      <w:marRight w:val="0"/>
      <w:marTop w:val="0"/>
      <w:marBottom w:val="0"/>
      <w:divBdr>
        <w:top w:val="none" w:sz="0" w:space="0" w:color="auto"/>
        <w:left w:val="none" w:sz="0" w:space="0" w:color="auto"/>
        <w:bottom w:val="none" w:sz="0" w:space="0" w:color="auto"/>
        <w:right w:val="none" w:sz="0" w:space="0" w:color="auto"/>
      </w:divBdr>
    </w:div>
    <w:div w:id="1963070089">
      <w:bodyDiv w:val="1"/>
      <w:marLeft w:val="0"/>
      <w:marRight w:val="0"/>
      <w:marTop w:val="0"/>
      <w:marBottom w:val="0"/>
      <w:divBdr>
        <w:top w:val="none" w:sz="0" w:space="0" w:color="auto"/>
        <w:left w:val="none" w:sz="0" w:space="0" w:color="auto"/>
        <w:bottom w:val="none" w:sz="0" w:space="0" w:color="auto"/>
        <w:right w:val="none" w:sz="0" w:space="0" w:color="auto"/>
      </w:divBdr>
    </w:div>
    <w:div w:id="1972514131">
      <w:bodyDiv w:val="1"/>
      <w:marLeft w:val="0"/>
      <w:marRight w:val="0"/>
      <w:marTop w:val="0"/>
      <w:marBottom w:val="0"/>
      <w:divBdr>
        <w:top w:val="none" w:sz="0" w:space="0" w:color="auto"/>
        <w:left w:val="none" w:sz="0" w:space="0" w:color="auto"/>
        <w:bottom w:val="none" w:sz="0" w:space="0" w:color="auto"/>
        <w:right w:val="none" w:sz="0" w:space="0" w:color="auto"/>
      </w:divBdr>
    </w:div>
    <w:div w:id="1992562170">
      <w:bodyDiv w:val="1"/>
      <w:marLeft w:val="0"/>
      <w:marRight w:val="0"/>
      <w:marTop w:val="0"/>
      <w:marBottom w:val="0"/>
      <w:divBdr>
        <w:top w:val="none" w:sz="0" w:space="0" w:color="auto"/>
        <w:left w:val="none" w:sz="0" w:space="0" w:color="auto"/>
        <w:bottom w:val="none" w:sz="0" w:space="0" w:color="auto"/>
        <w:right w:val="none" w:sz="0" w:space="0" w:color="auto"/>
      </w:divBdr>
    </w:div>
    <w:div w:id="1993440589">
      <w:bodyDiv w:val="1"/>
      <w:marLeft w:val="0"/>
      <w:marRight w:val="0"/>
      <w:marTop w:val="0"/>
      <w:marBottom w:val="0"/>
      <w:divBdr>
        <w:top w:val="none" w:sz="0" w:space="0" w:color="auto"/>
        <w:left w:val="none" w:sz="0" w:space="0" w:color="auto"/>
        <w:bottom w:val="none" w:sz="0" w:space="0" w:color="auto"/>
        <w:right w:val="none" w:sz="0" w:space="0" w:color="auto"/>
      </w:divBdr>
    </w:div>
    <w:div w:id="2011716260">
      <w:bodyDiv w:val="1"/>
      <w:marLeft w:val="0"/>
      <w:marRight w:val="0"/>
      <w:marTop w:val="0"/>
      <w:marBottom w:val="0"/>
      <w:divBdr>
        <w:top w:val="none" w:sz="0" w:space="0" w:color="auto"/>
        <w:left w:val="none" w:sz="0" w:space="0" w:color="auto"/>
        <w:bottom w:val="none" w:sz="0" w:space="0" w:color="auto"/>
        <w:right w:val="none" w:sz="0" w:space="0" w:color="auto"/>
      </w:divBdr>
    </w:div>
    <w:div w:id="2026443406">
      <w:bodyDiv w:val="1"/>
      <w:marLeft w:val="0"/>
      <w:marRight w:val="0"/>
      <w:marTop w:val="0"/>
      <w:marBottom w:val="0"/>
      <w:divBdr>
        <w:top w:val="none" w:sz="0" w:space="0" w:color="auto"/>
        <w:left w:val="none" w:sz="0" w:space="0" w:color="auto"/>
        <w:bottom w:val="none" w:sz="0" w:space="0" w:color="auto"/>
        <w:right w:val="none" w:sz="0" w:space="0" w:color="auto"/>
      </w:divBdr>
    </w:div>
    <w:div w:id="2051875502">
      <w:bodyDiv w:val="1"/>
      <w:marLeft w:val="0"/>
      <w:marRight w:val="0"/>
      <w:marTop w:val="0"/>
      <w:marBottom w:val="0"/>
      <w:divBdr>
        <w:top w:val="none" w:sz="0" w:space="0" w:color="auto"/>
        <w:left w:val="none" w:sz="0" w:space="0" w:color="auto"/>
        <w:bottom w:val="none" w:sz="0" w:space="0" w:color="auto"/>
        <w:right w:val="none" w:sz="0" w:space="0" w:color="auto"/>
      </w:divBdr>
    </w:div>
    <w:div w:id="2062901438">
      <w:bodyDiv w:val="1"/>
      <w:marLeft w:val="0"/>
      <w:marRight w:val="0"/>
      <w:marTop w:val="0"/>
      <w:marBottom w:val="0"/>
      <w:divBdr>
        <w:top w:val="none" w:sz="0" w:space="0" w:color="auto"/>
        <w:left w:val="none" w:sz="0" w:space="0" w:color="auto"/>
        <w:bottom w:val="none" w:sz="0" w:space="0" w:color="auto"/>
        <w:right w:val="none" w:sz="0" w:space="0" w:color="auto"/>
      </w:divBdr>
    </w:div>
    <w:div w:id="2079326772">
      <w:bodyDiv w:val="1"/>
      <w:marLeft w:val="0"/>
      <w:marRight w:val="0"/>
      <w:marTop w:val="0"/>
      <w:marBottom w:val="0"/>
      <w:divBdr>
        <w:top w:val="none" w:sz="0" w:space="0" w:color="auto"/>
        <w:left w:val="none" w:sz="0" w:space="0" w:color="auto"/>
        <w:bottom w:val="none" w:sz="0" w:space="0" w:color="auto"/>
        <w:right w:val="none" w:sz="0" w:space="0" w:color="auto"/>
      </w:divBdr>
    </w:div>
    <w:div w:id="2083094484">
      <w:bodyDiv w:val="1"/>
      <w:marLeft w:val="0"/>
      <w:marRight w:val="0"/>
      <w:marTop w:val="0"/>
      <w:marBottom w:val="0"/>
      <w:divBdr>
        <w:top w:val="none" w:sz="0" w:space="0" w:color="auto"/>
        <w:left w:val="none" w:sz="0" w:space="0" w:color="auto"/>
        <w:bottom w:val="none" w:sz="0" w:space="0" w:color="auto"/>
        <w:right w:val="none" w:sz="0" w:space="0" w:color="auto"/>
      </w:divBdr>
    </w:div>
    <w:div w:id="2097168920">
      <w:bodyDiv w:val="1"/>
      <w:marLeft w:val="0"/>
      <w:marRight w:val="0"/>
      <w:marTop w:val="0"/>
      <w:marBottom w:val="0"/>
      <w:divBdr>
        <w:top w:val="none" w:sz="0" w:space="0" w:color="auto"/>
        <w:left w:val="none" w:sz="0" w:space="0" w:color="auto"/>
        <w:bottom w:val="none" w:sz="0" w:space="0" w:color="auto"/>
        <w:right w:val="none" w:sz="0" w:space="0" w:color="auto"/>
      </w:divBdr>
    </w:div>
    <w:div w:id="2134252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run\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EB9699BFED241B1B293F14EC5FA4BFD"/>
        <w:category>
          <w:name w:val="General"/>
          <w:gallery w:val="placeholder"/>
        </w:category>
        <w:types>
          <w:type w:val="bbPlcHdr"/>
        </w:types>
        <w:behaviors>
          <w:behavior w:val="content"/>
        </w:behaviors>
        <w:guid w:val="{1638F6A3-6AA9-4281-8E5C-C5C7CAC6A7F2}"/>
      </w:docPartPr>
      <w:docPartBody>
        <w:p w:rsidR="00642A23" w:rsidRDefault="003F6553">
          <w:pPr>
            <w:pStyle w:val="2EB9699BFED241B1B293F14EC5FA4BFD"/>
          </w:pPr>
          <w:r w:rsidRPr="008F6C7E">
            <w:rPr>
              <w:lang w:bidi="en-GB"/>
            </w:rPr>
            <w:t>—</w:t>
          </w:r>
        </w:p>
      </w:docPartBody>
    </w:docPart>
    <w:docPart>
      <w:docPartPr>
        <w:name w:val="6619B5E34FE7480BA16E3A0B2403525C"/>
        <w:category>
          <w:name w:val="General"/>
          <w:gallery w:val="placeholder"/>
        </w:category>
        <w:types>
          <w:type w:val="bbPlcHdr"/>
        </w:types>
        <w:behaviors>
          <w:behavior w:val="content"/>
        </w:behaviors>
        <w:guid w:val="{C5FDD95B-CF7B-44B6-A2B7-7EF535F1A629}"/>
      </w:docPartPr>
      <w:docPartBody>
        <w:p w:rsidR="00642A23" w:rsidRDefault="003F6553">
          <w:pPr>
            <w:pStyle w:val="6619B5E34FE7480BA16E3A0B2403525C"/>
          </w:pPr>
          <w:r w:rsidRPr="008F6C7E">
            <w:rPr>
              <w:lang w:bidi="en-GB"/>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Hei">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D32"/>
    <w:rsid w:val="00050F28"/>
    <w:rsid w:val="00156BC2"/>
    <w:rsid w:val="001757D7"/>
    <w:rsid w:val="001A4752"/>
    <w:rsid w:val="002008CB"/>
    <w:rsid w:val="00222D0E"/>
    <w:rsid w:val="002352D9"/>
    <w:rsid w:val="002363E2"/>
    <w:rsid w:val="00312B35"/>
    <w:rsid w:val="00342EA3"/>
    <w:rsid w:val="003A181A"/>
    <w:rsid w:val="003B6D9D"/>
    <w:rsid w:val="003F6553"/>
    <w:rsid w:val="004D5D60"/>
    <w:rsid w:val="005862EB"/>
    <w:rsid w:val="005B4B2D"/>
    <w:rsid w:val="006072FE"/>
    <w:rsid w:val="00642A23"/>
    <w:rsid w:val="0068138E"/>
    <w:rsid w:val="006C5553"/>
    <w:rsid w:val="00764D32"/>
    <w:rsid w:val="00843FE8"/>
    <w:rsid w:val="00861EB8"/>
    <w:rsid w:val="009E24FB"/>
    <w:rsid w:val="009F0987"/>
    <w:rsid w:val="00A13A2F"/>
    <w:rsid w:val="00AA338A"/>
    <w:rsid w:val="00AC2013"/>
    <w:rsid w:val="00AC23BC"/>
    <w:rsid w:val="00BC4DA8"/>
    <w:rsid w:val="00C1110B"/>
    <w:rsid w:val="00DE7B8B"/>
    <w:rsid w:val="00F375D5"/>
    <w:rsid w:val="00F420AC"/>
    <w:rsid w:val="00F572CB"/>
    <w:rsid w:val="00F82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EB9699BFED241B1B293F14EC5FA4BFD">
    <w:name w:val="2EB9699BFED241B1B293F14EC5FA4BFD"/>
  </w:style>
  <w:style w:type="paragraph" w:customStyle="1" w:styleId="6619B5E34FE7480BA16E3A0B2403525C">
    <w:name w:val="6619B5E34FE7480BA16E3A0B2403525C"/>
  </w:style>
  <w:style w:type="character" w:styleId="PlaceholderText">
    <w:name w:val="Placeholder Text"/>
    <w:basedOn w:val="DefaultParagraphFont"/>
    <w:uiPriority w:val="99"/>
    <w:semiHidden/>
    <w:rsid w:val="002363E2"/>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4" ma:contentTypeDescription="Create a new document." ma:contentTypeScope="" ma:versionID="793ad6f0f0afecc1f217862d73606de1">
  <xsd:schema xmlns:xsd="http://www.w3.org/2001/XMLSchema" xmlns:xs="http://www.w3.org/2001/XMLSchema" xmlns:p="http://schemas.microsoft.com/office/2006/metadata/properties" xmlns:ns3="b924220c-b521-4b04-85db-c1cedf06ef2e" xmlns:ns4="ef512f86-3398-4438-b622-d6c293cd08be" targetNamespace="http://schemas.microsoft.com/office/2006/metadata/properties" ma:root="true" ma:fieldsID="2256595c958386c62fa843604469de27" ns3:_="" ns4:_="">
    <xsd:import namespace="b924220c-b521-4b04-85db-c1cedf06ef2e"/>
    <xsd:import namespace="ef512f86-3398-4438-b622-d6c293cd08b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f512f86-3398-4438-b622-d6c293cd08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Bar73</b:Tag>
    <b:SourceType>Report</b:SourceType>
    <b:Guid>{2516053D-1625-4299-8D25-2A0C785F029C}</b:Guid>
    <b:Title>Introduction to fault tree analysis</b:Title>
    <b:Year>1973</b:Year>
    <b:City>Ohio</b:City>
    <b:Publisher>United States Air Force Systems Command</b:Publisher>
    <b:Author>
      <b:Author>
        <b:NameList>
          <b:Person>
            <b:Last>Barlow</b:Last>
            <b:First>R.</b:First>
            <b:Middle>E.</b:Middle>
          </b:Person>
          <b:Person>
            <b:Last>Chatterjee</b:Last>
            <b:First>P.</b:First>
          </b:Person>
        </b:NameList>
      </b:Author>
    </b:Author>
    <b:URL>https://apps.dtic.mil/sti/tr/pdf/AD0774072.pdf</b:URL>
    <b:RefOrder>1</b:RefOrder>
  </b:Source>
  <b:Source>
    <b:Tag>ZWB61</b:Tag>
    <b:SourceType>Report</b:SourceType>
    <b:Guid>{1050B7F9-AF55-4362-A693-AA0F714C8DF1}</b:Guid>
    <b:Author>
      <b:Author>
        <b:Corporate>Z. W. Birnbaum; J. D. Esary; S. C. Saunders</b:Corporate>
      </b:Author>
    </b:Author>
    <b:Title>Multi-Component Systems and Structures and Their Reliability</b:Title>
    <b:Year>1961</b:Year>
    <b:Publisher>Taylor &amp; Francis Group</b:Publisher>
    <b:City>Washington</b:City>
    <b:RefOrder>2</b:RefOrder>
  </b:Source>
  <b:Source>
    <b:Tag>Hea24</b:Tag>
    <b:SourceType>InternetSite</b:SourceType>
    <b:Guid>{B88D7D26-9924-48BD-8FE6-E0819963758A}</b:Guid>
    <b:Title>Introduction to Human Factors</b:Title>
    <b:Year>2024</b:Year>
    <b:Author>
      <b:Author>
        <b:Corporate>Health and Safety Executive</b:Corporate>
      </b:Author>
    </b:Author>
    <b:ProductionCompany>Health and Safety Executive</b:ProductionCompany>
    <b:Month>10</b:Month>
    <b:Day>06</b:Day>
    <b:YearAccessed>2026</b:YearAccessed>
    <b:MonthAccessed>04</b:MonthAccessed>
    <b:DayAccessed>07</b:DayAccessed>
    <b:URL>https://www.hse.gov.uk/humanfactors/introduction.htm</b:URL>
    <b:RefOrder>3</b:RefOrder>
  </b:Source>
  <b:Source>
    <b:Tag>JHe26</b:Tag>
    <b:SourceType>InternetSite</b:SourceType>
    <b:Guid>{528EA508-328A-4305-AAA1-586B0FB87FFB}</b:Guid>
    <b:Author>
      <b:Author>
        <b:NameList>
          <b:Person>
            <b:Last>Henderson</b:Last>
            <b:First>J.</b:First>
          </b:Person>
        </b:NameList>
      </b:Author>
    </b:Author>
    <b:Title>Failure Modes and Mechanisms in Safety Critical Task Analysis</b:Title>
    <b:ProductionCompany>Human Reliability</b:ProductionCompany>
    <b:Year>2026</b:Year>
    <b:Month>01</b:Month>
    <b:Day>01</b:Day>
    <b:YearAccessed>2026</b:YearAccessed>
    <b:MonthAccessed>04</b:MonthAccessed>
    <b:DayAccessed>15</b:DayAccessed>
    <b:URL>https://www.humanreliability.com/2024/08/failure-modes-and-mechanisms-in-safety-critical-task-analysis/</b:URL>
    <b:RefOrder>4</b:RefOrder>
  </b:Source>
  <b:Source>
    <b:Tag>Min23</b:Tag>
    <b:SourceType>DocumentFromInternetSite</b:SourceType>
    <b:Guid>{2267F9D0-C127-48AF-9630-C0D8F1452B07}</b:Guid>
    <b:Title>Aquisition Safety and Environmental management system</b:Title>
    <b:Year>2023</b:Year>
    <b:Month>11</b:Month>
    <b:Day>23</b:Day>
    <b:YearAccessed>2026</b:YearAccessed>
    <b:MonthAccessed>04</b:MonthAccessed>
    <b:DayAccessed>14</b:DayAccessed>
    <b:URL>https://www.asems.mod.uk/printpdf/toolkit/fault-tree-analysis</b:URL>
    <b:Author>
      <b:Author>
        <b:Corporate>Ministry of Defence</b:Corporate>
      </b:Author>
    </b:Author>
    <b:RefOrder>5</b:RefOrder>
  </b:Source>
</b:Sources>
</file>

<file path=customXml/itemProps1.xml><?xml version="1.0" encoding="utf-8"?>
<ds:datastoreItem xmlns:ds="http://schemas.openxmlformats.org/officeDocument/2006/customXml" ds:itemID="{4B93C87D-10D6-42EE-97F7-EE155E324C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ef512f86-3398-4438-b622-d6c293cd08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b924220c-b521-4b04-85db-c1cedf06ef2e"/>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4.xml><?xml version="1.0" encoding="utf-8"?>
<ds:datastoreItem xmlns:ds="http://schemas.openxmlformats.org/officeDocument/2006/customXml" ds:itemID="{47C2BE73-1D19-4D93-BA03-54D13DBB00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8</Pages>
  <Words>1728</Words>
  <Characters>9300</Characters>
  <Application>Microsoft Office Word</Application>
  <DocSecurity>0</DocSecurity>
  <Lines>238</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2026-04-17T09:16:00Z</dcterms:created>
  <dcterms:modified xsi:type="dcterms:W3CDTF">2026-04-17T09:16:00Z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