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D0282" w14:textId="44174076" w:rsidR="004F7448" w:rsidRDefault="006864BD" w:rsidP="009C4F2B">
      <w:pPr>
        <w:spacing w:line="360" w:lineRule="auto"/>
        <w:jc w:val="center"/>
        <w:rPr>
          <w:rFonts w:ascii="Times New Roman" w:eastAsia="Times New Roman" w:hAnsi="Times New Roman" w:cs="Times New Roman"/>
          <w:b/>
          <w:sz w:val="32"/>
          <w:szCs w:val="32"/>
        </w:rPr>
      </w:pPr>
      <w:r>
        <w:rPr>
          <w:noProof/>
        </w:rPr>
        <w:drawing>
          <wp:inline distT="0" distB="0" distL="0" distR="0" wp14:anchorId="4B10B5F9" wp14:editId="722D078B">
            <wp:extent cx="2546350" cy="1215458"/>
            <wp:effectExtent l="0" t="0" r="6350" b="3810"/>
            <wp:docPr id="1449692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692771" name=""/>
                    <pic:cNvPicPr/>
                  </pic:nvPicPr>
                  <pic:blipFill>
                    <a:blip r:embed="rId7"/>
                    <a:stretch>
                      <a:fillRect/>
                    </a:stretch>
                  </pic:blipFill>
                  <pic:spPr>
                    <a:xfrm>
                      <a:off x="0" y="0"/>
                      <a:ext cx="2556178" cy="1220149"/>
                    </a:xfrm>
                    <a:prstGeom prst="rect">
                      <a:avLst/>
                    </a:prstGeom>
                  </pic:spPr>
                </pic:pic>
              </a:graphicData>
            </a:graphic>
          </wp:inline>
        </w:drawing>
      </w:r>
    </w:p>
    <w:p w14:paraId="28F61776" w14:textId="77777777" w:rsidR="004F7448" w:rsidRDefault="004F7448" w:rsidP="009C4F2B">
      <w:pPr>
        <w:spacing w:line="360" w:lineRule="auto"/>
        <w:jc w:val="center"/>
        <w:rPr>
          <w:rFonts w:ascii="Times New Roman" w:eastAsia="Times New Roman" w:hAnsi="Times New Roman" w:cs="Times New Roman"/>
          <w:b/>
          <w:sz w:val="32"/>
          <w:szCs w:val="32"/>
        </w:rPr>
      </w:pPr>
    </w:p>
    <w:p w14:paraId="03EEC25E" w14:textId="77777777" w:rsidR="004F7448" w:rsidRDefault="004F7448" w:rsidP="009C4F2B">
      <w:pPr>
        <w:spacing w:line="360" w:lineRule="auto"/>
        <w:jc w:val="center"/>
        <w:rPr>
          <w:rFonts w:ascii="Times New Roman" w:eastAsia="Times New Roman" w:hAnsi="Times New Roman" w:cs="Times New Roman"/>
          <w:b/>
          <w:sz w:val="32"/>
          <w:szCs w:val="32"/>
        </w:rPr>
      </w:pPr>
    </w:p>
    <w:p w14:paraId="79A341F9" w14:textId="77777777" w:rsidR="004F7448" w:rsidRDefault="004F7448" w:rsidP="009C4F2B">
      <w:pPr>
        <w:spacing w:line="360" w:lineRule="auto"/>
        <w:jc w:val="center"/>
        <w:rPr>
          <w:rFonts w:ascii="Times New Roman" w:eastAsia="Times New Roman" w:hAnsi="Times New Roman" w:cs="Times New Roman"/>
          <w:b/>
          <w:sz w:val="32"/>
          <w:szCs w:val="32"/>
        </w:rPr>
      </w:pPr>
    </w:p>
    <w:p w14:paraId="0726E5A5" w14:textId="77777777" w:rsidR="004F7448" w:rsidRDefault="004F7448" w:rsidP="009C4F2B">
      <w:pPr>
        <w:spacing w:line="360" w:lineRule="auto"/>
        <w:jc w:val="center"/>
        <w:rPr>
          <w:rFonts w:ascii="Times New Roman" w:eastAsia="Times New Roman" w:hAnsi="Times New Roman" w:cs="Times New Roman"/>
          <w:b/>
          <w:sz w:val="32"/>
          <w:szCs w:val="32"/>
        </w:rPr>
      </w:pPr>
    </w:p>
    <w:p w14:paraId="3783A944" w14:textId="77777777" w:rsidR="004F7448" w:rsidRDefault="004F7448" w:rsidP="006864BD">
      <w:pPr>
        <w:spacing w:line="360" w:lineRule="auto"/>
        <w:rPr>
          <w:rFonts w:ascii="Times New Roman" w:eastAsia="Times New Roman" w:hAnsi="Times New Roman" w:cs="Times New Roman"/>
          <w:b/>
          <w:sz w:val="32"/>
          <w:szCs w:val="32"/>
        </w:rPr>
      </w:pPr>
    </w:p>
    <w:p w14:paraId="5101625B" w14:textId="77777777" w:rsidR="004F7448" w:rsidRDefault="00000000" w:rsidP="009C4F2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(HONS) INTERNATIONAL HOTEL MANAGEMENT</w:t>
      </w:r>
    </w:p>
    <w:p w14:paraId="3D270FEE" w14:textId="77777777" w:rsidR="004F7448" w:rsidRDefault="00000000" w:rsidP="009C4F2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HOTEL PLACEMENT – MANAGING FOOD AND BEVERAGE</w:t>
      </w:r>
    </w:p>
    <w:p w14:paraId="1E9AF342" w14:textId="77777777" w:rsidR="004F7448" w:rsidRDefault="00000000" w:rsidP="009C4F2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OPERATIONS</w:t>
      </w:r>
    </w:p>
    <w:p w14:paraId="3972DDA1" w14:textId="1751E232" w:rsidR="004F7448" w:rsidRDefault="00000000" w:rsidP="009C4F2B">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BMIH6002</w:t>
      </w:r>
      <w:r w:rsidR="00505B43">
        <w:rPr>
          <w:rFonts w:ascii="Times New Roman" w:eastAsia="Times New Roman" w:hAnsi="Times New Roman" w:cs="Times New Roman"/>
          <w:b/>
          <w:sz w:val="32"/>
          <w:szCs w:val="32"/>
        </w:rPr>
        <w:br/>
        <w:t>Student name and ID: Iulia Maria Luca 2239007</w:t>
      </w:r>
      <w:r>
        <w:br w:type="page"/>
      </w:r>
    </w:p>
    <w:p w14:paraId="14DB80CC" w14:textId="77777777" w:rsidR="00574210" w:rsidRDefault="00000000" w:rsidP="009C4F2B">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30ACBD9A" w14:textId="211F8253" w:rsidR="00B80423" w:rsidRPr="00B80423" w:rsidRDefault="00B80423" w:rsidP="00B80423">
      <w:pPr>
        <w:pStyle w:val="TOC1"/>
        <w:tabs>
          <w:tab w:val="right" w:leader="dot" w:pos="9350"/>
        </w:tabs>
        <w:spacing w:line="360" w:lineRule="auto"/>
        <w:jc w:val="both"/>
        <w:rPr>
          <w:rFonts w:ascii="Times New Roman" w:hAnsi="Times New Roman" w:cs="Times New Roman"/>
          <w:noProof/>
          <w:sz w:val="24"/>
          <w:szCs w:val="24"/>
        </w:rPr>
      </w:pPr>
      <w:r w:rsidRPr="00B80423">
        <w:rPr>
          <w:rFonts w:ascii="Times New Roman" w:hAnsi="Times New Roman" w:cs="Times New Roman"/>
          <w:sz w:val="24"/>
          <w:szCs w:val="24"/>
        </w:rPr>
        <w:fldChar w:fldCharType="begin"/>
      </w:r>
      <w:r w:rsidRPr="00B80423">
        <w:rPr>
          <w:rFonts w:ascii="Times New Roman" w:hAnsi="Times New Roman" w:cs="Times New Roman"/>
          <w:sz w:val="24"/>
          <w:szCs w:val="24"/>
        </w:rPr>
        <w:instrText xml:space="preserve"> TOC \o "1-3" \h \z \u </w:instrText>
      </w:r>
      <w:r w:rsidRPr="00B80423">
        <w:rPr>
          <w:rFonts w:ascii="Times New Roman" w:hAnsi="Times New Roman" w:cs="Times New Roman"/>
          <w:sz w:val="24"/>
          <w:szCs w:val="24"/>
        </w:rPr>
        <w:fldChar w:fldCharType="separate"/>
      </w:r>
      <w:hyperlink w:anchor="_Toc210506479" w:history="1">
        <w:r w:rsidRPr="00B80423">
          <w:rPr>
            <w:rStyle w:val="Hyperlink"/>
            <w:rFonts w:ascii="Times New Roman" w:hAnsi="Times New Roman" w:cs="Times New Roman"/>
            <w:noProof/>
            <w:sz w:val="24"/>
            <w:szCs w:val="24"/>
          </w:rPr>
          <w:t>Introduction</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_Toc210506479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3</w:t>
        </w:r>
        <w:r w:rsidRPr="00B80423">
          <w:rPr>
            <w:rFonts w:ascii="Times New Roman" w:hAnsi="Times New Roman" w:cs="Times New Roman"/>
            <w:noProof/>
            <w:webHidden/>
            <w:sz w:val="24"/>
            <w:szCs w:val="24"/>
          </w:rPr>
          <w:fldChar w:fldCharType="end"/>
        </w:r>
      </w:hyperlink>
    </w:p>
    <w:p w14:paraId="6DF2810D" w14:textId="7129FB6B" w:rsidR="00B80423" w:rsidRPr="00B80423" w:rsidRDefault="00B80423" w:rsidP="00B80423">
      <w:pPr>
        <w:pStyle w:val="TOC1"/>
        <w:tabs>
          <w:tab w:val="right" w:leader="dot" w:pos="9350"/>
        </w:tabs>
        <w:spacing w:line="360" w:lineRule="auto"/>
        <w:jc w:val="both"/>
        <w:rPr>
          <w:rFonts w:ascii="Times New Roman" w:hAnsi="Times New Roman" w:cs="Times New Roman"/>
          <w:noProof/>
          <w:sz w:val="24"/>
          <w:szCs w:val="24"/>
        </w:rPr>
      </w:pPr>
      <w:hyperlink w:anchor="_Toc210506480" w:history="1">
        <w:r w:rsidRPr="00B80423">
          <w:rPr>
            <w:rStyle w:val="Hyperlink"/>
            <w:rFonts w:ascii="Times New Roman" w:hAnsi="Times New Roman" w:cs="Times New Roman"/>
            <w:noProof/>
            <w:sz w:val="24"/>
            <w:szCs w:val="24"/>
          </w:rPr>
          <w:t>Main Body</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_Toc210506480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3</w:t>
        </w:r>
        <w:r w:rsidRPr="00B80423">
          <w:rPr>
            <w:rFonts w:ascii="Times New Roman" w:hAnsi="Times New Roman" w:cs="Times New Roman"/>
            <w:noProof/>
            <w:webHidden/>
            <w:sz w:val="24"/>
            <w:szCs w:val="24"/>
          </w:rPr>
          <w:fldChar w:fldCharType="end"/>
        </w:r>
      </w:hyperlink>
    </w:p>
    <w:p w14:paraId="0B4DD433" w14:textId="5CA2376A" w:rsidR="00B80423" w:rsidRPr="00B80423" w:rsidRDefault="00B80423" w:rsidP="00B80423">
      <w:pPr>
        <w:pStyle w:val="TOC2"/>
        <w:tabs>
          <w:tab w:val="right" w:leader="dot" w:pos="9350"/>
        </w:tabs>
        <w:spacing w:line="360" w:lineRule="auto"/>
        <w:jc w:val="both"/>
        <w:rPr>
          <w:rFonts w:ascii="Times New Roman" w:hAnsi="Times New Roman" w:cs="Times New Roman"/>
          <w:noProof/>
          <w:sz w:val="24"/>
          <w:szCs w:val="24"/>
        </w:rPr>
      </w:pPr>
      <w:hyperlink w:anchor="_Toc210506481" w:history="1">
        <w:r w:rsidRPr="00B80423">
          <w:rPr>
            <w:rStyle w:val="Hyperlink"/>
            <w:rFonts w:ascii="Times New Roman" w:hAnsi="Times New Roman" w:cs="Times New Roman"/>
            <w:noProof/>
            <w:sz w:val="24"/>
            <w:szCs w:val="24"/>
          </w:rPr>
          <w:t>Sustainability in the F&amp;B Department</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_Toc210506481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3</w:t>
        </w:r>
        <w:r w:rsidRPr="00B80423">
          <w:rPr>
            <w:rFonts w:ascii="Times New Roman" w:hAnsi="Times New Roman" w:cs="Times New Roman"/>
            <w:noProof/>
            <w:webHidden/>
            <w:sz w:val="24"/>
            <w:szCs w:val="24"/>
          </w:rPr>
          <w:fldChar w:fldCharType="end"/>
        </w:r>
      </w:hyperlink>
    </w:p>
    <w:p w14:paraId="43D26166" w14:textId="3F6AA301" w:rsidR="00B80423" w:rsidRPr="00B80423" w:rsidRDefault="00B80423" w:rsidP="00B80423">
      <w:pPr>
        <w:pStyle w:val="TOC2"/>
        <w:tabs>
          <w:tab w:val="right" w:leader="dot" w:pos="9350"/>
        </w:tabs>
        <w:spacing w:line="360" w:lineRule="auto"/>
        <w:jc w:val="both"/>
        <w:rPr>
          <w:rFonts w:ascii="Times New Roman" w:hAnsi="Times New Roman" w:cs="Times New Roman"/>
          <w:noProof/>
          <w:sz w:val="24"/>
          <w:szCs w:val="24"/>
        </w:rPr>
      </w:pPr>
      <w:hyperlink w:anchor="_Toc210506482" w:history="1">
        <w:r w:rsidRPr="00B80423">
          <w:rPr>
            <w:rStyle w:val="Hyperlink"/>
            <w:rFonts w:ascii="Times New Roman" w:hAnsi="Times New Roman" w:cs="Times New Roman"/>
            <w:noProof/>
            <w:sz w:val="24"/>
            <w:szCs w:val="24"/>
          </w:rPr>
          <w:t>Implementation of Theories of Reflective Learning</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_Toc210506482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4</w:t>
        </w:r>
        <w:r w:rsidRPr="00B80423">
          <w:rPr>
            <w:rFonts w:ascii="Times New Roman" w:hAnsi="Times New Roman" w:cs="Times New Roman"/>
            <w:noProof/>
            <w:webHidden/>
            <w:sz w:val="24"/>
            <w:szCs w:val="24"/>
          </w:rPr>
          <w:fldChar w:fldCharType="end"/>
        </w:r>
      </w:hyperlink>
    </w:p>
    <w:p w14:paraId="78EF5AB8" w14:textId="7ECD5856" w:rsidR="00B80423" w:rsidRPr="00B80423" w:rsidRDefault="00B80423" w:rsidP="00B80423">
      <w:pPr>
        <w:pStyle w:val="TOC2"/>
        <w:tabs>
          <w:tab w:val="right" w:leader="dot" w:pos="9350"/>
        </w:tabs>
        <w:spacing w:line="360" w:lineRule="auto"/>
        <w:jc w:val="both"/>
        <w:rPr>
          <w:rFonts w:ascii="Times New Roman" w:hAnsi="Times New Roman" w:cs="Times New Roman"/>
          <w:noProof/>
          <w:sz w:val="24"/>
          <w:szCs w:val="24"/>
        </w:rPr>
      </w:pPr>
      <w:hyperlink w:anchor="_Toc210506483" w:history="1">
        <w:r w:rsidRPr="00B80423">
          <w:rPr>
            <w:rStyle w:val="Hyperlink"/>
            <w:rFonts w:ascii="Times New Roman" w:hAnsi="Times New Roman" w:cs="Times New Roman"/>
            <w:noProof/>
            <w:sz w:val="24"/>
            <w:szCs w:val="24"/>
          </w:rPr>
          <w:t>Comparison Between Theory and Practice</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_Toc210506483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4</w:t>
        </w:r>
        <w:r w:rsidRPr="00B80423">
          <w:rPr>
            <w:rFonts w:ascii="Times New Roman" w:hAnsi="Times New Roman" w:cs="Times New Roman"/>
            <w:noProof/>
            <w:webHidden/>
            <w:sz w:val="24"/>
            <w:szCs w:val="24"/>
          </w:rPr>
          <w:fldChar w:fldCharType="end"/>
        </w:r>
      </w:hyperlink>
    </w:p>
    <w:p w14:paraId="11784ECA" w14:textId="1A4D0E7A" w:rsidR="00B80423" w:rsidRPr="00B80423" w:rsidRDefault="00B80423" w:rsidP="00B80423">
      <w:pPr>
        <w:pStyle w:val="TOC2"/>
        <w:tabs>
          <w:tab w:val="right" w:leader="dot" w:pos="9350"/>
        </w:tabs>
        <w:spacing w:line="360" w:lineRule="auto"/>
        <w:jc w:val="both"/>
        <w:rPr>
          <w:rFonts w:ascii="Times New Roman" w:hAnsi="Times New Roman" w:cs="Times New Roman"/>
          <w:noProof/>
          <w:sz w:val="24"/>
          <w:szCs w:val="24"/>
        </w:rPr>
      </w:pPr>
      <w:hyperlink w:anchor="_Toc210506484" w:history="1">
        <w:r w:rsidRPr="00B80423">
          <w:rPr>
            <w:rStyle w:val="Hyperlink"/>
            <w:rFonts w:ascii="Times New Roman" w:hAnsi="Times New Roman" w:cs="Times New Roman"/>
            <w:noProof/>
            <w:sz w:val="24"/>
            <w:szCs w:val="24"/>
          </w:rPr>
          <w:t>Collaboration of the Work Teams, Individual engagement, and Proposed improvements</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_Toc210506484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6</w:t>
        </w:r>
        <w:r w:rsidRPr="00B80423">
          <w:rPr>
            <w:rFonts w:ascii="Times New Roman" w:hAnsi="Times New Roman" w:cs="Times New Roman"/>
            <w:noProof/>
            <w:webHidden/>
            <w:sz w:val="24"/>
            <w:szCs w:val="24"/>
          </w:rPr>
          <w:fldChar w:fldCharType="end"/>
        </w:r>
      </w:hyperlink>
    </w:p>
    <w:p w14:paraId="4F735E4B" w14:textId="0C9E189A" w:rsidR="00B80423" w:rsidRPr="00B80423" w:rsidRDefault="00B80423" w:rsidP="00B80423">
      <w:pPr>
        <w:pStyle w:val="TOC1"/>
        <w:tabs>
          <w:tab w:val="right" w:leader="dot" w:pos="9350"/>
        </w:tabs>
        <w:spacing w:line="360" w:lineRule="auto"/>
        <w:jc w:val="both"/>
        <w:rPr>
          <w:rFonts w:ascii="Times New Roman" w:hAnsi="Times New Roman" w:cs="Times New Roman"/>
          <w:noProof/>
          <w:sz w:val="24"/>
          <w:szCs w:val="24"/>
        </w:rPr>
      </w:pPr>
      <w:hyperlink w:anchor="_Toc210506485" w:history="1">
        <w:r w:rsidRPr="00B80423">
          <w:rPr>
            <w:rStyle w:val="Hyperlink"/>
            <w:rFonts w:ascii="Times New Roman" w:hAnsi="Times New Roman" w:cs="Times New Roman"/>
            <w:noProof/>
            <w:sz w:val="24"/>
            <w:szCs w:val="24"/>
          </w:rPr>
          <w:t>Conclusion</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_Toc210506485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6</w:t>
        </w:r>
        <w:r w:rsidRPr="00B80423">
          <w:rPr>
            <w:rFonts w:ascii="Times New Roman" w:hAnsi="Times New Roman" w:cs="Times New Roman"/>
            <w:noProof/>
            <w:webHidden/>
            <w:sz w:val="24"/>
            <w:szCs w:val="24"/>
          </w:rPr>
          <w:fldChar w:fldCharType="end"/>
        </w:r>
      </w:hyperlink>
    </w:p>
    <w:p w14:paraId="17F544F5" w14:textId="4DEC8A80" w:rsidR="00B80423" w:rsidRPr="00B80423" w:rsidRDefault="00B80423" w:rsidP="00B80423">
      <w:pPr>
        <w:pStyle w:val="TOC1"/>
        <w:tabs>
          <w:tab w:val="right" w:leader="dot" w:pos="9350"/>
        </w:tabs>
        <w:spacing w:line="360" w:lineRule="auto"/>
        <w:jc w:val="both"/>
        <w:rPr>
          <w:rFonts w:ascii="Times New Roman" w:hAnsi="Times New Roman" w:cs="Times New Roman"/>
          <w:noProof/>
          <w:sz w:val="24"/>
          <w:szCs w:val="24"/>
        </w:rPr>
      </w:pPr>
      <w:hyperlink w:anchor="_Toc210506486" w:history="1">
        <w:r w:rsidRPr="00B80423">
          <w:rPr>
            <w:rStyle w:val="Hyperlink"/>
            <w:rFonts w:ascii="Times New Roman" w:hAnsi="Times New Roman" w:cs="Times New Roman"/>
            <w:noProof/>
            <w:sz w:val="24"/>
            <w:szCs w:val="24"/>
          </w:rPr>
          <w:t>References</w:t>
        </w:r>
        <w:r w:rsidRPr="00B80423">
          <w:rPr>
            <w:rFonts w:ascii="Times New Roman" w:hAnsi="Times New Roman" w:cs="Times New Roman"/>
            <w:noProof/>
            <w:webHidden/>
            <w:sz w:val="24"/>
            <w:szCs w:val="24"/>
          </w:rPr>
          <w:tab/>
        </w:r>
        <w:r w:rsidRPr="00B80423">
          <w:rPr>
            <w:rFonts w:ascii="Times New Roman" w:hAnsi="Times New Roman" w:cs="Times New Roman"/>
            <w:noProof/>
            <w:webHidden/>
            <w:sz w:val="24"/>
            <w:szCs w:val="24"/>
          </w:rPr>
          <w:fldChar w:fldCharType="begin"/>
        </w:r>
        <w:r w:rsidRPr="00B80423">
          <w:rPr>
            <w:rFonts w:ascii="Times New Roman" w:hAnsi="Times New Roman" w:cs="Times New Roman"/>
            <w:noProof/>
            <w:webHidden/>
            <w:sz w:val="24"/>
            <w:szCs w:val="24"/>
          </w:rPr>
          <w:instrText xml:space="preserve"> PAGEREF _Toc210506486 \h </w:instrText>
        </w:r>
        <w:r w:rsidRPr="00B80423">
          <w:rPr>
            <w:rFonts w:ascii="Times New Roman" w:hAnsi="Times New Roman" w:cs="Times New Roman"/>
            <w:noProof/>
            <w:webHidden/>
            <w:sz w:val="24"/>
            <w:szCs w:val="24"/>
          </w:rPr>
        </w:r>
        <w:r w:rsidRPr="00B80423">
          <w:rPr>
            <w:rFonts w:ascii="Times New Roman" w:hAnsi="Times New Roman" w:cs="Times New Roman"/>
            <w:noProof/>
            <w:webHidden/>
            <w:sz w:val="24"/>
            <w:szCs w:val="24"/>
          </w:rPr>
          <w:fldChar w:fldCharType="separate"/>
        </w:r>
        <w:r w:rsidRPr="00B80423">
          <w:rPr>
            <w:rFonts w:ascii="Times New Roman" w:hAnsi="Times New Roman" w:cs="Times New Roman"/>
            <w:noProof/>
            <w:webHidden/>
            <w:sz w:val="24"/>
            <w:szCs w:val="24"/>
          </w:rPr>
          <w:t>8</w:t>
        </w:r>
        <w:r w:rsidRPr="00B80423">
          <w:rPr>
            <w:rFonts w:ascii="Times New Roman" w:hAnsi="Times New Roman" w:cs="Times New Roman"/>
            <w:noProof/>
            <w:webHidden/>
            <w:sz w:val="24"/>
            <w:szCs w:val="24"/>
          </w:rPr>
          <w:fldChar w:fldCharType="end"/>
        </w:r>
      </w:hyperlink>
    </w:p>
    <w:p w14:paraId="06AD3B3D" w14:textId="37631916" w:rsidR="004F7448" w:rsidRDefault="00B80423" w:rsidP="00B80423">
      <w:pPr>
        <w:spacing w:line="360" w:lineRule="auto"/>
        <w:jc w:val="both"/>
        <w:rPr>
          <w:rFonts w:ascii="Times New Roman" w:eastAsia="Times New Roman" w:hAnsi="Times New Roman" w:cs="Times New Roman"/>
          <w:b/>
          <w:sz w:val="28"/>
          <w:szCs w:val="28"/>
        </w:rPr>
      </w:pPr>
      <w:r w:rsidRPr="00B80423">
        <w:rPr>
          <w:rFonts w:ascii="Times New Roman" w:hAnsi="Times New Roman" w:cs="Times New Roman"/>
          <w:sz w:val="24"/>
          <w:szCs w:val="24"/>
        </w:rPr>
        <w:fldChar w:fldCharType="end"/>
      </w:r>
      <w:r>
        <w:br w:type="page"/>
      </w:r>
    </w:p>
    <w:p w14:paraId="3EC64D28" w14:textId="77777777" w:rsidR="004F7448" w:rsidRDefault="00000000" w:rsidP="009C4F2B">
      <w:pPr>
        <w:pStyle w:val="Heading1"/>
        <w:spacing w:line="360" w:lineRule="auto"/>
      </w:pPr>
      <w:bookmarkStart w:id="0" w:name="_Toc210506479"/>
      <w:r>
        <w:lastRenderedPageBreak/>
        <w:t>Introduction</w:t>
      </w:r>
      <w:bookmarkEnd w:id="0"/>
      <w:r>
        <w:t xml:space="preserve"> </w:t>
      </w:r>
    </w:p>
    <w:p w14:paraId="588AC1A2" w14:textId="73328CC4" w:rsidR="004F7448" w:rsidRDefault="00000000" w:rsidP="009C4F2B">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sz w:val="24"/>
          <w:szCs w:val="24"/>
        </w:rPr>
        <w:t xml:space="preserve">My 10-week placement at Delta Hotels by Marriott Waltham Abbey offered to obtain hands-on experience in the Food and Beverage (F&amp;B) area of the facility, learning about its daily work, the service quality, and customer interaction practices. Delta Hotels Waltham Abbey is a modern four-star hotel (in Essex, in the region of Epping) aimed at business and leisure guests (Marriott, 2025). The hotel F&amp;B business </w:t>
      </w:r>
      <w:r w:rsidR="00880C90">
        <w:rPr>
          <w:rFonts w:ascii="Times New Roman" w:eastAsia="Times New Roman" w:hAnsi="Times New Roman" w:cs="Times New Roman"/>
          <w:sz w:val="24"/>
          <w:szCs w:val="24"/>
        </w:rPr>
        <w:t>models</w:t>
      </w:r>
      <w:r>
        <w:rPr>
          <w:rFonts w:ascii="Times New Roman" w:eastAsia="Times New Roman" w:hAnsi="Times New Roman" w:cs="Times New Roman"/>
          <w:sz w:val="24"/>
          <w:szCs w:val="24"/>
        </w:rPr>
        <w:t xml:space="preserve"> are rather broad and include Cast Iron Grill, the contemporary British restaurant serving locally produced foods and drinks all day, a lounge and bar space that serves light food and drinks all day, and the devoted event packing service that facilitates corporate conferences, weddings, and other events. Breakfast buffets and room </w:t>
      </w:r>
      <w:proofErr w:type="gramStart"/>
      <w:r>
        <w:rPr>
          <w:rFonts w:ascii="Times New Roman" w:eastAsia="Times New Roman" w:hAnsi="Times New Roman" w:cs="Times New Roman"/>
          <w:sz w:val="24"/>
          <w:szCs w:val="24"/>
        </w:rPr>
        <w:t>services</w:t>
      </w:r>
      <w:proofErr w:type="gramEnd"/>
      <w:r>
        <w:rPr>
          <w:rFonts w:ascii="Times New Roman" w:eastAsia="Times New Roman" w:hAnsi="Times New Roman" w:cs="Times New Roman"/>
          <w:sz w:val="24"/>
          <w:szCs w:val="24"/>
        </w:rPr>
        <w:t xml:space="preserve"> make the guest experience even better, as they provide flexibility and convenience. This placement offered a wonderful chance to see how the theories offered in courses like Food and Beverage Operations and Sustainability in the Hospitality Industry are applied to practice (</w:t>
      </w:r>
      <w:r>
        <w:rPr>
          <w:rFonts w:ascii="Times New Roman" w:eastAsia="Times New Roman" w:hAnsi="Times New Roman" w:cs="Times New Roman"/>
          <w:color w:val="222222"/>
          <w:sz w:val="24"/>
          <w:szCs w:val="24"/>
          <w:highlight w:val="white"/>
        </w:rPr>
        <w:t xml:space="preserve">Legrand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It has also provided me with an opportunity to work directly with both management and guests, which enhanced my knowledge </w:t>
      </w:r>
      <w:proofErr w:type="gramStart"/>
      <w:r>
        <w:rPr>
          <w:rFonts w:ascii="Times New Roman" w:eastAsia="Times New Roman" w:hAnsi="Times New Roman" w:cs="Times New Roman"/>
          <w:sz w:val="24"/>
          <w:szCs w:val="24"/>
        </w:rPr>
        <w:t>on</w:t>
      </w:r>
      <w:proofErr w:type="gramEnd"/>
      <w:r>
        <w:rPr>
          <w:rFonts w:ascii="Times New Roman" w:eastAsia="Times New Roman" w:hAnsi="Times New Roman" w:cs="Times New Roman"/>
          <w:sz w:val="24"/>
          <w:szCs w:val="24"/>
        </w:rPr>
        <w:t xml:space="preserve"> operational efficiency, staff teamwork and service excellence in a professional hospitality setup.</w:t>
      </w:r>
    </w:p>
    <w:p w14:paraId="5E335657" w14:textId="77777777" w:rsidR="004F7448" w:rsidRDefault="00000000" w:rsidP="009C4F2B">
      <w:pPr>
        <w:pStyle w:val="Heading1"/>
        <w:spacing w:line="360" w:lineRule="auto"/>
      </w:pPr>
      <w:bookmarkStart w:id="1" w:name="_Toc210506480"/>
      <w:r>
        <w:t>Main Body</w:t>
      </w:r>
      <w:bookmarkEnd w:id="1"/>
    </w:p>
    <w:p w14:paraId="7284366C" w14:textId="77777777" w:rsidR="004F7448" w:rsidRDefault="0000000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used the Sustainability in the Hospitality Industry module I studied to put into practice during my time at Delta Hotels by Marriott Waltham Abbey in the Food and Beverage (F&amp;B) department. This module examines how sustainable actions, including resource effectiveness, local materials sourcing, and waste such as decreasing, can enhance environmental outcomes besides enhancing brand image (</w:t>
      </w:r>
      <w:r>
        <w:rPr>
          <w:rFonts w:ascii="Times New Roman" w:eastAsia="Times New Roman" w:hAnsi="Times New Roman" w:cs="Times New Roman"/>
          <w:color w:val="222222"/>
          <w:sz w:val="24"/>
          <w:szCs w:val="24"/>
          <w:highlight w:val="white"/>
        </w:rPr>
        <w:t xml:space="preserve">Mishra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 xml:space="preserve">). </w:t>
      </w:r>
    </w:p>
    <w:p w14:paraId="5528BFE0" w14:textId="77777777" w:rsidR="004F7448" w:rsidRDefault="00000000" w:rsidP="009C4F2B">
      <w:pPr>
        <w:pStyle w:val="Heading2"/>
        <w:spacing w:line="360" w:lineRule="auto"/>
      </w:pPr>
      <w:bookmarkStart w:id="2" w:name="_Toc210506481"/>
      <w:r>
        <w:t>Sustainability in the F&amp;B Department</w:t>
      </w:r>
      <w:bookmarkEnd w:id="2"/>
    </w:p>
    <w:p w14:paraId="1755CAEC" w14:textId="77777777" w:rsidR="004F7448" w:rsidRDefault="0000000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Delta Hotels Waltham Abbey has concurred with the global situational sustainability strategy of Marriott International, named Serve 360: Doing Good in Every Direction, which predominantly focuses on decreasing the effect of environmental degradation by reducing energy consumption, sourcing, and waste disposal. In the F&amp;B department, they can be realised through daily work processes and activities, including working with locally sourced products, reducing food waste with adequate forecasting, and removing single-use plates used in restaurants and bars (</w:t>
      </w:r>
      <w:r>
        <w:rPr>
          <w:rFonts w:ascii="Times New Roman" w:eastAsia="Times New Roman" w:hAnsi="Times New Roman" w:cs="Times New Roman"/>
          <w:color w:val="222222"/>
          <w:sz w:val="24"/>
          <w:szCs w:val="24"/>
          <w:highlight w:val="white"/>
        </w:rPr>
        <w:t xml:space="preserve">Korkmaz </w:t>
      </w:r>
      <w:r>
        <w:rPr>
          <w:rFonts w:ascii="Times New Roman" w:eastAsia="Times New Roman" w:hAnsi="Times New Roman" w:cs="Times New Roman"/>
          <w:color w:val="222222"/>
          <w:sz w:val="24"/>
          <w:szCs w:val="24"/>
          <w:highlight w:val="white"/>
        </w:rPr>
        <w:lastRenderedPageBreak/>
        <w:t>&amp; Afşar, 2021</w:t>
      </w:r>
      <w:r>
        <w:rPr>
          <w:rFonts w:ascii="Times New Roman" w:eastAsia="Times New Roman" w:hAnsi="Times New Roman" w:cs="Times New Roman"/>
          <w:sz w:val="24"/>
          <w:szCs w:val="24"/>
        </w:rPr>
        <w:t>). An example of this has been the substitution of plastic straws with paper, and the in-house dining is to use refillable glass bottles.</w:t>
      </w:r>
    </w:p>
    <w:p w14:paraId="51566B58" w14:textId="77777777" w:rsidR="004F7448" w:rsidRDefault="0000000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menu is seasonal, with items in the restaurant based on the locally available products and meals to cut down on food miles, harming the environment and local businesses. This practice is </w:t>
      </w:r>
      <w:proofErr w:type="gramStart"/>
      <w:r>
        <w:rPr>
          <w:rFonts w:ascii="Times New Roman" w:eastAsia="Times New Roman" w:hAnsi="Times New Roman" w:cs="Times New Roman"/>
          <w:sz w:val="24"/>
          <w:szCs w:val="24"/>
        </w:rPr>
        <w:t>similar to</w:t>
      </w:r>
      <w:proofErr w:type="gramEnd"/>
      <w:r>
        <w:rPr>
          <w:rFonts w:ascii="Times New Roman" w:eastAsia="Times New Roman" w:hAnsi="Times New Roman" w:cs="Times New Roman"/>
          <w:sz w:val="24"/>
          <w:szCs w:val="24"/>
        </w:rPr>
        <w:t xml:space="preserve"> the Triple Bottom Line model, which Verwaal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present, where attention is paid to three aspects of sustainable environmental, social, and economic well-being. </w:t>
      </w:r>
      <w:proofErr w:type="gramStart"/>
      <w:r>
        <w:rPr>
          <w:rFonts w:ascii="Times New Roman" w:eastAsia="Times New Roman" w:hAnsi="Times New Roman" w:cs="Times New Roman"/>
          <w:sz w:val="24"/>
          <w:szCs w:val="24"/>
        </w:rPr>
        <w:t>The local</w:t>
      </w:r>
      <w:proofErr w:type="gramEnd"/>
      <w:r>
        <w:rPr>
          <w:rFonts w:ascii="Times New Roman" w:eastAsia="Times New Roman" w:hAnsi="Times New Roman" w:cs="Times New Roman"/>
          <w:sz w:val="24"/>
          <w:szCs w:val="24"/>
        </w:rPr>
        <w:t xml:space="preserve"> sourcing focuses not only on environmental protection but also improves the relationship between the hotel and the local community, which is a crucial element of social sustainability. I observed difficulties in the implementation that is available on a routine basis. To illustrate this, despite the restaurant decreasing plastic usage, </w:t>
      </w:r>
      <w:proofErr w:type="gramStart"/>
      <w:r>
        <w:rPr>
          <w:rFonts w:ascii="Times New Roman" w:eastAsia="Times New Roman" w:hAnsi="Times New Roman" w:cs="Times New Roman"/>
          <w:sz w:val="24"/>
          <w:szCs w:val="24"/>
        </w:rPr>
        <w:t>the food</w:t>
      </w:r>
      <w:proofErr w:type="gram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waste tracking</w:t>
      </w:r>
      <w:proofErr w:type="gramEnd"/>
      <w:r>
        <w:rPr>
          <w:rFonts w:ascii="Times New Roman" w:eastAsia="Times New Roman" w:hAnsi="Times New Roman" w:cs="Times New Roman"/>
          <w:sz w:val="24"/>
          <w:szCs w:val="24"/>
        </w:rPr>
        <w:t xml:space="preserve"> was not introduced into the daily work process completely. Consequently, Delta hotels have a good history of sustainability, but the fact that they have </w:t>
      </w:r>
      <w:proofErr w:type="gramStart"/>
      <w:r>
        <w:rPr>
          <w:rFonts w:ascii="Times New Roman" w:eastAsia="Times New Roman" w:hAnsi="Times New Roman" w:cs="Times New Roman"/>
          <w:sz w:val="24"/>
          <w:szCs w:val="24"/>
        </w:rPr>
        <w:t>not been conducting</w:t>
      </w:r>
      <w:proofErr w:type="gramEnd"/>
      <w:r>
        <w:rPr>
          <w:rFonts w:ascii="Times New Roman" w:eastAsia="Times New Roman" w:hAnsi="Times New Roman" w:cs="Times New Roman"/>
          <w:sz w:val="24"/>
          <w:szCs w:val="24"/>
        </w:rPr>
        <w:t xml:space="preserve"> frequent waste audits restricts the department from gauging performance in an efficient way (Rutherford &amp; O’Fallon, 2007).</w:t>
      </w:r>
    </w:p>
    <w:p w14:paraId="7B60DDDD" w14:textId="77777777" w:rsidR="004F7448" w:rsidRDefault="00000000" w:rsidP="009C4F2B">
      <w:pPr>
        <w:pStyle w:val="Heading2"/>
        <w:spacing w:line="360" w:lineRule="auto"/>
      </w:pPr>
      <w:bookmarkStart w:id="3" w:name="_Toc210506482"/>
      <w:r>
        <w:t>Implementation of Theories of Reflective Learning</w:t>
      </w:r>
      <w:bookmarkEnd w:id="3"/>
    </w:p>
    <w:p w14:paraId="4E2C71C1" w14:textId="5B9848B9" w:rsidR="004F7448" w:rsidRDefault="00000000" w:rsidP="009C4F2B">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To critically interpret these experiences, I have used the Experiential Learning Cycle developed by Kolb (1984), as there are four stages that include concrete experience, reflective observation, abstract </w:t>
      </w:r>
      <w:r w:rsidR="00880C90">
        <w:rPr>
          <w:rFonts w:ascii="Times New Roman" w:eastAsia="Times New Roman" w:hAnsi="Times New Roman" w:cs="Times New Roman"/>
          <w:sz w:val="24"/>
          <w:szCs w:val="24"/>
        </w:rPr>
        <w:t>conceptualization</w:t>
      </w:r>
      <w:r>
        <w:rPr>
          <w:rFonts w:ascii="Times New Roman" w:eastAsia="Times New Roman" w:hAnsi="Times New Roman" w:cs="Times New Roman"/>
          <w:sz w:val="24"/>
          <w:szCs w:val="24"/>
        </w:rPr>
        <w:t>, and active experimentation (</w:t>
      </w:r>
      <w:r>
        <w:rPr>
          <w:rFonts w:ascii="Times New Roman" w:eastAsia="Times New Roman" w:hAnsi="Times New Roman" w:cs="Times New Roman"/>
          <w:color w:val="222222"/>
          <w:sz w:val="24"/>
          <w:szCs w:val="24"/>
          <w:highlight w:val="white"/>
        </w:rPr>
        <w:t xml:space="preserve">Taneja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xml:space="preserve">). My practical experiment was working in the restaurant on the morning shift (breakfast) and evening (dinner). I was in the restaurant and watched the process of preparing food and serving guests.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reflective observation, I realised that even though the hotel operated on sustainable sourcing methods, there was a lack of coherence in </w:t>
      </w:r>
      <w:proofErr w:type="gramStart"/>
      <w:r>
        <w:rPr>
          <w:rFonts w:ascii="Times New Roman" w:eastAsia="Times New Roman" w:hAnsi="Times New Roman" w:cs="Times New Roman"/>
          <w:sz w:val="24"/>
          <w:szCs w:val="24"/>
        </w:rPr>
        <w:t>the waste</w:t>
      </w:r>
      <w:proofErr w:type="gramEnd"/>
      <w:r>
        <w:rPr>
          <w:rFonts w:ascii="Times New Roman" w:eastAsia="Times New Roman" w:hAnsi="Times New Roman" w:cs="Times New Roman"/>
          <w:sz w:val="24"/>
          <w:szCs w:val="24"/>
        </w:rPr>
        <w:t xml:space="preserve"> management, especially during upsurges. </w:t>
      </w:r>
    </w:p>
    <w:p w14:paraId="1A14C65E" w14:textId="77777777" w:rsidR="004F7448" w:rsidRDefault="00000000" w:rsidP="009C4F2B">
      <w:pPr>
        <w:pStyle w:val="Heading2"/>
        <w:spacing w:line="360" w:lineRule="auto"/>
      </w:pPr>
      <w:bookmarkStart w:id="4" w:name="_Toc210506483"/>
      <w:r>
        <w:t>Comparison Between Theory and Practice</w:t>
      </w:r>
      <w:bookmarkEnd w:id="4"/>
    </w:p>
    <w:tbl>
      <w:tblPr>
        <w:tblStyle w:val="a"/>
        <w:tblW w:w="97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280"/>
        <w:gridCol w:w="3780"/>
        <w:gridCol w:w="3675"/>
      </w:tblGrid>
      <w:tr w:rsidR="004F7448" w14:paraId="2B275DE9" w14:textId="77777777">
        <w:trPr>
          <w:trHeight w:val="1410"/>
        </w:trPr>
        <w:tc>
          <w:tcPr>
            <w:tcW w:w="228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A0AC20A"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Theoretical Framework / Concept</w:t>
            </w:r>
          </w:p>
        </w:tc>
        <w:tc>
          <w:tcPr>
            <w:tcW w:w="378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79C2D4D1"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Practical Observation at Delta Hotels Waltham Abbey</w:t>
            </w:r>
          </w:p>
        </w:tc>
        <w:tc>
          <w:tcPr>
            <w:tcW w:w="3675"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426B584D"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Critical Analysis and Reflection</w:t>
            </w:r>
          </w:p>
        </w:tc>
      </w:tr>
      <w:tr w:rsidR="004F7448" w14:paraId="4CFE81D7" w14:textId="77777777">
        <w:trPr>
          <w:trHeight w:val="348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04A889E"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Sustainability integration in management strategy and employee culture</w:t>
            </w:r>
          </w:p>
        </w:tc>
        <w:tc>
          <w:tcPr>
            <w:tcW w:w="3780" w:type="dxa"/>
            <w:tcBorders>
              <w:top w:val="nil"/>
              <w:left w:val="nil"/>
              <w:bottom w:val="single" w:sz="8" w:space="0" w:color="000000"/>
              <w:right w:val="single" w:sz="8" w:space="0" w:color="000000"/>
            </w:tcBorders>
            <w:tcMar>
              <w:top w:w="0" w:type="dxa"/>
              <w:left w:w="100" w:type="dxa"/>
              <w:bottom w:w="0" w:type="dxa"/>
              <w:right w:w="100" w:type="dxa"/>
            </w:tcMar>
          </w:tcPr>
          <w:p w14:paraId="6667C81F"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communicated sustainability objectives effectively during briefings. Operational staff, especially in restaurant/banqueting areas, showed less awareness of sustainability practices (Hagg, 2013).</w:t>
            </w:r>
          </w:p>
        </w:tc>
        <w:tc>
          <w:tcPr>
            <w:tcW w:w="3675" w:type="dxa"/>
            <w:tcBorders>
              <w:top w:val="nil"/>
              <w:left w:val="nil"/>
              <w:bottom w:val="single" w:sz="8" w:space="0" w:color="000000"/>
              <w:right w:val="single" w:sz="8" w:space="0" w:color="000000"/>
            </w:tcBorders>
            <w:tcMar>
              <w:top w:w="0" w:type="dxa"/>
              <w:left w:w="100" w:type="dxa"/>
              <w:bottom w:w="0" w:type="dxa"/>
              <w:right w:w="100" w:type="dxa"/>
            </w:tcMar>
          </w:tcPr>
          <w:p w14:paraId="36754C57"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Indicates inconsistent staff engagement and training. EMS theory emphasises the active participation of all employees. Continuous training and feedback could improve alignment (Wood, 2013).</w:t>
            </w:r>
          </w:p>
        </w:tc>
      </w:tr>
      <w:tr w:rsidR="004F7448" w14:paraId="0CBC2494" w14:textId="77777777">
        <w:trPr>
          <w:trHeight w:val="3075"/>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AC805F2"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Environmental Management Systems (EMS)</w:t>
            </w:r>
          </w:p>
        </w:tc>
        <w:tc>
          <w:tcPr>
            <w:tcW w:w="3780" w:type="dxa"/>
            <w:tcBorders>
              <w:top w:val="nil"/>
              <w:left w:val="nil"/>
              <w:bottom w:val="single" w:sz="8" w:space="0" w:color="000000"/>
              <w:right w:val="single" w:sz="8" w:space="0" w:color="000000"/>
            </w:tcBorders>
            <w:tcMar>
              <w:top w:w="0" w:type="dxa"/>
              <w:left w:w="100" w:type="dxa"/>
              <w:bottom w:w="0" w:type="dxa"/>
              <w:right w:w="100" w:type="dxa"/>
            </w:tcMar>
          </w:tcPr>
          <w:p w14:paraId="469903E2"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Buffet leftovers and unused food were sometimes discarded without composting or redistribution. Recycling bins were underused in some areas (Anon, 2010).</w:t>
            </w:r>
          </w:p>
        </w:tc>
        <w:tc>
          <w:tcPr>
            <w:tcW w:w="3675" w:type="dxa"/>
            <w:tcBorders>
              <w:top w:val="nil"/>
              <w:left w:val="nil"/>
              <w:bottom w:val="single" w:sz="8" w:space="0" w:color="000000"/>
              <w:right w:val="single" w:sz="8" w:space="0" w:color="000000"/>
            </w:tcBorders>
            <w:tcMar>
              <w:top w:w="0" w:type="dxa"/>
              <w:left w:w="100" w:type="dxa"/>
              <w:bottom w:w="0" w:type="dxa"/>
              <w:right w:w="100" w:type="dxa"/>
            </w:tcMar>
          </w:tcPr>
          <w:p w14:paraId="7736CF50"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EMS theory stresses systematic waste management and monitoring. Clearer segregation protocols and accountability systems would strengthen compliance (</w:t>
            </w:r>
            <w:r>
              <w:rPr>
                <w:rFonts w:ascii="Times New Roman" w:eastAsia="Times New Roman" w:hAnsi="Times New Roman" w:cs="Times New Roman"/>
                <w:color w:val="222222"/>
                <w:sz w:val="24"/>
                <w:szCs w:val="24"/>
                <w:highlight w:val="white"/>
              </w:rPr>
              <w:t>Shabani and Jerie, 2023</w:t>
            </w:r>
            <w:r>
              <w:rPr>
                <w:rFonts w:ascii="Times New Roman" w:eastAsia="Times New Roman" w:hAnsi="Times New Roman" w:cs="Times New Roman"/>
                <w:sz w:val="24"/>
                <w:szCs w:val="24"/>
              </w:rPr>
              <w:t>).</w:t>
            </w:r>
          </w:p>
        </w:tc>
      </w:tr>
      <w:tr w:rsidR="004F7448" w14:paraId="412C24DA" w14:textId="77777777">
        <w:trPr>
          <w:trHeight w:val="2655"/>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8D406A0"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Sustainability as a competitive advantage</w:t>
            </w:r>
          </w:p>
        </w:tc>
        <w:tc>
          <w:tcPr>
            <w:tcW w:w="3780" w:type="dxa"/>
            <w:tcBorders>
              <w:top w:val="nil"/>
              <w:left w:val="nil"/>
              <w:bottom w:val="single" w:sz="8" w:space="0" w:color="000000"/>
              <w:right w:val="single" w:sz="8" w:space="0" w:color="000000"/>
            </w:tcBorders>
            <w:tcMar>
              <w:top w:w="0" w:type="dxa"/>
              <w:left w:w="100" w:type="dxa"/>
              <w:bottom w:w="0" w:type="dxa"/>
              <w:right w:w="100" w:type="dxa"/>
            </w:tcMar>
          </w:tcPr>
          <w:p w14:paraId="690EFF31"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Locally sourced produce was used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menus, but sustainability initiatives were not visible to guests (Walker, 2021).</w:t>
            </w:r>
          </w:p>
        </w:tc>
        <w:tc>
          <w:tcPr>
            <w:tcW w:w="3675" w:type="dxa"/>
            <w:tcBorders>
              <w:top w:val="nil"/>
              <w:left w:val="nil"/>
              <w:bottom w:val="single" w:sz="8" w:space="0" w:color="000000"/>
              <w:right w:val="single" w:sz="8" w:space="0" w:color="000000"/>
            </w:tcBorders>
            <w:tcMar>
              <w:top w:w="0" w:type="dxa"/>
              <w:left w:w="100" w:type="dxa"/>
              <w:bottom w:w="0" w:type="dxa"/>
              <w:right w:w="100" w:type="dxa"/>
            </w:tcMar>
          </w:tcPr>
          <w:p w14:paraId="7F60D72F"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visibility reduces brand advantage. Transparent communication fosters </w:t>
            </w:r>
            <w:proofErr w:type="gramStart"/>
            <w:r>
              <w:rPr>
                <w:rFonts w:ascii="Times New Roman" w:eastAsia="Times New Roman" w:hAnsi="Times New Roman" w:cs="Times New Roman"/>
                <w:sz w:val="24"/>
                <w:szCs w:val="24"/>
              </w:rPr>
              <w:t>trust;</w:t>
            </w:r>
            <w:proofErr w:type="gramEnd"/>
            <w:r>
              <w:rPr>
                <w:rFonts w:ascii="Times New Roman" w:eastAsia="Times New Roman" w:hAnsi="Times New Roman" w:cs="Times New Roman"/>
                <w:sz w:val="24"/>
                <w:szCs w:val="24"/>
              </w:rPr>
              <w:t xml:space="preserve"> tools like table cards or digital displays could showcase efforts (Johnston et al. 2012).</w:t>
            </w:r>
          </w:p>
        </w:tc>
      </w:tr>
      <w:tr w:rsidR="004F7448" w14:paraId="2F3623A7" w14:textId="77777777">
        <w:trPr>
          <w:trHeight w:val="270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558EA5EC"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Triple Bottom Line (TBL) Framework</w:t>
            </w:r>
          </w:p>
        </w:tc>
        <w:tc>
          <w:tcPr>
            <w:tcW w:w="3780" w:type="dxa"/>
            <w:tcBorders>
              <w:top w:val="nil"/>
              <w:left w:val="nil"/>
              <w:bottom w:val="single" w:sz="8" w:space="0" w:color="000000"/>
              <w:right w:val="single" w:sz="8" w:space="0" w:color="000000"/>
            </w:tcBorders>
            <w:tcMar>
              <w:top w:w="0" w:type="dxa"/>
              <w:left w:w="100" w:type="dxa"/>
              <w:bottom w:w="0" w:type="dxa"/>
              <w:right w:w="100" w:type="dxa"/>
            </w:tcMar>
          </w:tcPr>
          <w:p w14:paraId="5C8029B2"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Management focused on cost efficiency and guest satisfaction; environmental and social aspects were less prioritised (Cousins &amp; Weekes, 2020).</w:t>
            </w:r>
          </w:p>
        </w:tc>
        <w:tc>
          <w:tcPr>
            <w:tcW w:w="3675" w:type="dxa"/>
            <w:tcBorders>
              <w:top w:val="nil"/>
              <w:left w:val="nil"/>
              <w:bottom w:val="single" w:sz="8" w:space="0" w:color="000000"/>
              <w:right w:val="single" w:sz="8" w:space="0" w:color="000000"/>
            </w:tcBorders>
            <w:tcMar>
              <w:top w:w="0" w:type="dxa"/>
              <w:left w:w="100" w:type="dxa"/>
              <w:bottom w:w="0" w:type="dxa"/>
              <w:right w:w="100" w:type="dxa"/>
            </w:tcMar>
          </w:tcPr>
          <w:p w14:paraId="3BCC7F23"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TBL highlights balancing economic, social, and environmental outcomes. Observations shifted understanding from purely environmental sustainability to an integrated approach (</w:t>
            </w:r>
            <w:r>
              <w:rPr>
                <w:rFonts w:ascii="Times New Roman" w:eastAsia="Times New Roman" w:hAnsi="Times New Roman" w:cs="Times New Roman"/>
                <w:color w:val="222222"/>
                <w:sz w:val="24"/>
                <w:szCs w:val="24"/>
                <w:highlight w:val="white"/>
              </w:rPr>
              <w:t xml:space="preserve">Santiago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2023</w:t>
            </w:r>
            <w:r>
              <w:rPr>
                <w:rFonts w:ascii="Times New Roman" w:eastAsia="Times New Roman" w:hAnsi="Times New Roman" w:cs="Times New Roman"/>
                <w:sz w:val="24"/>
                <w:szCs w:val="24"/>
              </w:rPr>
              <w:t>).</w:t>
            </w:r>
          </w:p>
        </w:tc>
      </w:tr>
      <w:tr w:rsidR="004F7448" w14:paraId="43E4B0EB" w14:textId="77777777">
        <w:trPr>
          <w:trHeight w:val="3480"/>
        </w:trPr>
        <w:tc>
          <w:tcPr>
            <w:tcW w:w="228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B029183" w14:textId="77777777" w:rsidR="004F7448" w:rsidRDefault="00000000" w:rsidP="009C4F2B">
            <w:pPr>
              <w:spacing w:before="240" w:after="16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Personal Learning and Involvement</w:t>
            </w:r>
          </w:p>
        </w:tc>
        <w:tc>
          <w:tcPr>
            <w:tcW w:w="3780" w:type="dxa"/>
            <w:tcBorders>
              <w:top w:val="nil"/>
              <w:left w:val="nil"/>
              <w:bottom w:val="single" w:sz="8" w:space="0" w:color="000000"/>
              <w:right w:val="single" w:sz="8" w:space="0" w:color="000000"/>
            </w:tcBorders>
            <w:tcMar>
              <w:top w:w="0" w:type="dxa"/>
              <w:left w:w="100" w:type="dxa"/>
              <w:bottom w:w="0" w:type="dxa"/>
              <w:right w:w="100" w:type="dxa"/>
            </w:tcMar>
          </w:tcPr>
          <w:p w14:paraId="3C95323F" w14:textId="77777777" w:rsidR="004F7448" w:rsidRDefault="00000000" w:rsidP="009C4F2B">
            <w:pPr>
              <w:spacing w:before="240"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Participated in breakfast service and banqueting, observing waste generation and discussing single-use plastic reduction (Dias, 2024).</w:t>
            </w:r>
          </w:p>
        </w:tc>
        <w:tc>
          <w:tcPr>
            <w:tcW w:w="3675" w:type="dxa"/>
            <w:tcBorders>
              <w:top w:val="nil"/>
              <w:left w:val="nil"/>
              <w:bottom w:val="single" w:sz="8" w:space="0" w:color="000000"/>
              <w:right w:val="single" w:sz="8" w:space="0" w:color="000000"/>
            </w:tcBorders>
            <w:tcMar>
              <w:top w:w="0" w:type="dxa"/>
              <w:left w:w="100" w:type="dxa"/>
              <w:bottom w:w="0" w:type="dxa"/>
              <w:right w:w="100" w:type="dxa"/>
            </w:tcMar>
          </w:tcPr>
          <w:p w14:paraId="42B564B1" w14:textId="21157C41" w:rsidR="004F7448" w:rsidRDefault="00587193" w:rsidP="009C4F2B">
            <w:pPr>
              <w:spacing w:before="240" w:after="160" w:line="360" w:lineRule="auto"/>
              <w:jc w:val="both"/>
              <w:rPr>
                <w:rFonts w:ascii="Times New Roman" w:eastAsia="Times New Roman" w:hAnsi="Times New Roman" w:cs="Times New Roman"/>
                <w:sz w:val="24"/>
                <w:szCs w:val="24"/>
              </w:rPr>
            </w:pPr>
            <w:r w:rsidRPr="00587193">
              <w:rPr>
                <w:rFonts w:ascii="Times New Roman" w:eastAsia="Times New Roman" w:hAnsi="Times New Roman" w:cs="Times New Roman"/>
                <w:sz w:val="24"/>
                <w:szCs w:val="24"/>
              </w:rPr>
              <w:t>Practical experience indicated operational issues. Sustainability should be accomplished through leadership dedication, training and regular communication throughout all ranks</w:t>
            </w:r>
            <w:r>
              <w:rPr>
                <w:rFonts w:ascii="Times New Roman" w:eastAsia="Times New Roman" w:hAnsi="Times New Roman" w:cs="Times New Roman"/>
                <w:sz w:val="24"/>
                <w:szCs w:val="24"/>
              </w:rPr>
              <w:t xml:space="preserve"> (Andersen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w:t>
            </w:r>
          </w:p>
        </w:tc>
      </w:tr>
    </w:tbl>
    <w:p w14:paraId="37640050" w14:textId="77777777" w:rsidR="004F7448" w:rsidRDefault="004F7448" w:rsidP="009C4F2B">
      <w:pPr>
        <w:spacing w:line="360" w:lineRule="auto"/>
        <w:jc w:val="both"/>
        <w:rPr>
          <w:rFonts w:ascii="Times New Roman" w:eastAsia="Times New Roman" w:hAnsi="Times New Roman" w:cs="Times New Roman"/>
          <w:sz w:val="24"/>
          <w:szCs w:val="24"/>
        </w:rPr>
      </w:pPr>
    </w:p>
    <w:p w14:paraId="126CC7D8" w14:textId="77777777" w:rsidR="004F7448" w:rsidRDefault="00000000" w:rsidP="009C4F2B">
      <w:pPr>
        <w:pStyle w:val="Heading2"/>
        <w:spacing w:line="360" w:lineRule="auto"/>
      </w:pPr>
      <w:bookmarkStart w:id="5" w:name="_Toc210506484"/>
      <w:r>
        <w:t>Collaboration of the Work Teams, Individual engagement, and Proposed improvements</w:t>
      </w:r>
      <w:bookmarkEnd w:id="5"/>
    </w:p>
    <w:p w14:paraId="34CDA19D" w14:textId="77777777" w:rsidR="00242A05" w:rsidRDefault="00242A05" w:rsidP="00242A05">
      <w:bookmarkStart w:id="6" w:name="_Toc210506485"/>
    </w:p>
    <w:p w14:paraId="41BC2EA2" w14:textId="0702C8B6" w:rsidR="00242A05" w:rsidRPr="00242A05" w:rsidRDefault="006C4761" w:rsidP="005C5448">
      <w:pPr>
        <w:spacing w:line="360" w:lineRule="auto"/>
        <w:jc w:val="both"/>
        <w:rPr>
          <w:rFonts w:ascii="Times New Roman" w:hAnsi="Times New Roman" w:cs="Times New Roman"/>
          <w:sz w:val="24"/>
          <w:szCs w:val="24"/>
        </w:rPr>
      </w:pPr>
      <w:r w:rsidRPr="006C4761">
        <w:rPr>
          <w:rFonts w:ascii="Times New Roman" w:hAnsi="Times New Roman" w:cs="Times New Roman"/>
          <w:sz w:val="24"/>
          <w:szCs w:val="24"/>
        </w:rPr>
        <w:t xml:space="preserve">The partnership with the team provided an impression of how practical aspect of sustainability and guest satisfaction works. I also got involved in organizing waste, daily and monitoring of food, which makes the daily carting of the garbage save on the aggravation and wastage. I was assisted by one of the Reflective Cycles offered by Gibbs (1988) in recognizing that even simple procedures such as proper labelling can make a serious change as applies to achieving future environmental goals and in encouraging other professionals to follow the example and become leaders (Adeani et al. 2020). The reflection-in-action has also improved the </w:t>
      </w:r>
      <w:r w:rsidR="00CF12C7" w:rsidRPr="006C4761">
        <w:rPr>
          <w:rFonts w:ascii="Times New Roman" w:hAnsi="Times New Roman" w:cs="Times New Roman"/>
          <w:sz w:val="24"/>
          <w:szCs w:val="24"/>
        </w:rPr>
        <w:t>decision-making</w:t>
      </w:r>
      <w:r w:rsidRPr="006C4761">
        <w:rPr>
          <w:rFonts w:ascii="Times New Roman" w:hAnsi="Times New Roman" w:cs="Times New Roman"/>
          <w:sz w:val="24"/>
          <w:szCs w:val="24"/>
        </w:rPr>
        <w:t xml:space="preserve"> </w:t>
      </w:r>
      <w:proofErr w:type="gramStart"/>
      <w:r w:rsidRPr="006C4761">
        <w:rPr>
          <w:rFonts w:ascii="Times New Roman" w:hAnsi="Times New Roman" w:cs="Times New Roman"/>
          <w:sz w:val="24"/>
          <w:szCs w:val="24"/>
        </w:rPr>
        <w:t>system</w:t>
      </w:r>
      <w:proofErr w:type="gramEnd"/>
      <w:r w:rsidRPr="006C4761">
        <w:rPr>
          <w:rFonts w:ascii="Times New Roman" w:hAnsi="Times New Roman" w:cs="Times New Roman"/>
          <w:sz w:val="24"/>
          <w:szCs w:val="24"/>
        </w:rPr>
        <w:t xml:space="preserve"> whereby menu decisions could be easily altered to minimize </w:t>
      </w:r>
      <w:proofErr w:type="gramStart"/>
      <w:r w:rsidRPr="006C4761">
        <w:rPr>
          <w:rFonts w:ascii="Times New Roman" w:hAnsi="Times New Roman" w:cs="Times New Roman"/>
          <w:sz w:val="24"/>
          <w:szCs w:val="24"/>
        </w:rPr>
        <w:t>wasting</w:t>
      </w:r>
      <w:proofErr w:type="gramEnd"/>
      <w:r w:rsidRPr="006C4761">
        <w:rPr>
          <w:rFonts w:ascii="Times New Roman" w:hAnsi="Times New Roman" w:cs="Times New Roman"/>
          <w:sz w:val="24"/>
          <w:szCs w:val="24"/>
        </w:rPr>
        <w:t xml:space="preserve">. To provide recommendations, I would choose to suggest the introduction of a digital waste tracking system, employee training that </w:t>
      </w:r>
      <w:proofErr w:type="gramStart"/>
      <w:r w:rsidRPr="006C4761">
        <w:rPr>
          <w:rFonts w:ascii="Times New Roman" w:hAnsi="Times New Roman" w:cs="Times New Roman"/>
          <w:sz w:val="24"/>
          <w:szCs w:val="24"/>
        </w:rPr>
        <w:t>are</w:t>
      </w:r>
      <w:proofErr w:type="gramEnd"/>
      <w:r w:rsidRPr="006C4761">
        <w:rPr>
          <w:rFonts w:ascii="Times New Roman" w:hAnsi="Times New Roman" w:cs="Times New Roman"/>
          <w:sz w:val="24"/>
          <w:szCs w:val="24"/>
        </w:rPr>
        <w:t xml:space="preserve"> less broad and better in touch with their interests and more communication with the guests about sustainability. They are those steps that are undertaken to provide perpetual enhancement as well as practical operation efficiency and brand values.</w:t>
      </w:r>
    </w:p>
    <w:p w14:paraId="6C01AF38" w14:textId="6F65F0A3" w:rsidR="004F7448" w:rsidRDefault="00000000" w:rsidP="009C4F2B">
      <w:pPr>
        <w:pStyle w:val="Heading1"/>
        <w:spacing w:line="360" w:lineRule="auto"/>
      </w:pPr>
      <w:r>
        <w:t>Conclusion</w:t>
      </w:r>
      <w:bookmarkEnd w:id="6"/>
    </w:p>
    <w:p w14:paraId="17ABED5C" w14:textId="77777777" w:rsidR="004F7448" w:rsidRDefault="0000000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internship experience with the Delta Hotels Waltham Abbey has indicated the practical imperative to implement sustainability </w:t>
      </w:r>
      <w:proofErr w:type="gramStart"/>
      <w:r>
        <w:rPr>
          <w:rFonts w:ascii="Times New Roman" w:eastAsia="Times New Roman" w:hAnsi="Times New Roman" w:cs="Times New Roman"/>
          <w:sz w:val="24"/>
          <w:szCs w:val="24"/>
        </w:rPr>
        <w:t>in regard to</w:t>
      </w:r>
      <w:proofErr w:type="gramEnd"/>
      <w:r>
        <w:rPr>
          <w:rFonts w:ascii="Times New Roman" w:eastAsia="Times New Roman" w:hAnsi="Times New Roman" w:cs="Times New Roman"/>
          <w:sz w:val="24"/>
          <w:szCs w:val="24"/>
        </w:rPr>
        <w:t xml:space="preserve"> any field of hospitality business activities. Despite the management being committed, the </w:t>
      </w:r>
      <w:proofErr w:type="gramStart"/>
      <w:r>
        <w:rPr>
          <w:rFonts w:ascii="Times New Roman" w:eastAsia="Times New Roman" w:hAnsi="Times New Roman" w:cs="Times New Roman"/>
          <w:sz w:val="24"/>
          <w:szCs w:val="24"/>
        </w:rPr>
        <w:t>manner in which</w:t>
      </w:r>
      <w:proofErr w:type="gramEnd"/>
      <w:r>
        <w:rPr>
          <w:rFonts w:ascii="Times New Roman" w:eastAsia="Times New Roman" w:hAnsi="Times New Roman" w:cs="Times New Roman"/>
          <w:sz w:val="24"/>
          <w:szCs w:val="24"/>
        </w:rPr>
        <w:t xml:space="preserve"> operations were being conducted </w:t>
      </w:r>
      <w:r>
        <w:rPr>
          <w:rFonts w:ascii="Times New Roman" w:eastAsia="Times New Roman" w:hAnsi="Times New Roman" w:cs="Times New Roman"/>
          <w:sz w:val="24"/>
          <w:szCs w:val="24"/>
        </w:rPr>
        <w:lastRenderedPageBreak/>
        <w:t xml:space="preserve">bore some signs of a failure in employee focus, waste management and guest-to-guest communication. My rounding in operations such as stock turnover, sorting garbage and adapting menus improves my leadership of sustainability principles in action. The </w:t>
      </w:r>
      <w:proofErr w:type="gramStart"/>
      <w:r>
        <w:rPr>
          <w:rFonts w:ascii="Times New Roman" w:eastAsia="Times New Roman" w:hAnsi="Times New Roman" w:cs="Times New Roman"/>
          <w:sz w:val="24"/>
          <w:szCs w:val="24"/>
        </w:rPr>
        <w:t>construct</w:t>
      </w:r>
      <w:proofErr w:type="gramEnd"/>
      <w:r>
        <w:rPr>
          <w:rFonts w:ascii="Times New Roman" w:eastAsia="Times New Roman" w:hAnsi="Times New Roman" w:cs="Times New Roman"/>
          <w:sz w:val="24"/>
          <w:szCs w:val="24"/>
        </w:rPr>
        <w:t xml:space="preserve"> of Gibbs Cycle and Schon, Reflection-in-Action, Reflective Learning, emphasised critical thinking</w:t>
      </w:r>
      <w:proofErr w:type="gramStart"/>
      <w:r>
        <w:rPr>
          <w:rFonts w:ascii="Times New Roman" w:eastAsia="Times New Roman" w:hAnsi="Times New Roman" w:cs="Times New Roman"/>
          <w:sz w:val="24"/>
          <w:szCs w:val="24"/>
        </w:rPr>
        <w:t>, leadership</w:t>
      </w:r>
      <w:proofErr w:type="gramEnd"/>
      <w:r>
        <w:rPr>
          <w:rFonts w:ascii="Times New Roman" w:eastAsia="Times New Roman" w:hAnsi="Times New Roman" w:cs="Times New Roman"/>
          <w:sz w:val="24"/>
          <w:szCs w:val="24"/>
        </w:rPr>
        <w:t xml:space="preserve"> exemplary traits, and problem-solving preference within the context of reality. A combination of employee education, online surveillance platforms, and publicised CSR program is likely to be useful in the future to increase efficiency of operations both in delivery and in the brand image of Marriott itself.</w:t>
      </w:r>
    </w:p>
    <w:p w14:paraId="39BD9932" w14:textId="77777777" w:rsidR="004F7448" w:rsidRDefault="004F7448" w:rsidP="009C4F2B">
      <w:pPr>
        <w:spacing w:line="360" w:lineRule="auto"/>
        <w:jc w:val="both"/>
        <w:rPr>
          <w:rFonts w:ascii="Times New Roman" w:eastAsia="Times New Roman" w:hAnsi="Times New Roman" w:cs="Times New Roman"/>
          <w:b/>
          <w:sz w:val="32"/>
          <w:szCs w:val="32"/>
        </w:rPr>
      </w:pPr>
    </w:p>
    <w:p w14:paraId="39AAE489" w14:textId="77777777" w:rsidR="004F7448" w:rsidRDefault="00000000" w:rsidP="009C4F2B">
      <w:pPr>
        <w:spacing w:line="360" w:lineRule="auto"/>
        <w:jc w:val="both"/>
        <w:rPr>
          <w:rFonts w:ascii="Times New Roman" w:eastAsia="Times New Roman" w:hAnsi="Times New Roman" w:cs="Times New Roman"/>
          <w:b/>
          <w:sz w:val="32"/>
          <w:szCs w:val="32"/>
        </w:rPr>
      </w:pPr>
      <w:r>
        <w:br w:type="page"/>
      </w:r>
    </w:p>
    <w:p w14:paraId="6C0E3FA6" w14:textId="77777777" w:rsidR="004F7448" w:rsidRDefault="00000000" w:rsidP="009C4F2B">
      <w:pPr>
        <w:pStyle w:val="Heading1"/>
        <w:spacing w:line="360" w:lineRule="auto"/>
      </w:pPr>
      <w:bookmarkStart w:id="7" w:name="_Toc210506486"/>
      <w:r>
        <w:lastRenderedPageBreak/>
        <w:t>References</w:t>
      </w:r>
      <w:bookmarkEnd w:id="7"/>
    </w:p>
    <w:p w14:paraId="216769C2"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Adeani, I. S., Febriani, R. B., &amp; Syafryadin, S. (2020). Using GIBBS’reflective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139-148.</w:t>
      </w:r>
    </w:p>
    <w:p w14:paraId="17510375"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Andersen, V., Lelieveld, H.L.M. and Motarjemi, Y. (eds) (2023) Food safety </w:t>
      </w:r>
      <w:proofErr w:type="gramStart"/>
      <w:r>
        <w:rPr>
          <w:rFonts w:ascii="Times New Roman" w:eastAsia="Times New Roman" w:hAnsi="Times New Roman" w:cs="Times New Roman"/>
          <w:sz w:val="24"/>
          <w:szCs w:val="24"/>
        </w:rPr>
        <w:t>management :</w:t>
      </w:r>
      <w:proofErr w:type="gramEnd"/>
      <w:r>
        <w:rPr>
          <w:rFonts w:ascii="Times New Roman" w:eastAsia="Times New Roman" w:hAnsi="Times New Roman" w:cs="Times New Roman"/>
          <w:sz w:val="24"/>
          <w:szCs w:val="24"/>
        </w:rPr>
        <w:t xml:space="preserve"> a practical guide for the food industry. Second </w:t>
      </w:r>
      <w:proofErr w:type="gramStart"/>
      <w:r>
        <w:rPr>
          <w:rFonts w:ascii="Times New Roman" w:eastAsia="Times New Roman" w:hAnsi="Times New Roman" w:cs="Times New Roman"/>
          <w:sz w:val="24"/>
          <w:szCs w:val="24"/>
        </w:rPr>
        <w:t>edition .</w:t>
      </w:r>
      <w:proofErr w:type="gramEnd"/>
    </w:p>
    <w:p w14:paraId="19FE6587"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Anon (2010) A Good Practice Guide for Placement and Other Work-based Learning Opportunities in Higher Education – Good Practice for Placements Guides – Volume 2. 52 (4). </w:t>
      </w:r>
      <w:proofErr w:type="gramStart"/>
      <w:r>
        <w:rPr>
          <w:rFonts w:ascii="Times New Roman" w:eastAsia="Times New Roman" w:hAnsi="Times New Roman" w:cs="Times New Roman"/>
          <w:sz w:val="24"/>
          <w:szCs w:val="24"/>
        </w:rPr>
        <w:t>doi:10.1108/et.2010.00452dab</w:t>
      </w:r>
      <w:proofErr w:type="gramEnd"/>
      <w:r>
        <w:rPr>
          <w:rFonts w:ascii="Times New Roman" w:eastAsia="Times New Roman" w:hAnsi="Times New Roman" w:cs="Times New Roman"/>
          <w:sz w:val="24"/>
          <w:szCs w:val="24"/>
        </w:rPr>
        <w:t>.013.</w:t>
      </w:r>
    </w:p>
    <w:p w14:paraId="4F89A8D9"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Cousins, J. &amp; Weekes, S. (2020) Food and Beverage Service. 10th Ed. London: Hodder Education.</w:t>
      </w:r>
    </w:p>
    <w:p w14:paraId="6F1F62E2"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Dias, A.L. (2024) Cases on Innovation and Sustainability in Tourism. 1st </w:t>
      </w:r>
      <w:proofErr w:type="gramStart"/>
      <w:r>
        <w:rPr>
          <w:rFonts w:ascii="Times New Roman" w:eastAsia="Times New Roman" w:hAnsi="Times New Roman" w:cs="Times New Roman"/>
          <w:sz w:val="24"/>
          <w:szCs w:val="24"/>
        </w:rPr>
        <w:t>edn</w:t>
      </w:r>
      <w:proofErr w:type="gramEnd"/>
      <w:r>
        <w:rPr>
          <w:rFonts w:ascii="Times New Roman" w:eastAsia="Times New Roman" w:hAnsi="Times New Roman" w:cs="Times New Roman"/>
          <w:sz w:val="24"/>
          <w:szCs w:val="24"/>
        </w:rPr>
        <w:t>. Hershey: IGI Global. Available at: https://doi.org/10.4018/979-8-3693-4151-3.</w:t>
      </w:r>
    </w:p>
    <w:p w14:paraId="22217CBA"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Fanthorne, C. (2004) Work Placements – Survival Guide for Students. Basingstoke: Macmillan.</w:t>
      </w:r>
    </w:p>
    <w:p w14:paraId="79BAB286"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Hagg, E. (2013) Internship Guide: Work Placements Step by Step. 5th Ed. The Hague: Eleven International Publishing.</w:t>
      </w:r>
    </w:p>
    <w:p w14:paraId="0A5FBF69"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Johnston, R., Clark, G. &amp; Shulver, M. (2012) Service Operations Management: Improving Service Delivery. 5th Ed. London: Pearson.</w:t>
      </w:r>
    </w:p>
    <w:p w14:paraId="163ED505" w14:textId="77777777" w:rsidR="00880C90" w:rsidRDefault="00880C90" w:rsidP="009C4F2B">
      <w:pPr>
        <w:spacing w:line="360" w:lineRule="auto"/>
        <w:jc w:val="both"/>
        <w:rPr>
          <w:color w:val="222222"/>
          <w:sz w:val="20"/>
          <w:szCs w:val="20"/>
          <w:highlight w:val="white"/>
        </w:rPr>
      </w:pPr>
      <w:r>
        <w:rPr>
          <w:rFonts w:ascii="Times New Roman" w:eastAsia="Times New Roman" w:hAnsi="Times New Roman" w:cs="Times New Roman"/>
          <w:color w:val="222222"/>
          <w:sz w:val="24"/>
          <w:szCs w:val="24"/>
          <w:highlight w:val="white"/>
        </w:rPr>
        <w:t xml:space="preserve">Korkmaz, E., and Afşar, A. (2021). Activity-Based Budgeting for Hotel Food and Beverage Services: A Case Study. </w:t>
      </w:r>
      <w:r>
        <w:rPr>
          <w:rFonts w:ascii="Times New Roman" w:eastAsia="Times New Roman" w:hAnsi="Times New Roman" w:cs="Times New Roman"/>
          <w:i/>
          <w:color w:val="222222"/>
          <w:sz w:val="24"/>
          <w:szCs w:val="24"/>
          <w:highlight w:val="white"/>
        </w:rPr>
        <w:t>International Journal of Arts and Commerce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(9), 19-40</w:t>
      </w:r>
      <w:r>
        <w:rPr>
          <w:color w:val="222222"/>
          <w:sz w:val="20"/>
          <w:szCs w:val="20"/>
          <w:highlight w:val="white"/>
        </w:rPr>
        <w:t>.</w:t>
      </w:r>
    </w:p>
    <w:p w14:paraId="037EEB4D"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Legrand, W., Chen, J.S. and Laeis, G.C., (2022). </w:t>
      </w:r>
      <w:r>
        <w:rPr>
          <w:rFonts w:ascii="Times New Roman" w:eastAsia="Times New Roman" w:hAnsi="Times New Roman" w:cs="Times New Roman"/>
          <w:i/>
          <w:color w:val="222222"/>
          <w:sz w:val="24"/>
          <w:szCs w:val="24"/>
          <w:highlight w:val="white"/>
        </w:rPr>
        <w:t>Sustainability in the hospitality industry: Principles of sustainable operations</w:t>
      </w:r>
      <w:r>
        <w:rPr>
          <w:rFonts w:ascii="Times New Roman" w:eastAsia="Times New Roman" w:hAnsi="Times New Roman" w:cs="Times New Roman"/>
          <w:color w:val="222222"/>
          <w:sz w:val="24"/>
          <w:szCs w:val="24"/>
          <w:highlight w:val="white"/>
        </w:rPr>
        <w:t>. Routledge.</w:t>
      </w:r>
    </w:p>
    <w:p w14:paraId="37158B37"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Marriott, (2025), </w:t>
      </w:r>
      <w:r>
        <w:rPr>
          <w:rFonts w:ascii="Times New Roman" w:eastAsia="Times New Roman" w:hAnsi="Times New Roman" w:cs="Times New Roman"/>
          <w:i/>
          <w:sz w:val="24"/>
          <w:szCs w:val="24"/>
        </w:rPr>
        <w:t>About Company,</w:t>
      </w:r>
      <w:r>
        <w:rPr>
          <w:rFonts w:ascii="Times New Roman" w:eastAsia="Times New Roman" w:hAnsi="Times New Roman" w:cs="Times New Roman"/>
          <w:sz w:val="24"/>
          <w:szCs w:val="24"/>
        </w:rPr>
        <w:t xml:space="preserve"> Available at: </w:t>
      </w:r>
      <w:hyperlink r:id="rId8">
        <w:r>
          <w:rPr>
            <w:rFonts w:ascii="Times New Roman" w:eastAsia="Times New Roman" w:hAnsi="Times New Roman" w:cs="Times New Roman"/>
            <w:color w:val="1155CC"/>
            <w:sz w:val="24"/>
            <w:szCs w:val="24"/>
            <w:u w:val="single"/>
          </w:rPr>
          <w:t>https://www.marriott.com/en-us/hotels/lonwd-delta-hotels-waltham-abbey/overview/</w:t>
        </w:r>
      </w:hyperlink>
      <w:r>
        <w:rPr>
          <w:rFonts w:ascii="Times New Roman" w:eastAsia="Times New Roman" w:hAnsi="Times New Roman" w:cs="Times New Roman"/>
          <w:sz w:val="24"/>
          <w:szCs w:val="24"/>
        </w:rPr>
        <w:t xml:space="preserve"> [Accessed on: 4th October, 2025]</w:t>
      </w:r>
    </w:p>
    <w:p w14:paraId="508A9732"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Mishra, R., Singh, R.K. and Subramanian, N., (2023). Exploring the relationship between environmental collaboration and business performance with mediating effect of responsible consumption and production. </w:t>
      </w:r>
      <w:r>
        <w:rPr>
          <w:rFonts w:ascii="Times New Roman" w:eastAsia="Times New Roman" w:hAnsi="Times New Roman" w:cs="Times New Roman"/>
          <w:i/>
          <w:color w:val="222222"/>
          <w:sz w:val="24"/>
          <w:szCs w:val="24"/>
          <w:highlight w:val="white"/>
        </w:rPr>
        <w:t>Business Strategy and the Environment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(4), pp.2136-2154.</w:t>
      </w:r>
    </w:p>
    <w:p w14:paraId="6FD72750"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Rutherford, D, G &amp; O’Fallon, M J (eds.) (2007) Hotel management and operations. 4th ed. Hoboken, N.J, JohnWiley.</w:t>
      </w:r>
    </w:p>
    <w:p w14:paraId="2C0C1336"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Santiago, B., Scavarda, L.F., Caiado, R. and Jardim, R., (2023). Circular sustainable supply chain management framework from the perspective of triple bottom line. </w:t>
      </w:r>
      <w:r>
        <w:rPr>
          <w:rFonts w:ascii="Times New Roman" w:eastAsia="Times New Roman" w:hAnsi="Times New Roman" w:cs="Times New Roman"/>
          <w:i/>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221</w:t>
      </w:r>
      <w:r>
        <w:rPr>
          <w:rFonts w:ascii="Times New Roman" w:eastAsia="Times New Roman" w:hAnsi="Times New Roman" w:cs="Times New Roman"/>
          <w:color w:val="222222"/>
          <w:sz w:val="24"/>
          <w:szCs w:val="24"/>
          <w:highlight w:val="white"/>
        </w:rPr>
        <w:t>, pp.673-680.</w:t>
      </w:r>
    </w:p>
    <w:p w14:paraId="6649CEDD"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Shabani, T. and Jerie, S., (2023). A review of the applicability of Environmental Management Systems in waste management in the medical sector of Zimbabwe. </w:t>
      </w:r>
      <w:r>
        <w:rPr>
          <w:rFonts w:ascii="Times New Roman" w:eastAsia="Times New Roman" w:hAnsi="Times New Roman" w:cs="Times New Roman"/>
          <w:i/>
          <w:color w:val="222222"/>
          <w:sz w:val="24"/>
          <w:szCs w:val="24"/>
          <w:highlight w:val="white"/>
        </w:rPr>
        <w:t>Environmental monitoring and assessment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195</w:t>
      </w:r>
      <w:r>
        <w:rPr>
          <w:rFonts w:ascii="Times New Roman" w:eastAsia="Times New Roman" w:hAnsi="Times New Roman" w:cs="Times New Roman"/>
          <w:color w:val="222222"/>
          <w:sz w:val="24"/>
          <w:szCs w:val="24"/>
          <w:highlight w:val="white"/>
        </w:rPr>
        <w:t>(6), p.789.</w:t>
      </w:r>
    </w:p>
    <w:p w14:paraId="3891E2BB"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Taneja, M., Kiran, R. and Bose, S.C., (2022). Critical analysis of Kolb experiential learning process: Gender perspective. </w:t>
      </w:r>
      <w:r>
        <w:rPr>
          <w:rFonts w:ascii="Times New Roman" w:eastAsia="Times New Roman" w:hAnsi="Times New Roman" w:cs="Times New Roman"/>
          <w:i/>
          <w:color w:val="222222"/>
          <w:sz w:val="24"/>
          <w:szCs w:val="24"/>
          <w:highlight w:val="white"/>
        </w:rPr>
        <w:t>International journal of health sciences</w:t>
      </w:r>
      <w:r>
        <w:rPr>
          <w:rFonts w:ascii="Times New Roman" w:eastAsia="Times New Roman" w:hAnsi="Times New Roman" w:cs="Times New Roman"/>
          <w:color w:val="222222"/>
          <w:sz w:val="24"/>
          <w:szCs w:val="24"/>
          <w:highlight w:val="white"/>
        </w:rPr>
        <w:t>, (I), pp.8713-8723.</w:t>
      </w:r>
    </w:p>
    <w:p w14:paraId="4FB3EFBB" w14:textId="77777777" w:rsidR="00880C90" w:rsidRDefault="00880C90" w:rsidP="009C4F2B">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Verwaal, E., Klein, M. and La Falce, J., (2022). Business model involvement, adaptive capacity, and the triple bottom line at the base of the pyramid. </w:t>
      </w:r>
      <w:r>
        <w:rPr>
          <w:rFonts w:ascii="Times New Roman" w:eastAsia="Times New Roman" w:hAnsi="Times New Roman" w:cs="Times New Roman"/>
          <w:i/>
          <w:color w:val="222222"/>
          <w:sz w:val="24"/>
          <w:szCs w:val="24"/>
          <w:highlight w:val="white"/>
        </w:rPr>
        <w:t>Journal of Business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181</w:t>
      </w:r>
      <w:r>
        <w:rPr>
          <w:rFonts w:ascii="Times New Roman" w:eastAsia="Times New Roman" w:hAnsi="Times New Roman" w:cs="Times New Roman"/>
          <w:color w:val="222222"/>
          <w:sz w:val="24"/>
          <w:szCs w:val="24"/>
          <w:highlight w:val="white"/>
        </w:rPr>
        <w:t>(3), pp.607-621.</w:t>
      </w:r>
    </w:p>
    <w:p w14:paraId="4500C3EE"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Walker, J.C. (2021) Introduction to Hospitality. 8th Ed. Harlow: Pearson Education Limited.</w:t>
      </w:r>
    </w:p>
    <w:p w14:paraId="496969FC" w14:textId="77777777" w:rsidR="00880C90" w:rsidRDefault="00880C90" w:rsidP="009C4F2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Wood, R.C. (2013) Key Concepts in Hospitality Management. London: SAGE Publications Ltd.</w:t>
      </w:r>
    </w:p>
    <w:sectPr w:rsidR="00880C90" w:rsidSect="00683184">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0E872E" w14:textId="77777777" w:rsidR="00FA21BF" w:rsidRDefault="00FA21BF" w:rsidP="00683184">
      <w:pPr>
        <w:spacing w:line="240" w:lineRule="auto"/>
      </w:pPr>
      <w:r>
        <w:separator/>
      </w:r>
    </w:p>
  </w:endnote>
  <w:endnote w:type="continuationSeparator" w:id="0">
    <w:p w14:paraId="550D046C" w14:textId="77777777" w:rsidR="00FA21BF" w:rsidRDefault="00FA21BF" w:rsidP="006831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2456254"/>
      <w:docPartObj>
        <w:docPartGallery w:val="Page Numbers (Bottom of Page)"/>
        <w:docPartUnique/>
      </w:docPartObj>
    </w:sdtPr>
    <w:sdtEndPr>
      <w:rPr>
        <w:rFonts w:ascii="Times New Roman" w:hAnsi="Times New Roman" w:cs="Times New Roman"/>
        <w:noProof/>
        <w:sz w:val="20"/>
        <w:szCs w:val="20"/>
      </w:rPr>
    </w:sdtEndPr>
    <w:sdtContent>
      <w:p w14:paraId="60D2BF31" w14:textId="134C8EED" w:rsidR="00683184" w:rsidRPr="00683184" w:rsidRDefault="00683184">
        <w:pPr>
          <w:pStyle w:val="Footer"/>
          <w:jc w:val="right"/>
          <w:rPr>
            <w:rFonts w:ascii="Times New Roman" w:hAnsi="Times New Roman" w:cs="Times New Roman"/>
            <w:sz w:val="20"/>
            <w:szCs w:val="20"/>
          </w:rPr>
        </w:pPr>
        <w:r w:rsidRPr="00683184">
          <w:rPr>
            <w:rFonts w:ascii="Times New Roman" w:hAnsi="Times New Roman" w:cs="Times New Roman"/>
            <w:sz w:val="20"/>
            <w:szCs w:val="20"/>
          </w:rPr>
          <w:fldChar w:fldCharType="begin"/>
        </w:r>
        <w:r w:rsidRPr="00683184">
          <w:rPr>
            <w:rFonts w:ascii="Times New Roman" w:hAnsi="Times New Roman" w:cs="Times New Roman"/>
            <w:sz w:val="20"/>
            <w:szCs w:val="20"/>
          </w:rPr>
          <w:instrText xml:space="preserve"> PAGE   \* MERGEFORMAT </w:instrText>
        </w:r>
        <w:r w:rsidRPr="00683184">
          <w:rPr>
            <w:rFonts w:ascii="Times New Roman" w:hAnsi="Times New Roman" w:cs="Times New Roman"/>
            <w:sz w:val="20"/>
            <w:szCs w:val="20"/>
          </w:rPr>
          <w:fldChar w:fldCharType="separate"/>
        </w:r>
        <w:r w:rsidRPr="00683184">
          <w:rPr>
            <w:rFonts w:ascii="Times New Roman" w:hAnsi="Times New Roman" w:cs="Times New Roman"/>
            <w:noProof/>
            <w:sz w:val="20"/>
            <w:szCs w:val="20"/>
          </w:rPr>
          <w:t>2</w:t>
        </w:r>
        <w:r w:rsidRPr="00683184">
          <w:rPr>
            <w:rFonts w:ascii="Times New Roman" w:hAnsi="Times New Roman" w:cs="Times New Roman"/>
            <w:noProof/>
            <w:sz w:val="20"/>
            <w:szCs w:val="20"/>
          </w:rPr>
          <w:fldChar w:fldCharType="end"/>
        </w:r>
      </w:p>
    </w:sdtContent>
  </w:sdt>
  <w:p w14:paraId="33E02210" w14:textId="77777777" w:rsidR="00683184" w:rsidRDefault="00683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9C017E" w14:textId="77777777" w:rsidR="00FA21BF" w:rsidRDefault="00FA21BF" w:rsidP="00683184">
      <w:pPr>
        <w:spacing w:line="240" w:lineRule="auto"/>
      </w:pPr>
      <w:r>
        <w:separator/>
      </w:r>
    </w:p>
  </w:footnote>
  <w:footnote w:type="continuationSeparator" w:id="0">
    <w:p w14:paraId="281FCB47" w14:textId="77777777" w:rsidR="00FA21BF" w:rsidRDefault="00FA21BF" w:rsidP="0068318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7448"/>
    <w:rsid w:val="00242A05"/>
    <w:rsid w:val="002C626E"/>
    <w:rsid w:val="00451AE1"/>
    <w:rsid w:val="004F7448"/>
    <w:rsid w:val="00505B43"/>
    <w:rsid w:val="005505A8"/>
    <w:rsid w:val="005710ED"/>
    <w:rsid w:val="00574210"/>
    <w:rsid w:val="00587193"/>
    <w:rsid w:val="005C5448"/>
    <w:rsid w:val="00683184"/>
    <w:rsid w:val="00684B7E"/>
    <w:rsid w:val="006864BD"/>
    <w:rsid w:val="006C4761"/>
    <w:rsid w:val="008140ED"/>
    <w:rsid w:val="00835742"/>
    <w:rsid w:val="00880C90"/>
    <w:rsid w:val="009C4F2B"/>
    <w:rsid w:val="00B80423"/>
    <w:rsid w:val="00CF12C7"/>
    <w:rsid w:val="00DE68B3"/>
    <w:rsid w:val="00EA300E"/>
    <w:rsid w:val="00FA21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492E5"/>
  <w15:docId w15:val="{34A52FE4-8451-41A9-AC12-730F619CB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80C90"/>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880C90"/>
    <w:pPr>
      <w:keepNext/>
      <w:keepLines/>
      <w:spacing w:before="360" w:after="120" w:line="24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683184"/>
    <w:pPr>
      <w:tabs>
        <w:tab w:val="center" w:pos="4513"/>
        <w:tab w:val="right" w:pos="9026"/>
      </w:tabs>
      <w:spacing w:line="240" w:lineRule="auto"/>
    </w:pPr>
  </w:style>
  <w:style w:type="character" w:customStyle="1" w:styleId="HeaderChar">
    <w:name w:val="Header Char"/>
    <w:basedOn w:val="DefaultParagraphFont"/>
    <w:link w:val="Header"/>
    <w:uiPriority w:val="99"/>
    <w:rsid w:val="00683184"/>
  </w:style>
  <w:style w:type="paragraph" w:styleId="Footer">
    <w:name w:val="footer"/>
    <w:basedOn w:val="Normal"/>
    <w:link w:val="FooterChar"/>
    <w:uiPriority w:val="99"/>
    <w:unhideWhenUsed/>
    <w:rsid w:val="00683184"/>
    <w:pPr>
      <w:tabs>
        <w:tab w:val="center" w:pos="4513"/>
        <w:tab w:val="right" w:pos="9026"/>
      </w:tabs>
      <w:spacing w:line="240" w:lineRule="auto"/>
    </w:pPr>
  </w:style>
  <w:style w:type="character" w:customStyle="1" w:styleId="FooterChar">
    <w:name w:val="Footer Char"/>
    <w:basedOn w:val="DefaultParagraphFont"/>
    <w:link w:val="Footer"/>
    <w:uiPriority w:val="99"/>
    <w:rsid w:val="00683184"/>
  </w:style>
  <w:style w:type="paragraph" w:styleId="TOC1">
    <w:name w:val="toc 1"/>
    <w:basedOn w:val="Normal"/>
    <w:next w:val="Normal"/>
    <w:autoRedefine/>
    <w:uiPriority w:val="39"/>
    <w:unhideWhenUsed/>
    <w:rsid w:val="00B80423"/>
    <w:pPr>
      <w:spacing w:after="100"/>
    </w:pPr>
  </w:style>
  <w:style w:type="paragraph" w:styleId="TOC2">
    <w:name w:val="toc 2"/>
    <w:basedOn w:val="Normal"/>
    <w:next w:val="Normal"/>
    <w:autoRedefine/>
    <w:uiPriority w:val="39"/>
    <w:unhideWhenUsed/>
    <w:rsid w:val="00B80423"/>
    <w:pPr>
      <w:spacing w:after="100"/>
      <w:ind w:left="220"/>
    </w:pPr>
  </w:style>
  <w:style w:type="character" w:styleId="Hyperlink">
    <w:name w:val="Hyperlink"/>
    <w:basedOn w:val="DefaultParagraphFont"/>
    <w:uiPriority w:val="99"/>
    <w:unhideWhenUsed/>
    <w:rsid w:val="00B804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en-us/hotels/lonwd-delta-hotels-waltham-abbey/overview/"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753B21-291F-4923-AA9F-9FF9C27725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1867</Words>
  <Characters>10642</Characters>
  <Application>Microsoft Office Word</Application>
  <DocSecurity>0</DocSecurity>
  <Lines>88</Lines>
  <Paragraphs>24</Paragraphs>
  <ScaleCrop>false</ScaleCrop>
  <Company/>
  <LinksUpToDate>false</LinksUpToDate>
  <CharactersWithSpaces>12485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Maria Luca (2239007)</cp:lastModifiedBy>
  <cp:revision>29</cp:revision>
  <dcterms:created xsi:type="dcterms:W3CDTF">2025-10-04T16:08:00Z</dcterms:created>
  <dcterms:modified xsi:type="dcterms:W3CDTF">2025-11-12T23:50:00Z</dcterms:modified>
</cp:coreProperties>
</file>