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5">
      <w:r>
        <w:rPr/>
        <w:drawing xmlns:mc="http://schemas.openxmlformats.org/markup-compatibility/2006">
          <wp:anchor allowOverlap="1" behindDoc="0" distT="0" distB="0" distL="114300" distR="114300" layoutInCell="1" locked="0" relativeHeight="251658240" simplePos="0">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pic:cNvPicPr>
                  </pic:nvPicPr>
                  <pic:blipFill>
                    <a:blip r:embed="rId18"/>
                    <a:srcRect r="23643"/>
                    <a:stretch/>
                  </pic:blipFill>
                  <pic:spPr>
                    <a:xfrm>
                      <a:off x="0" y="0"/>
                      <a:ext cx="4152900" cy="1328420"/>
                    </a:xfrm>
                    <a:prstGeom prst="rect">
                      <a:avLst/>
                    </a:prstGeom>
                    <a:noFill/>
                    <a:ln>
                      <a:noFill/>
                    </a:ln>
                  </pic:spPr>
                </pic:pic>
              </a:graphicData>
            </a:graphic>
            <wp14:sizeRelH relativeFrom="margin">
              <wp14:pctWidth>0</wp14:pctWidth>
            </wp14:sizeRelH>
          </wp:anchor>
        </w:drawing>
      </w:r>
    </w:p>
    <w:p w14:paraId="00000006"/>
    <w:p w14:paraId="00000007"/>
    <w:p w14:paraId="00000008"/>
    <w:p w14:paraId="00000009">
      <w:pPr>
        <w:ind w:right="1229"/>
        <w:rPr/>
      </w:pPr>
    </w:p>
    <w:p w14:paraId="0000000A">
      <w:pPr>
        <w:ind w:right="1229"/>
        <w:rPr>
          <w:rFonts w:cs="Arial"/>
          <w:sz w:val="60"/>
          <w:szCs w:val="60"/>
        </w:rPr>
      </w:pPr>
      <w:r>
        <w:rPr>
          <w:rFonts w:cs="Arial"/>
          <w:sz w:val="60"/>
          <w:szCs w:val="60"/>
        </w:rPr>
        <w:t>Institute of Inner-City</w:t>
      </w:r>
      <w:r>
        <w:rPr>
          <w:rFonts w:cs="Arial"/>
          <w:sz w:val="60"/>
          <w:szCs w:val="60"/>
        </w:rPr>
        <w:t xml:space="preserve"> </w:t>
      </w:r>
      <w:r>
        <w:rPr>
          <w:rFonts w:cs="Arial"/>
          <w:sz w:val="60"/>
          <w:szCs w:val="60"/>
        </w:rPr>
        <w:t>Learning Birmingham Campus</w:t>
      </w:r>
    </w:p>
    <w:p w14:paraId="0000000B">
      <w:pPr>
        <w:pStyle w:val="BodyText"/>
        <w:jc w:val="center"/>
        <w:rPr>
          <w:rFonts w:ascii="Aptos" w:cs="Arial" w:hAnsi="Aptos"/>
          <w:sz w:val="20"/>
        </w:rPr>
      </w:pPr>
    </w:p>
    <w:p w14:paraId="0000000C">
      <w:pPr>
        <w:spacing w:line="813" w:lineRule="exact"/>
        <w:rPr>
          <w:rFonts w:cs="Arial"/>
          <w:sz w:val="60"/>
          <w:szCs w:val="60"/>
        </w:rPr>
      </w:pPr>
      <w:r>
        <w:rPr>
          <w:rFonts w:cs="Arial"/>
          <w:sz w:val="60"/>
          <w:szCs w:val="60"/>
        </w:rPr>
        <w:t>BSc (Hons) Health and Social Care</w:t>
      </w:r>
      <w:r>
        <w:rPr>
          <w:rFonts w:cs="Arial"/>
          <w:sz w:val="60"/>
          <w:szCs w:val="60"/>
        </w:rPr>
        <w:br w:type="textWrapping"/>
      </w:r>
    </w:p>
    <w:p w14:paraId="0000000D">
      <w:pPr>
        <w:spacing w:line="1342" w:lineRule="exact"/>
        <w:jc w:val="left"/>
        <w:rPr>
          <w:rFonts w:cs="Arial"/>
          <w:sz w:val="70"/>
          <w:szCs w:val="70"/>
        </w:rPr>
      </w:pPr>
      <w:r>
        <w:rPr>
          <w:rFonts w:cs="Arial"/>
          <w:sz w:val="70"/>
          <w:szCs w:val="70"/>
        </w:rPr>
        <w:t>DISSERTATION</w:t>
      </w:r>
    </w:p>
    <w:p w14:paraId="0000000E"/>
    <w:p w14:paraId="0000000F">
      <w:pPr>
        <w:pStyle w:val="Heading1"/>
        <w:ind w:left="0"/>
        <w:rPr>
          <w:rFonts w:ascii="Aptos" w:cs="Arial" w:hAnsi="Aptos"/>
        </w:rPr>
      </w:pPr>
    </w:p>
    <w:p w14:paraId="00000010">
      <w:pPr>
        <w:pStyle w:val="Heading1"/>
        <w:ind w:left="0"/>
        <w:rPr>
          <w:rFonts w:ascii="Aptos" w:cs="Arial" w:hAnsi="Aptos"/>
        </w:rPr>
      </w:pPr>
      <w:bookmarkStart w:id="0" w:name="_Toc1"/>
      <w:r>
        <w:rPr>
          <w:rFonts w:ascii="Aptos" w:cs="Arial" w:hAnsi="Aptos"/>
        </w:rPr>
        <w:t>Disclaimer</w:t>
      </w:r>
      <w:bookmarkEnd w:id="0"/>
    </w:p>
    <w:p w14:paraId="00000011">
      <w:pPr>
        <w:spacing w:before="62"/>
        <w:ind w:right="96"/>
        <w:rPr>
          <w:rFonts w:cs="Arial"/>
          <w:sz w:val="20"/>
        </w:rPr>
      </w:pPr>
      <w:r>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00000012">
      <w:pPr>
        <w:rPr>
          <w:rFonts w:cs="Arial" w:eastAsia="Times New Roman"/>
          <w:b/>
          <w:sz w:val="28"/>
          <w:szCs w:val="28"/>
        </w:rPr>
      </w:pPr>
    </w:p>
    <w:p w14:paraId="00000013">
      <w:pPr>
        <w:rPr>
          <w:rFonts w:cs="Arial" w:eastAsia="Times New Roman"/>
          <w:b/>
          <w:sz w:val="28"/>
          <w:szCs w:val="28"/>
        </w:rPr>
      </w:pPr>
      <w:r>
        <w:rPr>
          <w:rFonts w:cs="Arial" w:eastAsia="Times New Roman"/>
          <w:b/>
          <w:sz w:val="28"/>
          <w:szCs w:val="28"/>
        </w:rPr>
        <w:t>DECLARATION</w:t>
      </w:r>
    </w:p>
    <w:p w14:paraId="00000014">
      <w:pPr>
        <w:rPr>
          <w:rFonts w:cs="Arial" w:eastAsia="Times New Roman"/>
        </w:rPr>
      </w:pPr>
      <w:r>
        <w:rPr>
          <w:rFonts w:cs="Arial" w:eastAsia="Times New Roman"/>
        </w:rPr>
        <w:t>This work has not previously been accepted in substance for any degree and is not being concurrently submitted in candidature for any degree</w:t>
      </w:r>
    </w:p>
    <w:p w14:paraId="00000015">
      <w:pPr>
        <w:rPr>
          <w:rFonts w:cs="Arial" w:eastAsia="Times New Roman"/>
        </w:rPr>
      </w:pPr>
      <w:r>
        <w:rPr>
          <w:rFonts w:cs="Arial" w:eastAsia="Times New Roman"/>
        </w:rPr>
        <w:t>Signed………C.Awoyemi……</w:t>
      </w:r>
      <w:r>
        <w:rPr>
          <w:rFonts w:cs="Arial" w:eastAsia="Times New Roman"/>
        </w:rPr>
        <w:t>………………………………</w:t>
      </w:r>
    </w:p>
    <w:p w14:paraId="00000016">
      <w:pPr>
        <w:rPr>
          <w:rFonts w:cs="Arial" w:eastAsia="Times New Roman"/>
        </w:rPr>
      </w:pPr>
      <w:r>
        <w:rPr>
          <w:rFonts w:cs="Arial" w:eastAsia="Times New Roman"/>
        </w:rPr>
        <w:t>Date……4/04/2026…………………………………………</w:t>
      </w:r>
    </w:p>
    <w:p w14:paraId="00000017">
      <w:pPr>
        <w:rPr>
          <w:rFonts w:cs="Arial" w:eastAsia="Times New Roman"/>
          <w:bCs/>
        </w:rPr>
      </w:pPr>
      <w:r>
        <w:rPr>
          <w:rFonts w:cs="Arial" w:eastAsia="Times New Roman"/>
          <w:b/>
        </w:rPr>
        <w:t xml:space="preserve">STATEMENT 1 </w:t>
      </w:r>
    </w:p>
    <w:p w14:paraId="00000018">
      <w:pPr>
        <w:rPr>
          <w:rFonts w:cs="Arial" w:eastAsia="Times New Roman"/>
        </w:rPr>
      </w:pPr>
      <w:r>
        <w:rPr>
          <w:rFonts w:cs="Arial" w:eastAsia="Times New Roman"/>
        </w:rPr>
        <w:t>This dissertation is being submitted in partial fulfilment of the requirements for the degree of BSc.</w:t>
      </w:r>
    </w:p>
    <w:p w14:paraId="00000019">
      <w:pPr>
        <w:rPr>
          <w:rFonts w:cs="Arial" w:eastAsia="Times New Roman"/>
        </w:rPr>
      </w:pPr>
      <w:r>
        <w:rPr>
          <w:rFonts w:cs="Arial" w:eastAsia="Times New Roman"/>
        </w:rPr>
        <w:t xml:space="preserve">Signed………C..Awoyemi……………………………………. </w:t>
      </w:r>
    </w:p>
    <w:p w14:paraId="0000001A">
      <w:pPr>
        <w:rPr>
          <w:rFonts w:cs="Arial" w:eastAsia="Times New Roman"/>
        </w:rPr>
      </w:pPr>
      <w:r>
        <w:rPr>
          <w:rFonts w:cs="Arial" w:eastAsia="Times New Roman"/>
        </w:rPr>
        <w:t>Date……4/04/2026…………………………………………</w:t>
      </w:r>
    </w:p>
    <w:p w14:paraId="0000001B">
      <w:pPr>
        <w:rPr>
          <w:rFonts w:cs="Arial" w:eastAsia="Times New Roman"/>
        </w:rPr>
      </w:pPr>
      <w:r>
        <w:rPr>
          <w:rFonts w:cs="Arial" w:eastAsia="Times New Roman"/>
          <w:b/>
        </w:rPr>
        <w:t>STATEMENT 2</w:t>
      </w:r>
    </w:p>
    <w:p w14:paraId="0000001C">
      <w:pPr>
        <w:rPr>
          <w:rFonts w:cs="Arial" w:eastAsia="Times New Roman"/>
        </w:rPr>
      </w:pPr>
      <w:r>
        <w:rPr>
          <w:rFonts w:cs="Arial" w:eastAsia="Times New Roman"/>
        </w:rPr>
        <w:t>This dissertation is the result of my own independent work/investigation, except where otherwise stated.</w:t>
      </w:r>
      <w:r>
        <w:rPr>
          <w:rFonts w:cs="Arial" w:eastAsia="Times New Roman"/>
        </w:rPr>
        <w:t xml:space="preserve"> </w:t>
      </w:r>
      <w:r>
        <w:rPr>
          <w:rFonts w:cs="Arial" w:eastAsia="Times New Roman"/>
        </w:rPr>
        <w:t>Other sources are acknowledged by footnotes giving explicit references.  A bibliography is appended.</w:t>
      </w:r>
    </w:p>
    <w:p w14:paraId="0000001D">
      <w:pPr>
        <w:rPr>
          <w:rFonts w:cs="Arial" w:eastAsia="Times New Roman"/>
        </w:rPr>
      </w:pPr>
      <w:r>
        <w:rPr>
          <w:rFonts w:cs="Arial" w:eastAsia="Times New Roman"/>
        </w:rPr>
        <w:t>Signed……C.Awoyemi………………………………………</w:t>
      </w:r>
    </w:p>
    <w:p w14:paraId="0000001E">
      <w:pPr>
        <w:rPr>
          <w:rFonts w:cs="Arial" w:eastAsia="Times New Roman"/>
        </w:rPr>
      </w:pPr>
      <w:r>
        <w:rPr>
          <w:rFonts w:cs="Arial" w:eastAsia="Times New Roman"/>
        </w:rPr>
        <w:t xml:space="preserve">Date……4/04/2026………………………………………… </w:t>
      </w:r>
    </w:p>
    <w:p w14:paraId="0000001F">
      <w:pPr>
        <w:rPr>
          <w:rFonts w:cs="Arial" w:eastAsia="Times New Roman"/>
        </w:rPr>
      </w:pPr>
      <w:r>
        <w:rPr>
          <w:rFonts w:cs="Arial" w:eastAsia="Times New Roman"/>
          <w:b/>
        </w:rPr>
        <w:t>STATEMENT 3</w:t>
      </w:r>
    </w:p>
    <w:p w14:paraId="00000020">
      <w:pPr>
        <w:rPr>
          <w:rFonts w:cs="Arial" w:eastAsia="Times New Roman"/>
        </w:rPr>
      </w:pPr>
      <w:r>
        <w:rPr>
          <w:rFonts w:cs="Arial" w:eastAsia="Times New Roman"/>
        </w:rPr>
        <w:t>I hereby give consent for my dissertation, if accepted, to be available for photocopying and for interlibrary loan, and for the title and summary to be made available to outside organisations.</w:t>
      </w:r>
    </w:p>
    <w:p w14:paraId="00000021">
      <w:pPr>
        <w:rPr>
          <w:rFonts w:cs="Arial" w:eastAsia="Times New Roman"/>
        </w:rPr>
      </w:pPr>
      <w:r>
        <w:rPr>
          <w:rFonts w:cs="Arial" w:eastAsia="Times New Roman"/>
        </w:rPr>
        <w:t>Signed……C.Awoyemi…………………………………………</w:t>
      </w:r>
    </w:p>
    <w:p w14:paraId="0000002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cs="Arial" w:eastAsia="Times New Roman"/>
        </w:rPr>
      </w:pPr>
      <w:r>
        <w:rPr>
          <w:rFonts w:cs="Arial" w:eastAsia="Times New Roman"/>
        </w:rPr>
        <w:t>Date……4/04/2026……………………………………………</w:t>
      </w:r>
    </w:p>
    <w:p w14:paraId="00000023">
      <w:pPr>
        <w:rPr>
          <w:rFonts w:cs="Arial" w:eastAsia="Times New Roman"/>
          <w:b/>
        </w:rPr>
      </w:pPr>
      <w:r>
        <w:rPr>
          <w:rFonts w:cs="Arial" w:eastAsia="Times New Roman"/>
          <w:b/>
        </w:rPr>
        <w:t>STATEMENT 4</w:t>
      </w:r>
    </w:p>
    <w:p w14:paraId="00000024">
      <w:pPr>
        <w:rPr>
          <w:rFonts w:cs="Arial" w:eastAsia="Times New Roman"/>
        </w:rPr>
      </w:pPr>
      <w:r>
        <w:rPr>
          <w:rFonts w:cs="Arial" w:eastAsia="Times New Roman"/>
        </w:rPr>
        <w:t>I hereby give consent for my dissertation, if accepted, to be available on the university’s IT system to those who have consent to use the system.</w:t>
      </w:r>
    </w:p>
    <w:p w14:paraId="00000025">
      <w:pPr>
        <w:rPr>
          <w:rFonts w:cs="Arial" w:eastAsia="Times New Roman"/>
        </w:rPr>
      </w:pPr>
      <w:r>
        <w:rPr>
          <w:rFonts w:cs="Arial" w:eastAsia="Times New Roman"/>
        </w:rPr>
        <w:t>Signed………C.Awoyemi………………………………………</w:t>
      </w:r>
    </w:p>
    <w:p w14:paraId="0000002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cs="Arial" w:eastAsia="Times New Roman"/>
        </w:rPr>
      </w:pPr>
      <w:r>
        <w:rPr>
          <w:rFonts w:cs="Arial" w:eastAsia="Times New Roman"/>
        </w:rPr>
        <w:t>Date………4/04/2026…………………………………………</w:t>
      </w:r>
    </w:p>
    <w:p w14:paraId="00000027"/>
    <w:p w14:paraId="00000028"/>
    <w:p w14:paraId="00000029">
      <w:pPr>
        <w:jc w:val="center"/>
        <w:rPr>
          <w:rFonts w:ascii="Arial" w:cs="Arial" w:eastAsia="Arial Unicode MS" w:hAnsi="Arial"/>
          <w:b/>
          <w:sz w:val="56"/>
          <w:szCs w:val="56"/>
        </w:rPr>
      </w:pPr>
    </w:p>
    <w:p w14:paraId="0000002A">
      <w:pPr>
        <w:jc w:val="center"/>
        <w:rPr>
          <w:rFonts w:ascii="Arial" w:cs="Arial" w:eastAsia="Arial Unicode MS" w:hAnsi="Arial"/>
          <w:b/>
          <w:sz w:val="56"/>
          <w:szCs w:val="56"/>
        </w:rPr>
      </w:pPr>
    </w:p>
    <w:p w14:paraId="0000002B">
      <w:pPr>
        <w:jc w:val="center"/>
        <w:rPr>
          <w:rFonts w:ascii="Arial" w:cs="Arial" w:eastAsia="Times New Roman" w:hAnsi="Arial"/>
          <w:b/>
          <w:bCs/>
          <w:sz w:val="36"/>
          <w:szCs w:val="36"/>
        </w:rPr>
      </w:pPr>
      <w:r>
        <w:rPr>
          <w:rFonts w:ascii="Arial" w:cs="Arial" w:eastAsia="Times New Roman" w:hAnsi="Arial"/>
          <w:b/>
          <w:bCs/>
          <w:sz w:val="36"/>
          <w:szCs w:val="36"/>
        </w:rPr>
        <w:t>Student Name: Chizoma Awoyemi</w:t>
      </w:r>
    </w:p>
    <w:p w14:paraId="0000002C">
      <w:pPr>
        <w:jc w:val="center"/>
        <w:rPr>
          <w:rFonts w:ascii="Arial" w:cs="Arial" w:eastAsia="Times New Roman" w:hAnsi="Arial"/>
          <w:b/>
          <w:bCs/>
          <w:sz w:val="36"/>
          <w:szCs w:val="36"/>
        </w:rPr>
      </w:pPr>
      <w:r>
        <w:rPr>
          <w:rFonts w:ascii="Arial" w:cs="Arial" w:eastAsia="Times New Roman" w:hAnsi="Arial"/>
          <w:b/>
          <w:bCs/>
          <w:sz w:val="36"/>
          <w:szCs w:val="36"/>
        </w:rPr>
        <w:t>Student ID: 2223400</w:t>
      </w:r>
    </w:p>
    <w:p w14:paraId="0000002D">
      <w:pPr>
        <w:jc w:val="center"/>
        <w:rPr>
          <w:rFonts w:ascii="Arial" w:cs="Arial" w:eastAsia="Times New Roman" w:hAnsi="Arial"/>
          <w:b/>
          <w:bCs/>
          <w:sz w:val="36"/>
          <w:szCs w:val="36"/>
        </w:rPr>
      </w:pPr>
      <w:r>
        <w:rPr>
          <w:rFonts w:ascii="Arial" w:cs="Arial" w:eastAsia="Times New Roman" w:hAnsi="Arial"/>
          <w:b/>
          <w:bCs/>
          <w:sz w:val="36"/>
          <w:szCs w:val="36"/>
        </w:rPr>
        <w:t>Module Code: BMHP6020_BIRM</w:t>
      </w:r>
    </w:p>
    <w:p w14:paraId="0000002E">
      <w:pPr>
        <w:jc w:val="center"/>
        <w:rPr>
          <w:rFonts w:ascii="Arial" w:cs="Arial" w:eastAsia="Times New Roman" w:hAnsi="Arial"/>
          <w:b/>
          <w:bCs/>
          <w:sz w:val="36"/>
          <w:szCs w:val="36"/>
        </w:rPr>
      </w:pPr>
      <w:r>
        <w:rPr>
          <w:rFonts w:ascii="Arial" w:cs="Arial" w:eastAsia="Times New Roman" w:hAnsi="Arial"/>
          <w:b/>
          <w:bCs/>
          <w:sz w:val="36"/>
          <w:szCs w:val="36"/>
        </w:rPr>
        <w:t>Lecturer Name: Chole Harries</w:t>
      </w:r>
    </w:p>
    <w:p w14:paraId="0000002F">
      <w:pPr>
        <w:jc w:val="center"/>
        <w:rPr>
          <w:rFonts w:ascii="Arial" w:cs="Arial" w:eastAsia="Times New Roman" w:hAnsi="Arial"/>
          <w:b/>
          <w:bCs/>
          <w:sz w:val="36"/>
          <w:szCs w:val="36"/>
        </w:rPr>
      </w:pPr>
    </w:p>
    <w:p w14:paraId="000000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cs="Arial" w:eastAsia="Arial Unicode MS"/>
          <w:b/>
          <w:sz w:val="56"/>
          <w:szCs w:val="56"/>
        </w:rPr>
      </w:pPr>
    </w:p>
    <w:p w14:paraId="0000003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cs="Arial" w:eastAsia="Arial Unicode MS"/>
          <w:sz w:val="56"/>
          <w:szCs w:val="56"/>
        </w:rPr>
      </w:pPr>
    </w:p>
    <w:p w14:paraId="000000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cs="Arial" w:eastAsia="Arial Unicode MS"/>
          <w:b/>
          <w:i/>
          <w:sz w:val="18"/>
          <w:szCs w:val="18"/>
        </w:rPr>
      </w:pPr>
    </w:p>
    <w:p w14:paraId="0000003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eastAsia="Arial Unicode MS"/>
          <w:sz w:val="40"/>
          <w:szCs w:val="40"/>
        </w:rPr>
      </w:pPr>
      <w:r>
        <w:rPr>
          <w:rFonts w:cs="Arial Unicode MS" w:eastAsia="Arial Unicode MS"/>
        </w:rPr>
        <w:tab/>
      </w:r>
    </w:p>
    <w:p w14:paraId="00000034"/>
    <w:p w14:paraId="00000035"/>
    <w:p w14:paraId="00000036">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eastAsia="Arial Unicode MS"/>
          <w:bCs/>
        </w:rPr>
      </w:pPr>
      <w:r>
        <w:rPr>
          <w:rFonts w:cs="Arial" w:eastAsia="Arial Unicode MS"/>
          <w:b/>
          <w:sz w:val="28"/>
          <w:szCs w:val="28"/>
        </w:rPr>
        <w:t>ACKNOWLEDGEMENTS</w:t>
      </w:r>
      <w:r>
        <w:rPr>
          <w:rFonts w:cs="Arial" w:eastAsia="Arial Unicode MS"/>
          <w:b/>
        </w:rPr>
        <w:t xml:space="preserve"> </w:t>
      </w:r>
    </w:p>
    <w:p w14:paraId="00000037">
      <w:pPr>
        <w:pStyle w:val="Normal(Web)"/>
        <w:shd w:val="clear" w:color="auto" w:fill="ffffff"/>
        <w:spacing w:before="0" w:after="150" w:line="360" w:lineRule="auto"/>
        <w:jc w:val="both"/>
        <w:rPr>
          <w:rFonts w:ascii="Arial" w:cs="Arial" w:hAnsi="Arial"/>
          <w:color w:val="333333"/>
          <w:sz w:val="22"/>
          <w:szCs w:val="22"/>
        </w:rPr>
      </w:pPr>
      <w:r>
        <w:rPr>
          <w:rFonts w:ascii="Arial" w:cs="Arial" w:hAnsi="Arial"/>
          <w:color w:val="333333"/>
          <w:sz w:val="22"/>
          <w:szCs w:val="22"/>
        </w:rPr>
        <w:t>I would like to express my heartfelt gratitude to God for providing me with the strength and resilience throughout this journey. I extend my deepest appreciation to my lecturer , Chole Harries, for her unwavering support and invaluable guidance. Your insights and encouragement have been instrumental in shaping my research and most importantly thank the University of Wales, Trinity Saint David (UWSTD), fostering an academic environment that nurtures growth and learning. Special thanks to all the staff at the Birmingham campus who have contributed to my educational experience.</w:t>
      </w:r>
    </w:p>
    <w:p w14:paraId="00000038">
      <w:pPr>
        <w:pStyle w:val="Normal(Web)"/>
        <w:shd w:val="clear" w:color="auto" w:fill="ffffff"/>
        <w:spacing w:before="0" w:after="150" w:line="360" w:lineRule="auto"/>
        <w:jc w:val="both"/>
        <w:rPr>
          <w:rFonts w:ascii="Arial" w:cs="Arial" w:hAnsi="Arial"/>
          <w:color w:val="333333"/>
          <w:sz w:val="22"/>
          <w:szCs w:val="22"/>
        </w:rPr>
      </w:pPr>
      <w:r>
        <w:rPr>
          <w:rFonts w:ascii="Arial" w:cs="Arial" w:hAnsi="Arial"/>
          <w:color w:val="333333"/>
          <w:sz w:val="22"/>
          <w:szCs w:val="22"/>
        </w:rPr>
        <w:t>To my classmates and friends, your friendship and collaboration have enriched my studies, making this journey more enjoyable and fulfilling. I am particularly grateful to my family for their unwavering support and encouragement during these three years. As a widow, balancing my studies with family responsibilities has been a challenge, but your love and understanding have made it possible.</w:t>
      </w:r>
    </w:p>
    <w:p w14:paraId="00000039">
      <w:pPr>
        <w:pStyle w:val="Normal(Web)"/>
        <w:shd w:val="clear" w:color="auto" w:fill="ffffff"/>
        <w:spacing w:before="0" w:after="150" w:line="360" w:lineRule="auto"/>
        <w:jc w:val="both"/>
        <w:rPr>
          <w:rFonts w:ascii="Arial" w:cs="Arial" w:hAnsi="Arial"/>
          <w:color w:val="333333"/>
          <w:sz w:val="22"/>
          <w:szCs w:val="22"/>
        </w:rPr>
      </w:pPr>
      <w:r>
        <w:rPr>
          <w:rFonts w:ascii="Arial" w:cs="Arial" w:hAnsi="Arial"/>
          <w:color w:val="333333"/>
          <w:sz w:val="22"/>
          <w:szCs w:val="22"/>
        </w:rPr>
        <w:t>Lastly, to my children, thank you for your patience and being my motivation. This achievement is as much yours as it is mine.</w:t>
      </w:r>
    </w:p>
    <w:p w14:paraId="0000003A">
      <w:pPr>
        <w:pStyle w:val="Normal(Web)"/>
        <w:shd w:val="clear" w:color="auto" w:fill="ffffff"/>
        <w:spacing w:before="0" w:after="150" w:line="360" w:lineRule="auto"/>
        <w:jc w:val="both"/>
        <w:rPr>
          <w:rFonts w:ascii="Arial" w:cs="Arial" w:hAnsi="Arial"/>
          <w:color w:val="333333"/>
          <w:sz w:val="22"/>
          <w:szCs w:val="22"/>
        </w:rPr>
      </w:pPr>
    </w:p>
    <w:p w14:paraId="0000003B">
      <w:pPr>
        <w:rPr>
          <w:rFonts w:ascii="Arial" w:cs="Arial" w:hAnsi="Arial"/>
        </w:rPr>
      </w:pPr>
    </w:p>
    <w:p w14:paraId="0000003C"/>
    <w:p w14:paraId="0000003D"/>
    <w:p w14:paraId="0000003E"/>
    <w:p w14:paraId="0000003F"/>
    <w:p w14:paraId="00000040"/>
    <w:p w14:paraId="00000041"/>
    <w:p w14:paraId="00000042"/>
    <w:p w14:paraId="00000043"/>
    <w:p w14:paraId="00000044"/>
    <w:p w14:paraId="00000045"/>
    <w:p w14:paraId="0000004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cs="Arial" w:eastAsia="Arial Unicode MS"/>
          <w:sz w:val="28"/>
          <w:szCs w:val="28"/>
        </w:rPr>
      </w:pPr>
      <w:r>
        <w:rPr>
          <w:rFonts w:cs="Arial" w:eastAsia="Arial Unicode MS"/>
          <w:b/>
          <w:sz w:val="28"/>
          <w:szCs w:val="28"/>
        </w:rPr>
        <w:t>ABSTRACT</w:t>
      </w:r>
      <w:r>
        <w:rPr>
          <w:rFonts w:cs="Arial" w:eastAsia="Arial Unicode MS"/>
          <w:sz w:val="28"/>
          <w:szCs w:val="28"/>
        </w:rPr>
        <w:t xml:space="preserve"> </w:t>
      </w:r>
    </w:p>
    <w:p w14:paraId="0000004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rtl w:val="off"/>
          <w:lang w:val="en-US"/>
        </w:rPr>
      </w:pPr>
    </w:p>
    <w:p w14:paraId="0000004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This dissertation investigates the impact of loneliness and isolation on mental health outcomes among elderly people (aged 65+) in the UK . The study focuses on three key themes: the impact of loneliness on mental health, the effectiveness of current policies addressing loneliness, and the role of community support in mitigating loneliness. The utilisation of secondary research as well as thematic analysis (Braun and Clark, 2006). The purpose of this study is to identify reoccurring challenges and opportunities for improving mental health among elderly people by conducting a synthesis of the existing literature. The Office of National Statistics (2023) reports that roughly 1.4 million older persons frequently experience feelings of loneliness. These findings suggest that there is a considerable connection between feelings of loneliness and increased rates of depression and anxiety. The research also finds that although existing policies, such as the NHS Long Term Plan (2020), have the intention of reducing feelings of isolation by means of integrated care and community participation, the success of these policies is hindered by gaps in implementation and awareness. There is data to suggest that elderly people who participate in social activities report improved mental health outcomes (NHS Digital, 2023). This is more proof that community support systems play a significant role in reducing feelings of isolation. Putting these findings into context within frameworks such as the biopsychosocial model, the dissertation highlights the necessity of taking a complete strategy that addresses the multidimensional character of loneliness. Among the practical recommendations that are included in the study's conclusion are the enhancement of digital inclusion, the increase of financing for community activities, and the promotion of awareness of accessible services in order to encourage improved mental health outcomes for elderly people. This study not only stresses the necessity of more equitable, accessible, and community-oriented mental health policies in UK, but it also identifies potential areas for future research that will focus on the intersections of loneliness, mental health, and the success of policy.</w:t>
      </w:r>
    </w:p>
    <w:p w14:paraId="000000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jc w:val="both"/>
        <w:rPr>
          <w:rFonts w:ascii="Arial" w:cs="Arial" w:hAnsi="Arial"/>
          <w:sz w:val="22"/>
          <w:szCs w:val="22"/>
        </w:rPr>
      </w:pPr>
    </w:p>
    <w:p w14:paraId="0000004A">
      <w:pPr>
        <w:jc w:val="both"/>
        <w:rPr/>
      </w:pPr>
    </w:p>
    <w:p w14:paraId="0000004B"/>
    <w:p w14:paraId="0000004C"/>
    <w:p w14:paraId="0000004D">
      <w:pPr>
        <w:pStyle w:val="Heading1"/>
        <w:spacing w:line="360" w:lineRule="auto"/>
        <w:ind w:left="0"/>
        <w:jc w:val="center"/>
        <w:rPr>
          <w:rFonts w:ascii="Aptos" w:hAnsi="Aptos"/>
          <w:b w:val="off"/>
        </w:rPr>
      </w:pPr>
      <w:bookmarkStart w:id="1" w:name="_Toc2"/>
      <w:r>
        <w:rPr>
          <w:rFonts w:ascii="Aptos" w:hAnsi="Aptos"/>
        </w:rPr>
        <w:t>Table of Contents</w:t>
      </w:r>
      <w:bookmarkEnd w:id="1"/>
    </w:p>
    <w:p w14:paraId="0000004E"/>
    <w:p w14:paraId="0000004F">
      <w:pPr>
        <w:pStyle w:val="TOCHeading"/>
        <w:rPr/>
      </w:pPr>
      <w:r>
        <w:fldChar w:fldCharType="begin"/>
      </w:r>
      <w:r>
        <w:instrText xml:space="preserve">TOC \o "1 - 3" \h \u</w:instrText>
      </w:r>
      <w:r>
        <w:fldChar w:fldCharType="separate"/>
      </w:r>
      <w:r>
        <w:t>Contents</w:t>
      </w:r>
    </w:p>
    <w:p w14:paraId="00000050">
      <w:pPr>
        <w:pStyle w:val="Toc1"/>
        <w:tabs>
          <w:tab w:val="right" w:leader="dot" w:pos="9016"/>
        </w:tabs>
        <w:rPr/>
      </w:pPr>
      <w:r>
        <w:rPr>
          <w:rStyle w:val="Hyperlink"/>
        </w:rPr>
        <w:fldChar w:fldCharType="begin"/>
      </w:r>
      <w:r>
        <w:rPr>
          <w:rStyle w:val="Hyperlink"/>
        </w:rPr>
        <w:instrText xml:space="preserve">HYPERLINK \l "_Toc1"</w:instrText>
      </w:r>
      <w:r>
        <w:rPr>
          <w:rStyle w:val="Hyperlink"/>
        </w:rPr>
        <w:fldChar w:fldCharType="separate"/>
      </w:r>
      <w:r>
        <w:rPr>
          <w:rStyle w:val="Hyperlink"/>
        </w:rPr>
        <w:t>Disclaimer</w:t>
        <w:tab/>
      </w:r>
      <w:r>
        <w:rPr>
          <w:rStyle w:val="Hyperlink"/>
        </w:rPr>
        <w:fldChar w:fldCharType="begin"/>
      </w:r>
      <w:r>
        <w:rPr>
          <w:rStyle w:val="Hyperlink"/>
        </w:rPr>
        <w:instrText xml:space="preserve">PAGEREF _Toc1 \h</w:instrText>
      </w:r>
      <w:r>
        <w:rPr>
          <w:rStyle w:val="Hyperlink"/>
        </w:rPr>
        <w:fldChar w:fldCharType="separate"/>
      </w:r>
      <w:r>
        <w:rPr>
          <w:rStyle w:val="Hyperlink"/>
        </w:rPr>
        <w:t>1</w:t>
      </w:r>
      <w:r>
        <w:fldChar w:fldCharType="end"/>
      </w:r>
      <w:r>
        <w:fldChar w:fldCharType="end"/>
      </w:r>
    </w:p>
    <w:p w14:paraId="00000051">
      <w:pPr>
        <w:pStyle w:val="Toc1"/>
        <w:tabs>
          <w:tab w:val="right" w:leader="dot" w:pos="9016"/>
        </w:tabs>
        <w:rPr/>
      </w:pPr>
      <w:r>
        <w:rPr>
          <w:rStyle w:val="Hyperlink"/>
        </w:rPr>
        <w:fldChar w:fldCharType="begin"/>
      </w:r>
      <w:r>
        <w:rPr>
          <w:rStyle w:val="Hyperlink"/>
        </w:rPr>
        <w:instrText xml:space="preserve">HYPERLINK \l "_Toc2"</w:instrText>
      </w:r>
      <w:r>
        <w:rPr>
          <w:rStyle w:val="Hyperlink"/>
        </w:rPr>
        <w:fldChar w:fldCharType="separate"/>
      </w:r>
      <w:r>
        <w:rPr>
          <w:rStyle w:val="Hyperlink"/>
        </w:rPr>
        <w:t>Table of Contents</w:t>
        <w:tab/>
      </w:r>
      <w:r>
        <w:rPr>
          <w:rStyle w:val="Hyperlink"/>
        </w:rPr>
        <w:fldChar w:fldCharType="begin"/>
      </w:r>
      <w:r>
        <w:rPr>
          <w:rStyle w:val="Hyperlink"/>
        </w:rPr>
        <w:instrText xml:space="preserve">PAGEREF _Toc2 \h</w:instrText>
      </w:r>
      <w:r>
        <w:rPr>
          <w:rStyle w:val="Hyperlink"/>
        </w:rPr>
        <w:fldChar w:fldCharType="separate"/>
      </w:r>
      <w:r>
        <w:rPr>
          <w:rStyle w:val="Hyperlink"/>
        </w:rPr>
        <w:t>6</w:t>
      </w:r>
      <w:r>
        <w:fldChar w:fldCharType="end"/>
      </w:r>
      <w:r>
        <w:fldChar w:fldCharType="end"/>
      </w:r>
    </w:p>
    <w:p w14:paraId="00000052">
      <w:pPr>
        <w:pStyle w:val="Toc1"/>
        <w:tabs>
          <w:tab w:val="right" w:leader="dot" w:pos="9016"/>
        </w:tabs>
        <w:rPr/>
      </w:pPr>
      <w:r>
        <w:rPr>
          <w:rStyle w:val="Hyperlink"/>
        </w:rPr>
        <w:fldChar w:fldCharType="begin"/>
      </w:r>
      <w:r>
        <w:rPr>
          <w:rStyle w:val="Hyperlink"/>
        </w:rPr>
        <w:instrText xml:space="preserve">HYPERLINK \l "_Toc3"</w:instrText>
      </w:r>
      <w:r>
        <w:rPr>
          <w:rStyle w:val="Hyperlink"/>
        </w:rPr>
        <w:fldChar w:fldCharType="separate"/>
      </w:r>
      <w:r>
        <w:rPr>
          <w:rStyle w:val="Hyperlink"/>
        </w:rPr>
        <w:t>CHAPTER 1: Introduction</w:t>
        <w:tab/>
      </w:r>
      <w:r>
        <w:rPr>
          <w:rStyle w:val="Hyperlink"/>
        </w:rPr>
        <w:fldChar w:fldCharType="begin"/>
      </w:r>
      <w:r>
        <w:rPr>
          <w:rStyle w:val="Hyperlink"/>
        </w:rPr>
        <w:instrText xml:space="preserve">PAGEREF _Toc3 \h</w:instrText>
      </w:r>
      <w:r>
        <w:rPr>
          <w:rStyle w:val="Hyperlink"/>
        </w:rPr>
        <w:fldChar w:fldCharType="separate"/>
      </w:r>
      <w:r>
        <w:rPr>
          <w:rStyle w:val="Hyperlink"/>
        </w:rPr>
        <w:t>7</w:t>
      </w:r>
      <w:r>
        <w:fldChar w:fldCharType="end"/>
      </w:r>
      <w:r>
        <w:fldChar w:fldCharType="end"/>
      </w:r>
    </w:p>
    <w:p w14:paraId="00000053">
      <w:pPr>
        <w:pStyle w:val="Toc1"/>
        <w:tabs>
          <w:tab w:val="right" w:leader="dot" w:pos="9016"/>
        </w:tabs>
        <w:rPr/>
      </w:pPr>
      <w:r>
        <w:rPr>
          <w:rStyle w:val="Hyperlink"/>
        </w:rPr>
        <w:fldChar w:fldCharType="begin"/>
      </w:r>
      <w:r>
        <w:rPr>
          <w:rStyle w:val="Hyperlink"/>
        </w:rPr>
        <w:instrText xml:space="preserve">HYPERLINK \l "_Toc4"</w:instrText>
      </w:r>
      <w:r>
        <w:rPr>
          <w:rStyle w:val="Hyperlink"/>
        </w:rPr>
        <w:fldChar w:fldCharType="separate"/>
      </w:r>
      <w:r>
        <w:rPr>
          <w:rStyle w:val="Hyperlink"/>
        </w:rPr>
        <w:t>CHAPTER 2 – Background Information and Analysis</w:t>
        <w:tab/>
      </w:r>
      <w:r>
        <w:rPr>
          <w:rStyle w:val="Hyperlink"/>
        </w:rPr>
        <w:fldChar w:fldCharType="begin"/>
      </w:r>
      <w:r>
        <w:rPr>
          <w:rStyle w:val="Hyperlink"/>
        </w:rPr>
        <w:instrText xml:space="preserve">PAGEREF _Toc4 \h</w:instrText>
      </w:r>
      <w:r>
        <w:rPr>
          <w:rStyle w:val="Hyperlink"/>
        </w:rPr>
        <w:fldChar w:fldCharType="separate"/>
      </w:r>
      <w:r>
        <w:rPr>
          <w:rStyle w:val="Hyperlink"/>
        </w:rPr>
        <w:t>11</w:t>
      </w:r>
      <w:r>
        <w:fldChar w:fldCharType="end"/>
      </w:r>
      <w:r>
        <w:fldChar w:fldCharType="end"/>
      </w:r>
    </w:p>
    <w:p w14:paraId="00000054">
      <w:pPr>
        <w:pStyle w:val="Toc1"/>
        <w:tabs>
          <w:tab w:val="right" w:leader="dot" w:pos="9016"/>
        </w:tabs>
        <w:rPr/>
      </w:pPr>
      <w:r>
        <w:rPr>
          <w:rStyle w:val="Hyperlink"/>
        </w:rPr>
        <w:fldChar w:fldCharType="begin"/>
      </w:r>
      <w:r>
        <w:rPr>
          <w:rStyle w:val="Hyperlink"/>
        </w:rPr>
        <w:instrText xml:space="preserve">HYPERLINK \l "_Toc5"</w:instrText>
      </w:r>
      <w:r>
        <w:rPr>
          <w:rStyle w:val="Hyperlink"/>
        </w:rPr>
        <w:fldChar w:fldCharType="separate"/>
      </w:r>
      <w:r>
        <w:rPr>
          <w:rStyle w:val="Hyperlink"/>
        </w:rPr>
        <w:t>CHAPTER 3 – Methods and Search Strategy</w:t>
        <w:tab/>
      </w:r>
      <w:r>
        <w:rPr>
          <w:rStyle w:val="Hyperlink"/>
        </w:rPr>
        <w:fldChar w:fldCharType="begin"/>
      </w:r>
      <w:r>
        <w:rPr>
          <w:rStyle w:val="Hyperlink"/>
        </w:rPr>
        <w:instrText xml:space="preserve">PAGEREF _Toc5 \h</w:instrText>
      </w:r>
      <w:r>
        <w:rPr>
          <w:rStyle w:val="Hyperlink"/>
        </w:rPr>
        <w:fldChar w:fldCharType="separate"/>
      </w:r>
      <w:r>
        <w:rPr>
          <w:rStyle w:val="Hyperlink"/>
        </w:rPr>
        <w:t>18</w:t>
      </w:r>
      <w:r>
        <w:fldChar w:fldCharType="end"/>
      </w:r>
      <w:r>
        <w:fldChar w:fldCharType="end"/>
      </w:r>
    </w:p>
    <w:p w14:paraId="00000055">
      <w:pPr>
        <w:pStyle w:val="Toc2"/>
        <w:tabs>
          <w:tab w:val="right" w:leader="dot" w:pos="9016"/>
        </w:tabs>
        <w:rPr/>
      </w:pPr>
      <w:r>
        <w:rPr>
          <w:rStyle w:val="Hyperlink"/>
        </w:rPr>
        <w:fldChar w:fldCharType="begin"/>
      </w:r>
      <w:r>
        <w:rPr>
          <w:rStyle w:val="Hyperlink"/>
        </w:rPr>
        <w:instrText xml:space="preserve">HYPERLINK \l "_Toc6"</w:instrText>
      </w:r>
      <w:r>
        <w:rPr>
          <w:rStyle w:val="Hyperlink"/>
        </w:rPr>
        <w:fldChar w:fldCharType="separate"/>
      </w:r>
      <w:r>
        <w:rPr>
          <w:rStyle w:val="Hyperlink"/>
        </w:rPr>
        <w:t>3.1 – Introduction</w:t>
        <w:tab/>
      </w:r>
      <w:r>
        <w:rPr>
          <w:rStyle w:val="Hyperlink"/>
        </w:rPr>
        <w:fldChar w:fldCharType="begin"/>
      </w:r>
      <w:r>
        <w:rPr>
          <w:rStyle w:val="Hyperlink"/>
        </w:rPr>
        <w:instrText xml:space="preserve">PAGEREF _Toc6 \h</w:instrText>
      </w:r>
      <w:r>
        <w:rPr>
          <w:rStyle w:val="Hyperlink"/>
        </w:rPr>
        <w:fldChar w:fldCharType="separate"/>
      </w:r>
      <w:r>
        <w:rPr>
          <w:rStyle w:val="Hyperlink"/>
        </w:rPr>
        <w:t>18</w:t>
      </w:r>
      <w:r>
        <w:fldChar w:fldCharType="end"/>
      </w:r>
      <w:r>
        <w:fldChar w:fldCharType="end"/>
      </w:r>
    </w:p>
    <w:p w14:paraId="00000056">
      <w:pPr>
        <w:pStyle w:val="Toc2"/>
        <w:tabs>
          <w:tab w:val="right" w:leader="dot" w:pos="9016"/>
        </w:tabs>
        <w:rPr/>
      </w:pPr>
      <w:r>
        <w:rPr>
          <w:rStyle w:val="Hyperlink"/>
        </w:rPr>
        <w:fldChar w:fldCharType="begin"/>
      </w:r>
      <w:r>
        <w:rPr>
          <w:rStyle w:val="Hyperlink"/>
        </w:rPr>
        <w:instrText xml:space="preserve">HYPERLINK \l "_Toc7"</w:instrText>
      </w:r>
      <w:r>
        <w:rPr>
          <w:rStyle w:val="Hyperlink"/>
        </w:rPr>
        <w:fldChar w:fldCharType="separate"/>
      </w:r>
      <w:r>
        <w:rPr>
          <w:rStyle w:val="Hyperlink"/>
        </w:rPr>
        <w:t>3.2 – Search Strategy</w:t>
        <w:tab/>
      </w:r>
      <w:r>
        <w:rPr>
          <w:rStyle w:val="Hyperlink"/>
        </w:rPr>
        <w:fldChar w:fldCharType="begin"/>
      </w:r>
      <w:r>
        <w:rPr>
          <w:rStyle w:val="Hyperlink"/>
        </w:rPr>
        <w:instrText xml:space="preserve">PAGEREF _Toc7 \h</w:instrText>
      </w:r>
      <w:r>
        <w:rPr>
          <w:rStyle w:val="Hyperlink"/>
        </w:rPr>
        <w:fldChar w:fldCharType="separate"/>
      </w:r>
      <w:r>
        <w:rPr>
          <w:rStyle w:val="Hyperlink"/>
        </w:rPr>
        <w:t>18</w:t>
      </w:r>
      <w:r>
        <w:fldChar w:fldCharType="end"/>
      </w:r>
      <w:r>
        <w:fldChar w:fldCharType="end"/>
      </w:r>
    </w:p>
    <w:p w14:paraId="00000057">
      <w:pPr>
        <w:pStyle w:val="Toc2"/>
        <w:tabs>
          <w:tab w:val="right" w:leader="dot" w:pos="9016"/>
        </w:tabs>
        <w:rPr/>
      </w:pPr>
      <w:r>
        <w:rPr>
          <w:rStyle w:val="Hyperlink"/>
        </w:rPr>
        <w:fldChar w:fldCharType="begin"/>
      </w:r>
      <w:r>
        <w:rPr>
          <w:rStyle w:val="Hyperlink"/>
        </w:rPr>
        <w:instrText xml:space="preserve">HYPERLINK \l "_Toc8"</w:instrText>
      </w:r>
      <w:r>
        <w:rPr>
          <w:rStyle w:val="Hyperlink"/>
        </w:rPr>
        <w:fldChar w:fldCharType="separate"/>
      </w:r>
      <w:r>
        <w:rPr>
          <w:rStyle w:val="Hyperlink"/>
        </w:rPr>
        <w:t>– Research Validation</w:t>
        <w:tab/>
      </w:r>
      <w:r>
        <w:rPr>
          <w:rStyle w:val="Hyperlink"/>
        </w:rPr>
        <w:fldChar w:fldCharType="begin"/>
      </w:r>
      <w:r>
        <w:rPr>
          <w:rStyle w:val="Hyperlink"/>
        </w:rPr>
        <w:instrText xml:space="preserve">PAGEREF _Toc8 \h</w:instrText>
      </w:r>
      <w:r>
        <w:rPr>
          <w:rStyle w:val="Hyperlink"/>
        </w:rPr>
        <w:fldChar w:fldCharType="separate"/>
      </w:r>
      <w:r>
        <w:rPr>
          <w:rStyle w:val="Hyperlink"/>
        </w:rPr>
        <w:t>20</w:t>
      </w:r>
      <w:r>
        <w:fldChar w:fldCharType="end"/>
      </w:r>
      <w:r>
        <w:fldChar w:fldCharType="end"/>
      </w:r>
    </w:p>
    <w:p w14:paraId="00000058">
      <w:pPr>
        <w:pStyle w:val="Toc2"/>
        <w:tabs>
          <w:tab w:val="right" w:leader="dot" w:pos="9016"/>
        </w:tabs>
        <w:rPr/>
      </w:pPr>
      <w:r>
        <w:rPr>
          <w:rStyle w:val="Hyperlink"/>
        </w:rPr>
        <w:fldChar w:fldCharType="begin"/>
      </w:r>
      <w:r>
        <w:rPr>
          <w:rStyle w:val="Hyperlink"/>
        </w:rPr>
        <w:instrText xml:space="preserve">HYPERLINK \l "_Toc9"</w:instrText>
      </w:r>
      <w:r>
        <w:rPr>
          <w:rStyle w:val="Hyperlink"/>
        </w:rPr>
        <w:fldChar w:fldCharType="separate"/>
      </w:r>
      <w:r>
        <w:rPr>
          <w:rStyle w:val="Hyperlink"/>
        </w:rPr>
        <w:t>- Inclusion and Exclusion Criteria (100 words approx.)</w:t>
        <w:tab/>
      </w:r>
      <w:r>
        <w:rPr>
          <w:rStyle w:val="Hyperlink"/>
        </w:rPr>
        <w:fldChar w:fldCharType="begin"/>
      </w:r>
      <w:r>
        <w:rPr>
          <w:rStyle w:val="Hyperlink"/>
        </w:rPr>
        <w:instrText xml:space="preserve">PAGEREF _Toc9 \h</w:instrText>
      </w:r>
      <w:r>
        <w:rPr>
          <w:rStyle w:val="Hyperlink"/>
        </w:rPr>
        <w:fldChar w:fldCharType="separate"/>
      </w:r>
      <w:r>
        <w:rPr>
          <w:rStyle w:val="Hyperlink"/>
        </w:rPr>
        <w:t>21</w:t>
      </w:r>
      <w:r>
        <w:fldChar w:fldCharType="end"/>
      </w:r>
      <w:r>
        <w:fldChar w:fldCharType="end"/>
      </w:r>
    </w:p>
    <w:p w14:paraId="00000059">
      <w:pPr>
        <w:pStyle w:val="Toc2"/>
        <w:tabs>
          <w:tab w:val="right" w:leader="dot" w:pos="9016"/>
        </w:tabs>
        <w:rPr/>
      </w:pPr>
      <w:r>
        <w:rPr>
          <w:rStyle w:val="Hyperlink"/>
        </w:rPr>
        <w:fldChar w:fldCharType="begin"/>
      </w:r>
      <w:r>
        <w:rPr>
          <w:rStyle w:val="Hyperlink"/>
        </w:rPr>
        <w:instrText xml:space="preserve">HYPERLINK \l "_Toc10"</w:instrText>
      </w:r>
      <w:r>
        <w:rPr>
          <w:rStyle w:val="Hyperlink"/>
        </w:rPr>
        <w:fldChar w:fldCharType="separate"/>
      </w:r>
      <w:r>
        <w:rPr>
          <w:rStyle w:val="Hyperlink"/>
        </w:rPr>
        <w:t>– Analysing Research</w:t>
        <w:tab/>
      </w:r>
      <w:r>
        <w:rPr>
          <w:rStyle w:val="Hyperlink"/>
        </w:rPr>
        <w:fldChar w:fldCharType="begin"/>
      </w:r>
      <w:r>
        <w:rPr>
          <w:rStyle w:val="Hyperlink"/>
        </w:rPr>
        <w:instrText xml:space="preserve">PAGEREF _Toc10 \h</w:instrText>
      </w:r>
      <w:r>
        <w:rPr>
          <w:rStyle w:val="Hyperlink"/>
        </w:rPr>
        <w:fldChar w:fldCharType="separate"/>
      </w:r>
      <w:r>
        <w:rPr>
          <w:rStyle w:val="Hyperlink"/>
        </w:rPr>
        <w:t>21</w:t>
      </w:r>
      <w:r>
        <w:fldChar w:fldCharType="end"/>
      </w:r>
      <w:r>
        <w:fldChar w:fldCharType="end"/>
      </w:r>
    </w:p>
    <w:p w14:paraId="0000005A">
      <w:pPr>
        <w:pStyle w:val="Toc2"/>
        <w:tabs>
          <w:tab w:val="right" w:leader="dot" w:pos="9016"/>
        </w:tabs>
        <w:rPr/>
      </w:pPr>
      <w:r>
        <w:rPr>
          <w:rStyle w:val="Hyperlink"/>
        </w:rPr>
        <w:fldChar w:fldCharType="begin"/>
      </w:r>
      <w:r>
        <w:rPr>
          <w:rStyle w:val="Hyperlink"/>
        </w:rPr>
        <w:instrText xml:space="preserve">HYPERLINK \l "_Toc11"</w:instrText>
      </w:r>
      <w:r>
        <w:rPr>
          <w:rStyle w:val="Hyperlink"/>
        </w:rPr>
        <w:fldChar w:fldCharType="separate"/>
      </w:r>
      <w:r>
        <w:rPr>
          <w:rStyle w:val="Hyperlink"/>
        </w:rPr>
        <w:t>– Ethical Considerations (100 words approx.)</w:t>
        <w:tab/>
      </w:r>
      <w:r>
        <w:rPr>
          <w:rStyle w:val="Hyperlink"/>
        </w:rPr>
        <w:fldChar w:fldCharType="begin"/>
      </w:r>
      <w:r>
        <w:rPr>
          <w:rStyle w:val="Hyperlink"/>
        </w:rPr>
        <w:instrText xml:space="preserve">PAGEREF _Toc11 \h</w:instrText>
      </w:r>
      <w:r>
        <w:rPr>
          <w:rStyle w:val="Hyperlink"/>
        </w:rPr>
        <w:fldChar w:fldCharType="separate"/>
      </w:r>
      <w:r>
        <w:rPr>
          <w:rStyle w:val="Hyperlink"/>
        </w:rPr>
        <w:t>22</w:t>
      </w:r>
      <w:r>
        <w:fldChar w:fldCharType="end"/>
      </w:r>
      <w:r>
        <w:fldChar w:fldCharType="end"/>
      </w:r>
    </w:p>
    <w:p w14:paraId="0000005B">
      <w:pPr>
        <w:pStyle w:val="Toc2"/>
        <w:tabs>
          <w:tab w:val="right" w:leader="dot" w:pos="9016"/>
        </w:tabs>
        <w:rPr/>
      </w:pPr>
      <w:r>
        <w:rPr>
          <w:rStyle w:val="Hyperlink"/>
        </w:rPr>
        <w:fldChar w:fldCharType="begin"/>
      </w:r>
      <w:r>
        <w:rPr>
          <w:rStyle w:val="Hyperlink"/>
        </w:rPr>
        <w:instrText xml:space="preserve">HYPERLINK \l "_Toc12"</w:instrText>
      </w:r>
      <w:r>
        <w:rPr>
          <w:rStyle w:val="Hyperlink"/>
        </w:rPr>
        <w:fldChar w:fldCharType="separate"/>
      </w:r>
      <w:r>
        <w:rPr>
          <w:rStyle w:val="Hyperlink"/>
        </w:rPr>
        <w:t>3.8 – Chapter Conclusion (100 words approx.)</w:t>
        <w:tab/>
      </w:r>
      <w:r>
        <w:rPr>
          <w:rStyle w:val="Hyperlink"/>
        </w:rPr>
        <w:fldChar w:fldCharType="begin"/>
      </w:r>
      <w:r>
        <w:rPr>
          <w:rStyle w:val="Hyperlink"/>
        </w:rPr>
        <w:instrText xml:space="preserve">PAGEREF _Toc12 \h</w:instrText>
      </w:r>
      <w:r>
        <w:rPr>
          <w:rStyle w:val="Hyperlink"/>
        </w:rPr>
        <w:fldChar w:fldCharType="separate"/>
      </w:r>
      <w:r>
        <w:rPr>
          <w:rStyle w:val="Hyperlink"/>
        </w:rPr>
        <w:t>22</w:t>
      </w:r>
      <w:r>
        <w:fldChar w:fldCharType="end"/>
      </w:r>
      <w:r>
        <w:fldChar w:fldCharType="end"/>
      </w:r>
    </w:p>
    <w:p w14:paraId="0000005C">
      <w:pPr>
        <w:pStyle w:val="Toc1"/>
        <w:tabs>
          <w:tab w:val="right" w:leader="dot" w:pos="9016"/>
        </w:tabs>
        <w:rPr/>
      </w:pPr>
      <w:r>
        <w:rPr>
          <w:rStyle w:val="Hyperlink"/>
        </w:rPr>
        <w:fldChar w:fldCharType="begin"/>
      </w:r>
      <w:r>
        <w:rPr>
          <w:rStyle w:val="Hyperlink"/>
        </w:rPr>
        <w:instrText xml:space="preserve">HYPERLINK \l "_Toc13"</w:instrText>
      </w:r>
      <w:r>
        <w:rPr>
          <w:rStyle w:val="Hyperlink"/>
        </w:rPr>
        <w:fldChar w:fldCharType="separate"/>
      </w:r>
      <w:r>
        <w:rPr>
          <w:rStyle w:val="Hyperlink"/>
        </w:rPr>
        <w:t>CHAPTER 4 – Findings and Discussion</w:t>
        <w:tab/>
      </w:r>
      <w:r>
        <w:rPr>
          <w:rStyle w:val="Hyperlink"/>
        </w:rPr>
        <w:fldChar w:fldCharType="begin"/>
      </w:r>
      <w:r>
        <w:rPr>
          <w:rStyle w:val="Hyperlink"/>
        </w:rPr>
        <w:instrText xml:space="preserve">PAGEREF _Toc13 \h</w:instrText>
      </w:r>
      <w:r>
        <w:rPr>
          <w:rStyle w:val="Hyperlink"/>
        </w:rPr>
        <w:fldChar w:fldCharType="separate"/>
      </w:r>
      <w:r>
        <w:rPr>
          <w:rStyle w:val="Hyperlink"/>
        </w:rPr>
        <w:t>23</w:t>
      </w:r>
      <w:r>
        <w:fldChar w:fldCharType="end"/>
      </w:r>
      <w:r>
        <w:fldChar w:fldCharType="end"/>
      </w:r>
    </w:p>
    <w:p w14:paraId="0000005D">
      <w:pPr>
        <w:pStyle w:val="Toc2"/>
        <w:tabs>
          <w:tab w:val="right" w:leader="dot" w:pos="9016"/>
        </w:tabs>
        <w:rPr/>
      </w:pPr>
      <w:r>
        <w:rPr>
          <w:rStyle w:val="Hyperlink"/>
        </w:rPr>
        <w:fldChar w:fldCharType="begin"/>
      </w:r>
      <w:r>
        <w:rPr>
          <w:rStyle w:val="Hyperlink"/>
        </w:rPr>
        <w:instrText xml:space="preserve">HYPERLINK \l "_Toc14"</w:instrText>
      </w:r>
      <w:r>
        <w:rPr>
          <w:rStyle w:val="Hyperlink"/>
        </w:rPr>
        <w:fldChar w:fldCharType="separate"/>
      </w:r>
      <w:r>
        <w:rPr>
          <w:rStyle w:val="Hyperlink"/>
        </w:rPr>
        <w:t>4.1 – Introduction</w:t>
        <w:tab/>
      </w:r>
      <w:r>
        <w:rPr>
          <w:rStyle w:val="Hyperlink"/>
        </w:rPr>
        <w:fldChar w:fldCharType="begin"/>
      </w:r>
      <w:r>
        <w:rPr>
          <w:rStyle w:val="Hyperlink"/>
        </w:rPr>
        <w:instrText xml:space="preserve">PAGEREF _Toc14 \h</w:instrText>
      </w:r>
      <w:r>
        <w:rPr>
          <w:rStyle w:val="Hyperlink"/>
        </w:rPr>
        <w:fldChar w:fldCharType="separate"/>
      </w:r>
      <w:r>
        <w:rPr>
          <w:rStyle w:val="Hyperlink"/>
        </w:rPr>
        <w:t>23</w:t>
      </w:r>
      <w:r>
        <w:fldChar w:fldCharType="end"/>
      </w:r>
      <w:r>
        <w:fldChar w:fldCharType="end"/>
      </w:r>
    </w:p>
    <w:p w14:paraId="0000005E">
      <w:pPr>
        <w:pStyle w:val="Toc2"/>
        <w:tabs>
          <w:tab w:val="right" w:leader="dot" w:pos="9016"/>
        </w:tabs>
        <w:rPr/>
      </w:pPr>
      <w:r>
        <w:rPr>
          <w:rStyle w:val="Hyperlink"/>
        </w:rPr>
        <w:fldChar w:fldCharType="begin"/>
      </w:r>
      <w:r>
        <w:rPr>
          <w:rStyle w:val="Hyperlink"/>
        </w:rPr>
        <w:instrText xml:space="preserve">HYPERLINK \l "_Toc15"</w:instrText>
      </w:r>
      <w:r>
        <w:rPr>
          <w:rStyle w:val="Hyperlink"/>
        </w:rPr>
        <w:fldChar w:fldCharType="separate"/>
      </w:r>
      <w:r>
        <w:rPr>
          <w:rStyle w:val="Hyperlink"/>
        </w:rPr>
        <w:t>4.2 – Thematic Analysis</w:t>
        <w:tab/>
      </w:r>
      <w:r>
        <w:rPr>
          <w:rStyle w:val="Hyperlink"/>
        </w:rPr>
        <w:fldChar w:fldCharType="begin"/>
      </w:r>
      <w:r>
        <w:rPr>
          <w:rStyle w:val="Hyperlink"/>
        </w:rPr>
        <w:instrText xml:space="preserve">PAGEREF _Toc15 \h</w:instrText>
      </w:r>
      <w:r>
        <w:rPr>
          <w:rStyle w:val="Hyperlink"/>
        </w:rPr>
        <w:fldChar w:fldCharType="separate"/>
      </w:r>
      <w:r>
        <w:rPr>
          <w:rStyle w:val="Hyperlink"/>
        </w:rPr>
        <w:t>23</w:t>
      </w:r>
      <w:r>
        <w:fldChar w:fldCharType="end"/>
      </w:r>
      <w:r>
        <w:fldChar w:fldCharType="end"/>
      </w:r>
    </w:p>
    <w:p w14:paraId="0000005F">
      <w:pPr>
        <w:pStyle w:val="Toc2"/>
        <w:tabs>
          <w:tab w:val="right" w:leader="dot" w:pos="9016"/>
        </w:tabs>
        <w:rPr/>
      </w:pPr>
      <w:r>
        <w:rPr>
          <w:rStyle w:val="Hyperlink"/>
        </w:rPr>
        <w:fldChar w:fldCharType="begin"/>
      </w:r>
      <w:r>
        <w:rPr>
          <w:rStyle w:val="Hyperlink"/>
        </w:rPr>
        <w:instrText xml:space="preserve">HYPERLINK \l "_Toc16"</w:instrText>
      </w:r>
      <w:r>
        <w:rPr>
          <w:rStyle w:val="Hyperlink"/>
        </w:rPr>
        <w:fldChar w:fldCharType="separate"/>
      </w:r>
      <w:r>
        <w:rPr>
          <w:rStyle w:val="Hyperlink"/>
        </w:rPr>
        <w:t>4.3 – Theme 1: The Impact of Loneliness on Mental Health Outcomes</w:t>
        <w:tab/>
      </w:r>
      <w:r>
        <w:rPr>
          <w:rStyle w:val="Hyperlink"/>
        </w:rPr>
        <w:fldChar w:fldCharType="begin"/>
      </w:r>
      <w:r>
        <w:rPr>
          <w:rStyle w:val="Hyperlink"/>
        </w:rPr>
        <w:instrText xml:space="preserve">PAGEREF _Toc16 \h</w:instrText>
      </w:r>
      <w:r>
        <w:rPr>
          <w:rStyle w:val="Hyperlink"/>
        </w:rPr>
        <w:fldChar w:fldCharType="separate"/>
      </w:r>
      <w:r>
        <w:rPr>
          <w:rStyle w:val="Hyperlink"/>
        </w:rPr>
        <w:t>24</w:t>
      </w:r>
      <w:r>
        <w:fldChar w:fldCharType="end"/>
      </w:r>
      <w:r>
        <w:fldChar w:fldCharType="end"/>
      </w:r>
    </w:p>
    <w:p w14:paraId="00000060">
      <w:pPr>
        <w:pStyle w:val="Toc2"/>
        <w:tabs>
          <w:tab w:val="right" w:leader="dot" w:pos="9016"/>
        </w:tabs>
        <w:rPr/>
      </w:pPr>
      <w:r>
        <w:rPr>
          <w:rStyle w:val="Hyperlink"/>
        </w:rPr>
        <w:fldChar w:fldCharType="begin"/>
      </w:r>
      <w:r>
        <w:rPr>
          <w:rStyle w:val="Hyperlink"/>
        </w:rPr>
        <w:instrText xml:space="preserve">HYPERLINK \l "_Toc17"</w:instrText>
      </w:r>
      <w:r>
        <w:rPr>
          <w:rStyle w:val="Hyperlink"/>
        </w:rPr>
        <w:fldChar w:fldCharType="separate"/>
      </w:r>
      <w:r>
        <w:rPr>
          <w:rStyle w:val="Hyperlink"/>
        </w:rPr>
        <w:t>4.4 – Theme 2: The Effectiveness of Current Policies Addressing Loneliness</w:t>
        <w:tab/>
      </w:r>
      <w:r>
        <w:rPr>
          <w:rStyle w:val="Hyperlink"/>
        </w:rPr>
        <w:fldChar w:fldCharType="begin"/>
      </w:r>
      <w:r>
        <w:rPr>
          <w:rStyle w:val="Hyperlink"/>
        </w:rPr>
        <w:instrText xml:space="preserve">PAGEREF _Toc17 \h</w:instrText>
      </w:r>
      <w:r>
        <w:rPr>
          <w:rStyle w:val="Hyperlink"/>
        </w:rPr>
        <w:fldChar w:fldCharType="separate"/>
      </w:r>
      <w:r>
        <w:rPr>
          <w:rStyle w:val="Hyperlink"/>
        </w:rPr>
        <w:t>28</w:t>
      </w:r>
      <w:r>
        <w:fldChar w:fldCharType="end"/>
      </w:r>
      <w:r>
        <w:fldChar w:fldCharType="end"/>
      </w:r>
    </w:p>
    <w:p w14:paraId="00000061">
      <w:pPr>
        <w:pStyle w:val="Toc2"/>
        <w:tabs>
          <w:tab w:val="right" w:leader="dot" w:pos="9016"/>
        </w:tabs>
        <w:rPr/>
      </w:pPr>
      <w:r>
        <w:rPr>
          <w:rStyle w:val="Hyperlink"/>
        </w:rPr>
        <w:fldChar w:fldCharType="begin"/>
      </w:r>
      <w:r>
        <w:rPr>
          <w:rStyle w:val="Hyperlink"/>
        </w:rPr>
        <w:instrText xml:space="preserve">HYPERLINK \l "_Toc18"</w:instrText>
      </w:r>
      <w:r>
        <w:rPr>
          <w:rStyle w:val="Hyperlink"/>
        </w:rPr>
        <w:fldChar w:fldCharType="separate"/>
      </w:r>
      <w:r>
        <w:rPr>
          <w:rStyle w:val="Hyperlink"/>
        </w:rPr>
        <w:t>Introduction</w:t>
        <w:tab/>
      </w:r>
      <w:r>
        <w:rPr>
          <w:rStyle w:val="Hyperlink"/>
        </w:rPr>
        <w:fldChar w:fldCharType="begin"/>
      </w:r>
      <w:r>
        <w:rPr>
          <w:rStyle w:val="Hyperlink"/>
        </w:rPr>
        <w:instrText xml:space="preserve">PAGEREF _Toc18 \h</w:instrText>
      </w:r>
      <w:r>
        <w:rPr>
          <w:rStyle w:val="Hyperlink"/>
        </w:rPr>
        <w:fldChar w:fldCharType="separate"/>
      </w:r>
      <w:r>
        <w:rPr>
          <w:rStyle w:val="Hyperlink"/>
        </w:rPr>
        <w:t>28</w:t>
      </w:r>
      <w:r>
        <w:fldChar w:fldCharType="end"/>
      </w:r>
      <w:r>
        <w:fldChar w:fldCharType="end"/>
      </w:r>
    </w:p>
    <w:p w14:paraId="00000062">
      <w:pPr>
        <w:pStyle w:val="Toc2"/>
        <w:tabs>
          <w:tab w:val="right" w:leader="dot" w:pos="9016"/>
        </w:tabs>
        <w:rPr/>
      </w:pPr>
      <w:r>
        <w:rPr>
          <w:rStyle w:val="Hyperlink"/>
        </w:rPr>
        <w:fldChar w:fldCharType="begin"/>
      </w:r>
      <w:r>
        <w:rPr>
          <w:rStyle w:val="Hyperlink"/>
        </w:rPr>
        <w:instrText xml:space="preserve">HYPERLINK \l "_Toc19"</w:instrText>
      </w:r>
      <w:r>
        <w:rPr>
          <w:rStyle w:val="Hyperlink"/>
        </w:rPr>
        <w:fldChar w:fldCharType="separate"/>
      </w:r>
      <w:r>
        <w:rPr>
          <w:rStyle w:val="Hyperlink"/>
        </w:rPr>
        <w:t>4.5 – Theme 3: The Role of Community Support system in Mitigating Loneliness</w:t>
        <w:tab/>
      </w:r>
      <w:r>
        <w:rPr>
          <w:rStyle w:val="Hyperlink"/>
        </w:rPr>
        <w:fldChar w:fldCharType="begin"/>
      </w:r>
      <w:r>
        <w:rPr>
          <w:rStyle w:val="Hyperlink"/>
        </w:rPr>
        <w:instrText xml:space="preserve">PAGEREF _Toc19 \h</w:instrText>
      </w:r>
      <w:r>
        <w:rPr>
          <w:rStyle w:val="Hyperlink"/>
        </w:rPr>
        <w:fldChar w:fldCharType="separate"/>
      </w:r>
      <w:r>
        <w:rPr>
          <w:rStyle w:val="Hyperlink"/>
        </w:rPr>
        <w:t>31</w:t>
      </w:r>
      <w:r>
        <w:fldChar w:fldCharType="end"/>
      </w:r>
      <w:r>
        <w:fldChar w:fldCharType="end"/>
      </w:r>
    </w:p>
    <w:p w14:paraId="00000063">
      <w:pPr>
        <w:pStyle w:val="Toc2"/>
        <w:tabs>
          <w:tab w:val="right" w:leader="dot" w:pos="9016"/>
        </w:tabs>
        <w:rPr/>
      </w:pPr>
      <w:r>
        <w:rPr>
          <w:rStyle w:val="Hyperlink"/>
        </w:rPr>
        <w:fldChar w:fldCharType="begin"/>
      </w:r>
      <w:r>
        <w:rPr>
          <w:rStyle w:val="Hyperlink"/>
        </w:rPr>
        <w:instrText xml:space="preserve">HYPERLINK \l "_Toc20"</w:instrText>
      </w:r>
      <w:r>
        <w:rPr>
          <w:rStyle w:val="Hyperlink"/>
        </w:rPr>
        <w:fldChar w:fldCharType="separate"/>
      </w:r>
      <w:r>
        <w:rPr>
          <w:rStyle w:val="Hyperlink"/>
        </w:rPr>
        <w:t>4.6 – Chapter Conclusion</w:t>
        <w:tab/>
      </w:r>
      <w:r>
        <w:rPr>
          <w:rStyle w:val="Hyperlink"/>
        </w:rPr>
        <w:fldChar w:fldCharType="begin"/>
      </w:r>
      <w:r>
        <w:rPr>
          <w:rStyle w:val="Hyperlink"/>
        </w:rPr>
        <w:instrText xml:space="preserve">PAGEREF _Toc20 \h</w:instrText>
      </w:r>
      <w:r>
        <w:rPr>
          <w:rStyle w:val="Hyperlink"/>
        </w:rPr>
        <w:fldChar w:fldCharType="separate"/>
      </w:r>
      <w:r>
        <w:rPr>
          <w:rStyle w:val="Hyperlink"/>
        </w:rPr>
        <w:t>35</w:t>
      </w:r>
      <w:r>
        <w:fldChar w:fldCharType="end"/>
      </w:r>
      <w:r>
        <w:fldChar w:fldCharType="end"/>
      </w:r>
    </w:p>
    <w:p w14:paraId="00000064">
      <w:pPr>
        <w:pStyle w:val="Toc1"/>
        <w:tabs>
          <w:tab w:val="right" w:leader="dot" w:pos="9016"/>
        </w:tabs>
        <w:rPr/>
      </w:pPr>
      <w:r>
        <w:rPr>
          <w:rStyle w:val="Hyperlink"/>
        </w:rPr>
        <w:fldChar w:fldCharType="begin"/>
      </w:r>
      <w:r>
        <w:rPr>
          <w:rStyle w:val="Hyperlink"/>
        </w:rPr>
        <w:instrText xml:space="preserve">HYPERLINK \l "_Toc21"</w:instrText>
      </w:r>
      <w:r>
        <w:rPr>
          <w:rStyle w:val="Hyperlink"/>
        </w:rPr>
        <w:fldChar w:fldCharType="separate"/>
      </w:r>
      <w:r>
        <w:rPr>
          <w:rStyle w:val="Hyperlink"/>
        </w:rPr>
        <w:t>CHAPTER 5 – Conclusion and Recommendations</w:t>
        <w:tab/>
      </w:r>
      <w:r>
        <w:rPr>
          <w:rStyle w:val="Hyperlink"/>
        </w:rPr>
        <w:fldChar w:fldCharType="begin"/>
      </w:r>
      <w:r>
        <w:rPr>
          <w:rStyle w:val="Hyperlink"/>
        </w:rPr>
        <w:instrText xml:space="preserve">PAGEREF _Toc21 \h</w:instrText>
      </w:r>
      <w:r>
        <w:rPr>
          <w:rStyle w:val="Hyperlink"/>
        </w:rPr>
        <w:fldChar w:fldCharType="separate"/>
      </w:r>
      <w:r>
        <w:rPr>
          <w:rStyle w:val="Hyperlink"/>
        </w:rPr>
        <w:t>35</w:t>
      </w:r>
      <w:r>
        <w:fldChar w:fldCharType="end"/>
      </w:r>
      <w:r>
        <w:fldChar w:fldCharType="end"/>
      </w:r>
    </w:p>
    <w:p w14:paraId="00000065">
      <w:pPr>
        <w:pStyle w:val="Toc2"/>
        <w:tabs>
          <w:tab w:val="right" w:leader="dot" w:pos="9016"/>
        </w:tabs>
        <w:rPr/>
      </w:pPr>
      <w:r>
        <w:rPr>
          <w:rStyle w:val="Hyperlink"/>
        </w:rPr>
        <w:fldChar w:fldCharType="begin"/>
      </w:r>
      <w:r>
        <w:rPr>
          <w:rStyle w:val="Hyperlink"/>
        </w:rPr>
        <w:instrText xml:space="preserve">HYPERLINK \l "_Toc22"</w:instrText>
      </w:r>
      <w:r>
        <w:rPr>
          <w:rStyle w:val="Hyperlink"/>
        </w:rPr>
        <w:fldChar w:fldCharType="separate"/>
      </w:r>
      <w:r>
        <w:rPr>
          <w:rStyle w:val="Hyperlink"/>
        </w:rPr>
        <w:t>5.1 – Overall Conclusion</w:t>
        <w:tab/>
      </w:r>
      <w:r>
        <w:rPr>
          <w:rStyle w:val="Hyperlink"/>
        </w:rPr>
        <w:fldChar w:fldCharType="begin"/>
      </w:r>
      <w:r>
        <w:rPr>
          <w:rStyle w:val="Hyperlink"/>
        </w:rPr>
        <w:instrText xml:space="preserve">PAGEREF _Toc22 \h</w:instrText>
      </w:r>
      <w:r>
        <w:rPr>
          <w:rStyle w:val="Hyperlink"/>
        </w:rPr>
        <w:fldChar w:fldCharType="separate"/>
      </w:r>
      <w:r>
        <w:rPr>
          <w:rStyle w:val="Hyperlink"/>
        </w:rPr>
        <w:t>36</w:t>
      </w:r>
      <w:r>
        <w:fldChar w:fldCharType="end"/>
      </w:r>
      <w:r>
        <w:fldChar w:fldCharType="end"/>
      </w:r>
    </w:p>
    <w:p w14:paraId="00000066">
      <w:pPr>
        <w:pStyle w:val="Toc2"/>
        <w:tabs>
          <w:tab w:val="right" w:leader="dot" w:pos="9016"/>
        </w:tabs>
        <w:rPr/>
      </w:pPr>
      <w:r>
        <w:rPr>
          <w:rStyle w:val="Hyperlink"/>
        </w:rPr>
        <w:fldChar w:fldCharType="begin"/>
      </w:r>
      <w:r>
        <w:rPr>
          <w:rStyle w:val="Hyperlink"/>
        </w:rPr>
        <w:instrText xml:space="preserve">HYPERLINK \l "_Toc23"</w:instrText>
      </w:r>
      <w:r>
        <w:rPr>
          <w:rStyle w:val="Hyperlink"/>
        </w:rPr>
        <w:fldChar w:fldCharType="separate"/>
      </w:r>
      <w:r>
        <w:rPr>
          <w:rStyle w:val="Hyperlink"/>
        </w:rPr>
        <w:t>5.2 – Recommendations</w:t>
        <w:tab/>
      </w:r>
      <w:r>
        <w:rPr>
          <w:rStyle w:val="Hyperlink"/>
        </w:rPr>
        <w:fldChar w:fldCharType="begin"/>
      </w:r>
      <w:r>
        <w:rPr>
          <w:rStyle w:val="Hyperlink"/>
        </w:rPr>
        <w:instrText xml:space="preserve">PAGEREF _Toc23 \h</w:instrText>
      </w:r>
      <w:r>
        <w:rPr>
          <w:rStyle w:val="Hyperlink"/>
        </w:rPr>
        <w:fldChar w:fldCharType="separate"/>
      </w:r>
      <w:r>
        <w:rPr>
          <w:rStyle w:val="Hyperlink"/>
        </w:rPr>
        <w:t>36</w:t>
      </w:r>
      <w:r>
        <w:fldChar w:fldCharType="end"/>
      </w:r>
      <w:r>
        <w:fldChar w:fldCharType="end"/>
      </w:r>
    </w:p>
    <w:p w14:paraId="00000067">
      <w:pPr>
        <w:pStyle w:val="Toc1"/>
        <w:tabs>
          <w:tab w:val="right" w:leader="dot" w:pos="9016"/>
        </w:tabs>
        <w:rPr/>
      </w:pPr>
      <w:r>
        <w:rPr>
          <w:rStyle w:val="Hyperlink"/>
        </w:rPr>
        <w:fldChar w:fldCharType="begin"/>
      </w:r>
      <w:r>
        <w:rPr>
          <w:rStyle w:val="Hyperlink"/>
        </w:rPr>
        <w:instrText xml:space="preserve">HYPERLINK \l "_Toc24"</w:instrText>
      </w:r>
      <w:r>
        <w:rPr>
          <w:rStyle w:val="Hyperlink"/>
        </w:rPr>
        <w:fldChar w:fldCharType="separate"/>
      </w:r>
      <w:r>
        <w:rPr>
          <w:rStyle w:val="Hyperlink"/>
        </w:rPr>
        <w:t>5.2.1 – Recommendation 1: Enhance Social Prescribing Initiatives</w:t>
        <w:tab/>
      </w:r>
      <w:r>
        <w:rPr>
          <w:rStyle w:val="Hyperlink"/>
        </w:rPr>
        <w:fldChar w:fldCharType="begin"/>
      </w:r>
      <w:r>
        <w:rPr>
          <w:rStyle w:val="Hyperlink"/>
        </w:rPr>
        <w:instrText xml:space="preserve">PAGEREF _Toc24 \h</w:instrText>
      </w:r>
      <w:r>
        <w:rPr>
          <w:rStyle w:val="Hyperlink"/>
        </w:rPr>
        <w:fldChar w:fldCharType="separate"/>
      </w:r>
      <w:r>
        <w:rPr>
          <w:rStyle w:val="Hyperlink"/>
        </w:rPr>
        <w:t>36</w:t>
      </w:r>
      <w:r>
        <w:fldChar w:fldCharType="end"/>
      </w:r>
      <w:r>
        <w:fldChar w:fldCharType="end"/>
      </w:r>
    </w:p>
    <w:p w14:paraId="00000068">
      <w:pPr>
        <w:pStyle w:val="Toc1"/>
        <w:tabs>
          <w:tab w:val="right" w:leader="dot" w:pos="9016"/>
        </w:tabs>
        <w:rPr/>
      </w:pPr>
      <w:r>
        <w:rPr>
          <w:rStyle w:val="Hyperlink"/>
        </w:rPr>
        <w:fldChar w:fldCharType="begin"/>
      </w:r>
      <w:r>
        <w:rPr>
          <w:rStyle w:val="Hyperlink"/>
        </w:rPr>
        <w:instrText xml:space="preserve">HYPERLINK \l "_Toc25"</w:instrText>
      </w:r>
      <w:r>
        <w:rPr>
          <w:rStyle w:val="Hyperlink"/>
        </w:rPr>
        <w:fldChar w:fldCharType="separate"/>
      </w:r>
      <w:r>
        <w:rPr>
          <w:rStyle w:val="Hyperlink"/>
        </w:rPr>
        <w:t>5.2.2 – Recommendation: Develop Digital Inclusion Programs</w:t>
        <w:tab/>
      </w:r>
      <w:r>
        <w:rPr>
          <w:rStyle w:val="Hyperlink"/>
        </w:rPr>
        <w:fldChar w:fldCharType="begin"/>
      </w:r>
      <w:r>
        <w:rPr>
          <w:rStyle w:val="Hyperlink"/>
        </w:rPr>
        <w:instrText xml:space="preserve">PAGEREF _Toc25 \h</w:instrText>
      </w:r>
      <w:r>
        <w:rPr>
          <w:rStyle w:val="Hyperlink"/>
        </w:rPr>
        <w:fldChar w:fldCharType="separate"/>
      </w:r>
      <w:r>
        <w:rPr>
          <w:rStyle w:val="Hyperlink"/>
        </w:rPr>
        <w:t>37</w:t>
      </w:r>
      <w:r>
        <w:fldChar w:fldCharType="end"/>
      </w:r>
      <w:r>
        <w:fldChar w:fldCharType="end"/>
      </w:r>
    </w:p>
    <w:p w14:paraId="00000069">
      <w:pPr>
        <w:pStyle w:val="Toc1"/>
        <w:tabs>
          <w:tab w:val="right" w:leader="dot" w:pos="9016"/>
        </w:tabs>
        <w:rPr/>
      </w:pPr>
      <w:r>
        <w:rPr>
          <w:rStyle w:val="Hyperlink"/>
        </w:rPr>
        <w:fldChar w:fldCharType="begin"/>
      </w:r>
      <w:r>
        <w:rPr>
          <w:rStyle w:val="Hyperlink"/>
        </w:rPr>
        <w:instrText xml:space="preserve">HYPERLINK \l "_Toc26"</w:instrText>
      </w:r>
      <w:r>
        <w:rPr>
          <w:rStyle w:val="Hyperlink"/>
        </w:rPr>
        <w:fldChar w:fldCharType="separate"/>
      </w:r>
      <w:r>
        <w:rPr>
          <w:rStyle w:val="Hyperlink"/>
        </w:rPr>
        <w:t>5.2.3 – Recommendation: Implement Community- Based Interventions</w:t>
        <w:tab/>
      </w:r>
      <w:r>
        <w:rPr>
          <w:rStyle w:val="Hyperlink"/>
        </w:rPr>
        <w:fldChar w:fldCharType="begin"/>
      </w:r>
      <w:r>
        <w:rPr>
          <w:rStyle w:val="Hyperlink"/>
        </w:rPr>
        <w:instrText xml:space="preserve">PAGEREF _Toc26 \h</w:instrText>
      </w:r>
      <w:r>
        <w:rPr>
          <w:rStyle w:val="Hyperlink"/>
        </w:rPr>
        <w:fldChar w:fldCharType="separate"/>
      </w:r>
      <w:r>
        <w:rPr>
          <w:rStyle w:val="Hyperlink"/>
        </w:rPr>
        <w:t>38</w:t>
      </w:r>
      <w:r>
        <w:fldChar w:fldCharType="end"/>
      </w:r>
      <w:r>
        <w:fldChar w:fldCharType="end"/>
      </w:r>
    </w:p>
    <w:p w14:paraId="0000006A">
      <w:pPr>
        <w:pStyle w:val="Toc1"/>
        <w:tabs>
          <w:tab w:val="right" w:leader="dot" w:pos="9016"/>
        </w:tabs>
        <w:rPr/>
      </w:pPr>
      <w:r>
        <w:rPr>
          <w:rStyle w:val="Hyperlink"/>
        </w:rPr>
        <w:fldChar w:fldCharType="begin"/>
      </w:r>
      <w:r>
        <w:rPr>
          <w:rStyle w:val="Hyperlink"/>
        </w:rPr>
        <w:instrText xml:space="preserve">HYPERLINK \l "_Toc27"</w:instrText>
      </w:r>
      <w:r>
        <w:rPr>
          <w:rStyle w:val="Hyperlink"/>
        </w:rPr>
        <w:fldChar w:fldCharType="separate"/>
      </w:r>
      <w:r>
        <w:rPr>
          <w:rStyle w:val="Hyperlink"/>
        </w:rPr>
        <w:t>CHAPTER 6 – References and Appendices</w:t>
        <w:tab/>
      </w:r>
      <w:r>
        <w:rPr>
          <w:rStyle w:val="Hyperlink"/>
        </w:rPr>
        <w:fldChar w:fldCharType="begin"/>
      </w:r>
      <w:r>
        <w:rPr>
          <w:rStyle w:val="Hyperlink"/>
        </w:rPr>
        <w:instrText xml:space="preserve">PAGEREF _Toc27 \h</w:instrText>
      </w:r>
      <w:r>
        <w:rPr>
          <w:rStyle w:val="Hyperlink"/>
        </w:rPr>
        <w:fldChar w:fldCharType="separate"/>
      </w:r>
      <w:r>
        <w:rPr>
          <w:rStyle w:val="Hyperlink"/>
        </w:rPr>
        <w:t>39</w:t>
      </w:r>
      <w:r>
        <w:fldChar w:fldCharType="end"/>
      </w:r>
      <w:r>
        <w:fldChar w:fldCharType="end"/>
      </w:r>
    </w:p>
    <w:p w14:paraId="0000006B">
      <w:pPr>
        <w:pStyle w:val="Toc1"/>
        <w:tabs>
          <w:tab w:val="right" w:leader="dot" w:pos="9016"/>
        </w:tabs>
        <w:rPr/>
      </w:pPr>
      <w:r>
        <w:rPr>
          <w:rStyle w:val="Hyperlink"/>
        </w:rPr>
        <w:fldChar w:fldCharType="begin"/>
      </w:r>
      <w:r>
        <w:rPr>
          <w:rStyle w:val="Hyperlink"/>
        </w:rPr>
        <w:instrText xml:space="preserve">HYPERLINK \l "_Toc28"</w:instrText>
      </w:r>
      <w:r>
        <w:rPr>
          <w:rStyle w:val="Hyperlink"/>
        </w:rPr>
        <w:fldChar w:fldCharType="separate"/>
      </w:r>
      <w:r>
        <w:rPr>
          <w:rStyle w:val="Hyperlink"/>
        </w:rPr>
        <w:t>6.1 – References</w:t>
        <w:tab/>
      </w:r>
      <w:r>
        <w:rPr>
          <w:rStyle w:val="Hyperlink"/>
        </w:rPr>
        <w:fldChar w:fldCharType="begin"/>
      </w:r>
      <w:r>
        <w:rPr>
          <w:rStyle w:val="Hyperlink"/>
        </w:rPr>
        <w:instrText xml:space="preserve">PAGEREF _Toc28 \h</w:instrText>
      </w:r>
      <w:r>
        <w:rPr>
          <w:rStyle w:val="Hyperlink"/>
        </w:rPr>
        <w:fldChar w:fldCharType="separate"/>
      </w:r>
      <w:r>
        <w:rPr>
          <w:rStyle w:val="Hyperlink"/>
        </w:rPr>
        <w:t>39</w:t>
      </w:r>
      <w:r>
        <w:fldChar w:fldCharType="end"/>
      </w:r>
      <w:r>
        <w:fldChar w:fldCharType="end"/>
      </w:r>
    </w:p>
    <w:p w14:paraId="0000006C">
      <w:pPr>
        <w:pStyle w:val="Toc1"/>
        <w:tabs>
          <w:tab w:val="right" w:leader="dot" w:pos="9016"/>
        </w:tabs>
        <w:rPr/>
      </w:pPr>
      <w:r>
        <w:rPr>
          <w:rStyle w:val="Hyperlink"/>
        </w:rPr>
        <w:fldChar w:fldCharType="begin"/>
      </w:r>
      <w:r>
        <w:rPr>
          <w:rStyle w:val="Hyperlink"/>
        </w:rPr>
        <w:instrText xml:space="preserve">HYPERLINK \l "_Toc29"</w:instrText>
      </w:r>
      <w:r>
        <w:rPr>
          <w:rStyle w:val="Hyperlink"/>
        </w:rPr>
        <w:fldChar w:fldCharType="separate"/>
      </w:r>
      <w:r>
        <w:rPr>
          <w:rStyle w:val="Hyperlink"/>
        </w:rPr>
        <w:t>6.2 – Appendices</w:t>
        <w:tab/>
      </w:r>
      <w:r>
        <w:rPr>
          <w:rStyle w:val="Hyperlink"/>
        </w:rPr>
        <w:fldChar w:fldCharType="begin"/>
      </w:r>
      <w:r>
        <w:rPr>
          <w:rStyle w:val="Hyperlink"/>
        </w:rPr>
        <w:instrText xml:space="preserve">PAGEREF _Toc29 \h</w:instrText>
      </w:r>
      <w:r>
        <w:rPr>
          <w:rStyle w:val="Hyperlink"/>
        </w:rPr>
        <w:fldChar w:fldCharType="separate"/>
      </w:r>
      <w:r>
        <w:rPr>
          <w:rStyle w:val="Hyperlink"/>
        </w:rPr>
        <w:t>40</w:t>
      </w:r>
      <w:r>
        <w:fldChar w:fldCharType="end"/>
      </w:r>
      <w:r>
        <w:fldChar w:fldCharType="end"/>
      </w:r>
    </w:p>
    <w:p w14:paraId="0000006D">
      <w:pPr>
        <w:pStyle w:val="Normal"/>
        <w:tabs>
          <w:tab w:val="right" w:leader="dot" w:pos="9016"/>
        </w:tabs>
        <w:rPr/>
      </w:pPr>
    </w:p>
    <w:p w14:paraId="0000006E">
      <w:r>
        <w:fldChar w:fldCharType="end"/>
      </w:r>
    </w:p>
    <w:p w14:paraId="0000006F"/>
    <w:p w14:paraId="00000070"/>
    <w:p w14:paraId="00000071"/>
    <w:p w14:paraId="00000072"/>
    <w:p w14:paraId="00000073"/>
    <w:p w14:paraId="00000074"/>
    <w:p w14:paraId="00000075"/>
    <w:p w14:paraId="00000076"/>
    <w:p w14:paraId="00000077"/>
    <w:p w14:paraId="00000078"/>
    <w:p w14:paraId="00000079"/>
    <w:p w14:paraId="0000007A"/>
    <w:p w14:paraId="0000007B"/>
    <w:p w14:paraId="0000007C"/>
    <w:p w14:paraId="0000007D"/>
    <w:p w14:paraId="0000007E"/>
    <w:p w14:paraId="0000007F"/>
    <w:p w14:paraId="00000080"/>
    <w:p w14:paraId="00000081"/>
    <w:p w14:paraId="00000082"/>
    <w:p w14:paraId="00000083"/>
    <w:p w14:paraId="00000084">
      <w:pPr>
        <w:pStyle w:val="Heading1"/>
        <w:ind w:left="0"/>
        <w:rPr/>
      </w:pPr>
    </w:p>
    <w:p w14:paraId="00000085">
      <w:pPr>
        <w:pStyle w:val="Heading1"/>
        <w:spacing w:line="360" w:lineRule="auto"/>
        <w:ind w:left="0"/>
        <w:jc w:val="both"/>
        <w:rPr>
          <w:rFonts w:ascii="Aptos" w:hAnsi="Aptos"/>
          <w:b w:val="off"/>
        </w:rPr>
      </w:pPr>
      <w:bookmarkStart w:id="2" w:name="_Toc3"/>
      <w:r>
        <w:rPr>
          <w:rFonts w:ascii="Aptos" w:hAnsi="Aptos"/>
        </w:rPr>
        <w:t>CHAPTER 1: Introduction</w:t>
      </w:r>
      <w:bookmarkEnd w:id="2"/>
      <w:r>
        <w:rPr>
          <w:rFonts w:ascii="Aptos" w:hAnsi="Aptos"/>
        </w:rPr>
        <w:t xml:space="preserve"> </w:t>
      </w:r>
    </w:p>
    <w:p w14:paraId="00000086">
      <w:pPr>
        <w:pStyle w:val="BodyText"/>
        <w:spacing w:line="360" w:lineRule="auto"/>
        <w:jc w:val="both"/>
        <w:rPr>
          <w:rFonts w:ascii="Aptos" w:hAnsi="Aptos"/>
        </w:rPr>
      </w:pPr>
    </w:p>
    <w:p w14:paraId="00000087">
      <w:pPr>
        <w:pStyle w:val="Paragraph"/>
        <w:spacing w:before="0" w:after="0" w:line="360" w:lineRule="auto"/>
        <w:jc w:val="both"/>
        <w:rPr>
          <w:rFonts w:ascii="Aptos" w:cs="Segoe UI" w:hAnsi="Aptos"/>
          <w:color w:val="0f4761"/>
          <w:sz w:val="16"/>
          <w:szCs w:val="16"/>
        </w:rPr>
      </w:pPr>
      <w:r>
        <w:rPr>
          <w:rStyle w:val="Normaltextrun"/>
          <w:rFonts w:ascii="Aptos" w:cs="Arial" w:hAnsi="Aptos"/>
          <w:color w:val="0f4761"/>
        </w:rPr>
        <w:t>1.1 Introduction</w:t>
      </w:r>
    </w:p>
    <w:p w14:paraId="00000088">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In the United Kingdom, loneliness and mental health in elderly people are becoming increasingly identified as related public health issues (Victor et al., 2018). Loneliness is the subjective feeling of not having significant social relationships, while social isolation is the objective decrease in social contacts and participation (De Jong Gieverld et al., 2018). Even though these ideas are similar, they might affect depression and anxiety in different ways. For example, loneliness is typically associated with feelings of belonging and emotional pain, whereas social isolation is linked to fewer chances to connect with others and get help (Snowball et al., 2018). The COVID-19 pandemic highlighted weaknesses in social networks and mental health services, increasing policy focus on prompt, evidence-based strategies to enhance the wellbeing of older adults (Public Health England, 2021).</w:t>
      </w:r>
      <w:r>
        <w:rPr>
          <w:rFonts w:ascii="Arial" w:cs="Arial" w:hAnsi="Arial"/>
          <w:color w:val="000000"/>
          <w:sz w:val="22"/>
          <w:szCs w:val="22"/>
          <w:highlight w:val="none"/>
          <w:rtl w:val="off"/>
          <w:lang w:val="en-US"/>
        </w:rPr>
        <w:t xml:space="preserve"> </w:t>
      </w:r>
    </w:p>
    <w:p w14:paraId="00000089">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 xml:space="preserve">This project implements a secondary research synthesis methodology to differentiate and combine data from national surveys, longitudinal cohorts, systematic reviews, meta-analyses, and policy assessments (Beller and Wagner, 2020). This synthesis facilitates the detection of prevalence patterns, effect sizes, and directional relationships among loneliness, social isolation, and anxiety and depression outcomes (Victor et al., 2018; Courtin and Knapp, 2017). It also looks at how well UK-based policies and programmes work and how fair they are (NHS Digital, 2023; Public Health England, 2021). By synthesising data from the developed administrations of England, Scotland, Wales, and Northern Ireland, the study can reveal regional similarities and differences (ONS, 2023; Age UK, 2020), thereby informing resource allocation and service delivery to mitigate inequities in mental health outcomes among older adults (Wetter et al., 2019). </w:t>
      </w:r>
      <w:r>
        <w:rPr>
          <w:rFonts w:ascii="Arial" w:cs="Arial" w:hAnsi="Arial"/>
          <w:color w:val="000000"/>
          <w:sz w:val="22"/>
          <w:szCs w:val="22"/>
          <w:highlight w:val="none"/>
          <w:rtl w:val="off"/>
          <w:lang w:val="en-US"/>
        </w:rPr>
        <w:t xml:space="preserve"> </w:t>
      </w:r>
    </w:p>
    <w:p w14:paraId="0000008A">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The approach is based on a biopsychosocial framework that considers how biological health, psychological processes, and social context all work together to affect mental health in later life (Courtin and Knapp, 2017). This perspective elucidates processes such as perceived social support, social participation, stigma, and access to care that may mediate or mitigate the link between loneliness, isolation, and mood disorders (Holt-Lunstad et al., 2015). Because diverse measures are widely used in various research studies, the synthesis will differentiate between methodological artefacts and substantive impacts, ensuring that the conclusions accurately reflect UK-specific contexts and data (Manea et al., 2012). The introduction established the rationale, objectives, and framework for a comprehensive secondary synthesis intended to guide policy and practice throughout the four UK nations (ONS, 2023).</w:t>
      </w:r>
      <w:r>
        <w:rPr>
          <w:rFonts w:ascii="Arial" w:cs="Arial" w:hAnsi="Arial"/>
          <w:color w:val="000000"/>
          <w:sz w:val="22"/>
          <w:szCs w:val="22"/>
          <w:rtl w:val="off"/>
          <w:lang w:val="en-US"/>
        </w:rPr>
        <w:t xml:space="preserve"> </w:t>
      </w:r>
    </w:p>
    <w:p w14:paraId="0000008B">
      <w:pPr>
        <w:pStyle w:val="Paragraph"/>
        <w:spacing w:before="0" w:after="0" w:line="360" w:lineRule="auto"/>
        <w:ind w:left="1080"/>
        <w:jc w:val="both"/>
        <w:rPr>
          <w:rFonts w:ascii="Aptos" w:cs="Segoe UI" w:hAnsi="Aptos"/>
          <w:sz w:val="16"/>
          <w:szCs w:val="16"/>
        </w:rPr>
      </w:pPr>
      <w:r>
        <w:rPr>
          <w:rStyle w:val="Eop"/>
          <w:rFonts w:ascii="Aptos" w:cs="Arial" w:hAnsi="Aptos"/>
          <w:sz w:val="22"/>
          <w:szCs w:val="22"/>
        </w:rPr>
        <w:t> </w:t>
      </w:r>
    </w:p>
    <w:p w14:paraId="0000008C">
      <w:pPr>
        <w:pStyle w:val="Paragraph"/>
        <w:spacing w:before="0" w:after="0" w:line="360" w:lineRule="auto"/>
        <w:jc w:val="both"/>
        <w:rPr>
          <w:rFonts w:ascii="Aptos" w:cs="Segoe UI" w:hAnsi="Aptos"/>
          <w:color w:val="0f4761"/>
          <w:sz w:val="16"/>
          <w:szCs w:val="16"/>
        </w:rPr>
      </w:pPr>
      <w:r>
        <w:rPr>
          <w:rStyle w:val="Normaltextrun"/>
          <w:rFonts w:ascii="Aptos" w:cs="Arial" w:hAnsi="Aptos"/>
          <w:color w:val="0f4761"/>
        </w:rPr>
        <w:t xml:space="preserve">1.2 Definitions and Terminology </w:t>
      </w:r>
    </w:p>
    <w:p w14:paraId="0000008D">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lang w:val="en-US"/>
        </w:rPr>
      </w:pPr>
      <w:r>
        <w:rPr>
          <w:rFonts w:ascii="Arial"/>
          <w:color w:val="000000"/>
          <w:sz w:val="22"/>
          <w:rtl w:val="off"/>
          <w:lang w:val="en-US"/>
        </w:rPr>
        <w:t>It is crucial to understand the essential terms and definitions of the ideas that this research looks at, l</w:t>
      </w:r>
      <w:r>
        <w:rPr>
          <w:rFonts w:ascii="Arial"/>
          <w:color w:val="000000"/>
          <w:sz w:val="22"/>
          <w:rtl w:val="off"/>
          <w:lang w:val="en-US"/>
        </w:rPr>
        <w:t>oneliness is a personal emotional state that includes feelings of being alone and disconnected from other people (Qualter et al., 2013). It is essential to differentiate loneliness from social isolation which signifies the objective lack and indicates the objective absence of social connections (Hawley and Cacioppo, 2010). Both concepts are key to understanding the general context of mental health in elderly people.</w:t>
      </w:r>
      <w:r>
        <w:rPr>
          <w:rFonts w:ascii="Arial"/>
          <w:color w:val="000000"/>
          <w:sz w:val="22"/>
          <w:highlight w:val="none"/>
          <w:rtl w:val="off"/>
          <w:lang w:val="en-US"/>
        </w:rPr>
        <w:t xml:space="preserve"> </w:t>
      </w:r>
    </w:p>
    <w:p w14:paraId="0000008E">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lang w:val="en-US"/>
        </w:rPr>
      </w:pPr>
      <w:r>
        <w:rPr>
          <w:rFonts w:ascii="Arial"/>
          <w:color w:val="000000"/>
          <w:sz w:val="22"/>
          <w:rtl w:val="off"/>
          <w:lang w:val="en-US"/>
        </w:rPr>
        <w:t xml:space="preserve"> The World Health Organisation (2021) says that mental health is a state of well-being in which people can reach their full potential, endure the usual stresses of life, work productively, and help their communities. The significance of these concepts is in their interrelation; loneliness can profoundly affect mental health, resulting in disorders such as sadness and anxiety (Cacioppo and Cacioppo, 2018).</w:t>
      </w:r>
      <w:r>
        <w:rPr>
          <w:rFonts w:ascii="Arial"/>
          <w:color w:val="000000"/>
          <w:sz w:val="22"/>
          <w:highlight w:val="none"/>
          <w:rtl w:val="off"/>
          <w:lang w:val="en-US"/>
        </w:rPr>
        <w:t xml:space="preserve"> </w:t>
      </w:r>
    </w:p>
    <w:p w14:paraId="0000008F">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lang w:val="en-US"/>
        </w:rPr>
      </w:pPr>
      <w:r>
        <w:rPr>
          <w:rFonts w:ascii="Arial"/>
          <w:b/>
          <w:color w:val="000000"/>
          <w:sz w:val="22"/>
          <w:rtl w:val="off"/>
          <w:lang w:val="en-US"/>
        </w:rPr>
        <w:t xml:space="preserve"> Depression </w:t>
      </w:r>
      <w:r>
        <w:rPr>
          <w:rFonts w:ascii="Arial"/>
          <w:color w:val="000000"/>
          <w:sz w:val="22"/>
          <w:rtl w:val="off"/>
          <w:lang w:val="en-US"/>
        </w:rPr>
        <w:t>is a mood disorder characterised by a persistent low mood and related symptoms; it is often assessed in older populations using tools such as the Geriatric Depression Scale (GDS) (Smith et al., 2021).</w:t>
      </w:r>
      <w:r>
        <w:rPr>
          <w:rFonts w:ascii="Arial"/>
          <w:color w:val="000000"/>
          <w:sz w:val="22"/>
          <w:highlight w:val="none"/>
          <w:rtl w:val="off"/>
          <w:lang w:val="en-US"/>
        </w:rPr>
        <w:t xml:space="preserve"> </w:t>
      </w:r>
    </w:p>
    <w:p w14:paraId="00000090">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lang w:val="en-US"/>
        </w:rPr>
      </w:pPr>
      <w:r>
        <w:rPr>
          <w:rFonts w:ascii="Arial"/>
          <w:b/>
          <w:color w:val="000000"/>
          <w:sz w:val="22"/>
          <w:rtl w:val="off"/>
          <w:lang w:val="en-US"/>
        </w:rPr>
        <w:t xml:space="preserve"> Anxiety </w:t>
      </w:r>
      <w:r>
        <w:rPr>
          <w:rFonts w:ascii="Arial"/>
          <w:color w:val="000000"/>
          <w:sz w:val="22"/>
          <w:rtl w:val="off"/>
          <w:lang w:val="en-US"/>
        </w:rPr>
        <w:t>is a long-term condition that is often measured in older people with tools like the Generalised Anxiety Disorder (GAD) scale (Graham et al., 2020).</w:t>
      </w:r>
      <w:r>
        <w:rPr>
          <w:rFonts w:ascii="Arial"/>
          <w:color w:val="000000"/>
          <w:sz w:val="22"/>
          <w:highlight w:val="none"/>
          <w:rtl w:val="off"/>
          <w:lang w:val="en-US"/>
        </w:rPr>
        <w:t xml:space="preserve"> </w:t>
      </w:r>
    </w:p>
    <w:p w14:paraId="00000091">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lang w:val="en-US"/>
        </w:rPr>
      </w:pPr>
      <w:r>
        <w:rPr>
          <w:rFonts w:ascii="Arial"/>
          <w:b/>
          <w:color w:val="000000"/>
          <w:sz w:val="22"/>
          <w:rtl w:val="off"/>
          <w:lang w:val="en-US"/>
        </w:rPr>
        <w:t>Acronyms and Abbreviations</w:t>
      </w:r>
      <w:r>
        <w:rPr>
          <w:rFonts w:ascii="Arial"/>
          <w:color w:val="000000"/>
          <w:sz w:val="22"/>
          <w:highlight w:val="none"/>
          <w:rtl w:val="off"/>
          <w:lang w:val="en-US"/>
        </w:rPr>
        <w:t xml:space="preserve"> </w:t>
      </w:r>
    </w:p>
    <w:p w14:paraId="00000092">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lang w:val="en-US"/>
        </w:rPr>
      </w:pPr>
      <w:r>
        <w:rPr>
          <w:rFonts w:ascii="Arial"/>
          <w:color w:val="000000"/>
          <w:sz w:val="22"/>
          <w:rtl w:val="off"/>
          <w:lang w:val="en-US"/>
        </w:rPr>
        <w:t>NHS: National Health Service</w:t>
      </w:r>
      <w:r>
        <w:rPr>
          <w:rFonts w:ascii="Arial"/>
          <w:color w:val="000000"/>
          <w:sz w:val="22"/>
          <w:highlight w:val="none"/>
          <w:rtl w:val="off"/>
          <w:lang w:val="en-US"/>
        </w:rPr>
        <w:t xml:space="preserve"> </w:t>
      </w:r>
    </w:p>
    <w:p w14:paraId="00000093">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lang w:val="en-US"/>
        </w:rPr>
      </w:pPr>
      <w:r>
        <w:rPr>
          <w:rFonts w:ascii="Arial"/>
          <w:color w:val="000000"/>
          <w:sz w:val="22"/>
          <w:rtl w:val="off"/>
          <w:lang w:val="en-US"/>
        </w:rPr>
        <w:t>ONS: Office for National Statistics</w:t>
      </w:r>
      <w:r>
        <w:rPr>
          <w:rFonts w:ascii="Arial"/>
          <w:color w:val="000000"/>
          <w:sz w:val="22"/>
          <w:highlight w:val="none"/>
          <w:rtl w:val="off"/>
          <w:lang w:val="en-US"/>
        </w:rPr>
        <w:t xml:space="preserve"> </w:t>
      </w:r>
    </w:p>
    <w:p w14:paraId="00000094">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lang w:val="en-US"/>
        </w:rPr>
      </w:pPr>
      <w:r>
        <w:rPr>
          <w:rFonts w:ascii="Arial"/>
          <w:color w:val="000000"/>
          <w:sz w:val="22"/>
          <w:rtl w:val="off"/>
          <w:lang w:val="en-US"/>
        </w:rPr>
        <w:t>UK: United Kingdom</w:t>
      </w:r>
      <w:r>
        <w:rPr>
          <w:rFonts w:ascii="Arial"/>
          <w:color w:val="000000"/>
          <w:sz w:val="22"/>
          <w:highlight w:val="none"/>
          <w:rtl w:val="off"/>
          <w:lang w:val="en-US"/>
        </w:rPr>
        <w:t xml:space="preserve"> </w:t>
      </w:r>
    </w:p>
    <w:p w14:paraId="00000095">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lang w:val="en-US"/>
        </w:rPr>
      </w:pPr>
      <w:r>
        <w:rPr>
          <w:rFonts w:ascii="Arial"/>
          <w:color w:val="000000"/>
          <w:sz w:val="22"/>
          <w:rtl w:val="off"/>
          <w:lang w:val="en-US"/>
        </w:rPr>
        <w:t>To understand the dissertation, you must know what these acronyms mean. The stated definitions will guide the selection of studies, data extraction, and synthesis across UK data sources.</w:t>
      </w:r>
      <w:r>
        <w:rPr>
          <w:rFonts w:ascii="Arial"/>
          <w:color w:val="000000"/>
          <w:sz w:val="22"/>
          <w:highlight w:val="none"/>
          <w:rtl w:val="off"/>
          <w:lang w:val="en-US"/>
        </w:rPr>
        <w:t xml:space="preserve"> </w:t>
      </w:r>
    </w:p>
    <w:p w14:paraId="00000096">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lang w:val="en-US"/>
        </w:rPr>
      </w:pPr>
      <w:r>
        <w:rPr>
          <w:rFonts w:ascii="Arial"/>
          <w:color w:val="000000"/>
          <w:sz w:val="22"/>
          <w:rtl w:val="off"/>
          <w:lang w:val="en-US"/>
        </w:rPr>
        <w:t>GAD: Generalised Anxiety Disorder</w:t>
      </w:r>
      <w:r>
        <w:rPr>
          <w:rFonts w:ascii="Arial"/>
          <w:color w:val="000000"/>
          <w:sz w:val="22"/>
          <w:highlight w:val="none"/>
          <w:rtl w:val="off"/>
          <w:lang w:val="en-US"/>
        </w:rPr>
        <w:t xml:space="preserve"> </w:t>
      </w:r>
    </w:p>
    <w:p w14:paraId="00000097">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lang w:val="en-US"/>
        </w:rPr>
      </w:pPr>
      <w:r>
        <w:rPr>
          <w:rFonts w:ascii="Arial"/>
          <w:color w:val="000000"/>
          <w:sz w:val="22"/>
          <w:rtl w:val="off"/>
          <w:lang w:val="en-US"/>
        </w:rPr>
        <w:t xml:space="preserve">WHO: World Health Organisation </w:t>
      </w:r>
      <w:r>
        <w:rPr>
          <w:rFonts w:ascii="Arial"/>
          <w:color w:val="000000"/>
          <w:sz w:val="22"/>
          <w:highlight w:val="none"/>
          <w:rtl w:val="off"/>
          <w:lang w:val="en-US"/>
        </w:rPr>
        <w:t xml:space="preserve"> </w:t>
      </w:r>
    </w:p>
    <w:p w14:paraId="00000098">
      <w:pPr>
        <w:pStyle w:val="Paragraph"/>
        <w:spacing w:before="0" w:after="0" w:line="360" w:lineRule="auto"/>
        <w:jc w:val="both"/>
        <w:rPr>
          <w:rFonts w:ascii="Aptos" w:cs="Segoe UI" w:hAnsi="Aptos"/>
          <w:color w:val="0f4761"/>
          <w:sz w:val="16"/>
          <w:szCs w:val="16"/>
        </w:rPr>
      </w:pPr>
    </w:p>
    <w:p w14:paraId="00000099">
      <w:pPr>
        <w:pStyle w:val="Paragraph"/>
        <w:spacing w:before="0" w:after="0" w:line="360" w:lineRule="auto"/>
        <w:jc w:val="both"/>
        <w:rPr>
          <w:rFonts w:ascii="Aptos" w:cs="Segoe UI" w:hAnsi="Aptos"/>
          <w:color w:val="0f4761"/>
          <w:sz w:val="16"/>
          <w:szCs w:val="16"/>
        </w:rPr>
      </w:pPr>
      <w:r>
        <w:rPr>
          <w:rStyle w:val="Normaltextrun"/>
          <w:rFonts w:ascii="Aptos" w:cs="Arial" w:hAnsi="Aptos"/>
          <w:color w:val="0f4761"/>
        </w:rPr>
        <w:t xml:space="preserve">1.3 Rationale for Research </w:t>
      </w:r>
    </w:p>
    <w:p w14:paraId="0000009A">
      <w:pPr>
        <w:framePr w:w="0" w:h="0" w:vAnchor="margin" w:hAnchor="text" w:x="0" w:y="0"/>
        <w:numPr>
          <w:ilvl w:val="0"/>
          <w:numId w:val="145"/>
        </w:numPr>
        <w:pBdr>
          <w:top w:val="none" w:sz="4" w:space="0"/>
          <w:left w:val="none" w:sz="4" w:space="0"/>
          <w:bottom w:val="none" w:sz="4" w:space="0"/>
          <w:right w:val="none" w:sz="4" w:space="0"/>
          <w:between w:val="none" w:sz="4" w:space="0"/>
          <w:bar w:val="none" w:sz="4" w:space="0"/>
        </w:pBdr>
        <w:shd w:val="clear" w:fill="ffffff"/>
        <w:tabs>
          <w:tab w:val="left" w:pos="0"/>
        </w:tabs>
        <w:bidi w:val="off"/>
        <w:spacing w:before="0" w:after="0" w:line="360" w:lineRule="auto"/>
        <w:ind w:left="0" w:right="0" w:hanging="360"/>
        <w:jc w:val="both"/>
        <w:rPr>
          <w:rFonts w:ascii="Arial" w:cs="Arial" w:hAnsi="Arial"/>
          <w:color w:val="000000"/>
          <w:sz w:val="22"/>
          <w:lang w:val="en-US"/>
        </w:rPr>
      </w:pPr>
      <w:r>
        <w:rPr>
          <w:rFonts w:ascii="Arial" w:cs="Arial" w:hAnsi="Arial"/>
          <w:b/>
          <w:color w:val="000000"/>
          <w:sz w:val="22"/>
          <w:rtl w:val="off"/>
          <w:lang w:val="en-US"/>
        </w:rPr>
        <w:t>Purpose of the Research</w:t>
      </w:r>
      <w:r>
        <w:rPr>
          <w:rFonts w:ascii="Arial" w:cs="Arial" w:hAnsi="Arial"/>
          <w:color w:val="000000"/>
          <w:sz w:val="22"/>
          <w:highlight w:val="none"/>
          <w:rtl w:val="off"/>
          <w:lang w:val="en-US"/>
        </w:rPr>
        <w:t xml:space="preserve"> </w:t>
      </w:r>
    </w:p>
    <w:p w14:paraId="0000009B">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s="Arial" w:hAnsi="Arial"/>
          <w:color w:val="000000"/>
          <w:sz w:val="22"/>
          <w:lang w:val="en-US"/>
        </w:rPr>
      </w:pPr>
      <w:r>
        <w:rPr>
          <w:rFonts w:ascii="Arial" w:cs="Arial" w:hAnsi="Arial"/>
          <w:color w:val="000000"/>
          <w:sz w:val="22"/>
          <w:rtl w:val="off"/>
          <w:lang w:val="en-US"/>
        </w:rPr>
        <w:t>This secondary research, centred on the UK, is conducted due to the widespread impact of loneliness and isolation on the mental health of elderly people, which is influenced by an extensive range of socioeconomic variables. Given the ageing population in the UK and the disparities in housing, transit, digital inclusion, and service delivery across regions, it is essential to comprehend the relationship between subjective loneliness and objective isolation with depressive and anxious outcomes for effective policy formulation. The objective of the study is to create a cohesive, policy-relevant evidence base by synthesising national surveys, longitudinal cohorts, and policy evaluations to guide resource allocation, service design, and public health messaging (NHS Digital 2023; ONS, 2023). A biopsychosocial perspective facilitates the analysis of pathways connecting social determinants to mood disorders via processes including perceived social support, social engagement, and healthcare accessibility (Courtin and Knapp, 2017).</w:t>
      </w:r>
      <w:r>
        <w:rPr>
          <w:rFonts w:ascii="Arial" w:cs="Arial" w:hAnsi="Arial"/>
          <w:color w:val="000000"/>
          <w:sz w:val="22"/>
          <w:highlight w:val="none"/>
          <w:rtl w:val="off"/>
          <w:lang w:val="en-US"/>
        </w:rPr>
        <w:t xml:space="preserve"> </w:t>
      </w:r>
    </w:p>
    <w:p w14:paraId="0000009C">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right="0"/>
        <w:jc w:val="both"/>
        <w:rPr>
          <w:rFonts w:ascii="Arial" w:cs="Arial" w:hAnsi="Arial"/>
          <w:color w:val="000000"/>
          <w:sz w:val="22"/>
          <w:lang w:val="en-US"/>
        </w:rPr>
      </w:pPr>
      <w:r>
        <w:rPr>
          <w:rFonts w:ascii="Arial" w:cs="Arial" w:hAnsi="Arial"/>
          <w:b/>
          <w:color w:val="000000"/>
          <w:sz w:val="22"/>
          <w:rtl w:val="off"/>
          <w:lang w:val="en-US"/>
        </w:rPr>
        <w:t>Identified Problems and Research Gaps:</w:t>
      </w:r>
      <w:r>
        <w:rPr>
          <w:rFonts w:ascii="Arial" w:cs="Arial" w:hAnsi="Arial"/>
          <w:color w:val="000000"/>
          <w:sz w:val="22"/>
          <w:highlight w:val="none"/>
          <w:rtl w:val="off"/>
          <w:lang w:val="en-US"/>
        </w:rPr>
        <w:t xml:space="preserve"> </w:t>
      </w:r>
    </w:p>
    <w:p w14:paraId="0000009D">
      <w:pPr>
        <w:framePr w:w="0" w:h="0" w:vAnchor="margin" w:hAnchor="text" w:x="0" w:y="0"/>
        <w:numPr>
          <w:ilvl w:val="0"/>
          <w:numId w:val="147"/>
        </w:numPr>
        <w:pBdr>
          <w:top w:val="none" w:sz="4" w:space="0"/>
          <w:left w:val="none" w:sz="4" w:space="0"/>
          <w:bottom w:val="none" w:sz="4" w:space="0"/>
          <w:right w:val="none" w:sz="4" w:space="0"/>
          <w:between w:val="none" w:sz="4" w:space="0"/>
          <w:bar w:val="none" w:sz="4" w:space="0"/>
        </w:pBdr>
        <w:shd w:val="clear" w:fill="ffffff"/>
        <w:tabs>
          <w:tab w:val="left" w:pos="0"/>
        </w:tabs>
        <w:bidi w:val="off"/>
        <w:spacing w:before="0" w:after="0" w:line="360" w:lineRule="auto"/>
        <w:jc w:val="both"/>
        <w:rPr>
          <w:rFonts w:ascii="Arial" w:cs="Arial" w:hAnsi="Arial"/>
          <w:color w:val="000000"/>
          <w:sz w:val="22"/>
          <w:lang w:val="en-US"/>
        </w:rPr>
      </w:pPr>
      <w:r>
        <w:rPr>
          <w:rFonts w:ascii="Arial" w:cs="Arial" w:hAnsi="Arial"/>
          <w:b/>
          <w:color w:val="000000"/>
          <w:sz w:val="22"/>
          <w:rtl w:val="off"/>
          <w:lang w:val="en-US"/>
        </w:rPr>
        <w:t>Measurement variability</w:t>
      </w:r>
      <w:r>
        <w:rPr>
          <w:rFonts w:ascii="Arial" w:cs="Arial" w:hAnsi="Arial"/>
          <w:color w:val="000000"/>
          <w:sz w:val="22"/>
          <w:rtl w:val="off"/>
          <w:lang w:val="en-US"/>
        </w:rPr>
        <w:t xml:space="preserve">: The existence of several loneliness and mental health instruments complicates synthesis and comparison (Manea et al., 2012). </w:t>
      </w:r>
      <w:r>
        <w:rPr>
          <w:rFonts w:ascii="Arial" w:cs="Arial" w:hAnsi="Arial"/>
          <w:color w:val="000000"/>
          <w:sz w:val="22"/>
          <w:highlight w:val="none"/>
          <w:rtl w:val="off"/>
          <w:lang w:val="en-US"/>
        </w:rPr>
        <w:t xml:space="preserve"> </w:t>
      </w:r>
    </w:p>
    <w:p w14:paraId="0000009E">
      <w:pPr>
        <w:framePr w:w="0" w:h="0" w:vAnchor="margin" w:hAnchor="text" w:x="0" w:y="0"/>
        <w:numPr>
          <w:ilvl w:val="0"/>
          <w:numId w:val="147"/>
        </w:numPr>
        <w:pBdr>
          <w:top w:val="none" w:sz="4" w:space="0"/>
          <w:left w:val="none" w:sz="4" w:space="0"/>
          <w:bottom w:val="none" w:sz="4" w:space="0"/>
          <w:right w:val="none" w:sz="4" w:space="0"/>
          <w:between w:val="none" w:sz="4" w:space="0"/>
          <w:bar w:val="none" w:sz="4" w:space="0"/>
        </w:pBdr>
        <w:shd w:val="clear" w:fill="ffffff"/>
        <w:tabs>
          <w:tab w:val="left" w:pos="0"/>
        </w:tabs>
        <w:bidi w:val="off"/>
        <w:spacing w:before="0" w:after="0" w:line="360" w:lineRule="auto"/>
        <w:jc w:val="both"/>
        <w:rPr>
          <w:rFonts w:ascii="Arial" w:cs="Arial" w:hAnsi="Arial"/>
          <w:color w:val="000000"/>
          <w:sz w:val="22"/>
          <w:lang w:val="en-US"/>
        </w:rPr>
      </w:pPr>
      <w:r>
        <w:rPr>
          <w:rFonts w:ascii="Arial" w:cs="Arial" w:hAnsi="Arial"/>
          <w:b/>
          <w:color w:val="000000"/>
          <w:sz w:val="22"/>
          <w:rtl w:val="off"/>
          <w:lang w:val="en-US"/>
        </w:rPr>
        <w:t xml:space="preserve">Longitudinal gaps: </w:t>
      </w:r>
      <w:r>
        <w:rPr>
          <w:rFonts w:ascii="Arial" w:cs="Arial" w:hAnsi="Arial"/>
          <w:color w:val="000000"/>
          <w:sz w:val="22"/>
          <w:rtl w:val="off"/>
          <w:lang w:val="en-US"/>
        </w:rPr>
        <w:t>There is not enough longitudinal evidence from the UK that connects loneliness and isolation to mental disorders (ONS, 2023).</w:t>
      </w:r>
      <w:r>
        <w:rPr>
          <w:rFonts w:ascii="Arial" w:cs="Arial" w:hAnsi="Arial"/>
          <w:color w:val="000000"/>
          <w:sz w:val="22"/>
          <w:highlight w:val="none"/>
          <w:rtl w:val="off"/>
          <w:lang w:val="en-US"/>
        </w:rPr>
        <w:t xml:space="preserve"> </w:t>
      </w:r>
    </w:p>
    <w:p w14:paraId="0000009F">
      <w:pPr>
        <w:framePr w:w="0" w:h="0" w:vAnchor="margin" w:hAnchor="text" w:x="0" w:y="0"/>
        <w:numPr>
          <w:ilvl w:val="0"/>
          <w:numId w:val="147"/>
        </w:numPr>
        <w:pBdr>
          <w:top w:val="none" w:sz="4" w:space="0"/>
          <w:left w:val="none" w:sz="4" w:space="0"/>
          <w:bottom w:val="none" w:sz="4" w:space="0"/>
          <w:right w:val="none" w:sz="4" w:space="0"/>
          <w:between w:val="none" w:sz="4" w:space="0"/>
          <w:bar w:val="none" w:sz="4" w:space="0"/>
        </w:pBdr>
        <w:shd w:val="clear" w:fill="ffffff"/>
        <w:tabs>
          <w:tab w:val="left" w:pos="0"/>
        </w:tabs>
        <w:bidi w:val="off"/>
        <w:spacing w:before="0" w:after="0" w:line="360" w:lineRule="auto"/>
        <w:jc w:val="both"/>
        <w:rPr>
          <w:rFonts w:ascii="Arial" w:cs="Arial" w:hAnsi="Arial"/>
          <w:color w:val="000000"/>
          <w:sz w:val="22"/>
          <w:lang w:val="en-US"/>
        </w:rPr>
      </w:pPr>
      <w:r>
        <w:rPr>
          <w:rFonts w:ascii="Arial" w:cs="Arial" w:hAnsi="Arial"/>
          <w:b/>
          <w:color w:val="000000"/>
          <w:sz w:val="22"/>
          <w:rtl w:val="off"/>
          <w:lang w:val="en-US"/>
        </w:rPr>
        <w:t xml:space="preserve">Policy integration: </w:t>
      </w:r>
      <w:r>
        <w:rPr>
          <w:rFonts w:ascii="Arial" w:cs="Arial" w:hAnsi="Arial"/>
          <w:color w:val="000000"/>
          <w:sz w:val="22"/>
          <w:rtl w:val="off"/>
          <w:lang w:val="en-US"/>
        </w:rPr>
        <w:t>inadequate blending of policy assessments with empirical evidence to inform interventions and commissioning (Wetter et al., 2017).</w:t>
      </w:r>
      <w:r>
        <w:rPr>
          <w:rFonts w:ascii="Arial" w:cs="Arial" w:hAnsi="Arial"/>
          <w:color w:val="000000"/>
          <w:sz w:val="22"/>
          <w:highlight w:val="none"/>
          <w:rtl w:val="off"/>
          <w:lang w:val="en-US"/>
        </w:rPr>
        <w:t xml:space="preserve"> </w:t>
      </w:r>
    </w:p>
    <w:p w14:paraId="000000A0">
      <w:pPr>
        <w:framePr w:w="0" w:h="0" w:vAnchor="margin" w:hAnchor="text" w:x="0" w:y="0"/>
        <w:numPr>
          <w:ilvl w:val="0"/>
          <w:numId w:val="147"/>
        </w:numPr>
        <w:pBdr>
          <w:top w:val="none" w:sz="4" w:space="0"/>
          <w:left w:val="none" w:sz="4" w:space="0"/>
          <w:bottom w:val="none" w:sz="4" w:space="0"/>
          <w:right w:val="none" w:sz="4" w:space="0"/>
          <w:between w:val="none" w:sz="4" w:space="0"/>
          <w:bar w:val="none" w:sz="4" w:space="0"/>
        </w:pBdr>
        <w:shd w:val="clear" w:fill="ffffff"/>
        <w:tabs>
          <w:tab w:val="left" w:pos="0"/>
        </w:tabs>
        <w:bidi w:val="off"/>
        <w:spacing w:before="0" w:after="0" w:line="360" w:lineRule="auto"/>
        <w:jc w:val="both"/>
        <w:rPr>
          <w:rFonts w:ascii="Arial" w:cs="Arial" w:hAnsi="Arial"/>
          <w:color w:val="000000"/>
          <w:sz w:val="22"/>
          <w:lang w:val="en-US"/>
        </w:rPr>
      </w:pPr>
      <w:r>
        <w:rPr>
          <w:rFonts w:ascii="Arial" w:cs="Arial" w:hAnsi="Arial"/>
          <w:b/>
          <w:color w:val="000000"/>
          <w:sz w:val="22"/>
          <w:rtl w:val="off"/>
          <w:lang w:val="en-US"/>
        </w:rPr>
        <w:t xml:space="preserve">Equity: </w:t>
      </w:r>
      <w:r>
        <w:rPr>
          <w:rFonts w:ascii="Arial" w:cs="Arial" w:hAnsi="Arial"/>
          <w:color w:val="000000"/>
          <w:sz w:val="22"/>
          <w:rtl w:val="off"/>
          <w:lang w:val="en-US"/>
        </w:rPr>
        <w:t>A detailed examination of differences between subgroups based on area, socioeconomic level, and housing arrangements is necessary (Age UK, 2022).</w:t>
      </w:r>
      <w:r>
        <w:rPr>
          <w:rFonts w:ascii="Arial" w:cs="Arial" w:hAnsi="Arial"/>
          <w:color w:val="000000"/>
          <w:sz w:val="22"/>
          <w:highlight w:val="none"/>
          <w:rtl w:val="off"/>
          <w:lang w:val="en-US"/>
        </w:rPr>
        <w:t xml:space="preserve"> </w:t>
      </w:r>
    </w:p>
    <w:p w14:paraId="000000A1">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s="Arial" w:hAnsi="Arial"/>
          <w:b/>
          <w:color w:val="000000"/>
          <w:sz w:val="22"/>
          <w:rtl w:val="off"/>
          <w:lang w:val="en-US"/>
        </w:rPr>
      </w:pPr>
    </w:p>
    <w:p w14:paraId="000000A2">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s="Arial" w:hAnsi="Arial"/>
          <w:color w:val="000000"/>
          <w:sz w:val="22"/>
          <w:lang w:val="en-US"/>
        </w:rPr>
      </w:pPr>
      <w:r>
        <w:rPr>
          <w:rFonts w:ascii="Arial" w:cs="Arial" w:hAnsi="Arial"/>
          <w:b/>
          <w:color w:val="000000"/>
          <w:sz w:val="22"/>
          <w:rtl w:val="off"/>
          <w:lang w:val="en-US"/>
        </w:rPr>
        <w:t>Contribution:</w:t>
      </w:r>
      <w:r>
        <w:rPr>
          <w:rFonts w:ascii="Arial" w:cs="Arial" w:hAnsi="Arial"/>
          <w:color w:val="000000"/>
          <w:sz w:val="22"/>
          <w:highlight w:val="none"/>
          <w:rtl w:val="off"/>
          <w:lang w:val="en-US"/>
        </w:rPr>
        <w:t xml:space="preserve"> </w:t>
      </w:r>
    </w:p>
    <w:p w14:paraId="000000A3">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s="Arial" w:hAnsi="Arial"/>
          <w:sz w:val="22"/>
          <w:szCs w:val="22"/>
        </w:rPr>
      </w:pPr>
      <w:r>
        <w:rPr>
          <w:rFonts w:ascii="Arial" w:cs="Arial" w:hAnsi="Arial"/>
          <w:color w:val="000000"/>
          <w:sz w:val="22"/>
          <w:rtl w:val="off"/>
          <w:lang w:val="en-US"/>
        </w:rPr>
        <w:t xml:space="preserve"> The study will (a) delineate the prevalence and trajectories of loneliness and social isolation among UK adults aged 65 and older, (b) quantify the magnitude and direction of associations with depressive and anxious symptoms, (c) identify moderators and equity considerations to guide targeted policy and practice, and (d) evaluate UK-based interventions and policies to ascertain their effectiveness, target populations, and contextual factors. Using a biopsychosocial framework, this study will contextualise UK findings within global knowledge to enhance the relevance and dissemination of policies (Wittenberg et al., 2019).</w:t>
      </w:r>
      <w:r>
        <w:rPr>
          <w:rFonts w:ascii="Arial" w:cs="Arial" w:hAnsi="Arial"/>
          <w:color w:val="000000"/>
          <w:sz w:val="22"/>
          <w:highlight w:val="none"/>
          <w:rtl w:val="off"/>
          <w:lang w:val="en-US"/>
        </w:rPr>
        <w:t xml:space="preserve"> </w:t>
      </w:r>
      <w:r>
        <w:rPr>
          <w:rStyle w:val="Eop"/>
          <w:rFonts w:ascii="Arial" w:cs="Arial" w:hAnsi="Arial"/>
          <w:sz w:val="22"/>
          <w:szCs w:val="22"/>
        </w:rPr>
        <w:t> </w:t>
      </w:r>
    </w:p>
    <w:p w14:paraId="000000A4">
      <w:pPr>
        <w:pStyle w:val="Paragraph"/>
        <w:spacing w:before="0" w:after="0" w:line="360" w:lineRule="auto"/>
        <w:jc w:val="both"/>
        <w:rPr>
          <w:rFonts w:ascii="Aptos" w:cs="Segoe UI" w:hAnsi="Aptos"/>
          <w:sz w:val="16"/>
          <w:szCs w:val="16"/>
        </w:rPr>
      </w:pPr>
      <w:r>
        <w:rPr>
          <w:rStyle w:val="Eop"/>
          <w:rFonts w:ascii="Aptos" w:cs="Arial" w:hAnsi="Aptos"/>
          <w:sz w:val="22"/>
          <w:szCs w:val="22"/>
        </w:rPr>
        <w:t> </w:t>
      </w:r>
    </w:p>
    <w:p w14:paraId="000000A5">
      <w:pPr>
        <w:pStyle w:val="Paragraph"/>
        <w:spacing w:before="0" w:after="0" w:line="360" w:lineRule="auto"/>
        <w:jc w:val="both"/>
        <w:rPr>
          <w:rFonts w:ascii="Aptos" w:cs="Segoe UI" w:hAnsi="Aptos"/>
          <w:color w:val="0f4761"/>
          <w:sz w:val="16"/>
          <w:szCs w:val="16"/>
        </w:rPr>
      </w:pPr>
      <w:r>
        <w:rPr>
          <w:rStyle w:val="Normaltextrun"/>
          <w:rFonts w:ascii="Aptos" w:cs="Arial" w:hAnsi="Aptos"/>
          <w:color w:val="0f4761"/>
        </w:rPr>
        <w:t xml:space="preserve">1.4 Aim and Objectives </w:t>
      </w:r>
    </w:p>
    <w:p w14:paraId="000000A6">
      <w:pPr>
        <w:pStyle w:val="Paragraph"/>
        <w:numPr>
          <w:ilvl w:val="0"/>
          <w:numId w:val="24"/>
        </w:numPr>
        <w:tabs>
          <w:tab w:val="clear" w:pos="720"/>
          <w:tab w:val="num" w:pos="360"/>
        </w:tabs>
        <w:spacing w:before="0" w:after="0" w:line="360" w:lineRule="auto"/>
        <w:ind w:firstLine="0"/>
        <w:jc w:val="both"/>
        <w:rPr>
          <w:rFonts w:ascii="Aptos" w:cs="Arial" w:hAnsi="Aptos"/>
          <w:sz w:val="22"/>
          <w:szCs w:val="22"/>
        </w:rPr>
      </w:pPr>
      <w:r>
        <w:rPr>
          <w:rStyle w:val="Normaltextrun"/>
          <w:rFonts w:ascii="Aptos" w:cs="Arial" w:hAnsi="Aptos"/>
          <w:b/>
          <w:bCs/>
          <w:sz w:val="22"/>
          <w:szCs w:val="22"/>
        </w:rPr>
        <w:t>Research Aim:</w:t>
      </w:r>
      <w:r>
        <w:rPr>
          <w:rStyle w:val="Eop"/>
          <w:rFonts w:ascii="Aptos" w:cs="Arial" w:hAnsi="Aptos"/>
          <w:sz w:val="22"/>
          <w:szCs w:val="22"/>
        </w:rPr>
        <w:t> </w:t>
      </w:r>
    </w:p>
    <w:p w14:paraId="000000A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ptos" w:cs="Arial" w:hAnsi="Aptos"/>
          <w:sz w:val="22"/>
          <w:szCs w:val="22"/>
        </w:rPr>
      </w:pPr>
      <w:r>
        <w:rPr>
          <w:rFonts w:ascii="Arial"/>
          <w:color w:val="000000"/>
          <w:sz w:val="22"/>
          <w:highlight w:val="white"/>
          <w:rtl w:val="off"/>
          <w:lang w:val="en-US"/>
        </w:rPr>
        <w:t>The aim of this research is to examine the effect of loneliness and mental health in the elderly and explore the impact of social isolation on depression and anxiety in the UK. By investigating these connections, the research aims to emphasise how important it is to treat loneliness to enhance older people’s overall mental health and wellbeing.</w:t>
      </w:r>
      <w:r>
        <w:rPr>
          <w:rFonts w:ascii="Arial"/>
          <w:color w:val="000000"/>
          <w:sz w:val="22"/>
          <w:highlight w:val="none"/>
          <w:rtl w:val="off"/>
          <w:lang w:val="en-US"/>
        </w:rPr>
        <w:t xml:space="preserve"> </w:t>
      </w:r>
      <w:r>
        <w:rPr>
          <w:rFonts w:ascii="Segoe UI"/>
          <w:color w:val="000000"/>
          <w:sz w:val="18"/>
          <w:rtl w:val="off"/>
          <w:lang w:val="en-US"/>
        </w:rPr>
        <w:t xml:space="preserve"> </w:t>
      </w:r>
    </w:p>
    <w:p w14:paraId="000000A8">
      <w:pPr>
        <w:pStyle w:val="Paragraph"/>
        <w:numPr>
          <w:ilvl w:val="0"/>
          <w:numId w:val="26"/>
        </w:numPr>
        <w:tabs>
          <w:tab w:val="clear" w:pos="720"/>
          <w:tab w:val="num" w:pos="360"/>
        </w:tabs>
        <w:spacing w:before="0" w:after="0" w:line="360" w:lineRule="auto"/>
        <w:ind w:firstLine="0"/>
        <w:jc w:val="both"/>
        <w:rPr>
          <w:rFonts w:ascii="Aptos" w:cs="Arial" w:hAnsi="Aptos"/>
          <w:sz w:val="22"/>
          <w:szCs w:val="22"/>
        </w:rPr>
      </w:pPr>
      <w:r>
        <w:rPr>
          <w:rStyle w:val="Normaltextrun"/>
          <w:rFonts w:ascii="Aptos" w:cs="Arial" w:hAnsi="Aptos"/>
          <w:b/>
          <w:bCs/>
          <w:sz w:val="22"/>
          <w:szCs w:val="22"/>
        </w:rPr>
        <w:t>Research Objectives:</w:t>
      </w:r>
      <w:r>
        <w:rPr>
          <w:rStyle w:val="Eop"/>
          <w:rFonts w:ascii="Aptos" w:cs="Arial" w:hAnsi="Aptos"/>
          <w:sz w:val="22"/>
          <w:szCs w:val="22"/>
        </w:rPr>
        <w:t> </w:t>
      </w:r>
    </w:p>
    <w:p w14:paraId="000000A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ptos" w:cs="Segoe UI" w:hAnsi="Aptos"/>
          <w:sz w:val="16"/>
          <w:szCs w:val="16"/>
        </w:rPr>
      </w:pPr>
      <w:r>
        <w:rPr>
          <w:rStyle w:val="Normaltextrun"/>
          <w:rFonts w:ascii="Aptos" w:cs="Arial" w:hAnsi="Aptos"/>
          <w:b/>
          <w:bCs/>
          <w:sz w:val="22"/>
          <w:szCs w:val="22"/>
        </w:rPr>
        <w:t>Objective 1:</w:t>
      </w:r>
      <w:r>
        <w:rPr>
          <w:rStyle w:val="Normaltextrun"/>
          <w:rFonts w:ascii="Aptos" w:cs="Arial" w:hAnsi="Aptos"/>
          <w:sz w:val="22"/>
          <w:szCs w:val="22"/>
        </w:rPr>
        <w:t> </w:t>
      </w:r>
      <w:r>
        <w:rPr>
          <w:rStyle w:val="Eop"/>
          <w:rFonts w:ascii="Aptos" w:cs="Arial" w:hAnsi="Aptos"/>
          <w:sz w:val="22"/>
          <w:szCs w:val="22"/>
        </w:rPr>
        <w:t> </w:t>
      </w:r>
      <w:r>
        <w:rPr>
          <w:rFonts w:ascii="Arial"/>
          <w:color w:val="000000"/>
          <w:sz w:val="22"/>
          <w:highlight w:val="white"/>
          <w:rtl w:val="off"/>
          <w:lang w:val="en-US"/>
        </w:rPr>
        <w:t xml:space="preserve">To define and assess the level and prevalence of loneliness among the elderly in the UK. </w:t>
      </w:r>
      <w:r>
        <w:rPr>
          <w:rFonts w:ascii="Arial"/>
          <w:color w:val="000000"/>
          <w:sz w:val="22"/>
          <w:highlight w:val="none"/>
          <w:rtl w:val="off"/>
          <w:lang w:val="en-US"/>
        </w:rPr>
        <w:t xml:space="preserve"> </w:t>
      </w:r>
      <w:r>
        <w:rPr>
          <w:rFonts w:ascii="Segoe UI"/>
          <w:color w:val="000000"/>
          <w:sz w:val="18"/>
          <w:rtl w:val="off"/>
          <w:lang w:val="en-US"/>
        </w:rPr>
        <w:t xml:space="preserve"> </w:t>
      </w:r>
    </w:p>
    <w:p w14:paraId="000000A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ptos" w:cs="Segoe UI" w:hAnsi="Aptos"/>
          <w:sz w:val="16"/>
          <w:szCs w:val="16"/>
        </w:rPr>
      </w:pPr>
      <w:r>
        <w:rPr>
          <w:rStyle w:val="Normaltextrun"/>
          <w:rFonts w:ascii="Aptos" w:cs="Arial" w:hAnsi="Aptos"/>
          <w:b/>
          <w:bCs/>
          <w:sz w:val="22"/>
          <w:szCs w:val="22"/>
        </w:rPr>
        <w:t>Objective 2:</w:t>
      </w:r>
      <w:r>
        <w:rPr>
          <w:rStyle w:val="Normaltextrun"/>
          <w:rFonts w:ascii="Aptos" w:cs="Arial" w:hAnsi="Aptos"/>
          <w:sz w:val="22"/>
          <w:szCs w:val="22"/>
        </w:rPr>
        <w:t> </w:t>
      </w:r>
      <w:r>
        <w:rPr>
          <w:rStyle w:val="Eop"/>
          <w:rFonts w:ascii="Aptos" w:cs="Arial" w:hAnsi="Aptos"/>
          <w:sz w:val="22"/>
          <w:szCs w:val="22"/>
        </w:rPr>
        <w:t> </w:t>
      </w:r>
      <w:r>
        <w:rPr>
          <w:rFonts w:ascii="Arial"/>
          <w:color w:val="000000"/>
          <w:sz w:val="22"/>
          <w:highlight w:val="white"/>
          <w:rtl w:val="off"/>
          <w:lang w:val="en-US"/>
        </w:rPr>
        <w:t xml:space="preserve">To analyse the impact of loneliness and social isolation, as well as their correlation with symptoms of depression and anxiety in various settings. </w:t>
      </w:r>
      <w:r>
        <w:rPr>
          <w:rFonts w:ascii="Arial"/>
          <w:color w:val="000000"/>
          <w:sz w:val="22"/>
          <w:highlight w:val="none"/>
          <w:rtl w:val="off"/>
          <w:lang w:val="en-US"/>
        </w:rPr>
        <w:t xml:space="preserve"> </w:t>
      </w:r>
      <w:r>
        <w:rPr>
          <w:rFonts w:ascii="Segoe UI"/>
          <w:color w:val="000000"/>
          <w:sz w:val="18"/>
          <w:rtl w:val="off"/>
          <w:lang w:val="en-US"/>
        </w:rPr>
        <w:t xml:space="preserve"> </w:t>
      </w:r>
    </w:p>
    <w:p w14:paraId="000000A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ptos" w:cs="Segoe UI" w:hAnsi="Aptos"/>
          <w:sz w:val="16"/>
          <w:szCs w:val="16"/>
        </w:rPr>
      </w:pPr>
      <w:r>
        <w:rPr>
          <w:rStyle w:val="Normaltextrun"/>
          <w:rFonts w:ascii="Aptos" w:cs="Arial" w:hAnsi="Aptos"/>
          <w:b/>
          <w:bCs/>
          <w:sz w:val="22"/>
          <w:szCs w:val="22"/>
        </w:rPr>
        <w:t>Objective 3:</w:t>
      </w:r>
      <w:r>
        <w:rPr>
          <w:rStyle w:val="Normaltextrun"/>
          <w:rFonts w:ascii="Aptos" w:cs="Arial" w:hAnsi="Aptos"/>
          <w:sz w:val="22"/>
          <w:szCs w:val="22"/>
        </w:rPr>
        <w:t> </w:t>
      </w:r>
      <w:r>
        <w:rPr>
          <w:rStyle w:val="Eop"/>
          <w:rFonts w:ascii="Aptos" w:cs="Arial" w:hAnsi="Aptos"/>
          <w:sz w:val="22"/>
          <w:szCs w:val="22"/>
        </w:rPr>
        <w:t> </w:t>
      </w:r>
      <w:r>
        <w:rPr>
          <w:rFonts w:ascii="Arial"/>
          <w:color w:val="000000"/>
          <w:sz w:val="22"/>
          <w:highlight w:val="white"/>
          <w:rtl w:val="off"/>
          <w:lang w:val="en-US"/>
        </w:rPr>
        <w:t>To evaluate the efficacy of existing policies and interventions that are intended to alleviate social isolation in elderly people.</w:t>
      </w:r>
      <w:r>
        <w:rPr>
          <w:rFonts w:ascii="Arial"/>
          <w:color w:val="000000"/>
          <w:sz w:val="22"/>
          <w:highlight w:val="none"/>
          <w:rtl w:val="off"/>
          <w:lang w:val="en-US"/>
        </w:rPr>
        <w:t xml:space="preserve"> </w:t>
      </w:r>
      <w:r>
        <w:rPr>
          <w:rFonts w:ascii="Segoe UI"/>
          <w:color w:val="000000"/>
          <w:sz w:val="18"/>
          <w:rtl w:val="off"/>
          <w:lang w:val="en-US"/>
        </w:rPr>
        <w:t xml:space="preserve"> </w:t>
      </w:r>
    </w:p>
    <w:p w14:paraId="000000A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Segoe UI"/>
          <w:color w:val="000000"/>
          <w:sz w:val="18"/>
          <w:lang w:val="en-US"/>
        </w:rPr>
      </w:pPr>
      <w:r>
        <w:rPr>
          <w:rStyle w:val="Normaltextrun"/>
          <w:rFonts w:ascii="Aptos" w:cs="Arial" w:hAnsi="Aptos"/>
          <w:b/>
          <w:bCs/>
          <w:sz w:val="22"/>
          <w:szCs w:val="22"/>
        </w:rPr>
        <w:t>Objective 4:</w:t>
      </w:r>
      <w:r>
        <w:rPr>
          <w:rStyle w:val="Normaltextrun"/>
          <w:rFonts w:ascii="Aptos" w:cs="Arial" w:hAnsi="Aptos"/>
          <w:sz w:val="22"/>
          <w:szCs w:val="22"/>
        </w:rPr>
        <w:t> </w:t>
      </w:r>
      <w:r>
        <w:rPr>
          <w:rStyle w:val="Eop"/>
          <w:rFonts w:ascii="Aptos" w:cs="Arial" w:hAnsi="Aptos"/>
          <w:sz w:val="22"/>
          <w:szCs w:val="22"/>
        </w:rPr>
        <w:t> </w:t>
      </w:r>
      <w:r>
        <w:rPr>
          <w:rFonts w:ascii="Arial"/>
          <w:color w:val="000000"/>
          <w:sz w:val="22"/>
          <w:highlight w:val="white"/>
          <w:rtl w:val="off"/>
          <w:lang w:val="en-US"/>
        </w:rPr>
        <w:t>Provide evidence-based recommendations for health and social care practice, as well as prospective research, to enhance mental health outcomes and reduce loneliness.</w:t>
      </w:r>
      <w:r>
        <w:rPr>
          <w:rFonts w:ascii="Arial"/>
          <w:color w:val="000000"/>
          <w:sz w:val="22"/>
          <w:highlight w:val="none"/>
          <w:rtl w:val="off"/>
          <w:lang w:val="en-US"/>
        </w:rPr>
        <w:t xml:space="preserve"> </w:t>
      </w:r>
      <w:r>
        <w:rPr>
          <w:rFonts w:ascii="Segoe UI"/>
          <w:color w:val="000000"/>
          <w:sz w:val="18"/>
          <w:rtl w:val="off"/>
          <w:lang w:val="en-US"/>
        </w:rPr>
        <w:t xml:space="preserve"> </w:t>
      </w:r>
    </w:p>
    <w:p w14:paraId="000000AD">
      <w:pPr>
        <w:pStyle w:val="Paragraph"/>
        <w:spacing w:before="0" w:after="0" w:line="360" w:lineRule="auto"/>
        <w:jc w:val="both"/>
        <w:rPr>
          <w:rFonts w:ascii="Aptos" w:cs="Segoe UI" w:hAnsi="Aptos"/>
          <w:sz w:val="16"/>
          <w:szCs w:val="16"/>
        </w:rPr>
      </w:pPr>
    </w:p>
    <w:p w14:paraId="000000AE">
      <w:pPr>
        <w:pStyle w:val="Paragraph"/>
        <w:spacing w:before="0" w:after="0" w:line="360" w:lineRule="auto"/>
        <w:jc w:val="both"/>
        <w:rPr>
          <w:rFonts w:ascii="Aptos" w:cs="Segoe UI" w:hAnsi="Aptos"/>
          <w:sz w:val="16"/>
          <w:szCs w:val="16"/>
        </w:rPr>
      </w:pPr>
      <w:r>
        <w:rPr>
          <w:rStyle w:val="Eop"/>
          <w:rFonts w:ascii="Aptos" w:cs="Arial" w:hAnsi="Aptos"/>
          <w:sz w:val="22"/>
          <w:szCs w:val="22"/>
        </w:rPr>
        <w:t> </w:t>
      </w:r>
    </w:p>
    <w:p w14:paraId="000000AF">
      <w:pPr>
        <w:pStyle w:val="Paragraph"/>
        <w:spacing w:before="0" w:after="0" w:line="360" w:lineRule="auto"/>
        <w:jc w:val="both"/>
        <w:rPr>
          <w:rFonts w:ascii="Aptos" w:cs="Segoe UI" w:hAnsi="Aptos"/>
          <w:color w:val="0f4761"/>
          <w:sz w:val="16"/>
          <w:szCs w:val="16"/>
        </w:rPr>
      </w:pPr>
      <w:r>
        <w:rPr>
          <w:rStyle w:val="Normaltextrun"/>
          <w:rFonts w:ascii="Aptos" w:cs="Arial" w:hAnsi="Aptos"/>
          <w:color w:val="0f4761"/>
        </w:rPr>
        <w:t xml:space="preserve">1.5 Conclusion </w:t>
      </w:r>
    </w:p>
    <w:p w14:paraId="000000B0">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pPr>
      <w:r>
        <w:rPr>
          <w:rFonts w:ascii="Arial"/>
          <w:color w:val="000000"/>
          <w:sz w:val="22"/>
          <w:rtl w:val="off"/>
          <w:lang w:val="en-US"/>
        </w:rPr>
        <w:t>In conclusion, Chapter 1 establishes the necessity of a theory-driven synthesis on loneliness, social isolation, and mental health among those aged 65 and older across the United Kingdom. In it, the problem was identified, definitions were established, and a secondary approach that incorporated prevalence, mechanism, intervention outcomes, and policy implications was justified. From mapping the landscape to informing policy and practice, the aim and objectives indicate a logical progression that starts with mapping the landscape. A robust methodological framework will be positioned in the upcoming chapters 2 and 3, and a thematic narrative synthesis of evidence focused on the United Kingdom will be presented. Chapter 4 will translate the findings into policy and practice implications, and Chapter 5 will offer strategic recommendations and directions for future research. Together, the purpose of these chapters is to develop guidance that is evidence-based and equity-oriented in order to enhance mental health outcomes for the elderly population in England, Scotland, Wales, and Northern Ireland.</w:t>
      </w:r>
      <w:r>
        <w:rPr>
          <w:rFonts w:ascii="Arial"/>
          <w:color w:val="000000"/>
          <w:sz w:val="22"/>
          <w:highlight w:val="none"/>
          <w:rtl w:val="off"/>
          <w:lang w:val="en-US"/>
        </w:rPr>
        <w:t xml:space="preserve"> </w:t>
      </w:r>
    </w:p>
    <w:p w14:paraId="000000B1">
      <w:pPr>
        <w:pStyle w:val="Heading1"/>
        <w:ind w:left="0"/>
        <w:jc w:val="both"/>
        <w:rPr>
          <w:rFonts w:ascii="Aptos" w:hAnsi="Aptos"/>
        </w:rPr>
      </w:pPr>
      <w:bookmarkStart w:id="3" w:name="_Toc4"/>
    </w:p>
    <w:p w14:paraId="000000B2">
      <w:pPr>
        <w:pStyle w:val="Heading1"/>
        <w:ind w:left="0"/>
        <w:jc w:val="both"/>
        <w:rPr>
          <w:rFonts w:ascii="Aptos" w:hAnsi="Aptos"/>
        </w:rPr>
      </w:pPr>
    </w:p>
    <w:p w14:paraId="000000B3">
      <w:pPr>
        <w:pStyle w:val="Heading1"/>
        <w:ind w:left="0"/>
        <w:jc w:val="both"/>
        <w:rPr>
          <w:rFonts w:ascii="Aptos" w:hAnsi="Aptos"/>
        </w:rPr>
      </w:pPr>
    </w:p>
    <w:p w14:paraId="000000B4">
      <w:pPr>
        <w:pStyle w:val="Heading1"/>
        <w:ind w:left="0"/>
        <w:jc w:val="both"/>
        <w:rPr>
          <w:rFonts w:ascii="Aptos" w:hAnsi="Aptos"/>
        </w:rPr>
      </w:pPr>
    </w:p>
    <w:p w14:paraId="000000B5">
      <w:pPr>
        <w:pStyle w:val="Heading1"/>
        <w:ind w:left="0"/>
        <w:jc w:val="both"/>
        <w:rPr>
          <w:rFonts w:ascii="Aptos" w:hAnsi="Aptos"/>
        </w:rPr>
      </w:pPr>
      <w:r>
        <w:rPr>
          <w:rFonts w:ascii="Aptos" w:hAnsi="Aptos"/>
        </w:rPr>
        <w:t xml:space="preserve">CHAPTER 2 – </w:t>
      </w:r>
      <w:r>
        <w:rPr>
          <w:rFonts w:ascii="Aptos" w:hAnsi="Aptos"/>
        </w:rPr>
        <w:t xml:space="preserve">Background </w:t>
      </w:r>
      <w:r>
        <w:rPr>
          <w:rFonts w:ascii="Aptos" w:hAnsi="Aptos"/>
        </w:rPr>
        <w:t xml:space="preserve">Information and </w:t>
      </w:r>
      <w:r>
        <w:rPr>
          <w:rFonts w:ascii="Aptos" w:hAnsi="Aptos"/>
        </w:rPr>
        <w:t>Analysis</w:t>
      </w:r>
      <w:bookmarkEnd w:id="3"/>
    </w:p>
    <w:p w14:paraId="000000B6">
      <w:pPr>
        <w:pStyle w:val="Paragraph"/>
        <w:spacing w:before="0" w:after="0"/>
        <w:jc w:val="both"/>
        <w:rPr>
          <w:rFonts w:ascii="Segoe UI" w:cs="Segoe UI" w:hAnsi="Segoe UI"/>
          <w:color w:val="0f4761"/>
          <w:sz w:val="18"/>
          <w:szCs w:val="18"/>
        </w:rPr>
      </w:pPr>
      <w:r>
        <w:rPr>
          <w:rStyle w:val="Eop"/>
          <w:rFonts w:cs="Arial" w:eastAsia="Calibri Light"/>
          <w:color w:val="0f4761"/>
          <w:sz w:val="40"/>
          <w:szCs w:val="40"/>
        </w:rPr>
        <w:t> </w:t>
      </w:r>
    </w:p>
    <w:p w14:paraId="000000B7">
      <w:pPr>
        <w:pStyle w:val="Paragraph"/>
        <w:spacing w:before="0" w:after="0" w:line="360" w:lineRule="auto"/>
        <w:jc w:val="both"/>
        <w:rPr>
          <w:rFonts w:ascii="Aptos" w:cs="Segoe UI" w:hAnsi="Aptos"/>
          <w:color w:val="0f4761"/>
          <w:sz w:val="16"/>
          <w:szCs w:val="16"/>
        </w:rPr>
      </w:pPr>
      <w:r>
        <w:rPr>
          <w:rStyle w:val="Normaltextrun"/>
          <w:rFonts w:ascii="Aptos" w:cs="Arial" w:hAnsi="Aptos"/>
          <w:color w:val="0f4761"/>
        </w:rPr>
        <w:t>2.1 Introduction</w:t>
      </w:r>
      <w:r>
        <w:rPr>
          <w:rStyle w:val="Eop"/>
          <w:rFonts w:ascii="Aptos" w:cs="Arial" w:eastAsia="Calibri Light" w:hAnsi="Aptos"/>
          <w:color w:val="0f4761"/>
        </w:rPr>
        <w:t> </w:t>
      </w:r>
    </w:p>
    <w:p w14:paraId="000000B8">
      <w:pPr>
        <w:framePr w:w="0" w:h="0" w:vAnchor="margin" w:hAnchor="text" w:x="0" w:y="0"/>
        <w:pBdr>
          <w:top w:val="none" w:sz="4" w:space="0"/>
          <w:left w:val="none" w:sz="4" w:space="0"/>
          <w:bottom w:val="none" w:sz="4" w:space="0"/>
          <w:right w:val="none" w:sz="4" w:space="0"/>
          <w:between w:val="none" w:sz="4" w:space="0"/>
          <w:bar w:val="none" w:sz="4" w:space="0"/>
        </w:pBdr>
        <w:shd w:val="clear" w:fill="ffffff"/>
        <w:tabs>
          <w:tab w:val="left" w:leader="none" w:pos="3943"/>
        </w:tabs>
        <w:bidi w:val="off"/>
        <w:spacing w:before="0" w:after="160" w:line="360" w:lineRule="auto"/>
        <w:ind w:left="0" w:right="0" w:firstLine="0"/>
        <w:jc w:val="both"/>
        <w:rPr>
          <w:rFonts w:ascii="Aptos" w:cs="Segoe UI" w:hAnsi="Aptos"/>
          <w:sz w:val="16"/>
          <w:szCs w:val="16"/>
        </w:rPr>
      </w:pPr>
      <w:r>
        <w:rPr>
          <w:rStyle w:val="Eop"/>
          <w:rFonts w:ascii="Aptos" w:cs="Arial" w:eastAsia="Calibri Light" w:hAnsi="Aptos"/>
          <w:sz w:val="22"/>
          <w:szCs w:val="22"/>
        </w:rPr>
        <w:t> </w:t>
      </w:r>
      <w:r>
        <w:rPr>
          <w:rFonts w:ascii="Arial"/>
          <w:color w:val="000000"/>
          <w:sz w:val="22"/>
          <w:highlight w:val="none"/>
          <w:rtl w:val="off"/>
          <w:lang w:val="en-US"/>
        </w:rPr>
        <w:t xml:space="preserve"> </w:t>
      </w:r>
      <w:r>
        <w:rPr>
          <w:rFonts w:ascii="Arial"/>
          <w:color w:val="000000"/>
          <w:sz w:val="22"/>
          <w:rtl w:val="off"/>
          <w:lang w:val="en-US"/>
        </w:rPr>
        <w:t>This chapter provides a synthesised setting for examining loneliness, social isolation, and mental health within the UK's population aged 65 and older, utilising historical paths, theoretical frameworks, international comparisons, and national/local policy contexts. A biopsychosocial framework emphasises the interplay of biological health, psychological processes, and social settings in influencing mental health outcomes in later life, while a UK-wide viewpoint guarantees representation across England, Scotland, Wales, and Northern Ireland. The objective is to link policy-relevant insights with empirical evidence, so guiding the evidence synthesis in chapter 3 and the interpretation in chapter 4 about ageing and mental health care. In the last ten years, the focus of policy on loneliness has evolved from a research issue to a public health priority, highlighting the need for digital inclusion, informal caregiving networks, and integrated care pathways. However, enduring urban-rural, social, and regional disparities must be contextually aware and equity-orientated, incorporating housing, transportation, digital preparedness, and primary/community healthcare. These assertions are supported by foundational research and syntheses within the UK context (Age UK, 2022; ONS, 2023; Public Health England, 2021; NHS Digital, 2023; MIND, 2021).</w:t>
      </w:r>
      <w:r>
        <w:rPr>
          <w:rStyle w:val="Eop"/>
          <w:rFonts w:ascii="Aptos" w:cs="Arial" w:eastAsia="Calibri Light" w:hAnsi="Aptos"/>
          <w:sz w:val="22"/>
          <w:szCs w:val="22"/>
        </w:rPr>
        <w:t> </w:t>
      </w:r>
    </w:p>
    <w:p w14:paraId="000000B9">
      <w:pPr>
        <w:pStyle w:val="Paragraph"/>
        <w:spacing w:before="0" w:after="0" w:line="360" w:lineRule="auto"/>
        <w:jc w:val="both"/>
        <w:rPr>
          <w:rFonts w:ascii="Aptos" w:cs="Segoe UI" w:hAnsi="Aptos"/>
          <w:color w:val="0f4761"/>
          <w:sz w:val="16"/>
          <w:szCs w:val="16"/>
        </w:rPr>
      </w:pPr>
      <w:r>
        <w:rPr>
          <w:rStyle w:val="Normaltextrun"/>
          <w:rFonts w:ascii="Aptos" w:cs="Arial" w:hAnsi="Aptos"/>
          <w:color w:val="0f4761"/>
        </w:rPr>
        <w:t xml:space="preserve">2.2 Historical Background </w:t>
      </w:r>
    </w:p>
    <w:p w14:paraId="000000BA">
      <w:pPr>
        <w:pStyle w:val="Paragraph"/>
        <w:spacing w:before="0" w:after="0" w:line="360" w:lineRule="auto"/>
        <w:jc w:val="both"/>
        <w:rPr>
          <w:rFonts w:ascii="Aptos" w:cs="Segoe UI" w:hAnsi="Aptos"/>
          <w:sz w:val="16"/>
          <w:szCs w:val="16"/>
        </w:rPr>
      </w:pPr>
      <w:r>
        <w:rPr>
          <w:rStyle w:val="Eop"/>
          <w:rFonts w:ascii="Aptos" w:cs="Arial" w:eastAsia="Calibri Light" w:hAnsi="Aptos"/>
          <w:sz w:val="22"/>
          <w:szCs w:val="22"/>
        </w:rPr>
        <w:t> </w:t>
      </w:r>
    </w:p>
    <w:p w14:paraId="000000B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both"/>
        <w:rPr>
          <w:rStyle w:val="Normaltextrun"/>
          <w:rFonts w:ascii="Aptos" w:cs="Arial" w:hAnsi="Aptos"/>
          <w:b/>
          <w:bCs/>
          <w:sz w:val="22"/>
          <w:szCs w:val="22"/>
        </w:rPr>
      </w:pPr>
      <w:r>
        <w:rPr>
          <w:rStyle w:val="Normaltextrun"/>
          <w:rFonts w:ascii="Aptos" w:cs="Arial" w:hAnsi="Aptos"/>
          <w:b/>
          <w:bCs/>
          <w:sz w:val="22"/>
          <w:szCs w:val="22"/>
        </w:rPr>
        <w:t>Development of the Topic:</w:t>
      </w:r>
    </w:p>
    <w:p w14:paraId="000000B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both"/>
        <w:rPr>
          <w:rFonts w:ascii="Arial"/>
          <w:color w:val="000000"/>
          <w:sz w:val="22"/>
          <w:highlight w:val="white"/>
          <w:rtl w:val="off"/>
          <w:lang w:val="en-US"/>
        </w:rPr>
      </w:pPr>
    </w:p>
    <w:p w14:paraId="000000B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Style w:val="Normaltextrun"/>
          <w:rFonts w:ascii="Aptos" w:cs="Arial" w:hAnsi="Aptos"/>
          <w:b/>
          <w:bCs/>
          <w:sz w:val="22"/>
          <w:szCs w:val="22"/>
        </w:rPr>
      </w:pPr>
      <w:r>
        <w:rPr>
          <w:rFonts w:ascii="Arial"/>
          <w:color w:val="000000"/>
          <w:sz w:val="22"/>
          <w:highlight w:val="white"/>
          <w:rtl w:val="off"/>
          <w:lang w:val="en-US"/>
        </w:rPr>
        <w:t xml:space="preserve">During the 2010s, UK policy focused more on loneliness and ageing as demography and health inequities changed. National plans and cross-department initiatives prioritised loneliness as a public health issue and incorporated mental health into ageing services. The COVID-19 pandemic sped up progress and put a lot of emphasis on digital inclusion, informal care networks, and resilience as </w:t>
      </w:r>
      <w:r>
        <w:rPr>
          <w:rFonts w:ascii="Arial"/>
          <w:color w:val="000000"/>
          <w:sz w:val="22"/>
          <w:highlight w:val="white"/>
          <w:rtl w:val="off"/>
          <w:lang w:val="en-US"/>
        </w:rPr>
        <w:t>keyways</w:t>
      </w:r>
      <w:r>
        <w:rPr>
          <w:rFonts w:ascii="Arial"/>
          <w:color w:val="000000"/>
          <w:sz w:val="22"/>
          <w:highlight w:val="white"/>
          <w:rtl w:val="off"/>
          <w:lang w:val="en-US"/>
        </w:rPr>
        <w:t xml:space="preserve"> to keep older people socially engaged and mentally well (ONS, 2023; Public Health England, 2021; NHS Digital, 2023).</w:t>
      </w:r>
      <w:r>
        <w:rPr>
          <w:rFonts w:ascii="Segoe UI"/>
          <w:color w:val="000000"/>
          <w:sz w:val="18"/>
          <w:rtl w:val="off"/>
          <w:lang w:val="en-US"/>
        </w:rPr>
        <w:t xml:space="preserve"> </w:t>
      </w:r>
    </w:p>
    <w:p w14:paraId="000000BE">
      <w:pPr>
        <w:pStyle w:val="Paragraph"/>
        <w:tabs>
          <w:tab w:val="clear" w:pos="720"/>
          <w:tab w:val="num" w:pos="0"/>
        </w:tabs>
        <w:spacing w:before="0" w:after="0" w:line="360" w:lineRule="auto"/>
        <w:ind w:left="0" w:right="0" w:firstLine="0"/>
        <w:jc w:val="both"/>
        <w:rPr>
          <w:rFonts w:ascii="Aptos" w:cs="Arial" w:hAnsi="Aptos"/>
          <w:sz w:val="22"/>
          <w:szCs w:val="22"/>
        </w:rPr>
      </w:pPr>
      <w:r>
        <w:rPr>
          <w:rStyle w:val="Eop"/>
          <w:rFonts w:ascii="Aptos" w:cs="Arial" w:eastAsia="Calibri Light" w:hAnsi="Aptos"/>
          <w:sz w:val="22"/>
          <w:szCs w:val="22"/>
        </w:rPr>
        <w:t> </w:t>
      </w:r>
    </w:p>
    <w:p w14:paraId="000000BF">
      <w:pPr>
        <w:pStyle w:val="Paragraph"/>
        <w:tabs>
          <w:tab w:val="clear" w:pos="720"/>
          <w:tab w:val="num" w:pos="0"/>
        </w:tabs>
        <w:spacing w:before="0" w:after="0" w:line="360" w:lineRule="auto"/>
        <w:ind w:left="0" w:right="0" w:firstLine="0"/>
        <w:jc w:val="both"/>
        <w:rPr>
          <w:rFonts w:ascii="Aptos" w:cs="Arial" w:hAnsi="Aptos"/>
          <w:sz w:val="22"/>
          <w:szCs w:val="22"/>
        </w:rPr>
      </w:pPr>
      <w:r>
        <w:rPr>
          <w:rStyle w:val="Normaltextrun"/>
          <w:rFonts w:ascii="Aptos" w:cs="Arial" w:hAnsi="Aptos"/>
          <w:b/>
          <w:bCs/>
          <w:sz w:val="22"/>
          <w:szCs w:val="22"/>
        </w:rPr>
        <w:t>Significant Historical Figures and Contributions:</w:t>
      </w:r>
      <w:r>
        <w:rPr>
          <w:rStyle w:val="Eop"/>
          <w:rFonts w:ascii="Aptos" w:cs="Arial" w:eastAsia="Calibri Light" w:hAnsi="Aptos"/>
          <w:sz w:val="22"/>
          <w:szCs w:val="22"/>
        </w:rPr>
        <w:t> </w:t>
      </w:r>
    </w:p>
    <w:p w14:paraId="000000C0">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rtl w:val="off"/>
          <w:lang w:val="en-US"/>
        </w:rPr>
      </w:pPr>
      <w:r>
        <w:rPr>
          <w:rFonts w:ascii="Arial"/>
          <w:color w:val="000000"/>
          <w:sz w:val="22"/>
          <w:rtl w:val="off"/>
          <w:lang w:val="en-US"/>
        </w:rPr>
        <w:t>These milestones encompass validated loneliness assessments (e.g., De Jong Gierveld). This chapter provides a synthesised setting for examining loneliness, social isolation, and mental health within the UK's population aged 65 and older, utilising historical paths, theoretical frameworks, international comparisons, and national/local policy contexts. A biopsychosocial framework emphasises the interplay of biological health, psychological processes, and social settings in influencing mental health outcomes in later life, while a UK-wide viewpoint guarantees representation across England, Scotland, Wales, and Northern Ireland. The objective is to link policy-relevant insights with empirical evidence, so guiding the evidence synthesis in chapter 3 and the interpretation in chapter 4 about ageing and mental health care. In the last ten years, the focus of policy on loneliness has evolved from a research issue to a public health priority, highlighting the need of digital inclusion, informal caregiving networks, and integrated care pathways. However, enduring urban-rural, social, and regional disparities must be contextually aware and equity-oriented, incorporating housing, transportation, digital preparedness, and primary/community healthcare. These assertions are supported by foundational research and syntheses within the UK context (Age UK, 2022; ONS, 2023; Public Health England, 2021; NHS Digital, 2023; MIND, 2021). Loneliness scales and standardised mental health instruments (GDS, PHQ-9, GAD-7), in addition to resilient UK data infrastructures (ONS, NHS Digital, Public Health England). Age UK, the Royal College of Psychiatrists, and local governments put research into action by using it to guide commissioning, service design, and community activities. Longitudinal UK cohorts and recurrent cross-sectional surveys have demonstrated regional variation, socioeconomic variations, and ageing paths, influencing preventative and care pathways as well as resource allocation (Age UK, 2022; NHS Digital, 2023; ONS, 2023; Public Health England, 2021; Wittenberg et al., 2019).</w:t>
      </w:r>
      <w:r>
        <w:rPr>
          <w:rFonts w:ascii="Arial"/>
          <w:color w:val="000000"/>
          <w:sz w:val="22"/>
          <w:rtl w:val="off"/>
          <w:lang w:val="en-US"/>
        </w:rPr>
        <w:t xml:space="preserve"> </w:t>
      </w:r>
    </w:p>
    <w:p w14:paraId="000000C1">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lang w:val="en-US"/>
        </w:rPr>
      </w:pPr>
      <w:r>
        <w:rPr>
          <w:rFonts w:ascii="Arial"/>
          <w:b/>
          <w:color w:val="000000"/>
          <w:sz w:val="22"/>
          <w:rtl w:val="off"/>
          <w:lang w:val="en-US"/>
        </w:rPr>
        <w:t>Influence on Current Understanding</w:t>
      </w:r>
      <w:r>
        <w:rPr>
          <w:rFonts w:ascii="Arial"/>
          <w:color w:val="000000"/>
          <w:sz w:val="22"/>
          <w:highlight w:val="none"/>
          <w:rtl w:val="off"/>
          <w:lang w:val="en-US"/>
        </w:rPr>
        <w:t xml:space="preserve"> </w:t>
      </w:r>
    </w:p>
    <w:p w14:paraId="000000C2">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ptos" w:cs="Arial" w:hAnsi="Aptos"/>
          <w:sz w:val="22"/>
          <w:szCs w:val="22"/>
        </w:rPr>
      </w:pPr>
      <w:r>
        <w:rPr>
          <w:rFonts w:ascii="Arial"/>
          <w:color w:val="000000"/>
          <w:sz w:val="22"/>
          <w:rtl w:val="off"/>
          <w:lang w:val="en-US"/>
        </w:rPr>
        <w:t>Loneliness and social isolation have transitioned from theoretical concepts to quantifiable indicators of mental health in older adults. This path endorses provisional analytical frameworks that amalgamate psychological mechanisms with health status and living situations, in accordance with UK health and social care objectives aimed at mitigating health disparities in ageing populations. Cross-national learning and implementation science (Courtin and Knapp, 2017; Victor et al., 2018; Holt-Lunstad et al., 2015; NHS Digital, 2023; ONS, 2023; Public Health England, 2021; Age UK, 2022; Wetter et al., 2017; Wittenberg et al., 2019) have made cross-sector collaboration and policy-practice links stronger.</w:t>
      </w:r>
    </w:p>
    <w:p w14:paraId="000000C3">
      <w:pPr>
        <w:pStyle w:val="Paragraph"/>
        <w:spacing w:before="0" w:after="0" w:line="360" w:lineRule="auto"/>
        <w:jc w:val="both"/>
        <w:rPr>
          <w:rFonts w:ascii="Aptos" w:cs="Segoe UI" w:hAnsi="Aptos"/>
          <w:color w:val="0f4761"/>
          <w:sz w:val="16"/>
          <w:szCs w:val="16"/>
        </w:rPr>
      </w:pPr>
      <w:r>
        <w:rPr>
          <w:rStyle w:val="Normaltextrun"/>
          <w:rFonts w:ascii="Aptos" w:cs="Arial" w:hAnsi="Aptos"/>
          <w:color w:val="0f4761"/>
        </w:rPr>
        <w:t xml:space="preserve">2.3 Theoretical Background </w:t>
      </w:r>
    </w:p>
    <w:p w14:paraId="000000C4">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lang w:val="en-US"/>
        </w:rPr>
      </w:pPr>
      <w:r>
        <w:rPr>
          <w:rStyle w:val="Eop"/>
          <w:rFonts w:ascii="Aptos" w:cs="Arial" w:eastAsia="Calibri Light" w:hAnsi="Aptos"/>
          <w:sz w:val="22"/>
          <w:szCs w:val="22"/>
        </w:rPr>
        <w:t> </w:t>
      </w:r>
      <w:r>
        <w:rPr>
          <w:rFonts w:ascii="Arial"/>
          <w:color w:val="000000"/>
          <w:sz w:val="22"/>
          <w:rtl w:val="off"/>
          <w:lang w:val="en-US"/>
        </w:rPr>
        <w:t>This section synthesises four fundamental theoretical approaches to contextualise late-life loneliness, social isolation, and mental health in the UK: the Biopsychosocial Model, Social Capital Theory, Transactional Social Support Theory, and Ecological Systems Theory. The Biopsychosocial Model asserts that health outcomes are influenced by interconnected biological, psychological, and social factors, a framework that has become standard in UK ageing research as it incorporates comorbidity, mobility restrictions, living conditions, and social networks in forecasting depressive and anxiety symptoms (NHS England, 2023; Royal College of Psychiatrists, 2020). Social capital theory emphasises the resources inherent in social networks, including emotional support, informational exchange, and practical assistance. It differentiates between bonding and bridging ties, informing community-based interventions designed to enhance significant social connections, especially in underprivileged or geographically isolated regions (Cobb and Clayton, 2020; Zhou et al.,, 2022; Xu et al., 2022). Transactional Social Support Theory emphasises the significance of perceived support quality and relationship satisfaction as mediators of well-being, illustrating how supportive expectations and perceived reciprocity can mitigate stress and depressive symptoms, even in the absence of substantial objective contact (Lazarus and Folkman, 1984; Ghaffari et al., 2021). Ecological Systems Theory positions individuals within hierarchical contextual layers, ranging from microsystems (family and friends) to ecosystems (regional services, policy), highlighting that policy formulation, urban design, transportation, and digital infrastructure influence opportunities for social interaction and access to care. These theories together give complementary perspectives for interpreting the mental health context of loneliness and isolation among individuals aged 65 and older in the UK, justifying the integration of different frameworks in the synthesis of Chapter 3. In implementing these notions within the UK. It is essential to recognise measuring difficulties, especially in differentiating loneliness from social isolation, and to be vigilant regarding power, equality, and geographical disparities in policy execution (Putnam, 2000; Ungar, 2012).</w:t>
      </w:r>
      <w:r>
        <w:rPr>
          <w:rFonts w:ascii="Arial"/>
          <w:color w:val="000000"/>
          <w:sz w:val="22"/>
          <w:highlight w:val="none"/>
          <w:rtl w:val="off"/>
          <w:lang w:val="en-US"/>
        </w:rPr>
        <w:t xml:space="preserve"> </w:t>
      </w:r>
    </w:p>
    <w:p w14:paraId="000000C5">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lang w:val="en-US"/>
        </w:rPr>
      </w:pPr>
      <w:r>
        <w:rPr>
          <w:rFonts w:ascii="Arial"/>
          <w:color w:val="000000"/>
          <w:sz w:val="22"/>
          <w:rtl w:val="off"/>
          <w:lang w:val="en-US"/>
        </w:rPr>
        <w:t>Application and evaluation within the UK context show that the Biopsychosocial Model encompasses multimorbidity and functional status, although may diminish the significance of structural determinants until integrated with Ecological insights that elucidate how policy frameworks and local governance influence access to services and support. Social Capital Theory offers practical guidance for community development and co-design involving older individuals; however, its focus on networks may neglect the quality of relationships and the limitations posed by disability or transportation issues. Conversely, Transactional Social Support Theory highlights the importance of perceived support but depends on precise evaluation of available resources and may downplay the impact of stigma or unequal access. Consequently, synthesising various theoretical viewpoints produces a more comprehensive analytical framework for Chapter 3, harmonising individual experiences. This comprehensive strategy corresponds with UK policy objectives aimed at merging health enhancement with community fortitude and equitable access to healthcare (Courtin and Kapp, 2017; Ungar, 2012).</w:t>
      </w:r>
      <w:r>
        <w:rPr>
          <w:rFonts w:ascii="Arial"/>
          <w:color w:val="000000"/>
          <w:sz w:val="22"/>
          <w:rtl w:val="off"/>
          <w:lang w:val="en-US"/>
        </w:rPr>
        <w:t xml:space="preserve"> </w:t>
      </w:r>
    </w:p>
    <w:p w14:paraId="000000C6">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lang w:val="en-US"/>
        </w:rPr>
      </w:pPr>
      <w:r>
        <w:rPr>
          <w:rFonts w:ascii="Arial"/>
          <w:color w:val="000000"/>
          <w:sz w:val="22"/>
          <w:rtl w:val="off"/>
          <w:lang w:val="en-US"/>
        </w:rPr>
        <w:t>Strengths encompass extensive explanatory capacity across various levels and direct applicability to policy. Limitations encompass difficulties in measuring the distinction between loneliness and isolation, as well as a possible overdependence on perceived assistance. Discussions continue on the significance of subjective vs objective elements and the degree to which policy mitigates structural determinants in the UK. Current discussions highlight the need for aligning strategies to enhance comparability among studies and their relevance to policy (Courtin and Knapp, 2017; Bronfenbrenner, 1979; Ungar, 2012; Xu et al., 2022).</w:t>
      </w:r>
      <w:r>
        <w:rPr>
          <w:rFonts w:ascii="Arial"/>
          <w:color w:val="000000"/>
          <w:sz w:val="22"/>
          <w:highlight w:val="none"/>
          <w:rtl w:val="off"/>
          <w:lang w:val="en-US"/>
        </w:rPr>
        <w:t xml:space="preserve"> </w:t>
      </w:r>
    </w:p>
    <w:p w14:paraId="000000C7">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ptos" w:cs="Segoe UI" w:hAnsi="Aptos"/>
          <w:sz w:val="16"/>
          <w:szCs w:val="16"/>
        </w:rPr>
      </w:pPr>
      <w:r>
        <w:rPr>
          <w:rFonts w:ascii="Arial"/>
          <w:color w:val="000000"/>
          <w:sz w:val="22"/>
          <w:rtl w:val="off"/>
          <w:lang w:val="en-US"/>
        </w:rPr>
        <w:t xml:space="preserve">A multi-level ecosystem that shows how biological health, psychological functioning, social networks, community supports, and policy environments all work together to affect loneliness and mental health in people 65 and older in the UK. The table 1 below fits with the biopsychosocial, social capital, transactional support, and ecological systems theoretical perspectives. </w:t>
      </w:r>
    </w:p>
    <w:p w14:paraId="000000C8">
      <w:pPr>
        <w:pStyle w:val="Paragraph"/>
        <w:spacing w:before="0" w:after="0" w:line="360" w:lineRule="auto"/>
        <w:jc w:val="both"/>
        <w:rPr>
          <w:rFonts w:ascii="Aptos" w:cs="Segoe UI" w:hAnsi="Aptos"/>
          <w:color w:val="0f4761"/>
          <w:sz w:val="16"/>
          <w:szCs w:val="16"/>
        </w:rPr>
      </w:pPr>
      <w:r>
        <w:rPr>
          <w:rStyle w:val="Normaltextrun"/>
          <w:rFonts w:ascii="Aptos" w:cs="Arial" w:hAnsi="Aptos"/>
          <w:color w:val="0f4761"/>
        </w:rPr>
        <w:t>2.4 International Context (400 words approx.)</w:t>
      </w:r>
      <w:r>
        <w:rPr>
          <w:rStyle w:val="Eop"/>
          <w:rFonts w:ascii="Aptos" w:cs="Arial" w:eastAsia="Calibri Light" w:hAnsi="Aptos"/>
          <w:color w:val="0f4761"/>
        </w:rPr>
        <w:t> </w:t>
      </w:r>
    </w:p>
    <w:p w14:paraId="000000C9">
      <w:pPr>
        <w:pStyle w:val="Paragraph"/>
        <w:spacing w:before="0" w:after="0" w:line="360" w:lineRule="auto"/>
        <w:jc w:val="both"/>
        <w:rPr>
          <w:rFonts w:ascii="Aptos" w:cs="Segoe UI" w:hAnsi="Aptos"/>
          <w:sz w:val="16"/>
          <w:szCs w:val="16"/>
        </w:rPr>
      </w:pPr>
    </w:p>
    <w:p w14:paraId="000000CA">
      <w:pPr>
        <w:pStyle w:val="Paragraph"/>
        <w:numPr>
          <w:ilvl w:val="0"/>
          <w:numId w:val="52"/>
        </w:numPr>
        <w:tabs>
          <w:tab w:val="clear" w:pos="720"/>
          <w:tab w:val="num" w:pos="0"/>
        </w:tabs>
        <w:spacing w:before="0" w:after="0" w:line="360" w:lineRule="auto"/>
        <w:ind w:left="0" w:firstLine="0"/>
        <w:jc w:val="both"/>
        <w:rPr>
          <w:rFonts w:ascii="Aptos" w:cs="Arial" w:hAnsi="Aptos"/>
          <w:sz w:val="22"/>
          <w:szCs w:val="22"/>
        </w:rPr>
      </w:pPr>
      <w:r>
        <w:rPr>
          <w:rStyle w:val="Normaltextrun"/>
          <w:rFonts w:ascii="Aptos" w:cs="Arial" w:hAnsi="Aptos"/>
          <w:b/>
          <w:bCs/>
          <w:sz w:val="22"/>
          <w:szCs w:val="22"/>
        </w:rPr>
        <w:t>Global Perspective:</w:t>
      </w:r>
      <w:r>
        <w:rPr>
          <w:rStyle w:val="Eop"/>
          <w:rFonts w:ascii="Aptos" w:cs="Arial" w:eastAsia="Calibri Light" w:hAnsi="Aptos"/>
          <w:sz w:val="22"/>
          <w:szCs w:val="22"/>
        </w:rPr>
        <w:t> </w:t>
      </w:r>
    </w:p>
    <w:p w14:paraId="000000CB">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lang w:val="en-US"/>
        </w:rPr>
      </w:pPr>
      <w:r>
        <w:rPr>
          <w:rFonts w:ascii="Arial"/>
          <w:color w:val="000000"/>
          <w:sz w:val="22"/>
          <w:rtl w:val="off"/>
          <w:lang w:val="en-US"/>
        </w:rPr>
        <w:t>Loneliness and isolation are worldwide issues influenced by cultural factors, welfare systems, and economic capabilities, resulting in diverse governmental approaches. Cross-national studies indicate shared risk factors while highlighting varied intervention options, such as community engagement initiatives and digital inclusion, influenced by differences in welfare states (Nordic Model, 2013; Southern Europe, 2014; Anglophone, 2015).</w:t>
      </w:r>
      <w:r>
        <w:rPr>
          <w:rFonts w:ascii="Arial"/>
          <w:color w:val="000000"/>
          <w:sz w:val="22"/>
          <w:highlight w:val="none"/>
          <w:rtl w:val="off"/>
          <w:lang w:val="en-US"/>
        </w:rPr>
        <w:t xml:space="preserve"> </w:t>
      </w:r>
    </w:p>
    <w:p w14:paraId="000000CC">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lang w:val="en-US"/>
        </w:rPr>
      </w:pPr>
      <w:r>
        <w:rPr>
          <w:rFonts w:ascii="Arial"/>
          <w:b/>
          <w:color w:val="000000"/>
          <w:sz w:val="22"/>
          <w:rtl w:val="off"/>
          <w:lang w:val="en-US"/>
        </w:rPr>
        <w:t>Comparative Analysis</w:t>
      </w:r>
      <w:r>
        <w:rPr>
          <w:rFonts w:ascii="Arial"/>
          <w:color w:val="000000"/>
          <w:sz w:val="22"/>
          <w:highlight w:val="none"/>
          <w:rtl w:val="off"/>
          <w:lang w:val="en-US"/>
        </w:rPr>
        <w:t xml:space="preserve"> </w:t>
      </w:r>
    </w:p>
    <w:p w14:paraId="000000CD">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color w:val="000000"/>
          <w:sz w:val="22"/>
          <w:lang w:val="en-US"/>
        </w:rPr>
      </w:pPr>
      <w:r>
        <w:rPr>
          <w:rFonts w:ascii="Arial"/>
          <w:color w:val="000000"/>
          <w:sz w:val="22"/>
          <w:rtl w:val="off"/>
          <w:lang w:val="en-US"/>
        </w:rPr>
        <w:t>The Nordic, Southern European, and Anglophone models demonstrate varying priorities for universal services, familial care, and formal care networks. The UK integrates public health strategies with community-oriented initiatives and intersectoral collaborations, disseminating best practices while tailoring them to local circumstances. The global dissemination of good interventions influences UK policy, while underscoring limitations such as funding, scalability, and equality issues (Courtin and Knapp, 2017; Victor et al., 2018).</w:t>
      </w:r>
      <w:r>
        <w:rPr>
          <w:rFonts w:ascii="Arial"/>
          <w:color w:val="000000"/>
          <w:sz w:val="22"/>
          <w:rtl w:val="off"/>
          <w:lang w:val="en-US"/>
        </w:rPr>
        <w:t xml:space="preserve"> </w:t>
      </w:r>
    </w:p>
    <w:p w14:paraId="000000CE">
      <w:pPr>
        <w:pStyle w:val="Paragraph"/>
        <w:tabs>
          <w:tab w:val="clear" w:pos="720"/>
          <w:tab w:val="num" w:pos="0"/>
        </w:tabs>
        <w:spacing w:before="0" w:after="0" w:line="360" w:lineRule="auto"/>
        <w:ind w:right="0"/>
        <w:jc w:val="both"/>
        <w:rPr>
          <w:rStyle w:val="Eop"/>
          <w:rFonts w:ascii="Aptos" w:cs="Arial" w:eastAsia="Calibri Light" w:hAnsi="Aptos"/>
          <w:sz w:val="22"/>
          <w:szCs w:val="22"/>
        </w:rPr>
      </w:pPr>
      <w:r>
        <w:rPr>
          <w:rStyle w:val="Normaltextrun"/>
          <w:rFonts w:ascii="Aptos" w:cs="Arial" w:hAnsi="Aptos"/>
          <w:b/>
          <w:bCs/>
          <w:sz w:val="22"/>
          <w:szCs w:val="22"/>
        </w:rPr>
        <w:t>Case Studies:</w:t>
      </w:r>
      <w:r>
        <w:rPr>
          <w:rStyle w:val="Eop"/>
          <w:rFonts w:ascii="Aptos" w:cs="Arial" w:eastAsia="Calibri Light" w:hAnsi="Aptos"/>
          <w:sz w:val="22"/>
          <w:szCs w:val="22"/>
        </w:rPr>
        <w:t> </w:t>
      </w:r>
    </w:p>
    <w:p w14:paraId="000000CF">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rial"/>
          <w:b/>
          <w:bCs/>
          <w:color w:val="000000"/>
          <w:sz w:val="22"/>
          <w:lang w:val="en-US"/>
        </w:rPr>
      </w:pPr>
      <w:r>
        <w:rPr>
          <w:rFonts w:ascii="Arial"/>
          <w:b/>
          <w:bCs/>
          <w:color w:val="000000"/>
          <w:sz w:val="22"/>
          <w:rtl w:val="off"/>
          <w:lang w:val="en-US"/>
        </w:rPr>
        <w:t xml:space="preserve">Community care in Japan </w:t>
      </w:r>
      <w:r>
        <w:rPr>
          <w:rFonts w:ascii="Arial"/>
          <w:b/>
          <w:bCs/>
          <w:color w:val="000000"/>
          <w:sz w:val="22"/>
          <w:highlight w:val="none"/>
          <w:rtl w:val="off"/>
          <w:lang w:val="en-US"/>
        </w:rPr>
        <w:t xml:space="preserve"> </w:t>
      </w:r>
    </w:p>
    <w:p w14:paraId="000000D0">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ptos" w:cs="Arial" w:hAnsi="Aptos"/>
          <w:sz w:val="22"/>
          <w:szCs w:val="22"/>
        </w:rPr>
      </w:pPr>
      <w:r>
        <w:rPr>
          <w:rFonts w:ascii="Arial"/>
          <w:color w:val="000000"/>
          <w:sz w:val="22"/>
          <w:rtl w:val="off"/>
          <w:lang w:val="en-US"/>
        </w:rPr>
        <w:t>As the first "first-rate ageing society" in the world, Japan uses creative case studies to care for its elderly. To combat isolation, Akita City launched a one-coin (100 yen) bus service for citizens 65 and above, promoting mobility. Additionally, they collaborate with nearby companies to provide seniors discounts and services (Age-Friendly World, n.d.), which include reduced prices for transportation, dining, and healthcare services to enhance the q</w:t>
      </w:r>
      <w:r>
        <w:rPr>
          <w:rFonts w:ascii="Arial"/>
          <w:color w:val="000000"/>
          <w:sz w:val="22"/>
          <w:rtl w:val="off"/>
          <w:lang w:val="en-US"/>
        </w:rPr>
        <w:t>uality of life for elderly residents.</w:t>
      </w:r>
      <w:r>
        <w:rPr>
          <w:rFonts w:ascii="Arial"/>
          <w:color w:val="000000"/>
          <w:sz w:val="22"/>
          <w:highlight w:val="none"/>
          <w:rtl w:val="off"/>
          <w:lang w:val="en-US"/>
        </w:rPr>
        <w:t xml:space="preserve"> </w:t>
      </w:r>
    </w:p>
    <w:p w14:paraId="000000D1">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ptos" w:cs="Arial" w:hAnsi="Aptos"/>
          <w:sz w:val="22"/>
          <w:szCs w:val="22"/>
        </w:rPr>
      </w:pPr>
    </w:p>
    <w:p w14:paraId="000000D2">
      <w:pPr>
        <w:pStyle w:val="Paragraph"/>
        <w:spacing w:before="0" w:after="0" w:line="360" w:lineRule="auto"/>
        <w:jc w:val="both"/>
        <w:rPr>
          <w:rFonts w:ascii="Aptos" w:cs="Segoe UI" w:hAnsi="Aptos"/>
          <w:color w:val="0f4761"/>
          <w:sz w:val="16"/>
          <w:szCs w:val="16"/>
        </w:rPr>
      </w:pPr>
      <w:r>
        <w:rPr>
          <w:rStyle w:val="Normaltextrun"/>
          <w:rFonts w:ascii="Aptos" w:cs="Arial" w:hAnsi="Aptos"/>
          <w:color w:val="0f4761"/>
        </w:rPr>
        <w:t>2.5 National/Local UK Context (450 words approx.)</w:t>
      </w:r>
      <w:r>
        <w:rPr>
          <w:rStyle w:val="Eop"/>
          <w:rFonts w:ascii="Aptos" w:cs="Arial" w:eastAsia="Calibri Light" w:hAnsi="Aptos"/>
          <w:color w:val="0f4761"/>
        </w:rPr>
        <w:t> </w:t>
      </w:r>
    </w:p>
    <w:p w14:paraId="000000D3">
      <w:pPr>
        <w:pStyle w:val="Paragraph"/>
        <w:spacing w:before="0" w:after="0" w:line="360" w:lineRule="auto"/>
        <w:jc w:val="both"/>
        <w:rPr>
          <w:rFonts w:ascii="Aptos" w:cs="Segoe UI" w:hAnsi="Aptos"/>
          <w:sz w:val="16"/>
          <w:szCs w:val="16"/>
        </w:rPr>
      </w:pPr>
      <w:r>
        <w:rPr>
          <w:rStyle w:val="Eop"/>
          <w:rFonts w:ascii="Aptos" w:cs="Arial" w:eastAsia="Calibri Light" w:hAnsi="Aptos"/>
          <w:sz w:val="22"/>
          <w:szCs w:val="22"/>
        </w:rPr>
        <w:t> </w:t>
      </w:r>
    </w:p>
    <w:p w14:paraId="000000D4">
      <w:pPr>
        <w:pStyle w:val="Paragraph"/>
        <w:numPr>
          <w:ilvl w:val="0"/>
          <w:numId w:val="61"/>
        </w:numPr>
        <w:tabs>
          <w:tab w:val="clear" w:pos="720"/>
          <w:tab w:val="num" w:pos="0"/>
        </w:tabs>
        <w:spacing w:before="0" w:after="0" w:line="360" w:lineRule="auto"/>
        <w:ind w:left="0" w:firstLine="0"/>
        <w:jc w:val="both"/>
        <w:rPr>
          <w:rFonts w:ascii="Aptos" w:cs="Arial" w:hAnsi="Aptos"/>
          <w:sz w:val="22"/>
          <w:szCs w:val="22"/>
        </w:rPr>
      </w:pPr>
      <w:r>
        <w:rPr>
          <w:rStyle w:val="Normaltextrun"/>
          <w:rFonts w:ascii="Aptos" w:cs="Arial" w:hAnsi="Aptos"/>
          <w:b/>
          <w:bCs/>
          <w:sz w:val="22"/>
          <w:szCs w:val="22"/>
        </w:rPr>
        <w:t>UK Perspective:</w:t>
      </w:r>
      <w:r>
        <w:rPr>
          <w:rStyle w:val="Eop"/>
          <w:rFonts w:ascii="Aptos" w:cs="Arial" w:eastAsia="Calibri Light" w:hAnsi="Aptos"/>
          <w:sz w:val="22"/>
          <w:szCs w:val="22"/>
        </w:rPr>
        <w:t> </w:t>
      </w:r>
    </w:p>
    <w:p w14:paraId="000000D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Segoe UI"/>
          <w:color w:val="000000"/>
          <w:sz w:val="18"/>
          <w:lang w:val="en-US"/>
        </w:rPr>
      </w:pPr>
      <w:r>
        <w:rPr>
          <w:rFonts w:ascii="Arial"/>
          <w:color w:val="000000"/>
          <w:sz w:val="22"/>
          <w:highlight w:val="white"/>
          <w:rtl w:val="off"/>
          <w:lang w:val="en-US"/>
        </w:rPr>
        <w:t>National policy initiatives increasingly characterise loneliness as a public health concern and incorporate mental health into ageing care. Frameworks prioritise interdepartmental collaboration, financial support for community initiatives, and the assessment of loneliness results to guide commissioning and service provision. Regional disparities in housing, transit, and digital preparedness influence local expressions of loneliness and mental health, necessitating region-specific interventions within a unified national policy framework (Age UK, 2022; NHS Digital, 2023; ONS, 2023; Public Health England, 2021). In the UK, several kinds of specialised housing have been created to satisfy the various needs of elderly people, including extra-care housing, also known as housing with care, which is often made up of specially designed or modified apartments or bungalows that offer medium-to-high levels of care when needed through an on-site care service that is registered with the Care Quality Commission (CQC). With round-the-clock access to staff and support services, as well as meals, residents can live freely. According to the Ministry of Housing, Communities &amp; Local Government (2019), residential care facilities and nursing homes offer high-quality care that covers all daily life tasks and is housed in separate rooms within residential buildings.</w:t>
      </w:r>
      <w:r>
        <w:rPr>
          <w:rFonts w:ascii="Arial"/>
          <w:color w:val="000000"/>
          <w:sz w:val="22"/>
          <w:highlight w:val="none"/>
          <w:rtl w:val="off"/>
          <w:lang w:val="en-US"/>
        </w:rPr>
        <w:t xml:space="preserve"> </w:t>
      </w:r>
      <w:r>
        <w:rPr>
          <w:rFonts w:ascii="Segoe UI"/>
          <w:color w:val="000000"/>
          <w:sz w:val="18"/>
          <w:rtl w:val="off"/>
          <w:lang w:val="en-US"/>
        </w:rPr>
        <w:t xml:space="preserve"> </w:t>
      </w:r>
    </w:p>
    <w:p w14:paraId="000000D6">
      <w:pPr>
        <w:pStyle w:val="Paragraph"/>
        <w:tabs>
          <w:tab w:val="clear" w:pos="720"/>
          <w:tab w:val="num" w:pos="0"/>
        </w:tabs>
        <w:spacing w:before="0" w:after="0" w:line="360" w:lineRule="auto"/>
        <w:ind w:left="0" w:right="0" w:firstLine="0"/>
        <w:jc w:val="both"/>
        <w:rPr>
          <w:rFonts w:ascii="Aptos" w:cs="Arial" w:hAnsi="Aptos"/>
          <w:sz w:val="22"/>
          <w:szCs w:val="22"/>
        </w:rPr>
      </w:pPr>
    </w:p>
    <w:p w14:paraId="000000D7">
      <w:pPr>
        <w:pStyle w:val="Paragraph"/>
        <w:numPr>
          <w:ilvl w:val="0"/>
          <w:numId w:val="64"/>
        </w:numPr>
        <w:tabs>
          <w:tab w:val="clear" w:pos="720"/>
          <w:tab w:val="num" w:pos="0"/>
        </w:tabs>
        <w:spacing w:before="0" w:after="0" w:line="360" w:lineRule="auto"/>
        <w:ind w:left="0" w:firstLine="0"/>
        <w:jc w:val="both"/>
        <w:rPr>
          <w:rFonts w:ascii="Aptos" w:cs="Arial" w:hAnsi="Aptos"/>
          <w:sz w:val="22"/>
          <w:szCs w:val="22"/>
        </w:rPr>
      </w:pPr>
      <w:r>
        <w:rPr>
          <w:rStyle w:val="Normaltextrun"/>
          <w:rFonts w:ascii="Aptos" w:cs="Arial" w:hAnsi="Aptos"/>
          <w:b/>
          <w:bCs/>
          <w:sz w:val="22"/>
          <w:szCs w:val="22"/>
        </w:rPr>
        <w:t>Policy and Regulation:</w:t>
      </w:r>
      <w:r>
        <w:rPr>
          <w:rStyle w:val="Eop"/>
          <w:rFonts w:ascii="Aptos" w:cs="Arial" w:eastAsia="Calibri Light" w:hAnsi="Aptos"/>
          <w:sz w:val="22"/>
          <w:szCs w:val="22"/>
        </w:rPr>
        <w:t> </w:t>
      </w:r>
    </w:p>
    <w:p w14:paraId="000000D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Segoe UI"/>
          <w:color w:val="000000"/>
          <w:sz w:val="18"/>
          <w:lang w:val="en-US"/>
        </w:rPr>
      </w:pPr>
      <w:r>
        <w:rPr>
          <w:rFonts w:ascii="Arial"/>
          <w:color w:val="000000"/>
          <w:sz w:val="22"/>
          <w:highlight w:val="white"/>
          <w:rtl w:val="off"/>
          <w:lang w:val="en-US"/>
        </w:rPr>
        <w:t>The NHS Long Term Plan and NHS Mental Health Implementation Plan 2019/20</w:t>
      </w:r>
      <w:r>
        <w:rPr>
          <w:rFonts w:ascii="Arial"/>
          <w:color w:val="000000"/>
          <w:sz w:val="22"/>
          <w:highlight w:val="white"/>
          <w:rtl w:val="off"/>
          <w:lang w:val="en-US"/>
        </w:rPr>
        <w:t xml:space="preserve"> -2023/24</w:t>
      </w:r>
      <w:r>
        <w:rPr>
          <w:rFonts w:ascii="Arial"/>
          <w:color w:val="000000"/>
          <w:sz w:val="22"/>
          <w:highlight w:val="white"/>
          <w:rtl w:val="off"/>
          <w:lang w:val="en-US"/>
        </w:rPr>
        <w:t xml:space="preserve"> </w:t>
      </w:r>
      <w:r>
        <w:rPr>
          <w:rFonts w:ascii="Arial"/>
          <w:color w:val="000000"/>
          <w:sz w:val="22"/>
          <w:highlight w:val="white"/>
          <w:rtl w:val="off"/>
          <w:lang w:val="en-US"/>
        </w:rPr>
        <w:t>state</w:t>
      </w:r>
      <w:r>
        <w:rPr>
          <w:rFonts w:ascii="Arial"/>
          <w:color w:val="000000"/>
          <w:sz w:val="22"/>
          <w:highlight w:val="white"/>
          <w:rtl w:val="off"/>
          <w:lang w:val="en-US"/>
        </w:rPr>
        <w:t xml:space="preserve"> that that the NHS will make sure that elderly people with functional needs </w:t>
      </w:r>
      <w:r>
        <w:rPr>
          <w:rFonts w:ascii="Arial"/>
          <w:color w:val="000000"/>
          <w:sz w:val="22"/>
          <w:highlight w:val="white"/>
          <w:rtl w:val="off"/>
          <w:lang w:val="en-US"/>
        </w:rPr>
        <w:t>(such as</w:t>
      </w:r>
      <w:r>
        <w:rPr>
          <w:rFonts w:ascii="Arial"/>
          <w:color w:val="000000"/>
          <w:sz w:val="22"/>
          <w:highlight w:val="white"/>
          <w:rtl w:val="off"/>
          <w:lang w:val="en-US"/>
        </w:rPr>
        <w:t xml:space="preserve"> depression, anxiety, and severe mental health) have access to mental health care. </w:t>
      </w:r>
      <w:r>
        <w:rPr>
          <w:rFonts w:ascii="Arial"/>
          <w:color w:val="000000"/>
          <w:sz w:val="22"/>
          <w:highlight w:val="white"/>
          <w:rtl w:val="off"/>
          <w:lang w:val="en-US"/>
        </w:rPr>
        <w:t>The Long-Term Plan requires all areas to make it easier for elderly people to get care and treatment based on local demographics.</w:t>
      </w:r>
      <w:r>
        <w:rPr>
          <w:rFonts w:ascii="Arial"/>
          <w:color w:val="000000"/>
          <w:sz w:val="22"/>
          <w:highlight w:val="white"/>
          <w:rtl w:val="off"/>
          <w:lang w:val="en-US"/>
        </w:rPr>
        <w:t xml:space="preserve"> All </w:t>
      </w:r>
      <w:r>
        <w:rPr>
          <w:rFonts w:ascii="Arial"/>
          <w:color w:val="000000"/>
          <w:sz w:val="22"/>
          <w:highlight w:val="white"/>
          <w:rtl w:val="off"/>
          <w:lang w:val="en-US"/>
        </w:rPr>
        <w:t>appropriate mental</w:t>
      </w:r>
      <w:r>
        <w:rPr>
          <w:rFonts w:ascii="Arial"/>
          <w:color w:val="000000"/>
          <w:sz w:val="22"/>
          <w:highlight w:val="white"/>
          <w:rtl w:val="off"/>
          <w:lang w:val="en-US"/>
        </w:rPr>
        <w:t xml:space="preserve"> health services will need to get rid of upper-age limits, such as the presence of physical and mental health co-morbid needs, cognitive issues, and dementia or end-of-life care needs (NHS England, 2020).</w:t>
      </w:r>
      <w:r>
        <w:rPr>
          <w:rFonts w:ascii="Segoe UI"/>
          <w:color w:val="000000"/>
          <w:sz w:val="18"/>
          <w:rtl w:val="off"/>
          <w:lang w:val="en-US"/>
        </w:rPr>
        <w:t xml:space="preserve"> </w:t>
      </w:r>
    </w:p>
    <w:p w14:paraId="000000D9">
      <w:pPr>
        <w:pStyle w:val="Paragraph"/>
        <w:tabs>
          <w:tab w:val="clear" w:pos="720"/>
          <w:tab w:val="num" w:pos="0"/>
        </w:tabs>
        <w:spacing w:before="0" w:after="0" w:line="360" w:lineRule="auto"/>
        <w:ind w:left="0" w:right="0" w:firstLine="0"/>
        <w:jc w:val="both"/>
        <w:rPr>
          <w:rFonts w:ascii="Aptos" w:cs="Arial" w:hAnsi="Aptos"/>
          <w:sz w:val="22"/>
          <w:szCs w:val="22"/>
        </w:rPr>
      </w:pPr>
    </w:p>
    <w:p w14:paraId="000000DA">
      <w:pPr>
        <w:pStyle w:val="Paragraph"/>
        <w:numPr>
          <w:ilvl w:val="0"/>
          <w:numId w:val="67"/>
        </w:numPr>
        <w:tabs>
          <w:tab w:val="clear" w:pos="720"/>
          <w:tab w:val="num" w:pos="0"/>
        </w:tabs>
        <w:spacing w:before="0" w:after="0" w:line="360" w:lineRule="auto"/>
        <w:ind w:left="0" w:firstLine="0"/>
        <w:jc w:val="both"/>
        <w:rPr>
          <w:rFonts w:ascii="Aptos" w:cs="Arial" w:hAnsi="Aptos"/>
          <w:sz w:val="22"/>
          <w:szCs w:val="22"/>
        </w:rPr>
      </w:pPr>
      <w:r>
        <w:rPr>
          <w:rStyle w:val="Normaltextrun"/>
          <w:rFonts w:ascii="Aptos" w:cs="Arial" w:hAnsi="Aptos"/>
          <w:b/>
          <w:bCs/>
          <w:sz w:val="22"/>
          <w:szCs w:val="22"/>
        </w:rPr>
        <w:t>Local Context:</w:t>
      </w:r>
      <w:r>
        <w:rPr>
          <w:rStyle w:val="Eop"/>
          <w:rFonts w:ascii="Aptos" w:cs="Arial" w:eastAsia="Calibri Light" w:hAnsi="Aptos"/>
          <w:sz w:val="22"/>
          <w:szCs w:val="22"/>
        </w:rPr>
        <w:t> </w:t>
      </w:r>
    </w:p>
    <w:p w14:paraId="000000D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Segoe UI"/>
          <w:color w:val="000000"/>
          <w:sz w:val="18"/>
          <w:lang w:val="en-US"/>
        </w:rPr>
      </w:pPr>
      <w:r>
        <w:rPr>
          <w:rFonts w:ascii="Arial"/>
          <w:color w:val="000000"/>
          <w:sz w:val="22"/>
          <w:highlight w:val="white"/>
          <w:rtl w:val="off"/>
          <w:lang w:val="en-US"/>
        </w:rPr>
        <w:t>Local administrators and community organisations execute initiatives influenced by local demography, urban architecture, and digital infrastructure. Urban-rural disparities, housing standards, transit accessibility, and digital literacy contribute to vulnerability and resilience variables, necessitating customised strategies for addressing loneliness and mental health assistance (Age UK, 2022; ONS, 2023; NHS Digital, 2023). Age UK, Reengage, and the Royal Voluntary Service are some of the groups that offer companionship in person and over the phone. They pair volunteers with older individuals to break up lengthy periods of silence (Age UK, 2024).</w:t>
      </w:r>
      <w:r>
        <w:rPr>
          <w:rFonts w:ascii="Arial"/>
          <w:color w:val="000000"/>
          <w:sz w:val="22"/>
          <w:highlight w:val="none"/>
          <w:rtl w:val="off"/>
          <w:lang w:val="en-US"/>
        </w:rPr>
        <w:t xml:space="preserve"> </w:t>
      </w:r>
      <w:r>
        <w:rPr>
          <w:rFonts w:ascii="Segoe UI"/>
          <w:color w:val="000000"/>
          <w:sz w:val="18"/>
          <w:rtl w:val="off"/>
          <w:lang w:val="en-US"/>
        </w:rPr>
        <w:t xml:space="preserve"> </w:t>
      </w:r>
    </w:p>
    <w:p w14:paraId="000000DC">
      <w:pPr>
        <w:pStyle w:val="Paragraph"/>
        <w:spacing w:before="0" w:after="0" w:line="360" w:lineRule="auto"/>
        <w:ind w:left="1080"/>
        <w:jc w:val="both"/>
        <w:rPr>
          <w:rFonts w:ascii="Aptos" w:cs="Segoe UI" w:hAnsi="Aptos"/>
          <w:sz w:val="16"/>
          <w:szCs w:val="16"/>
        </w:rPr>
      </w:pPr>
      <w:r>
        <w:rPr>
          <w:rStyle w:val="Eop"/>
          <w:rFonts w:ascii="Aptos" w:cs="Arial" w:eastAsia="Calibri Light" w:hAnsi="Aptos"/>
          <w:sz w:val="22"/>
          <w:szCs w:val="22"/>
        </w:rPr>
        <w:t> </w:t>
      </w:r>
    </w:p>
    <w:p w14:paraId="000000DD">
      <w:pPr>
        <w:pStyle w:val="Paragraph"/>
        <w:spacing w:before="0" w:after="0" w:line="360" w:lineRule="auto"/>
        <w:jc w:val="both"/>
        <w:rPr>
          <w:rFonts w:ascii="Aptos" w:cs="Segoe UI" w:hAnsi="Aptos"/>
          <w:color w:val="0f4761"/>
          <w:sz w:val="16"/>
          <w:szCs w:val="16"/>
        </w:rPr>
      </w:pPr>
      <w:r>
        <w:rPr>
          <w:rStyle w:val="Normaltextrun"/>
          <w:rFonts w:ascii="Aptos" w:cs="Arial" w:hAnsi="Aptos"/>
          <w:color w:val="0f4761"/>
        </w:rPr>
        <w:t>2.6 Conclusion</w:t>
      </w:r>
    </w:p>
    <w:p w14:paraId="000000D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sectPr>
          <w:footerReference w:type="default" r:id="rId19"/>
          <w:pgSz w:w="11906" w:h="16838"/>
          <w:pgMar w:top="1440" w:right="1440" w:bottom="1440" w:left="1440" w:header="708" w:footer="708" w:gutter="0"/>
          <w:cols w:space="708"/>
        </w:sectPr>
      </w:pPr>
      <w:r>
        <w:rPr>
          <w:rStyle w:val="Eop"/>
          <w:rFonts w:ascii="Arial" w:cs="Arial" w:eastAsia="Calibri Light" w:hAnsi="Arial"/>
          <w:sz w:val="22"/>
          <w:szCs w:val="22"/>
        </w:rPr>
        <w:t> </w:t>
      </w:r>
      <w:r>
        <w:rPr>
          <w:rFonts w:ascii="Arial" w:cs="Arial" w:hAnsi="Arial"/>
          <w:color w:val="000000"/>
          <w:sz w:val="22"/>
          <w:szCs w:val="22"/>
          <w:highlight w:val="white"/>
          <w:rtl w:val="off"/>
          <w:lang w:val="en-US"/>
        </w:rPr>
        <w:t>Chapter 2 has provided a thorough background for examining loneliness, isolation, and mental health among the UK's population aged 65+ by incorporating historical evolution, theoretical models, international viewpoints, and national/local policy frameworks. The synthesis emphasises the interaction between biopsychological processes, social networks, and ecologi</w:t>
      </w:r>
      <w:r>
        <w:rPr>
          <w:rFonts w:ascii="Arial" w:cs="Arial" w:hAnsi="Arial"/>
          <w:color w:val="000000"/>
          <w:sz w:val="22"/>
          <w:szCs w:val="22"/>
          <w:highlight w:val="white"/>
          <w:rtl w:val="off"/>
          <w:lang w:val="en-US"/>
        </w:rPr>
        <w:t>cal environments in shaping ageing experiences and mental health outcomes. The cross-national perspective uncovers transferable ideas while highlighting issues specific to the UK in digital incl</w:t>
      </w:r>
      <w:r>
        <w:rPr>
          <w:rFonts w:ascii="Arial" w:cs="Arial" w:hAnsi="Arial"/>
          <w:color w:val="000000"/>
          <w:sz w:val="22"/>
          <w:szCs w:val="22"/>
          <w:highlight w:val="white"/>
          <w:rtl w:val="off"/>
          <w:lang w:val="en-US"/>
        </w:rPr>
        <w:t xml:space="preserve">usion, housing, transit, and service integration. These insights establish the foundation for the evidence synthesis in chapter 3 and the policy-relevant suggestions in chapter 4 aimed at enhancing mental health and mitigating loneliness and </w:t>
      </w:r>
      <w:r>
        <w:rPr>
          <w:rFonts w:ascii="Arial" w:cs="Arial" w:hAnsi="Arial"/>
          <w:color w:val="000000"/>
          <w:sz w:val="22"/>
          <w:szCs w:val="22"/>
          <w:highlight w:val="white"/>
          <w:rtl w:val="off"/>
          <w:lang w:val="en-US"/>
        </w:rPr>
        <w:t>isolation throughout England, Scotland, Wales, and Northern Ireland. The analysis underscores the imperative for robust assessment frameworks that can effectively assess both environmental and social impacts to completely evaluate policy performance (Courtin and Knapp, 2017; Victor et al., 2018; NHS Digital, 2023; Public Health England, 2021; Wetter et al., 2017; Wittenberg et al., 2019).</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0DF">
      <w:pPr>
        <w:pStyle w:val="Heading1"/>
        <w:ind w:left="0"/>
        <w:jc w:val="both"/>
        <w:rPr/>
      </w:pPr>
      <w:bookmarkStart w:id="4" w:name="_Toc5"/>
      <w:r>
        <w:rPr>
          <w:rFonts w:ascii="Aptos" w:hAnsi="Aptos"/>
        </w:rPr>
        <w:t>C</w:t>
      </w:r>
      <w:r>
        <w:rPr>
          <w:rFonts w:ascii="Aptos" w:hAnsi="Aptos"/>
        </w:rPr>
        <w:t>HAPTER</w:t>
      </w:r>
      <w:r>
        <w:rPr>
          <w:rFonts w:ascii="Aptos" w:hAnsi="Aptos"/>
        </w:rPr>
        <w:t xml:space="preserve"> 3 – </w:t>
      </w:r>
      <w:r>
        <w:rPr>
          <w:rFonts w:ascii="Aptos" w:hAnsi="Aptos"/>
        </w:rPr>
        <w:t>Methods and Search Strategy</w:t>
      </w:r>
      <w:bookmarkEnd w:id="4"/>
    </w:p>
    <w:p w14:paraId="000000E0">
      <w:pPr>
        <w:jc w:val="both"/>
        <w:rPr/>
      </w:pPr>
    </w:p>
    <w:p w14:paraId="000000E1">
      <w:pPr>
        <w:pStyle w:val="Heading2"/>
        <w:jc w:val="both"/>
        <w:rPr/>
      </w:pPr>
      <w:bookmarkStart w:id="5" w:name="_Toc6"/>
      <w:r>
        <w:t>3.</w:t>
      </w:r>
      <w:r>
        <w:t>1</w:t>
      </w:r>
      <w:r>
        <w:t xml:space="preserve"> –</w:t>
      </w:r>
      <w:r>
        <w:t xml:space="preserve"> </w:t>
      </w:r>
      <w:r>
        <w:t>Introduction</w:t>
      </w:r>
      <w:bookmarkEnd w:id="5"/>
      <w:r>
        <w:t xml:space="preserve"> </w:t>
      </w:r>
    </w:p>
    <w:p w14:paraId="000000E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both"/>
        <w:rPr>
          <w:rStyle w:val="Strong"/>
          <w:rFonts w:ascii="Aptos" w:eastAsia="Calibri Light" w:hAnsi="Aptos"/>
          <w:sz w:val="22"/>
          <w:szCs w:val="22"/>
        </w:rPr>
      </w:pPr>
      <w:r>
        <w:rPr>
          <w:rFonts w:hAnsi="Symbol"/>
          <w:sz w:val="22"/>
          <w:szCs w:val="22"/>
        </w:rPr>
        <w:t></w:t>
      </w:r>
      <w:r>
        <w:rPr>
          <w:sz w:val="22"/>
          <w:szCs w:val="22"/>
        </w:rPr>
        <w:t xml:space="preserve">  </w:t>
      </w:r>
      <w:r>
        <w:rPr>
          <w:rStyle w:val="Strong"/>
          <w:rFonts w:ascii="Aptos" w:eastAsia="Calibri Light" w:hAnsi="Aptos"/>
          <w:sz w:val="22"/>
          <w:szCs w:val="22"/>
        </w:rPr>
        <w:t>Purpose of the Chapter:</w:t>
      </w:r>
    </w:p>
    <w:p w14:paraId="000000E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rtl w:val="off"/>
          <w:lang w:val="en-US"/>
        </w:rPr>
      </w:pPr>
    </w:p>
    <w:p w14:paraId="000000E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ptos" w:hAnsi="Aptos"/>
          <w:sz w:val="22"/>
          <w:szCs w:val="22"/>
        </w:rPr>
      </w:pPr>
      <w:r>
        <w:rPr>
          <w:rFonts w:ascii="Arial" w:cs="Arial" w:hAnsi="Arial"/>
          <w:color w:val="000000"/>
          <w:sz w:val="22"/>
          <w:szCs w:val="22"/>
          <w:rtl w:val="off"/>
          <w:lang w:val="en-US"/>
        </w:rPr>
        <w:t>This chapter describes the methodology employed in the literature review that informs the study. It describes in detail how sources were identified, analysed, and merged to produce a robust UK-based evidence base on loneliness, social isolation, and mental health among persons aged 65 and up. This chapter builds on the academic poster by expanding on each component, from strategy to data coding, to demonstrate that the effort is systematic and repeatable. The approaches explain how the sources will support the policy interpretations and theme conclusions in Chapter 4. The strategy, which employs a biopsychosocial lens and a UK-wide viewpoint, takes into account regional differences in housing, transit, digital preparedness, and care provision. It also makes use of existing UK data infrastructures and policy-relevant syntheses (Age UK, 2022; ONS, 2023; Public Health England, 2021; NHS Digital, 2023; Courtin and Knapp, 2017; Victor et al., 2018).</w:t>
      </w:r>
    </w:p>
    <w:p w14:paraId="000000E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ptos" w:hAnsi="Aptos"/>
          <w:sz w:val="22"/>
          <w:szCs w:val="22"/>
        </w:rPr>
      </w:pPr>
    </w:p>
    <w:p w14:paraId="000000E6">
      <w:pPr>
        <w:pStyle w:val="Heading2"/>
        <w:jc w:val="both"/>
        <w:rPr/>
      </w:pPr>
      <w:bookmarkStart w:id="6" w:name="_Toc7"/>
      <w:r>
        <w:t>3.</w:t>
      </w:r>
      <w:r>
        <w:t>2</w:t>
      </w:r>
      <w:r>
        <w:t xml:space="preserve"> – Search Strategy</w:t>
      </w:r>
      <w:bookmarkEnd w:id="6"/>
      <w:r>
        <w:t xml:space="preserve"> </w:t>
      </w:r>
      <w:r>
        <w:t xml:space="preserve"> </w:t>
      </w:r>
    </w:p>
    <w:p w14:paraId="000000E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both"/>
        <w:rPr>
          <w:b/>
          <w:bCs/>
        </w:rPr>
      </w:pPr>
      <w:r>
        <w:rPr/>
        <w:br w:type="textWrapping"/>
      </w:r>
      <w:r>
        <w:rPr>
          <w:rFonts w:hAnsi="Symbol"/>
        </w:rPr>
        <w:t></w:t>
      </w:r>
      <w:r>
        <w:t xml:space="preserve"> </w:t>
      </w:r>
      <w:r>
        <w:rPr>
          <w:b/>
          <w:bCs/>
        </w:rPr>
        <w:t>Developing Keywords:</w:t>
      </w:r>
    </w:p>
    <w:p w14:paraId="000000E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highlight w:val="white"/>
          <w:rtl w:val="off"/>
          <w:lang w:val="en-US"/>
        </w:rPr>
      </w:pPr>
    </w:p>
    <w:p w14:paraId="000000E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r>
        <w:rPr>
          <w:rFonts w:ascii="Arial" w:cs="Arial" w:hAnsi="Arial"/>
          <w:color w:val="000000"/>
          <w:sz w:val="22"/>
          <w:szCs w:val="22"/>
          <w:highlight w:val="white"/>
          <w:rtl w:val="off"/>
          <w:lang w:val="en-US"/>
        </w:rPr>
        <w:t>The study question and the scope of chapter 2 were used to come up with keywords which were used to search databases. These include words like loneliness, social isolation, depression and anxiety symptoms, ageing, older persons, 65+, and the UK. England, Scotland, Wales, Northern Ireland, and associated psychosocial themes. To encompass breadth and depth, synonyms and associated terminology were integrated (e.g., "social connectedness", "social network ", "wellbeing", and "mental health") to broaden reach (Hughes et al., 2004; MIND, 2021).</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0E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p>
    <w:p w14:paraId="000000EB">
      <w:pPr>
        <w:jc w:val="both"/>
        <w:rPr/>
      </w:pPr>
      <w:r>
        <w:rPr>
          <w:rFonts w:hAnsi="Symbol"/>
        </w:rPr>
        <w:t></w:t>
      </w:r>
      <w:r>
        <w:t xml:space="preserve"> </w:t>
      </w:r>
      <w:r>
        <w:rPr>
          <w:b/>
          <w:bCs/>
        </w:rPr>
        <w:t>Boolean Operators:</w:t>
      </w:r>
    </w:p>
    <w:p w14:paraId="000000E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highlight w:val="white"/>
          <w:rtl w:val="off"/>
          <w:lang w:val="en-US"/>
        </w:rPr>
        <w:t xml:space="preserve">Search strings combine terms using Boolean operators to refine relevance. Examples include LONELINESS and older adults AND UK; social isolation OR loneliness AND mental health AND ageing; digital inclusion AND older people AND UK; biopsychosocial AND ageing and mental health (Courtin and Knapp, 2017). </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0ED">
      <w:pPr>
        <w:pStyle w:val="ListParagraph"/>
        <w:spacing w:line="360" w:lineRule="auto"/>
        <w:ind w:left="720" w:firstLine="0"/>
        <w:jc w:val="both"/>
        <w:rPr>
          <w:rFonts w:ascii="Arial" w:cs="Arial" w:hAnsi="Arial"/>
          <w:sz w:val="22"/>
          <w:szCs w:val="22"/>
        </w:rPr>
      </w:pPr>
    </w:p>
    <w:p w14:paraId="000000EE">
      <w:pPr>
        <w:jc w:val="both"/>
        <w:rPr/>
      </w:pPr>
      <w:r>
        <w:rPr>
          <w:rFonts w:hAnsi="Symbol"/>
        </w:rPr>
        <w:t></w:t>
      </w:r>
      <w:r>
        <w:t xml:space="preserve"> </w:t>
      </w:r>
      <w:r>
        <w:rPr>
          <w:b/>
          <w:bCs/>
        </w:rPr>
        <w:t>Structured Search Plan:</w:t>
      </w:r>
    </w:p>
    <w:p w14:paraId="000000E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highlight w:val="white"/>
          <w:rtl w:val="off"/>
          <w:lang w:val="en-US"/>
        </w:rPr>
        <w:t>A structured search plan was put into action. First, general searches were done to gain a sense of the subject, and then specialised searches were done on specific issues, like social prescribing, transport and ageing, housing and loneliness. Search strings, databases, and outcomes were documented to facilitate replication and audit trails, with continuous refinements as themes developed (ONS, 2023; NHS Digital, 2023).</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0F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p>
    <w:p w14:paraId="000000F1">
      <w:pPr>
        <w:jc w:val="both"/>
        <w:rPr>
          <w:b/>
          <w:bCs/>
        </w:rPr>
      </w:pPr>
      <w:r>
        <w:rPr>
          <w:rFonts w:hAnsi="Symbol"/>
        </w:rPr>
        <w:t></w:t>
      </w:r>
      <w:r>
        <w:t xml:space="preserve">  </w:t>
      </w:r>
      <w:r>
        <w:rPr>
          <w:b/>
          <w:bCs/>
        </w:rPr>
        <w:t>Databases and Platforms:</w:t>
      </w:r>
    </w:p>
    <w:p w14:paraId="000000F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highlight w:val="white"/>
          <w:rtl w:val="off"/>
          <w:lang w:val="en-US"/>
        </w:rPr>
        <w:t>Literat</w:t>
      </w:r>
      <w:r>
        <w:rPr>
          <w:rFonts w:ascii="Arial" w:cs="Arial" w:hAnsi="Arial"/>
          <w:color w:val="000000"/>
          <w:sz w:val="22"/>
          <w:szCs w:val="22"/>
          <w:highlight w:val="white"/>
          <w:rtl w:val="off"/>
          <w:lang w:val="en-US"/>
        </w:rPr>
        <w:t>ure</w:t>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t>was</w:t>
      </w:r>
      <w:r>
        <w:rPr>
          <w:rFonts w:ascii="Arial" w:cs="Arial" w:hAnsi="Arial"/>
          <w:color w:val="000000"/>
          <w:sz w:val="22"/>
          <w:szCs w:val="22"/>
          <w:highlight w:val="white"/>
          <w:rtl w:val="off"/>
          <w:lang w:val="en-US"/>
        </w:rPr>
        <w:t xml:space="preserve"> found on a variety of platforms to strike a balance between breadth and credibility: Google Scholar for a wide range of topics; PubMed for biomedical and health psychology literature; </w:t>
      </w:r>
      <w:r>
        <w:rPr>
          <w:rFonts w:ascii="Arial" w:cs="Arial" w:hAnsi="Arial"/>
          <w:color w:val="000000"/>
          <w:sz w:val="22"/>
          <w:szCs w:val="22"/>
          <w:highlight w:val="white"/>
          <w:rtl w:val="off"/>
          <w:lang w:val="en-US"/>
        </w:rPr>
        <w:t>Scopus</w:t>
      </w:r>
      <w:r>
        <w:rPr>
          <w:rFonts w:ascii="Arial" w:cs="Arial" w:hAnsi="Arial"/>
          <w:color w:val="000000"/>
          <w:sz w:val="22"/>
          <w:szCs w:val="22"/>
          <w:highlight w:val="white"/>
          <w:rtl w:val="off"/>
          <w:lang w:val="en-US"/>
        </w:rPr>
        <w:t xml:space="preserve"> and </w:t>
      </w:r>
      <w:r>
        <w:rPr>
          <w:rFonts w:ascii="Arial" w:cs="Arial" w:hAnsi="Arial"/>
          <w:color w:val="000000"/>
          <w:sz w:val="22"/>
          <w:szCs w:val="22"/>
          <w:highlight w:val="white"/>
          <w:rtl w:val="off"/>
          <w:lang w:val="en-US"/>
        </w:rPr>
        <w:t xml:space="preserve">Web of Science for a wide range of topics; and UK resources like NHS Digital, ONS, Public Health England, the Scottish Government, the Welsh Government, Age UK, and the Royal College of Psychiatrists. These channels offer peer-reviewed information, data that is useful for making decisions, and </w:t>
      </w:r>
      <w:r>
        <w:rPr>
          <w:rFonts w:ascii="Arial" w:cs="Arial" w:hAnsi="Arial"/>
          <w:color w:val="000000"/>
          <w:sz w:val="22"/>
          <w:szCs w:val="22"/>
          <w:highlight w:val="white"/>
          <w:rtl w:val="off"/>
          <w:lang w:val="en-US"/>
        </w:rPr>
        <w:t>well-known</w:t>
      </w:r>
      <w:r>
        <w:rPr>
          <w:rFonts w:ascii="Arial" w:cs="Arial" w:hAnsi="Arial"/>
          <w:color w:val="000000"/>
          <w:sz w:val="22"/>
          <w:szCs w:val="22"/>
          <w:highlight w:val="white"/>
          <w:rtl w:val="off"/>
          <w:lang w:val="en-US"/>
        </w:rPr>
        <w:t xml:space="preserve"> tools for measuring loneliness and mental health in older people (Agyeman et al., 2014; NHS Digital, 2023; ONS, 2023; Public Health England, 2021).</w:t>
      </w:r>
      <w:r>
        <w:rPr>
          <w:rFonts w:ascii="Arial" w:cs="Arial" w:hAnsi="Arial"/>
          <w:color w:val="000000"/>
          <w:sz w:val="22"/>
          <w:szCs w:val="22"/>
          <w:rtl w:val="off"/>
          <w:lang w:val="en-US"/>
        </w:rPr>
        <w:t xml:space="preserve"> </w:t>
      </w:r>
    </w:p>
    <w:p w14:paraId="000000F3">
      <w:pPr>
        <w:jc w:val="both"/>
        <w:rPr>
          <w:b/>
          <w:bCs/>
        </w:rPr>
      </w:pPr>
    </w:p>
    <w:p w14:paraId="000000F4">
      <w:pPr>
        <w:jc w:val="both"/>
        <w:rPr/>
      </w:pPr>
      <w:r>
        <w:rPr>
          <w:rFonts w:hAnsi="Symbol"/>
        </w:rPr>
        <w:t></w:t>
      </w:r>
      <w:r>
        <w:t xml:space="preserve">  </w:t>
      </w:r>
      <w:r>
        <w:rPr>
          <w:b/>
          <w:bCs/>
        </w:rPr>
        <w:t>Using Filters:</w:t>
      </w:r>
    </w:p>
    <w:p w14:paraId="000000F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highlight w:val="white"/>
          <w:rtl w:val="off"/>
          <w:lang w:val="en-US"/>
        </w:rPr>
        <w:t>Data range: 2010-2015; prioritising peer-reviewed articles and systematic reviews</w:t>
      </w:r>
      <w:r>
        <w:rPr>
          <w:rFonts w:ascii="Arial" w:cs="Arial" w:hAnsi="Arial"/>
          <w:color w:val="000000"/>
          <w:sz w:val="22"/>
          <w:szCs w:val="22"/>
          <w:highlight w:val="white"/>
          <w:rtl w:val="off"/>
          <w:lang w:val="en-US"/>
        </w:rPr>
        <w:t>, with grey literature consulted for policy background; UK wide focus with selective use of international sources for context; study types emphasising cohort studies, systematic reviews, government and health services reports, and credible think-tank analyses; population restricted to 65+ with subgroups by gender, SES, urban and rural status, and digital literacy in order to improve relevance and quality (Wittenberg et al., 2019; Wetter et al., 2017).</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0F6">
      <w:pPr>
        <w:jc w:val="both"/>
        <w:rPr/>
      </w:pPr>
    </w:p>
    <w:p w14:paraId="000000F7">
      <w:pPr>
        <w:jc w:val="both"/>
        <w:rPr/>
      </w:pPr>
      <w:r>
        <w:rPr>
          <w:rFonts w:hAnsi="Symbol"/>
        </w:rPr>
        <w:t></w:t>
      </w:r>
      <w:r>
        <w:t xml:space="preserve">  </w:t>
      </w:r>
      <w:r>
        <w:rPr>
          <w:b/>
          <w:bCs/>
        </w:rPr>
        <w:t>Search Process:</w:t>
      </w:r>
    </w:p>
    <w:p w14:paraId="000000F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 xml:space="preserve">A total of 150 articles were identified through various databases and sources using search strategy, and relevant literature was selected based on inclusion criteria. Following the application of the inclusion and exclusion criteria, 100 articles were excluded for reasons such as not being relevant to the study population (aged 65+), not concentrating on the UK context, or being outside the specified data range. This process resulted in a final selection of 50 articles that were deemed relevant and incorporated into the synthesis for analysis. This rigorous methodology guaranteed a focused and robust evidence-based approach to the research questions related to mental health and loneliness in the elderly. </w:t>
      </w:r>
      <w:r>
        <w:rPr>
          <w:rFonts w:ascii="Arial" w:cs="Arial" w:hAnsi="Arial"/>
          <w:color w:val="000000"/>
          <w:sz w:val="22"/>
          <w:szCs w:val="22"/>
          <w:rtl w:val="off"/>
          <w:lang w:val="en-US"/>
        </w:rPr>
        <w:t>10</w:t>
      </w:r>
      <w:r>
        <w:rPr>
          <w:rFonts w:ascii="Arial" w:cs="Arial" w:hAnsi="Arial"/>
          <w:color w:val="000000"/>
          <w:sz w:val="22"/>
          <w:szCs w:val="22"/>
          <w:highlight w:val="white"/>
          <w:rtl w:val="off"/>
          <w:lang w:val="en-US"/>
        </w:rPr>
        <w:t xml:space="preserve"> sources tracking table was kept (to be included in the Appendix A) that shows search keywords, databases, data ranges, decisions about what to include, and reasons for not including literature. This creates a clear audit trail (Higgins et al., 2020).</w:t>
      </w:r>
      <w:r>
        <w:rPr>
          <w:rFonts w:ascii="Arial" w:cs="Arial" w:hAnsi="Arial"/>
          <w:color w:val="000000"/>
          <w:sz w:val="22"/>
          <w:szCs w:val="22"/>
          <w:highlight w:val="white"/>
          <w:rtl w:val="off"/>
          <w:lang w:val="en-US"/>
        </w:rPr>
        <w:t xml:space="preserve"> </w:t>
      </w:r>
      <w:r>
        <w:rPr>
          <w:rFonts w:ascii="Arial" w:cs="Arial" w:hAnsi="Arial"/>
          <w:color w:val="000000"/>
          <w:sz w:val="22"/>
          <w:szCs w:val="22"/>
          <w:rtl w:val="off"/>
          <w:lang w:val="en-US"/>
        </w:rPr>
        <w:t xml:space="preserve"> </w:t>
      </w:r>
    </w:p>
    <w:p w14:paraId="000000F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left"/>
        <w:rPr>
          <w:rFonts w:ascii="Arial" w:cs="Arial" w:hAnsi="Arial"/>
          <w:sz w:val="22"/>
          <w:szCs w:val="22"/>
        </w:rPr>
      </w:pPr>
    </w:p>
    <w:p w14:paraId="000000FA">
      <w:pPr>
        <w:pStyle w:val="Heading2"/>
        <w:numPr>
          <w:ilvl w:val="1"/>
          <w:numId w:val="85"/>
        </w:numPr>
        <w:jc w:val="left"/>
        <w:rPr/>
      </w:pPr>
      <w:bookmarkStart w:id="7" w:name="_Toc8"/>
      <w:r>
        <w:t>–Research Validation</w:t>
      </w:r>
      <w:bookmarkEnd w:id="7"/>
      <w:r>
        <w:t xml:space="preserve"> </w:t>
      </w:r>
      <w:r>
        <w:rPr/>
        <w:br w:type="textWrapping"/>
      </w:r>
    </w:p>
    <w:p w14:paraId="000000FB">
      <w:pPr>
        <w:jc w:val="both"/>
        <w:rPr/>
      </w:pPr>
      <w:r>
        <w:rPr>
          <w:rFonts w:hAnsi="Symbol"/>
        </w:rPr>
        <w:t></w:t>
      </w:r>
      <w:r>
        <w:t xml:space="preserve">  </w:t>
      </w:r>
      <w:r>
        <w:rPr>
          <w:b/>
          <w:bCs/>
        </w:rPr>
        <w:t>Skimming Techniques:</w:t>
      </w:r>
    </w:p>
    <w:p w14:paraId="000000F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hAnsi="Symbol"/>
        </w:rPr>
      </w:pPr>
      <w:r>
        <w:rPr>
          <w:rFonts w:ascii="Arial" w:cs="Arial" w:hAnsi="Arial"/>
          <w:color w:val="000000"/>
          <w:sz w:val="22"/>
          <w:szCs w:val="22"/>
          <w:highlight w:val="white"/>
          <w:rtl w:val="off"/>
          <w:lang w:val="en-US"/>
        </w:rPr>
        <w:t>The first step in screening articles was to quickly read the title, abstract, introduction, and conclusion to see how relevant they were to loneliness, social isolation, and mental health in those over 65 in the UK. This stage got rid of research that was not important while keeping important data for therapy, societal issues, and policy (Aveyard, 2023).</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0F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hAnsi="Symbol"/>
        </w:rPr>
      </w:pPr>
    </w:p>
    <w:p w14:paraId="000000FE">
      <w:pPr>
        <w:jc w:val="both"/>
        <w:rPr/>
      </w:pPr>
      <w:r>
        <w:rPr>
          <w:rFonts w:hAnsi="Symbol"/>
        </w:rPr>
        <w:t></w:t>
      </w:r>
      <w:r>
        <w:t xml:space="preserve">  </w:t>
      </w:r>
      <w:r>
        <w:rPr>
          <w:b/>
          <w:bCs/>
        </w:rPr>
        <w:t>CRAAP Test Application:</w:t>
      </w:r>
    </w:p>
    <w:p w14:paraId="000000F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CRAAP was utilised to evaluate sources and ensure Chapter 4's synthesis had a solid proof base: currency, relevance, authority, accuracy, and purpose. A brief, structured evaluation of each source (2-4 bullet points per criterion) identified key quality indicators. How frequently the data is updated; How it affects UK elderly' mental health and loneliness.  Publisher reliability and author expertise; The accuracy of techniques, data, and limits; Purpose and biases of the data. While reviewing the resources, several were outdated or did not focus on the UK. Limits and contextual value, such as historical backdrop or instrument validity, were noted in CRAAP remarks. This audit path simplifies repetition and aids Chapter 4 interpretation (Kipnis, 2016; Fielding and Hall, 2012).</w:t>
      </w:r>
    </w:p>
    <w:p w14:paraId="00000100">
      <w:pPr>
        <w:jc w:val="both"/>
        <w:rPr/>
      </w:pPr>
    </w:p>
    <w:p w14:paraId="0000010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both"/>
        <w:rPr>
          <w:b/>
          <w:bCs/>
        </w:rPr>
      </w:pPr>
      <w:r>
        <w:rPr>
          <w:rFonts w:hAnsi="Symbol"/>
        </w:rPr>
        <w:t></w:t>
      </w:r>
      <w:r>
        <w:t xml:space="preserve">  </w:t>
      </w:r>
      <w:r>
        <w:rPr>
          <w:b/>
          <w:bCs/>
        </w:rPr>
        <w:t>Decision-Making:</w:t>
      </w:r>
    </w:p>
    <w:p w14:paraId="0000010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both"/>
        <w:rPr>
          <w:rFonts w:ascii="Arial"/>
          <w:color w:val="000000"/>
          <w:sz w:val="22"/>
          <w:highlight w:val="white"/>
          <w:rtl w:val="off"/>
          <w:lang w:val="en-US"/>
        </w:rPr>
      </w:pPr>
    </w:p>
    <w:p w14:paraId="0000010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Segoe UI"/>
          <w:color w:val="000000"/>
          <w:sz w:val="18"/>
          <w:lang w:val="en-US"/>
        </w:rPr>
      </w:pPr>
      <w:r>
        <w:rPr>
          <w:rFonts w:ascii="Arial" w:cs="Arial" w:hAnsi="Arial"/>
          <w:color w:val="000000"/>
          <w:sz w:val="22"/>
          <w:szCs w:val="22"/>
          <w:highlight w:val="white"/>
          <w:rtl w:val="off"/>
          <w:lang w:val="en-US"/>
        </w:rPr>
        <w:t>A UK cohort study on loneliness and depressive symptoms that was published within the last ten years and had a strong methodology and open data sources was used as a core baseline. Conversely, a blog post from an advocacy site that lacked methodological detail was dismissed, despite its insights being acknowledged for policy framing. This is an example of reliability assessment. This methodical methodology made sure that the evidence supporting the synthesis in chapter 4 is based on reliable, repeatable research (NHS Digital, 2023).</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104">
      <w:pPr>
        <w:jc w:val="both"/>
        <w:rPr/>
      </w:pPr>
    </w:p>
    <w:p w14:paraId="00000105">
      <w:pPr>
        <w:pStyle w:val="Heading2"/>
        <w:numPr>
          <w:ilvl w:val="1"/>
          <w:numId w:val="85"/>
        </w:numPr>
        <w:jc w:val="left"/>
        <w:rPr/>
      </w:pPr>
      <w:bookmarkStart w:id="8" w:name="_Toc9"/>
      <w:r>
        <w:rPr>
          <w:rStyle w:val="Heading2Char"/>
        </w:rPr>
        <w:t xml:space="preserve">- Inclusion and Exclusion Criteria </w:t>
      </w:r>
      <w:bookmarkEnd w:id="8"/>
      <w:r>
        <w:rPr>
          <w:sz w:val="28"/>
          <w:szCs w:val="28"/>
        </w:rPr>
        <w:br w:type="textWrapping"/>
      </w:r>
    </w:p>
    <w:p w14:paraId="0000010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both"/>
        <w:rPr>
          <w:b/>
          <w:bCs/>
        </w:rPr>
      </w:pPr>
      <w:r>
        <w:rPr>
          <w:rFonts w:hAnsi="Symbol"/>
        </w:rPr>
        <w:t></w:t>
      </w:r>
      <w:r>
        <w:t xml:space="preserve">  </w:t>
      </w:r>
      <w:r>
        <w:rPr>
          <w:b/>
          <w:bCs/>
        </w:rPr>
        <w:t>Inclusion Criteria:</w:t>
      </w:r>
    </w:p>
    <w:p w14:paraId="0000010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both"/>
        <w:rPr>
          <w:rFonts w:ascii="Segoe UI"/>
          <w:color w:val="000000"/>
          <w:sz w:val="18"/>
          <w:rtl w:val="off"/>
          <w:lang w:val="en-US"/>
        </w:rPr>
      </w:pPr>
    </w:p>
    <w:p w14:paraId="0000010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 xml:space="preserve">The research included peer-reviewed journal publications published within the last 10 years, UK-based studies, and sources that focused exclusively on people aged 65+. </w:t>
      </w:r>
      <w:r>
        <w:rPr>
          <w:rFonts w:ascii="Arial" w:cs="Arial" w:hAnsi="Arial"/>
          <w:color w:val="000000"/>
          <w:sz w:val="22"/>
          <w:szCs w:val="22"/>
          <w:rtl w:val="off"/>
          <w:lang w:val="en-US"/>
        </w:rPr>
        <w:t xml:space="preserve">Furthermore, relevant systematic evaluations, official reports, and publications from respected groups on loneliness and mental health among the elderly were included </w:t>
      </w:r>
      <w:r>
        <w:rPr>
          <w:rFonts w:ascii="Arial" w:cs="Arial" w:hAnsi="Arial"/>
          <w:color w:val="000000"/>
          <w:sz w:val="22"/>
          <w:szCs w:val="22"/>
          <w:highlight w:val="white"/>
          <w:rtl w:val="off"/>
          <w:lang w:val="en-US"/>
        </w:rPr>
        <w:t>(Age UK, 2022; Public Health England, 2021).</w:t>
      </w:r>
      <w:r>
        <w:rPr>
          <w:rFonts w:ascii="Arial" w:cs="Arial" w:hAnsi="Arial"/>
          <w:color w:val="000000"/>
          <w:sz w:val="22"/>
          <w:szCs w:val="22"/>
          <w:highlight w:val="white"/>
          <w:rtl w:val="off"/>
          <w:lang w:val="en-US"/>
        </w:rPr>
        <w:t xml:space="preserve"> </w:t>
      </w:r>
      <w:r>
        <w:rPr>
          <w:rFonts w:ascii="Arial" w:cs="Arial" w:hAnsi="Arial"/>
          <w:color w:val="000000"/>
          <w:sz w:val="22"/>
          <w:szCs w:val="22"/>
          <w:rtl w:val="off"/>
          <w:lang w:val="en-US"/>
        </w:rPr>
        <w:t xml:space="preserve"> </w:t>
      </w:r>
    </w:p>
    <w:p w14:paraId="0000010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sz w:val="22"/>
          <w:szCs w:val="22"/>
        </w:rPr>
      </w:pPr>
    </w:p>
    <w:p w14:paraId="0000010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b/>
          <w:bCs/>
          <w:sz w:val="22"/>
          <w:szCs w:val="22"/>
        </w:rPr>
      </w:pPr>
      <w:r>
        <w:rPr>
          <w:rFonts w:ascii="Arial" w:cs="Arial" w:hAnsi="Arial"/>
          <w:sz w:val="22"/>
          <w:szCs w:val="22"/>
        </w:rPr>
        <w:t></w:t>
      </w:r>
      <w:r>
        <w:rPr>
          <w:rFonts w:ascii="Arial" w:cs="Arial" w:hAnsi="Arial"/>
          <w:sz w:val="22"/>
          <w:szCs w:val="22"/>
        </w:rPr>
        <w:t xml:space="preserve">  </w:t>
      </w:r>
      <w:r>
        <w:rPr>
          <w:rFonts w:ascii="Arial" w:cs="Arial" w:hAnsi="Arial"/>
          <w:b/>
          <w:bCs/>
          <w:sz w:val="22"/>
          <w:szCs w:val="22"/>
        </w:rPr>
        <w:t>Exclusion Criteria:</w:t>
      </w:r>
    </w:p>
    <w:p w14:paraId="0000010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rtl w:val="off"/>
          <w:lang w:val="en-US"/>
        </w:rPr>
      </w:pPr>
    </w:p>
    <w:p w14:paraId="0000010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sz w:val="22"/>
          <w:szCs w:val="22"/>
        </w:rPr>
      </w:pPr>
      <w:r>
        <w:rPr>
          <w:rFonts w:ascii="Arial" w:cs="Arial" w:hAnsi="Arial"/>
          <w:color w:val="000000"/>
          <w:sz w:val="22"/>
          <w:szCs w:val="22"/>
          <w:rtl w:val="off"/>
          <w:lang w:val="en-US"/>
        </w:rPr>
        <w:t xml:space="preserve">Exclude criteria included opinion blogs, studies older than ten years, non-English papers, and those with insufficient methodological or relevance to the UK population aged 65 and up were excluded </w:t>
      </w:r>
      <w:r>
        <w:rPr>
          <w:rFonts w:ascii="Arial" w:cs="Arial" w:hAnsi="Arial"/>
          <w:color w:val="000000"/>
          <w:sz w:val="22"/>
          <w:szCs w:val="22"/>
          <w:highlight w:val="white"/>
          <w:rtl w:val="off"/>
          <w:lang w:val="en-US"/>
        </w:rPr>
        <w:t>(Hughes et al., 2004; Courtin and Knapp, 2017).</w:t>
      </w:r>
      <w:r>
        <w:rPr>
          <w:rFonts w:ascii="Arial" w:cs="Arial" w:hAnsi="Arial"/>
          <w:color w:val="000000"/>
          <w:sz w:val="22"/>
          <w:szCs w:val="22"/>
          <w:highlight w:val="white"/>
          <w:rtl w:val="off"/>
          <w:lang w:val="en-US"/>
        </w:rPr>
        <w:t xml:space="preserve"> </w:t>
      </w:r>
      <w:r>
        <w:rPr>
          <w:rFonts w:ascii="Arial" w:cs="Arial" w:hAnsi="Arial"/>
          <w:color w:val="000000"/>
          <w:sz w:val="22"/>
          <w:szCs w:val="22"/>
          <w:rtl w:val="off"/>
          <w:lang w:val="en-US"/>
        </w:rPr>
        <w:t xml:space="preserve"> </w:t>
      </w:r>
    </w:p>
    <w:p w14:paraId="0000010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sz w:val="22"/>
          <w:szCs w:val="22"/>
        </w:rPr>
      </w:pPr>
    </w:p>
    <w:p w14:paraId="0000010E">
      <w:pPr>
        <w:spacing w:line="360"/>
        <w:jc w:val="both"/>
        <w:rPr>
          <w:rFonts w:ascii="Arial" w:cs="Arial" w:hAnsi="Arial"/>
          <w:sz w:val="22"/>
          <w:szCs w:val="22"/>
        </w:rPr>
      </w:pPr>
      <w:r>
        <w:rPr>
          <w:rFonts w:ascii="Arial" w:cs="Arial" w:hAnsi="Arial"/>
          <w:sz w:val="22"/>
          <w:szCs w:val="22"/>
        </w:rPr>
        <w:t></w:t>
      </w:r>
      <w:r>
        <w:rPr>
          <w:rFonts w:ascii="Arial" w:cs="Arial" w:hAnsi="Arial"/>
          <w:sz w:val="22"/>
          <w:szCs w:val="22"/>
        </w:rPr>
        <w:t xml:space="preserve">  </w:t>
      </w:r>
      <w:r>
        <w:rPr>
          <w:rFonts w:ascii="Arial" w:cs="Arial" w:hAnsi="Arial"/>
          <w:b/>
          <w:bCs/>
          <w:sz w:val="22"/>
          <w:szCs w:val="22"/>
        </w:rPr>
        <w:t>Justification:</w:t>
      </w:r>
    </w:p>
    <w:p w14:paraId="0000010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sz w:val="22"/>
          <w:szCs w:val="22"/>
        </w:rPr>
      </w:pPr>
      <w:r>
        <w:rPr>
          <w:rFonts w:ascii="Arial" w:cs="Arial" w:hAnsi="Arial"/>
          <w:color w:val="000000"/>
          <w:sz w:val="22"/>
          <w:szCs w:val="22"/>
          <w:rtl w:val="off"/>
          <w:lang w:val="en-US"/>
        </w:rPr>
        <w:t>The inclusion and exclusion criteria guaranteed methodological rigour and relevance by selecting peer-reviewed literature directly relevant to the UK elderly population. This focus aided in the synthesis of high-quality evidence, increasing the credibility of findings while addressing the special complexity of loneliness and its relationship to mental health in elderly peopl</w:t>
      </w:r>
      <w:r>
        <w:rPr>
          <w:rFonts w:ascii="Arial" w:cs="Arial" w:hAnsi="Arial"/>
          <w:color w:val="000000"/>
          <w:sz w:val="22"/>
          <w:szCs w:val="22"/>
          <w:rtl w:val="off"/>
          <w:lang w:val="en-US"/>
        </w:rPr>
        <w:t xml:space="preserve">e </w:t>
      </w:r>
      <w:r>
        <w:rPr>
          <w:rFonts w:ascii="Arial" w:cs="Arial" w:hAnsi="Arial"/>
          <w:color w:val="000000"/>
          <w:sz w:val="22"/>
          <w:szCs w:val="22"/>
          <w:rtl w:val="off"/>
          <w:lang w:val="en-US"/>
        </w:rPr>
        <w:t>(</w:t>
      </w:r>
      <w:r>
        <w:rPr>
          <w:rFonts w:ascii="Arial" w:cs="Arial" w:hAnsi="Arial"/>
          <w:color w:val="000000"/>
          <w:sz w:val="22"/>
          <w:szCs w:val="22"/>
          <w:highlight w:val="white"/>
          <w:rtl w:val="off"/>
          <w:lang w:val="en-US"/>
        </w:rPr>
        <w:t>Victor et al., 2018; Wittenberg et al., 2019).</w:t>
      </w:r>
      <w:r>
        <w:rPr>
          <w:rFonts w:ascii="Arial" w:cs="Arial" w:hAnsi="Arial"/>
          <w:color w:val="000000"/>
          <w:sz w:val="22"/>
          <w:szCs w:val="22"/>
          <w:highlight w:val="white"/>
          <w:rtl w:val="off"/>
          <w:lang w:val="en-US"/>
        </w:rPr>
        <w:t xml:space="preserve"> </w:t>
      </w:r>
      <w:r>
        <w:rPr>
          <w:rFonts w:ascii="Arial" w:cs="Arial" w:hAnsi="Arial"/>
          <w:color w:val="000000"/>
          <w:sz w:val="22"/>
          <w:szCs w:val="22"/>
          <w:rtl w:val="off"/>
          <w:lang w:val="en-US"/>
        </w:rPr>
        <w:t xml:space="preserve"> </w:t>
      </w:r>
    </w:p>
    <w:p w14:paraId="0000011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sz w:val="22"/>
          <w:szCs w:val="22"/>
        </w:rPr>
      </w:pPr>
    </w:p>
    <w:p w14:paraId="00000111">
      <w:pPr>
        <w:pStyle w:val="Heading2"/>
        <w:numPr>
          <w:ilvl w:val="1"/>
          <w:numId w:val="85"/>
        </w:numPr>
        <w:spacing w:line="360"/>
        <w:jc w:val="both"/>
        <w:rPr>
          <w:rFonts w:ascii="Arial" w:cs="Arial" w:hAnsi="Arial"/>
          <w:sz w:val="22"/>
          <w:szCs w:val="22"/>
        </w:rPr>
      </w:pPr>
      <w:bookmarkStart w:id="9" w:name="_Toc10"/>
      <w:r>
        <w:rPr>
          <w:rFonts w:ascii="Arial" w:cs="Arial" w:hAnsi="Arial"/>
          <w:sz w:val="22"/>
          <w:szCs w:val="22"/>
        </w:rPr>
        <w:t>– Analysing Research</w:t>
      </w:r>
      <w:bookmarkEnd w:id="9"/>
      <w:r>
        <w:rPr>
          <w:rFonts w:ascii="Arial" w:cs="Arial" w:hAnsi="Arial"/>
          <w:sz w:val="22"/>
          <w:szCs w:val="22"/>
        </w:rPr>
        <w:t xml:space="preserve"> </w:t>
      </w:r>
    </w:p>
    <w:p w14:paraId="00000112">
      <w:pPr>
        <w:pStyle w:val="Normal"/>
        <w:spacing w:line="360"/>
        <w:ind w:left="0" w:right="0" w:firstLine="0"/>
        <w:jc w:val="both"/>
        <w:rPr>
          <w:rFonts w:ascii="Arial" w:cs="Arial" w:hAnsi="Arial"/>
          <w:sz w:val="22"/>
          <w:szCs w:val="22"/>
        </w:rPr>
      </w:pPr>
    </w:p>
    <w:p w14:paraId="0000011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b/>
          <w:bCs/>
          <w:sz w:val="22"/>
          <w:szCs w:val="22"/>
        </w:rPr>
      </w:pPr>
      <w:r>
        <w:rPr>
          <w:rFonts w:ascii="Arial" w:cs="Arial" w:hAnsi="Arial"/>
          <w:sz w:val="22"/>
          <w:szCs w:val="22"/>
        </w:rPr>
        <w:t></w:t>
      </w:r>
      <w:r>
        <w:rPr>
          <w:rFonts w:ascii="Arial" w:cs="Arial" w:hAnsi="Arial"/>
          <w:sz w:val="22"/>
          <w:szCs w:val="22"/>
        </w:rPr>
        <w:t xml:space="preserve"> </w:t>
      </w:r>
      <w:r>
        <w:rPr>
          <w:rFonts w:ascii="Arial" w:cs="Arial" w:hAnsi="Arial"/>
          <w:sz w:val="22"/>
          <w:szCs w:val="22"/>
        </w:rPr>
        <w:t xml:space="preserve"> </w:t>
      </w:r>
      <w:r>
        <w:rPr>
          <w:rFonts w:ascii="Arial" w:cs="Arial" w:hAnsi="Arial"/>
          <w:sz w:val="22"/>
          <w:szCs w:val="22"/>
        </w:rPr>
        <w:t xml:space="preserve"> </w:t>
      </w:r>
      <w:r>
        <w:rPr>
          <w:rFonts w:ascii="Arial" w:cs="Arial" w:hAnsi="Arial"/>
          <w:b/>
          <w:bCs/>
          <w:sz w:val="22"/>
          <w:szCs w:val="22"/>
        </w:rPr>
        <w:t>Thematic Coding Approach:</w:t>
      </w:r>
    </w:p>
    <w:p w14:paraId="0000011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rtl w:val="off"/>
          <w:lang w:val="en-US"/>
        </w:rPr>
      </w:pPr>
    </w:p>
    <w:p w14:paraId="0000011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Analysing the selected sources, a theme coding method was used to find reoccurring concepts, issues, and keywords. Each article was thoroughly evaluated, allowing for the extraction of initial codes that identified significant concepts related to loneliness and mental health in the elderly (Braun and Clark, 2006).</w:t>
      </w:r>
    </w:p>
    <w:p w14:paraId="00000116">
      <w:pPr>
        <w:spacing w:line="360"/>
        <w:jc w:val="both"/>
        <w:rPr>
          <w:rFonts w:ascii="Arial" w:cs="Arial" w:hAnsi="Arial"/>
          <w:sz w:val="22"/>
          <w:szCs w:val="22"/>
        </w:rPr>
      </w:pPr>
    </w:p>
    <w:p w14:paraId="00000117">
      <w:pPr>
        <w:spacing w:line="360"/>
        <w:jc w:val="both"/>
        <w:rPr>
          <w:rFonts w:ascii="Arial" w:cs="Arial" w:hAnsi="Arial"/>
          <w:sz w:val="22"/>
          <w:szCs w:val="22"/>
        </w:rPr>
      </w:pPr>
      <w:r>
        <w:rPr>
          <w:rFonts w:ascii="Arial" w:cs="Arial" w:hAnsi="Arial"/>
          <w:sz w:val="22"/>
          <w:szCs w:val="22"/>
        </w:rPr>
        <w:t></w:t>
      </w:r>
      <w:r>
        <w:rPr>
          <w:rFonts w:ascii="Arial" w:cs="Arial" w:hAnsi="Arial"/>
          <w:sz w:val="22"/>
          <w:szCs w:val="22"/>
        </w:rPr>
        <w:t xml:space="preserve"> </w:t>
      </w:r>
      <w:r>
        <w:rPr>
          <w:rFonts w:ascii="Arial" w:cs="Arial" w:hAnsi="Arial"/>
          <w:sz w:val="22"/>
          <w:szCs w:val="22"/>
        </w:rPr>
        <w:t xml:space="preserve"> </w:t>
      </w:r>
      <w:r>
        <w:rPr>
          <w:rFonts w:ascii="Arial" w:cs="Arial" w:hAnsi="Arial"/>
          <w:b/>
          <w:bCs/>
          <w:sz w:val="22"/>
          <w:szCs w:val="22"/>
        </w:rPr>
        <w:t>Developing Themes:</w:t>
      </w:r>
    </w:p>
    <w:p w14:paraId="0000011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sz w:val="22"/>
          <w:szCs w:val="22"/>
        </w:rPr>
      </w:pPr>
      <w:r>
        <w:rPr>
          <w:rFonts w:ascii="Arial" w:cs="Arial" w:hAnsi="Arial"/>
          <w:color w:val="000000"/>
          <w:sz w:val="22"/>
          <w:szCs w:val="22"/>
          <w:rtl w:val="off"/>
          <w:lang w:val="en-US"/>
        </w:rPr>
        <w:t>The initial codes were then grouped into major themes that corresponded to the research topic and purpose. This process aided in the identification of three key themes: the impact of loneliness on mental health outcomes, the effectiveness of current loneliness policies, and the role of community support  in mitigating loneliness  (Courtin and Knapp, 2015).</w:t>
      </w:r>
    </w:p>
    <w:p w14:paraId="0000011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sz w:val="22"/>
          <w:szCs w:val="22"/>
        </w:rPr>
      </w:pPr>
    </w:p>
    <w:p w14:paraId="0000011A">
      <w:pPr>
        <w:jc w:val="both"/>
        <w:rPr/>
      </w:pPr>
      <w:r>
        <w:rPr>
          <w:rFonts w:hAnsi="Symbol"/>
        </w:rPr>
        <w:t></w:t>
      </w:r>
      <w:r>
        <w:t xml:space="preserve"> </w:t>
      </w:r>
      <w:r>
        <w:t xml:space="preserve">  </w:t>
      </w:r>
      <w:r>
        <w:rPr>
          <w:b/>
          <w:bCs/>
        </w:rPr>
        <w:t>Organisation:</w:t>
      </w:r>
    </w:p>
    <w:p w14:paraId="0000011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Tables and colour coding were used to provide clarity and successfully track the evolution of codes and themes. A findings summary table captured each source's original codes and final themes, while a coding column made it easier to reference and organise, finally aiding the synthesis presented in Chapter 4 (Victor et al., 2018; Age UK, 2022).</w:t>
      </w:r>
    </w:p>
    <w:p w14:paraId="0000011C">
      <w:pPr>
        <w:jc w:val="both"/>
        <w:rPr/>
      </w:pPr>
    </w:p>
    <w:p w14:paraId="0000011D">
      <w:pPr>
        <w:pStyle w:val="Heading2"/>
        <w:numPr>
          <w:ilvl w:val="1"/>
          <w:numId w:val="85"/>
        </w:numPr>
        <w:jc w:val="both"/>
        <w:rPr/>
      </w:pPr>
      <w:bookmarkStart w:id="10" w:name="_Toc11"/>
      <w:r>
        <w:t xml:space="preserve">– Ethical Considerations </w:t>
      </w:r>
      <w:bookmarkEnd w:id="10"/>
    </w:p>
    <w:p w14:paraId="0000011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r>
        <w:rPr>
          <w:rFonts w:ascii="Arial" w:cs="Arial" w:hAnsi="Arial"/>
          <w:color w:val="000000"/>
          <w:sz w:val="22"/>
          <w:szCs w:val="22"/>
          <w:rtl w:val="off"/>
          <w:lang w:val="en-US"/>
        </w:rPr>
        <w:t>This study was conducted exclusively through secondary research, relying on existing literature rather than collecting exiting literature, which alleviates the ethical concerns involved with primary research (Aveyard, 2023). To maintain academic integrity, sources were correctly mentioned using the Harvard referencing style, ensuring that original authors' contributions were appropriately acknowledged and avoiding any sort of misrepresentation. Furthermore, a dedication to transparency and credibility led the selection and presentation of literature, ensuring that findings were presented objectively and without bias, hence increasing study reliability.</w:t>
      </w:r>
    </w:p>
    <w:p w14:paraId="0000011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p>
    <w:p w14:paraId="00000120">
      <w:pPr>
        <w:pStyle w:val="Heading2"/>
        <w:jc w:val="both"/>
        <w:rPr/>
      </w:pPr>
      <w:bookmarkStart w:id="11" w:name="_Toc12"/>
      <w:r>
        <w:t xml:space="preserve">3.8 </w:t>
      </w:r>
      <w:r>
        <w:t xml:space="preserve">– Chapter Conclusion </w:t>
      </w:r>
      <w:bookmarkEnd w:id="11"/>
    </w:p>
    <w:p w14:paraId="00000121">
      <w:pPr>
        <w:pStyle w:val="ListParagraph"/>
        <w:jc w:val="both"/>
        <w:rPr/>
      </w:pPr>
    </w:p>
    <w:p w14:paraId="00000122">
      <w:pPr>
        <w:jc w:val="both"/>
        <w:rPr/>
      </w:pPr>
      <w:r>
        <w:rPr>
          <w:rFonts w:hAnsi="Symbol"/>
        </w:rPr>
        <w:t></w:t>
      </w:r>
      <w:r>
        <w:t xml:space="preserve">   </w:t>
      </w:r>
      <w:r>
        <w:rPr>
          <w:b/>
          <w:bCs/>
        </w:rPr>
        <w:t>Summary:</w:t>
      </w:r>
    </w:p>
    <w:p w14:paraId="0000012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r>
        <w:rPr>
          <w:rFonts w:ascii="Arial" w:cs="Arial" w:hAnsi="Arial"/>
          <w:color w:val="000000"/>
          <w:sz w:val="22"/>
          <w:szCs w:val="22"/>
          <w:rtl w:val="off"/>
          <w:lang w:val="en-US"/>
        </w:rPr>
        <w:t>In this chapter a structured search strategy across a variety of databases, employed Boolean operators, and developed targeted keywords to locate, evaluate, and analyse research literature. Thematic classification facilitated the identification of key patterns, thereby improving the synthesis of findings that are relevant to loneliness and mental health in older adults (Courtin and Knapp, 2017).</w:t>
      </w:r>
    </w:p>
    <w:p w14:paraId="0000012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p>
    <w:p w14:paraId="00000125">
      <w:pPr>
        <w:jc w:val="both"/>
        <w:rPr/>
      </w:pPr>
      <w:r>
        <w:rPr>
          <w:rFonts w:hAnsi="Symbol"/>
        </w:rPr>
        <w:t></w:t>
      </w:r>
      <w:r>
        <w:t xml:space="preserve">   </w:t>
      </w:r>
      <w:r>
        <w:rPr>
          <w:b/>
          <w:bCs/>
        </w:rPr>
        <w:t>Link to Next Chapter:</w:t>
      </w:r>
    </w:p>
    <w:p w14:paraId="0000012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The methods described in Chapter 3 are directly linked to the results shown in Chapter 4. Five of the ten sources in Appendix A were chosen in Appendix B because they cover a wide range of studies that look at the link between older adults' mental health and loneliness. Other articles, blogs, and studies older than ten years were left out. This makes the need for new, concrete information even stronger. This carefully chosen themes emphasises how important it is to deal with loneliness as a major public health issue, preparing  for thematic analysis in Chapter 4.</w:t>
      </w:r>
    </w:p>
    <w:p w14:paraId="00000127">
      <w:pPr>
        <w:jc w:val="both"/>
        <w:rPr/>
      </w:pPr>
    </w:p>
    <w:p w14:paraId="00000128">
      <w:pPr>
        <w:pStyle w:val="Heading1"/>
        <w:ind w:left="0"/>
        <w:jc w:val="both"/>
        <w:rPr>
          <w:rFonts w:ascii="Aptos" w:hAnsi="Aptos"/>
        </w:rPr>
      </w:pPr>
      <w:bookmarkStart w:id="12" w:name="_Toc13"/>
      <w:r>
        <w:rPr>
          <w:rFonts w:ascii="Aptos" w:hAnsi="Aptos"/>
        </w:rPr>
        <w:t>C</w:t>
      </w:r>
      <w:r>
        <w:rPr>
          <w:rFonts w:ascii="Aptos" w:hAnsi="Aptos"/>
        </w:rPr>
        <w:t>HAPTER</w:t>
      </w:r>
      <w:r>
        <w:rPr>
          <w:rFonts w:ascii="Aptos" w:hAnsi="Aptos"/>
        </w:rPr>
        <w:t xml:space="preserve"> 4 – Findings and Discussion</w:t>
      </w:r>
      <w:bookmarkEnd w:id="12"/>
      <w:r>
        <w:rPr>
          <w:rFonts w:ascii="Aptos" w:hAnsi="Aptos"/>
        </w:rPr>
        <w:t xml:space="preserve"> </w:t>
      </w:r>
    </w:p>
    <w:p w14:paraId="00000129">
      <w:pPr>
        <w:jc w:val="both"/>
        <w:rPr/>
      </w:pPr>
    </w:p>
    <w:p w14:paraId="0000012A">
      <w:pPr>
        <w:pStyle w:val="Heading2"/>
        <w:jc w:val="both"/>
        <w:rPr>
          <w:rFonts w:ascii="Arial" w:cs="Arial" w:hAnsi="Arial"/>
          <w:sz w:val="22"/>
          <w:szCs w:val="22"/>
        </w:rPr>
      </w:pPr>
      <w:bookmarkStart w:id="13" w:name="_Toc14"/>
      <w:r>
        <w:t>4.1 –</w:t>
      </w:r>
      <w:r>
        <w:t xml:space="preserve"> </w:t>
      </w:r>
      <w:r>
        <w:t>Introduction</w:t>
      </w:r>
      <w:bookmarkEnd w:id="13"/>
      <w:r>
        <w:t xml:space="preserve"> </w:t>
      </w:r>
    </w:p>
    <w:p w14:paraId="0000012B">
      <w:pPr>
        <w:pStyle w:val="Normal"/>
        <w:jc w:val="both"/>
        <w:rPr/>
      </w:pPr>
    </w:p>
    <w:p w14:paraId="0000012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r>
        <w:rPr>
          <w:rFonts w:ascii="Arial" w:cs="Arial" w:hAnsi="Arial"/>
          <w:color w:val="000000"/>
          <w:sz w:val="22"/>
          <w:szCs w:val="22"/>
          <w:rtl w:val="off"/>
          <w:lang w:val="en-US"/>
        </w:rPr>
        <w:t>This chapter provides a comprehensive review of the facts of loneliness and mental health among elderly people in the United Kingdom. It is structured around three main themes: the impact of loneliness on mental health outcomes, the success of current loneliness policies, and the role of community support in mitigating loneliness. Each theme will be addressed using a synthesis of statistical evidence and theoretical frameworks, having a focus on the relationship between loneliness and mental health (Courtin and Knapp, 2017; Holt-Lustad et al., 2015). The chapter seeks to shed light on the significance of these findings for policy and practice, ultimately helping to a better understanding of this crucial public health issue (Victor et al., 2018; Age UK, 2022).</w:t>
      </w:r>
    </w:p>
    <w:p w14:paraId="0000012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p>
    <w:p w14:paraId="0000012E">
      <w:pPr>
        <w:pStyle w:val="Heading2"/>
        <w:jc w:val="both"/>
        <w:rPr/>
      </w:pPr>
      <w:bookmarkStart w:id="14" w:name="_Toc15"/>
      <w:r>
        <w:t>4.2 – Thematic Analysis</w:t>
      </w:r>
      <w:bookmarkEnd w:id="14"/>
      <w:r>
        <w:t xml:space="preserve"> </w:t>
      </w:r>
    </w:p>
    <w:p w14:paraId="0000012F">
      <w:pPr>
        <w:pStyle w:val="Heading1"/>
        <w:jc w:val="both"/>
        <w:rPr/>
      </w:pPr>
    </w:p>
    <w:p w14:paraId="00000130">
      <w:pPr>
        <w:jc w:val="both"/>
        <w:rPr/>
      </w:pPr>
      <w:r>
        <w:rPr>
          <w:rFonts w:hAnsi="Symbol"/>
        </w:rPr>
        <w:t></w:t>
      </w:r>
      <w:r>
        <w:t xml:space="preserve"> </w:t>
      </w:r>
      <w:r>
        <w:t xml:space="preserve">  </w:t>
      </w:r>
      <w:r>
        <w:rPr>
          <w:b/>
          <w:bCs/>
        </w:rPr>
        <w:t>Definition of Thematic Analysis:</w:t>
      </w:r>
    </w:p>
    <w:p w14:paraId="0000013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r>
        <w:rPr>
          <w:rFonts w:ascii="Arial" w:cs="Arial" w:hAnsi="Arial"/>
          <w:color w:val="000000"/>
          <w:sz w:val="22"/>
          <w:szCs w:val="22"/>
          <w:rtl w:val="off"/>
          <w:lang w:val="en-US"/>
        </w:rPr>
        <w:t>The analysis is a qualitative research method that employs data to identify, investigate, and present patterns (themes). It provides a diverse framework for evaluating qualitative data and is particularly useful in secondary research, where existing literature is used to draw major findings (Braun and Clarke, 2006). This process allows researchers to go through data in a logical manner, making it easier to understand how people feel and experience complex issues like as loneliness and mental health.</w:t>
      </w:r>
    </w:p>
    <w:p w14:paraId="0000013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p>
    <w:p w14:paraId="00000133">
      <w:pPr>
        <w:jc w:val="both"/>
        <w:rPr/>
      </w:pPr>
      <w:r>
        <w:rPr>
          <w:rFonts w:hAnsi="Symbol"/>
        </w:rPr>
        <w:t></w:t>
      </w:r>
      <w:r>
        <w:t xml:space="preserve"> </w:t>
      </w:r>
      <w:r>
        <w:t xml:space="preserve">  </w:t>
      </w:r>
      <w:r>
        <w:rPr>
          <w:b/>
          <w:bCs/>
        </w:rPr>
        <w:t>Link to Coding/Results Table:</w:t>
      </w:r>
    </w:p>
    <w:p w14:paraId="0000013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highlight w:val="white"/>
          <w:rtl w:val="off"/>
          <w:lang w:val="en-US"/>
        </w:rPr>
        <w:t>Thematic analysis was conducted based on the reviewed literature in this study, as detailed in the Results Summary Table (Appendix B). The coding process identified three principal themes: (1) the effects of loneliness on mental health outcomes; (2) the effectiveness of current policies addressing loneliness; and (3) the role of community support systems in mitigating loneliness. These codes were subsequently organised and will provide an in-depth analysis of each theme, using evidence from the literature to validate the findings.</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135">
      <w:pPr>
        <w:spacing w:line="360"/>
        <w:jc w:val="both"/>
        <w:rPr>
          <w:rFonts w:ascii="Arial" w:cs="Arial" w:hAnsi="Arial"/>
          <w:sz w:val="22"/>
          <w:szCs w:val="22"/>
        </w:rPr>
      </w:pPr>
    </w:p>
    <w:p w14:paraId="00000136">
      <w:pPr>
        <w:pStyle w:val="Heading2"/>
        <w:jc w:val="both"/>
        <w:rPr/>
      </w:pPr>
      <w:bookmarkStart w:id="15" w:name="_Toc16"/>
      <w:r>
        <w:t>4.3 – Theme 1: The Impact of Loneliness on Mental Health Outcomes</w:t>
      </w:r>
      <w:bookmarkEnd w:id="15"/>
    </w:p>
    <w:p w14:paraId="00000137">
      <w:pPr>
        <w:pStyle w:val="Heading4"/>
        <w:jc w:val="both"/>
        <w:rPr>
          <w:rFonts w:ascii="Aptos" w:hAnsi="Aptos"/>
        </w:rPr>
      </w:pPr>
      <w:r>
        <w:rPr>
          <w:rFonts w:ascii="Aptos" w:hAnsi="Aptos"/>
        </w:rPr>
        <w:t xml:space="preserve">Definition </w:t>
      </w:r>
    </w:p>
    <w:p w14:paraId="0000013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both"/>
        <w:rPr>
          <w:rStyle w:val="Strong"/>
        </w:rPr>
      </w:pPr>
      <w:r>
        <w:rPr>
          <w:rStyle w:val="Strong"/>
        </w:rPr>
        <w:t>Definition:</w:t>
      </w:r>
    </w:p>
    <w:p w14:paraId="0000013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both"/>
        <w:rPr>
          <w:rFonts w:ascii="Segoe UI"/>
          <w:color w:val="000000"/>
          <w:sz w:val="18"/>
          <w:rtl w:val="off"/>
          <w:lang w:val="en-US"/>
        </w:rPr>
      </w:pPr>
    </w:p>
    <w:p w14:paraId="0000013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According to Qualter et al. (2013), loneliness is the subjective experience of being isolated from others, which is frequently accompanied mental health and social isolation. This mental state is not associated with social isolation, which is defined as the absence of social interactions and connections (Hawley and Cacioppo, 2010). This theme analyses how loneliness influences elderly people's depression and anxiety.</w:t>
      </w:r>
    </w:p>
    <w:p w14:paraId="0000013B">
      <w:pPr>
        <w:spacing w:before="100" w:after="100"/>
        <w:ind w:left="0" w:right="0" w:firstLine="0"/>
        <w:jc w:val="both"/>
        <w:rPr/>
      </w:pPr>
    </w:p>
    <w:p w14:paraId="0000013C">
      <w:pPr>
        <w:pStyle w:val="Heading4"/>
        <w:jc w:val="both"/>
        <w:rPr>
          <w:rFonts w:ascii="Aptos" w:hAnsi="Aptos"/>
        </w:rPr>
      </w:pPr>
      <w:r>
        <w:rPr>
          <w:rFonts w:ascii="Aptos" w:hAnsi="Aptos"/>
        </w:rPr>
        <w:t>Background Information</w:t>
      </w:r>
    </w:p>
    <w:p w14:paraId="0000013D">
      <w:pPr>
        <w:numPr>
          <w:ilvl w:val="0"/>
          <w:numId w:val="77"/>
        </w:numPr>
        <w:spacing w:before="100" w:after="100"/>
        <w:jc w:val="both"/>
        <w:rPr>
          <w:rFonts w:ascii="Arial" w:cs="Arial" w:hAnsi="Arial"/>
          <w:color w:val="000000"/>
          <w:sz w:val="22"/>
          <w:szCs w:val="22"/>
          <w:rtl w:val="off"/>
          <w:lang w:val="en-US"/>
        </w:rPr>
      </w:pPr>
      <w:r>
        <w:rPr>
          <w:rStyle w:val="Strong"/>
        </w:rPr>
        <w:t>Historical/Contextual Background:</w:t>
      </w:r>
    </w:p>
    <w:p w14:paraId="0000013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rtl w:val="off"/>
          <w:lang w:val="en-US"/>
        </w:rPr>
      </w:pPr>
      <w:r>
        <w:rPr>
          <w:rFonts w:ascii="Arial" w:cs="Arial" w:hAnsi="Arial"/>
          <w:color w:val="000000"/>
          <w:sz w:val="22"/>
          <w:szCs w:val="22"/>
          <w:highlight w:val="white"/>
          <w:rtl w:val="off"/>
          <w:lang w:val="en-US"/>
        </w:rPr>
        <w:t>Historically, loneliness was frequently regarded as an unavoidable consequence of ageing; nevertheless, contemporary research has underscored its significant ramifications for mental health (Cacioppo and Cacioppo, 2018). The COVID-19 pandemic has worsened loneliness, making people more aware of how it affects their mental health and making them ask for immediate action (Public Health England, 2021). Research indicates that loneliness might result in elevated illness and mortality rates, highlighting the necessity for comprehensive initiatives to tackle this public health issue (Holt-Lunstad et al., 2015).</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13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rtl w:val="off"/>
          <w:lang w:val="en-US"/>
        </w:rPr>
      </w:pPr>
    </w:p>
    <w:p w14:paraId="0000014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Courtin and Knapp (2017) conducted a comprehensive study that foun</w:t>
      </w:r>
      <w:r>
        <w:rPr>
          <w:rFonts w:ascii="Arial" w:cs="Arial" w:hAnsi="Arial"/>
          <w:color w:val="000000"/>
          <w:sz w:val="22"/>
          <w:szCs w:val="22"/>
          <w:rtl w:val="off"/>
          <w:lang w:val="en-US"/>
        </w:rPr>
        <w:t>d a link between loneliness and a variety of negative health outcomes, including cognitive decline and a greater vulnerability to chronic diseases, emphasising the complex effects of loneliness on the overall health of the elderly. As the UK population ages, this issue becomes increasingly relevant. According to estimates, the number of older people over the age 65+ will increase considerably by 2040 (ONS,2023).</w:t>
      </w:r>
    </w:p>
    <w:p w14:paraId="0000014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sz w:val="22"/>
          <w:szCs w:val="22"/>
        </w:rPr>
      </w:pPr>
    </w:p>
    <w:p w14:paraId="0000014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sz w:val="22"/>
          <w:szCs w:val="22"/>
        </w:rPr>
      </w:pPr>
    </w:p>
    <w:p w14:paraId="0000014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sz w:val="22"/>
          <w:szCs w:val="22"/>
        </w:rPr>
      </w:pPr>
    </w:p>
    <w:p w14:paraId="00000144">
      <w:pPr>
        <w:pStyle w:val="Heading4"/>
        <w:jc w:val="both"/>
        <w:rPr>
          <w:rFonts w:ascii="Aptos" w:hAnsi="Aptos"/>
        </w:rPr>
      </w:pPr>
    </w:p>
    <w:p w14:paraId="00000145">
      <w:pPr>
        <w:pStyle w:val="Heading4"/>
        <w:jc w:val="both"/>
        <w:rPr>
          <w:rFonts w:ascii="Aptos" w:hAnsi="Aptos"/>
        </w:rPr>
      </w:pPr>
      <w:r>
        <w:rPr>
          <w:rFonts w:ascii="Aptos" w:hAnsi="Aptos"/>
        </w:rPr>
        <w:t>Impact on Research Question</w:t>
      </w:r>
    </w:p>
    <w:p w14:paraId="00000146">
      <w:pPr>
        <w:numPr>
          <w:ilvl w:val="0"/>
          <w:numId w:val="78"/>
        </w:numPr>
        <w:spacing w:before="100" w:after="100"/>
        <w:jc w:val="both"/>
        <w:rPr/>
      </w:pPr>
      <w:r>
        <w:rPr>
          <w:rStyle w:val="Strong"/>
        </w:rPr>
        <w:t>Relevance to Title/Research Question:</w:t>
      </w:r>
    </w:p>
    <w:p w14:paraId="0000014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Segoe UI"/>
          <w:color w:val="000000"/>
          <w:sz w:val="18"/>
          <w:lang w:val="en-US"/>
        </w:rPr>
      </w:pPr>
      <w:r>
        <w:rPr>
          <w:rFonts w:ascii="Arial"/>
          <w:color w:val="000000"/>
          <w:sz w:val="22"/>
          <w:highlight w:val="white"/>
          <w:rtl w:val="off"/>
          <w:lang w:val="en-US"/>
        </w:rPr>
        <w:t>Theme 1 is essential to the research question on the relationship between loneliness and mental health in the elderly. When we know how loneliness affects mental health, we can make specific changes and regulations to help elderly people feel better. The importance of dealing with loneliness derives from the fact that it can help prevent mental health problems, improve quality of life, and improve health outcomes in general. Studies show that dealing with loneliness can help with depression and anxiety symptoms and even enhance physical health (Holt-Lunstad et al., 2015; Cacioppo and Cacioppo, 2018).</w:t>
      </w:r>
      <w:r>
        <w:rPr>
          <w:rFonts w:ascii="Arial"/>
          <w:color w:val="000000"/>
          <w:sz w:val="22"/>
          <w:highlight w:val="none"/>
          <w:rtl w:val="off"/>
          <w:lang w:val="en-US"/>
        </w:rPr>
        <w:t xml:space="preserve"> </w:t>
      </w:r>
      <w:r>
        <w:rPr>
          <w:rFonts w:ascii="Segoe UI"/>
          <w:color w:val="000000"/>
          <w:sz w:val="18"/>
          <w:rtl w:val="off"/>
          <w:lang w:val="en-US"/>
        </w:rPr>
        <w:t xml:space="preserve"> </w:t>
      </w:r>
    </w:p>
    <w:p w14:paraId="00000148">
      <w:pPr>
        <w:spacing w:before="100" w:after="100"/>
        <w:ind w:right="0"/>
        <w:jc w:val="both"/>
        <w:rPr/>
      </w:pPr>
    </w:p>
    <w:p w14:paraId="00000149">
      <w:pPr>
        <w:pStyle w:val="Heading4"/>
        <w:jc w:val="both"/>
        <w:rPr>
          <w:rFonts w:ascii="Aptos" w:hAnsi="Aptos"/>
        </w:rPr>
      </w:pPr>
      <w:r>
        <w:rPr>
          <w:rFonts w:ascii="Aptos" w:hAnsi="Aptos"/>
        </w:rPr>
        <w:t>Statistical Information</w:t>
      </w:r>
    </w:p>
    <w:p w14:paraId="0000014A">
      <w:pPr>
        <w:numPr>
          <w:ilvl w:val="0"/>
          <w:numId w:val="79"/>
        </w:numPr>
        <w:spacing w:before="100" w:after="100"/>
        <w:jc w:val="both"/>
        <w:rPr/>
      </w:pPr>
      <w:r>
        <w:rPr>
          <w:rStyle w:val="Strong"/>
        </w:rPr>
        <w:t>Data and Statistics:</w:t>
      </w:r>
    </w:p>
    <w:p w14:paraId="0000014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Statistical data indicate that elderly individuals are lonely, which is concerning. According to the Office for National Statistics (ONS, 2023), almost 1.4 million older individuals in the UK report feeling lonely "often" or "always." This high frequency of loneliness can be attributed to a number of factors, including social isolation caused by mobility challenges, the loss of family and friends, and insufficient community support systems. While several research, like those by Holt-Lunstad et al. (2015) and NHS Digital (2023), consistently link loneliness to higher rates of depression, anxiety, their conclusions on health vary. For example, Cacioppo et al. (2010) discovered that lonely people are 50% more likely to suffer mental health problems, indicating a causal association. However, some people adjust to social isolation differently depending on their personality features, implying that not all lonely people experience detrimental mental health effects to the same extent.</w:t>
      </w:r>
    </w:p>
    <w:p w14:paraId="0000014C">
      <w:pPr>
        <w:spacing w:before="100" w:after="100" w:line="360"/>
        <w:ind w:right="0"/>
        <w:jc w:val="both"/>
        <w:rPr>
          <w:rFonts w:ascii="Arial" w:cs="Arial" w:hAnsi="Arial"/>
          <w:sz w:val="22"/>
          <w:szCs w:val="22"/>
        </w:rPr>
      </w:pPr>
    </w:p>
    <w:p w14:paraId="0000014D">
      <w:pPr>
        <w:pStyle w:val="Heading4"/>
        <w:jc w:val="both"/>
        <w:rPr>
          <w:rFonts w:ascii="Aptos" w:hAnsi="Aptos"/>
        </w:rPr>
      </w:pPr>
      <w:r>
        <w:rPr>
          <w:rFonts w:ascii="Aptos" w:hAnsi="Aptos"/>
        </w:rPr>
        <w:t>Theories, Policies, and Legislation</w:t>
      </w:r>
    </w:p>
    <w:p w14:paraId="0000014E">
      <w:pPr>
        <w:pStyle w:val="Normal(Web)"/>
        <w:numPr>
          <w:ilvl w:val="0"/>
          <w:numId w:val="80"/>
        </w:numPr>
        <w:spacing w:line="360" w:lineRule="auto"/>
        <w:jc w:val="both"/>
        <w:rPr/>
      </w:pPr>
      <w:r>
        <w:rPr>
          <w:rStyle w:val="Strong"/>
          <w:rFonts w:ascii="Aptos" w:eastAsia="Calibri Light" w:hAnsi="Aptos"/>
          <w:sz w:val="22"/>
          <w:szCs w:val="22"/>
        </w:rPr>
        <w:t>Theoretical Framework:</w:t>
      </w:r>
    </w:p>
    <w:p w14:paraId="0000014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The biopsychosocial model provides an effective theoretical framework for understanding the relationship between loneliness and mental health. This approach proposes that biological, psychological, and social factors interact to influence an individual's health outcomes (Courtin and Knapp, 2017). Because loneliness has an impact on both mental health and social engagement, it is critical to consider these two factors while developing solutions. For example, research suggest that social support can reduce the relationship between loneliness and mental health, meaning that strengthening social ties may mitigate some of the negative impacts of loneliness (Holt-Lunstad et al., 2015.</w:t>
      </w:r>
    </w:p>
    <w:p w14:paraId="00000150">
      <w:pPr>
        <w:spacing w:before="100" w:after="100" w:line="360"/>
        <w:ind w:right="0"/>
        <w:jc w:val="both"/>
        <w:rPr>
          <w:rFonts w:ascii="Arial" w:cs="Arial" w:hAnsi="Arial"/>
          <w:sz w:val="22"/>
          <w:szCs w:val="22"/>
        </w:rPr>
      </w:pPr>
    </w:p>
    <w:p w14:paraId="00000151">
      <w:pPr>
        <w:pStyle w:val="Normal(Web)"/>
        <w:numPr>
          <w:ilvl w:val="0"/>
          <w:numId w:val="80"/>
        </w:numPr>
        <w:spacing w:line="360" w:lineRule="auto"/>
        <w:jc w:val="both"/>
        <w:rPr/>
      </w:pPr>
      <w:r>
        <w:rPr>
          <w:rStyle w:val="Strong"/>
          <w:rFonts w:ascii="Aptos" w:eastAsia="Calibri Light" w:hAnsi="Aptos"/>
          <w:sz w:val="22"/>
          <w:szCs w:val="22"/>
        </w:rPr>
        <w:t>Policy and Legislation:</w:t>
      </w:r>
    </w:p>
    <w:p w14:paraId="0000015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Current initiatives, such as the NHS Long Term Plan (NHS England, 2020), recognise the importance of addressing loneliness in relation to mental health. This plan highlights the importance of integrated therapy, which includes mental health services as well as community engagement programs. Services, social aid, and programs that keep individuals engaged with their communities. However, for these principles to be effective, they must be implemented and made accessible to the elderly in a variety of situations. According to King's Fund (2021) research, despite the existence of efforts, individuals are still uninformed of the resources available, indicating a gap in policy efficacy.</w:t>
      </w:r>
    </w:p>
    <w:p w14:paraId="00000153">
      <w:pPr>
        <w:spacing w:before="100" w:after="100" w:line="360"/>
        <w:ind w:right="0"/>
        <w:jc w:val="both"/>
        <w:rPr>
          <w:rFonts w:ascii="Arial" w:cs="Arial" w:hAnsi="Arial"/>
          <w:sz w:val="22"/>
          <w:szCs w:val="22"/>
        </w:rPr>
      </w:pPr>
    </w:p>
    <w:p w14:paraId="00000154">
      <w:pPr>
        <w:pStyle w:val="Heading4"/>
        <w:jc w:val="both"/>
        <w:rPr>
          <w:rFonts w:ascii="Aptos" w:hAnsi="Aptos"/>
        </w:rPr>
      </w:pPr>
      <w:r>
        <w:rPr>
          <w:rFonts w:ascii="Aptos" w:hAnsi="Aptos"/>
        </w:rPr>
        <w:t>Implications</w:t>
      </w:r>
    </w:p>
    <w:p w14:paraId="00000155">
      <w:pPr>
        <w:numPr>
          <w:ilvl w:val="0"/>
          <w:numId w:val="81"/>
        </w:numPr>
        <w:spacing w:before="100" w:after="100"/>
        <w:jc w:val="both"/>
        <w:rPr/>
      </w:pPr>
      <w:r>
        <w:rPr>
          <w:rStyle w:val="Strong"/>
        </w:rPr>
        <w:t>Positive and Negative Implications:</w:t>
      </w:r>
    </w:p>
    <w:p w14:paraId="0000015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r>
        <w:rPr>
          <w:rFonts w:ascii="Arial" w:cs="Arial" w:hAnsi="Arial"/>
          <w:color w:val="000000"/>
          <w:sz w:val="22"/>
          <w:szCs w:val="22"/>
          <w:rtl w:val="off"/>
          <w:lang w:val="en-US"/>
        </w:rPr>
        <w:t xml:space="preserve">Mental health outcomes are affected by loneliness both positively and negatively. Positively, recognising loneliness as a serious mental health issue may lead to increased awareness and the development of targeted therapies. Seniors can become more robust with community support and social engagement programs. Victor et al. (2018) found that socialising improves mental health.  </w:t>
      </w:r>
      <w:r>
        <w:rPr>
          <w:rFonts w:ascii="Arial" w:cs="Arial" w:hAnsi="Arial"/>
          <w:color w:val="000000"/>
          <w:sz w:val="22"/>
          <w:szCs w:val="22"/>
          <w:rtl w:val="off"/>
          <w:lang w:val="en-US"/>
        </w:rPr>
        <w:t>Instead, neglecting loneliness can worsen mental health issues, raising healthcare expenditures, increasing unhappiness and anxiety, and lowering quality of life for elderly people (Wetter et al., 2017). Negative effects of loneliness demonstrate the need for mental health and social support plans. NHS Digital (2023) reports that lonely older adults have worse health results. This underscores how crucial it is to find strategies to help people with mental health and loneliness.</w:t>
      </w:r>
    </w:p>
    <w:p w14:paraId="0000015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p>
    <w:p w14:paraId="00000158">
      <w:pPr>
        <w:pStyle w:val="Heading4"/>
        <w:jc w:val="both"/>
        <w:rPr/>
      </w:pPr>
      <w:r>
        <w:rPr>
          <w:rFonts w:ascii="Aptos" w:hAnsi="Aptos"/>
        </w:rPr>
        <w:t>Examples from Your Articles</w:t>
      </w:r>
    </w:p>
    <w:p w14:paraId="0000015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 xml:space="preserve">Several Result Summary Table articles support this theme. Age UK (2020) recommends social prescribing to combat loneliness and mental health issues. Community projects and support networks for elderly people are among the ways this paper suggests improving social bonds. This consensus emphasises the need to address loneliness as a public health issue (Age UK, 2022; Courtin and Knapp, 2017). </w:t>
      </w:r>
      <w:r>
        <w:rPr>
          <w:rFonts w:ascii="Arial" w:cs="Arial" w:hAnsi="Arial"/>
          <w:color w:val="000000"/>
          <w:sz w:val="22"/>
          <w:szCs w:val="22"/>
          <w:rtl w:val="off"/>
          <w:lang w:val="en-US"/>
        </w:rPr>
        <w:t xml:space="preserve">However, the ONS (2023) data demonstrates demographic patterns that differ on loneliness. Some studies claim loneliness is detrimental for adults, while others suggest elderly people may handle social isolation differently depending on their personality and social skills (Cacioppo and Cacioppo, 2018). These two perspectives help us understand loneliness and its effects on mental health (ONS, 2023; Cacioppo and Cacioppo, 2018). </w:t>
      </w:r>
      <w:r>
        <w:rPr>
          <w:rFonts w:ascii="Arial" w:cs="Arial" w:hAnsi="Arial"/>
          <w:color w:val="000000"/>
          <w:sz w:val="22"/>
          <w:szCs w:val="22"/>
          <w:rtl w:val="off"/>
          <w:lang w:val="en-US"/>
        </w:rPr>
        <w:t>This research topic is solved by proving that loneliness is situational by looking at different perspectives in the articles. This understanding is crucial for creating policies and actions that meet elderly people's diverse requirements (Graham, 2020; ONS, 2023).</w:t>
      </w:r>
    </w:p>
    <w:p w14:paraId="0000015A">
      <w:pPr>
        <w:pStyle w:val="Heading4"/>
        <w:jc w:val="both"/>
        <w:rPr>
          <w:rFonts w:ascii="Aptos" w:hAnsi="Aptos"/>
        </w:rPr>
      </w:pPr>
      <w:r>
        <w:rPr>
          <w:rFonts w:ascii="Aptos" w:hAnsi="Aptos"/>
        </w:rPr>
        <w:br w:type="textWrapping"/>
      </w:r>
      <w:r>
        <w:rPr>
          <w:rFonts w:ascii="Aptos" w:hAnsi="Aptos"/>
        </w:rPr>
        <w:t>Connections to Other Themes</w:t>
      </w:r>
    </w:p>
    <w:p w14:paraId="0000015B">
      <w:pPr>
        <w:numPr>
          <w:ilvl w:val="0"/>
          <w:numId w:val="83"/>
        </w:numPr>
        <w:spacing w:before="100" w:after="100"/>
        <w:jc w:val="both"/>
        <w:rPr/>
      </w:pPr>
      <w:r>
        <w:rPr>
          <w:rStyle w:val="Strong"/>
        </w:rPr>
        <w:t>Interconnections:</w:t>
      </w:r>
    </w:p>
    <w:p w14:paraId="0000015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r>
        <w:rPr>
          <w:rFonts w:ascii="Arial" w:cs="Arial" w:hAnsi="Arial"/>
          <w:color w:val="000000"/>
          <w:sz w:val="22"/>
          <w:szCs w:val="22"/>
          <w:rtl w:val="off"/>
          <w:lang w:val="en-US"/>
        </w:rPr>
        <w:t xml:space="preserve">This theme is linked to other themes in the dissertation, including how successfully present policies handle loneliness and how community support systems work. The study of the impact of loneliness on mental health outcomes has a direct impact on arguments about the need for loneliness-reduction measures. Furthermore, the effectiveness of community support efforts, as detailed in theme 3, indicates the necessity of developing social interactions to improve mental health (Holt-Lunstad et al., 2015; Courtin and Knapp, 2017). </w:t>
      </w:r>
      <w:r>
        <w:rPr>
          <w:rFonts w:ascii="Arial" w:cs="Arial" w:hAnsi="Arial"/>
          <w:color w:val="000000"/>
          <w:sz w:val="22"/>
          <w:szCs w:val="22"/>
          <w:lang w:val="en-US"/>
        </w:rPr>
        <w:br w:type="textWrapping"/>
      </w:r>
      <w:r>
        <w:rPr>
          <w:rFonts w:ascii="Arial" w:cs="Arial" w:hAnsi="Arial"/>
          <w:color w:val="000000"/>
          <w:sz w:val="22"/>
          <w:szCs w:val="22"/>
          <w:rtl w:val="off"/>
          <w:lang w:val="en-US"/>
        </w:rPr>
        <w:t>The overlap between topics demonstrates that combatting loneliness requires more than simply improving one's personal mental health; it also necessitates a holistic approach that involves laws and community support. Recognising these connections, the dissertation underlines the importance of comprehensive approaches to addressing the multifaceted nature of loneliness and its influence on mental health (Age UK, 2022; Victor et al. 2018).</w:t>
      </w:r>
    </w:p>
    <w:p w14:paraId="0000015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p>
    <w:p w14:paraId="0000015E">
      <w:pPr>
        <w:pStyle w:val="Heading2"/>
        <w:jc w:val="both"/>
        <w:rPr/>
      </w:pPr>
      <w:bookmarkStart w:id="16" w:name="_Toc17"/>
      <w:r>
        <w:t>4.4 – Theme 2: The Effectiveness of Current Policies Addressing Loneliness</w:t>
      </w:r>
      <w:bookmarkEnd w:id="16"/>
    </w:p>
    <w:p w14:paraId="0000015F">
      <w:pPr>
        <w:pStyle w:val="Heading2"/>
        <w:jc w:val="both"/>
        <w:rPr/>
      </w:pPr>
      <w:bookmarkStart w:id="17" w:name="_Toc18"/>
      <w:r>
        <w:t>Introduction</w:t>
      </w:r>
      <w:bookmarkEnd w:id="17"/>
    </w:p>
    <w:p w14:paraId="0000016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r>
        <w:rPr>
          <w:rFonts w:ascii="Arial" w:cs="Arial" w:hAnsi="Arial"/>
          <w:color w:val="000000"/>
          <w:sz w:val="22"/>
          <w:szCs w:val="22"/>
          <w:rtl w:val="off"/>
          <w:lang w:val="en-US"/>
        </w:rPr>
        <w:t>This section evaluates whether the existing policy framework and its implementation reduce loneliness in older adults and improve mental health. It uses theoretical viewpoints, policy assessments, literature evidence, and a Chapter 3 results review to demonstrate what works, what lacks, and where gaps remain.</w:t>
      </w:r>
    </w:p>
    <w:p w14:paraId="0000016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p>
    <w:p w14:paraId="00000162">
      <w:pPr>
        <w:pStyle w:val="Heading4"/>
        <w:jc w:val="both"/>
        <w:rPr>
          <w:rFonts w:ascii="Aptos" w:hAnsi="Aptos"/>
        </w:rPr>
      </w:pPr>
      <w:r>
        <w:rPr>
          <w:rFonts w:ascii="Aptos" w:hAnsi="Aptos"/>
        </w:rPr>
        <w:t xml:space="preserve">Definition </w:t>
      </w:r>
    </w:p>
    <w:p w14:paraId="00000163">
      <w:pPr>
        <w:numPr>
          <w:ilvl w:val="0"/>
          <w:numId w:val="76"/>
        </w:numPr>
        <w:spacing w:before="100" w:after="100"/>
        <w:jc w:val="both"/>
        <w:rPr/>
      </w:pPr>
      <w:r>
        <w:rPr>
          <w:rStyle w:val="Strong"/>
        </w:rPr>
        <w:t>Definition:</w:t>
      </w:r>
    </w:p>
    <w:p w14:paraId="0000016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r>
        <w:rPr>
          <w:rFonts w:ascii="Arial" w:cs="Arial" w:hAnsi="Arial"/>
          <w:color w:val="000000"/>
          <w:sz w:val="22"/>
          <w:szCs w:val="22"/>
          <w:rtl w:val="off"/>
          <w:lang w:val="en-US"/>
        </w:rPr>
        <w:t>In this context, policy effectiveness refers to how well government, health, and community programs combat loneliness and its harmful impact on mental health. It includes the development of policy tools (such as social prescribing, the digital inclusion initiative, and community engagement programs), how policies are implemented (such as collaboration across agencies and local service delivery), and the outcomes that can be measured in terms of loneliness reduction, increased social connectedness, service uptake, and well-being. This theme is founded on the concept that loneliness is a public health issue that may be addressed via coordinated policy action. The biopsychosocial model provides a useful framework, highlighting that policy must include biological susceptibility, psychological health, and social context in order to be effective (Courtin and Knapp, 2017; Holt-Lunstad et al., 2015).</w:t>
      </w:r>
    </w:p>
    <w:p w14:paraId="0000016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p>
    <w:p w14:paraId="00000166">
      <w:pPr>
        <w:pStyle w:val="Heading4"/>
        <w:jc w:val="both"/>
        <w:rPr>
          <w:rFonts w:ascii="Aptos" w:hAnsi="Aptos"/>
        </w:rPr>
      </w:pPr>
      <w:r>
        <w:rPr>
          <w:rFonts w:ascii="Aptos" w:hAnsi="Aptos"/>
        </w:rPr>
        <w:t>Background Information</w:t>
      </w:r>
    </w:p>
    <w:p w14:paraId="00000167">
      <w:pPr>
        <w:numPr>
          <w:ilvl w:val="0"/>
          <w:numId w:val="77"/>
        </w:numPr>
        <w:spacing w:before="100" w:after="100"/>
        <w:jc w:val="both"/>
        <w:rPr/>
      </w:pPr>
      <w:r>
        <w:rPr>
          <w:rStyle w:val="Strong"/>
        </w:rPr>
        <w:t>Historical/Contextual Background</w:t>
      </w:r>
    </w:p>
    <w:p w14:paraId="0000016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Lonerliness is a public health issue, yet legislative change has been difficult. Early policies focused on loneliness awareness or independent programs. They ignored systems that addressed loneliness's fundamental causes. A number of policy streams have emerged in recent years to make loneliness reduction social prescribing work, including community resource links, integrated care models that combine mental health and social support, and targeted community engagement programs to help people make lasting social connections. Age UK (2020) emphasises social prescribing as a key way to connect lonely and older people to social initiatives rather than only therapeutic ones. The NHS Long Plan prioritises integrated care and community-based techniques for helping adults, particularly lonely ones, feel better psychologically and physically (NHS England, 2020). According to The King's Fund (2021), awareness gaps, poor execution, and limited local competence may make policies less successful despite these changes in legislation. Public Health England (2021) examined policy responses during the COVID-19 pandemic, showing that scalable solutions can fail if the implementation is inconsistent or resources are restricted.</w:t>
      </w:r>
    </w:p>
    <w:p w14:paraId="00000169">
      <w:pPr>
        <w:spacing w:before="100" w:after="100" w:line="360"/>
        <w:ind w:left="0" w:right="0" w:firstLine="0"/>
        <w:jc w:val="both"/>
        <w:rPr>
          <w:rFonts w:ascii="Arial" w:cs="Arial" w:hAnsi="Arial"/>
          <w:sz w:val="22"/>
          <w:szCs w:val="22"/>
        </w:rPr>
      </w:pPr>
    </w:p>
    <w:p w14:paraId="0000016A">
      <w:pPr>
        <w:pStyle w:val="Heading4"/>
        <w:jc w:val="both"/>
        <w:rPr>
          <w:rFonts w:ascii="Aptos" w:hAnsi="Aptos"/>
        </w:rPr>
      </w:pPr>
      <w:r>
        <w:rPr>
          <w:rFonts w:ascii="Aptos" w:hAnsi="Aptos"/>
        </w:rPr>
        <w:t>Impact on Research Question</w:t>
      </w:r>
    </w:p>
    <w:p w14:paraId="0000016B">
      <w:pPr>
        <w:numPr>
          <w:ilvl w:val="0"/>
          <w:numId w:val="78"/>
        </w:numPr>
        <w:spacing w:before="100" w:after="100"/>
        <w:jc w:val="both"/>
        <w:rPr/>
      </w:pPr>
      <w:r>
        <w:rPr>
          <w:rStyle w:val="Strong"/>
        </w:rPr>
        <w:t>Relevance to Title/Research Question:</w:t>
      </w:r>
    </w:p>
    <w:p w14:paraId="0000016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The research question addresses the way loneliness affects the elderly's mental health and what strategies may be imple</w:t>
      </w:r>
      <w:r>
        <w:rPr>
          <w:rFonts w:ascii="Arial" w:cs="Arial" w:hAnsi="Arial"/>
          <w:color w:val="000000"/>
          <w:sz w:val="22"/>
          <w:szCs w:val="22"/>
          <w:rtl w:val="off"/>
          <w:lang w:val="en-US"/>
        </w:rPr>
        <w:t xml:space="preserve">mented to lessen this danger. Theme 2 investigates whether current policy concepts </w:t>
      </w:r>
      <w:r>
        <w:rPr>
          <w:rFonts w:ascii="Arial" w:cs="Arial" w:hAnsi="Arial"/>
          <w:color w:val="000000"/>
          <w:sz w:val="22"/>
          <w:szCs w:val="22"/>
          <w:rtl w:val="off"/>
          <w:lang w:val="en-US"/>
        </w:rPr>
        <w:t>and execution minimise loneliness while improving depression and anxiety symptoms in older individuals. This examination is based on the biopsychosocial model, which connects biological, psychological, and social factors to health outcomes. According to this viewpoint, policy interventions aimed at reducing loneliness should prioritise social connectedness, resource availability, and psychological resilience over service supply (Courtin and Knapp, 2017; Holt-Lunstad and Layton 2015). Without an integrated design that considers socioeconomic determinants of health and local context, policy approaches may provide limited or uneven benefits for loneliness and its related mental health implications (Courtin and Knapp, 217).</w:t>
      </w:r>
    </w:p>
    <w:p w14:paraId="0000016D">
      <w:pPr>
        <w:pStyle w:val="Heading4"/>
        <w:jc w:val="both"/>
        <w:rPr>
          <w:rFonts w:ascii="Aptos" w:hAnsi="Aptos"/>
        </w:rPr>
      </w:pPr>
    </w:p>
    <w:p w14:paraId="0000016E">
      <w:pPr>
        <w:pStyle w:val="Heading4"/>
        <w:jc w:val="both"/>
        <w:rPr>
          <w:rFonts w:ascii="Aptos" w:hAnsi="Aptos"/>
        </w:rPr>
      </w:pPr>
      <w:r>
        <w:rPr>
          <w:rFonts w:ascii="Aptos" w:hAnsi="Aptos"/>
        </w:rPr>
        <w:t>Statistical Information</w:t>
      </w:r>
    </w:p>
    <w:p w14:paraId="0000016F">
      <w:pPr>
        <w:numPr>
          <w:ilvl w:val="0"/>
          <w:numId w:val="79"/>
        </w:numPr>
        <w:spacing w:before="100" w:after="100"/>
        <w:jc w:val="both"/>
        <w:rPr>
          <w:rStyle w:val="Strong"/>
        </w:rPr>
      </w:pPr>
      <w:r>
        <w:rPr>
          <w:rStyle w:val="Strong"/>
        </w:rPr>
        <w:t>Data and Statistic:</w:t>
      </w:r>
    </w:p>
    <w:p w14:paraId="0000017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 xml:space="preserve">The effectiveness of current policies aimed at reducing loneliness is varied. While initiatives like social prescribing and integrated care models have gained popularity, evidence from Age UK (2020) and NHS Digital (2023) shows that discrepancies in implementation frequently negate their potential benefits. For example, Age UK (2020) states that, despite the fact that these initiatives target 2 million older persons, many continue to experience chronic loneliness, demonstrating a mismatch between policy purpose and real-world outcomes. </w:t>
      </w:r>
      <w:r>
        <w:rPr>
          <w:rFonts w:ascii="Arial" w:cs="Arial" w:hAnsi="Arial"/>
          <w:color w:val="000000"/>
          <w:sz w:val="22"/>
          <w:szCs w:val="22"/>
          <w:rtl w:val="off"/>
          <w:lang w:val="en-US"/>
        </w:rPr>
        <w:t>The approaches used in research lead to disparities. While quantitative studies provide statistical proof of policy efficacy, qualitative assessments identify access hurdles, such as a lack of awareness of available services or an insufficient allocation of local resources. This emphasises the importance of evaluating policies not only for their presence, but also for their accessibility and effectiveness in real-world settings.</w:t>
      </w:r>
    </w:p>
    <w:p w14:paraId="00000171">
      <w:pPr>
        <w:spacing w:before="100" w:after="100" w:line="360"/>
        <w:ind w:right="0"/>
        <w:jc w:val="both"/>
        <w:rPr>
          <w:rFonts w:ascii="Arial" w:cs="Arial" w:hAnsi="Arial"/>
          <w:sz w:val="22"/>
          <w:szCs w:val="22"/>
        </w:rPr>
      </w:pPr>
    </w:p>
    <w:p w14:paraId="00000172">
      <w:pPr>
        <w:spacing w:before="100" w:after="100"/>
        <w:ind w:right="0"/>
        <w:jc w:val="both"/>
        <w:rPr/>
      </w:pPr>
    </w:p>
    <w:p w14:paraId="00000173">
      <w:pPr>
        <w:spacing w:before="100" w:after="100"/>
        <w:ind w:right="0"/>
        <w:jc w:val="both"/>
        <w:rPr/>
      </w:pPr>
      <w:r>
        <w:t>.</w:t>
      </w:r>
    </w:p>
    <w:p w14:paraId="00000174">
      <w:pPr>
        <w:pStyle w:val="Heading4"/>
        <w:jc w:val="both"/>
        <w:rPr>
          <w:rFonts w:ascii="Aptos" w:hAnsi="Aptos"/>
        </w:rPr>
      </w:pPr>
      <w:r>
        <w:rPr>
          <w:rFonts w:ascii="Aptos" w:hAnsi="Aptos"/>
        </w:rPr>
        <w:t>Theories, Policies, and Legislation</w:t>
      </w:r>
    </w:p>
    <w:p w14:paraId="00000175">
      <w:pPr>
        <w:pStyle w:val="Normal(Web)"/>
        <w:numPr>
          <w:ilvl w:val="0"/>
          <w:numId w:val="80"/>
        </w:numPr>
        <w:spacing w:line="360" w:lineRule="auto"/>
        <w:jc w:val="both"/>
        <w:rPr/>
      </w:pPr>
      <w:r>
        <w:rPr>
          <w:rStyle w:val="Strong"/>
          <w:rFonts w:ascii="Aptos" w:eastAsia="Calibri Light" w:hAnsi="Aptos"/>
          <w:sz w:val="22"/>
          <w:szCs w:val="22"/>
        </w:rPr>
        <w:t>Theoretical Framework:</w:t>
      </w:r>
    </w:p>
    <w:p w14:paraId="0000017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The biopsychosocial model is still the main foundation for assessing loneliness policies. Services that lack social integration or psychological resilience are unlikely to last. Policies should address social determinants of health like access to social networks, meaningful engagement, and supportive environments, along with psychological factors like perceived support, self-efficacy, and coping mechanisms. Holt-Lunstad et al. (2015) emphasise that deeper social connections improve health outcomes, emphasising the need for policies that promote them. Courtin and Knapp (2017) provide a comprehensive policy framework that incorporates local context and ensures efforts are flexible enough to serve rural, low-digital literacy, and language-barrier communities.</w:t>
      </w:r>
    </w:p>
    <w:p w14:paraId="00000177">
      <w:pPr>
        <w:spacing w:before="100" w:after="100" w:line="360"/>
        <w:ind w:right="0"/>
        <w:jc w:val="both"/>
        <w:rPr>
          <w:rFonts w:ascii="Arial" w:cs="Arial" w:hAnsi="Arial"/>
          <w:sz w:val="22"/>
          <w:szCs w:val="22"/>
        </w:rPr>
      </w:pPr>
    </w:p>
    <w:p w14:paraId="00000178">
      <w:pPr>
        <w:pStyle w:val="Normal(Web)"/>
        <w:numPr>
          <w:ilvl w:val="0"/>
          <w:numId w:val="80"/>
        </w:numPr>
        <w:spacing w:line="360" w:lineRule="auto"/>
        <w:jc w:val="both"/>
        <w:rPr/>
      </w:pPr>
      <w:r>
        <w:rPr>
          <w:rStyle w:val="Strong"/>
          <w:rFonts w:ascii="Aptos" w:eastAsia="Calibri Light" w:hAnsi="Aptos"/>
          <w:sz w:val="22"/>
          <w:szCs w:val="22"/>
        </w:rPr>
        <w:t>Policy and Legislation:</w:t>
      </w:r>
    </w:p>
    <w:p w14:paraId="0000017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Legislation and policy created by loneliness interventions reach elderly people. The NHS Long Term Plan's integrated care model, Age UK's social prescribing framework, Public Health England's safeguarding framework, King's Fund's implementation insights, and NHS Digital's emphasis on digital inclusion are all important tools. Dissemination, equity, and local program customisation are critical components of implementation. Standardised statistics are required to identify real-world repercussions and enhance policy (Holt-Lunstad et al., 2015). These characteristics influence whether policy interventions reduce loneliness and promote mental health (Victor et al., 2018).</w:t>
      </w:r>
    </w:p>
    <w:p w14:paraId="0000017A">
      <w:pPr>
        <w:pStyle w:val="Normal(Web)"/>
        <w:spacing w:line="360" w:lineRule="auto"/>
        <w:ind w:left="0" w:right="0" w:firstLine="0"/>
        <w:jc w:val="both"/>
        <w:rPr/>
      </w:pPr>
    </w:p>
    <w:p w14:paraId="0000017B">
      <w:pPr>
        <w:pStyle w:val="Heading4"/>
        <w:jc w:val="both"/>
        <w:rPr>
          <w:rFonts w:ascii="Aptos" w:hAnsi="Aptos"/>
        </w:rPr>
      </w:pPr>
      <w:r>
        <w:rPr>
          <w:rFonts w:ascii="Aptos" w:hAnsi="Aptos"/>
        </w:rPr>
        <w:t>Implications</w:t>
      </w:r>
    </w:p>
    <w:p w14:paraId="0000017C">
      <w:pPr>
        <w:numPr>
          <w:ilvl w:val="0"/>
          <w:numId w:val="81"/>
        </w:numPr>
        <w:spacing w:before="100" w:after="100"/>
        <w:jc w:val="both"/>
        <w:rPr/>
      </w:pPr>
      <w:r>
        <w:rPr>
          <w:rStyle w:val="Strong"/>
        </w:rPr>
        <w:t>Positive and Negative Implications:</w:t>
      </w:r>
    </w:p>
    <w:p w14:paraId="0000017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r>
        <w:rPr>
          <w:rFonts w:ascii="Arial" w:cs="Arial" w:hAnsi="Arial"/>
          <w:color w:val="000000"/>
          <w:sz w:val="22"/>
          <w:szCs w:val="22"/>
          <w:highlight w:val="white"/>
          <w:rtl w:val="off"/>
          <w:lang w:val="en-US"/>
        </w:rPr>
        <w:t>Effective loneliness policy increases social connectedness, community resource availability, and integrated treatment to reduce depression and anxiety. Well-implemented policies can produce scalable, sustainable interventions that reach different elderly people and enhance resilience and well-being. Threats include policy design outpacing execution, resulting in uneven uptake and enduring inequities. Resource constraints, workforce capabilities, and digital exclusion might hinder improvements. Due to its subjectivity and extended time horizons needed to notice persistent changes, assessing policy influence on loneliness is difficult. Therefore, policy design must include evaluative feedback loops for timely modifications</w:t>
      </w:r>
      <w:r>
        <w:rPr>
          <w:rFonts w:ascii="Arial" w:cs="Arial" w:hAnsi="Arial"/>
          <w:color w:val="000000"/>
          <w:sz w:val="22"/>
          <w:szCs w:val="22"/>
          <w:rtl w:val="off"/>
          <w:lang w:val="en-US"/>
        </w:rPr>
        <w:t xml:space="preserve"> (Courtin and Knapp, 2017; Holt-Lunstad., 2015).</w:t>
      </w:r>
    </w:p>
    <w:p w14:paraId="0000017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p>
    <w:p w14:paraId="0000017F">
      <w:pPr>
        <w:pStyle w:val="Heading4"/>
        <w:jc w:val="both"/>
        <w:rPr>
          <w:rFonts w:ascii="Aptos" w:hAnsi="Aptos"/>
        </w:rPr>
      </w:pPr>
      <w:r>
        <w:rPr>
          <w:rFonts w:ascii="Aptos" w:hAnsi="Aptos"/>
        </w:rPr>
        <w:t>Examples from Your Articles</w:t>
      </w:r>
    </w:p>
    <w:p w14:paraId="00000180">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ptos" w:hAnsi="Aptos"/>
        </w:rPr>
      </w:pPr>
      <w:r>
        <w:rPr>
          <w:rFonts w:ascii="Arial"/>
          <w:color w:val="000000"/>
          <w:sz w:val="22"/>
          <w:rtl w:val="off"/>
          <w:lang w:val="en-US"/>
        </w:rPr>
        <w:t>Several articles from the Result Summary Table (Appendix B) assess loneliness policies' efficacy. Age UK (2022) recommends social prescribing to reduce loneliness and mental health issues. The report highlights interventions. That can improve social relationships, including elderly people's community programmes and support (Age UK, 2022).</w:t>
      </w:r>
      <w:r>
        <w:rPr>
          <w:rFonts w:ascii="Arial"/>
          <w:color w:val="000000"/>
          <w:sz w:val="22"/>
          <w:highlight w:val="none"/>
          <w:rtl w:val="off"/>
          <w:lang w:val="en-US"/>
        </w:rPr>
        <w:t xml:space="preserve"> </w:t>
      </w:r>
      <w:r>
        <w:rPr>
          <w:rFonts w:ascii="Arial"/>
          <w:color w:val="000000"/>
          <w:sz w:val="22"/>
          <w:rtl w:val="off"/>
          <w:lang w:val="en-US"/>
        </w:rPr>
        <w:t>Demographic patterns in the ONS (2023) study show different views on policy efficacy. Some studies show successful solutions, but others show that many elderly people remain lonely despite resources. This illustrates the complexity of loneliness and the necessity for policies that accommodate elderly people's different experiences. The different views among the articles demonstrate that loneliness can be variable and different based on individual situations (ONS, 2023).</w:t>
      </w:r>
      <w:r>
        <w:rPr>
          <w:rFonts w:ascii="Arial"/>
          <w:color w:val="000000"/>
          <w:sz w:val="22"/>
          <w:highlight w:val="none"/>
          <w:rtl w:val="off"/>
          <w:lang w:val="en-US"/>
        </w:rPr>
        <w:t xml:space="preserve"> </w:t>
      </w:r>
    </w:p>
    <w:p w14:paraId="00000181">
      <w:pPr>
        <w:pStyle w:val="Heading4"/>
        <w:jc w:val="both"/>
        <w:rPr>
          <w:rFonts w:ascii="Aptos" w:hAnsi="Aptos"/>
        </w:rPr>
      </w:pPr>
      <w:r>
        <w:rPr>
          <w:rFonts w:ascii="Aptos" w:hAnsi="Aptos"/>
        </w:rPr>
        <w:t>Connections to Other Themes</w:t>
      </w:r>
    </w:p>
    <w:p w14:paraId="00000182">
      <w:pPr>
        <w:numPr>
          <w:ilvl w:val="0"/>
          <w:numId w:val="83"/>
        </w:numPr>
        <w:spacing w:before="100" w:after="100"/>
        <w:jc w:val="both"/>
        <w:rPr/>
      </w:pPr>
      <w:r>
        <w:rPr>
          <w:rStyle w:val="Strong"/>
        </w:rPr>
        <w:t>Interconnections:</w:t>
      </w:r>
    </w:p>
    <w:p w14:paraId="00000183">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pPr>
      <w:r>
        <w:rPr>
          <w:rFonts w:ascii="Arial"/>
          <w:color w:val="000000"/>
          <w:sz w:val="22"/>
          <w:rtl w:val="off"/>
          <w:lang w:val="en-US"/>
        </w:rPr>
        <w:t>This theme is related to the previous one about how being alone can affect mental health. Comprehending the efficacy of existing policies directly informs dialogues regarding the impact of loneliness on mental health. The function of community support systems, as highlighted in Themes 3, also shows how important it is to make social ties to improve mental health.</w:t>
      </w:r>
      <w:r>
        <w:rPr>
          <w:rFonts w:ascii="Arial"/>
          <w:color w:val="000000"/>
          <w:sz w:val="22"/>
          <w:highlight w:val="none"/>
          <w:rtl w:val="off"/>
          <w:lang w:val="en-US"/>
        </w:rPr>
        <w:t xml:space="preserve"> </w:t>
      </w:r>
      <w:r>
        <w:rPr>
          <w:rFonts w:ascii="Arial"/>
          <w:color w:val="000000"/>
          <w:sz w:val="22"/>
          <w:rtl w:val="off"/>
          <w:lang w:val="en-US"/>
        </w:rPr>
        <w:t>The overlap between these themes shows that dealing with loneliness needs a comprehensive approach that includes both good policy and community involvement. By acknowledging these relationships, the dissertation underscores the necessity for comprehensive interventions that tackle the complex nature of loneliness and its impact on mental health.</w:t>
      </w:r>
      <w:r>
        <w:rPr>
          <w:rFonts w:ascii="Arial"/>
          <w:color w:val="000000"/>
          <w:sz w:val="22"/>
          <w:highlight w:val="none"/>
          <w:rtl w:val="off"/>
          <w:lang w:val="en-US"/>
        </w:rPr>
        <w:t xml:space="preserve"> </w:t>
      </w:r>
    </w:p>
    <w:p w14:paraId="00000184">
      <w:pPr>
        <w:pStyle w:val="Heading2"/>
        <w:jc w:val="both"/>
        <w:rPr/>
      </w:pPr>
      <w:bookmarkStart w:id="18" w:name="_Toc19"/>
      <w:r>
        <w:t>4.5 – Theme 3</w:t>
      </w:r>
      <w:r>
        <w:t>: The Role of Community Support system in Mitigating Loneliness</w:t>
      </w:r>
      <w:bookmarkEnd w:id="18"/>
    </w:p>
    <w:p w14:paraId="00000185">
      <w:pPr>
        <w:pStyle w:val="Heading1"/>
        <w:jc w:val="both"/>
        <w:rPr>
          <w:rFonts w:ascii="Aptos" w:hAnsi="Aptos"/>
          <w:sz w:val="28"/>
          <w:szCs w:val="28"/>
        </w:rPr>
      </w:pPr>
    </w:p>
    <w:p w14:paraId="00000186">
      <w:pPr>
        <w:pStyle w:val="Heading4"/>
        <w:jc w:val="both"/>
        <w:rPr>
          <w:rFonts w:ascii="Aptos" w:hAnsi="Aptos"/>
        </w:rPr>
      </w:pPr>
      <w:r>
        <w:rPr>
          <w:rFonts w:ascii="Aptos" w:hAnsi="Aptos"/>
        </w:rPr>
        <w:t xml:space="preserve">Definition </w:t>
      </w:r>
    </w:p>
    <w:p w14:paraId="00000187">
      <w:pPr>
        <w:numPr>
          <w:ilvl w:val="0"/>
          <w:numId w:val="76"/>
        </w:numPr>
        <w:spacing w:before="100" w:after="100"/>
        <w:jc w:val="both"/>
        <w:rPr/>
      </w:pPr>
      <w:r>
        <w:rPr>
          <w:rStyle w:val="Strong"/>
        </w:rPr>
        <w:t>Definition:</w:t>
      </w:r>
    </w:p>
    <w:p w14:paraId="0000018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highlight w:val="white"/>
          <w:rtl w:val="off"/>
          <w:lang w:val="en-US"/>
        </w:rPr>
        <w:t>Community support systems are the networks and resources that are available in local communities to help people, especially elderly people, with their social, emotional, and practical needs. These systems include various services, such as social groups, volunteer programmes, and programmes that help people with their mental health. To help elderly people feel less lonely and improve their mental health, these support systems need to work well.</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189">
      <w:pPr>
        <w:spacing w:before="100" w:after="100" w:line="360"/>
        <w:ind w:right="0"/>
        <w:jc w:val="both"/>
        <w:rPr>
          <w:rFonts w:ascii="Arial" w:cs="Arial" w:hAnsi="Arial"/>
          <w:sz w:val="22"/>
          <w:szCs w:val="22"/>
        </w:rPr>
      </w:pPr>
    </w:p>
    <w:p w14:paraId="0000018A">
      <w:pPr>
        <w:pStyle w:val="Heading4"/>
        <w:jc w:val="both"/>
        <w:rPr>
          <w:rFonts w:ascii="Aptos" w:hAnsi="Aptos"/>
        </w:rPr>
      </w:pPr>
      <w:r>
        <w:rPr>
          <w:rFonts w:ascii="Aptos" w:hAnsi="Aptos"/>
        </w:rPr>
        <w:t>Background Information</w:t>
      </w:r>
    </w:p>
    <w:p w14:paraId="0000018B">
      <w:pPr>
        <w:numPr>
          <w:ilvl w:val="0"/>
          <w:numId w:val="77"/>
        </w:numPr>
        <w:spacing w:before="100" w:after="100"/>
        <w:jc w:val="both"/>
        <w:rPr/>
      </w:pPr>
      <w:r>
        <w:rPr>
          <w:rStyle w:val="Strong"/>
        </w:rPr>
        <w:t>Historical/Contextual Background:</w:t>
      </w:r>
    </w:p>
    <w:p w14:paraId="0000018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r>
        <w:rPr>
          <w:rFonts w:ascii="Arial" w:cs="Arial" w:hAnsi="Arial"/>
          <w:color w:val="000000"/>
          <w:sz w:val="22"/>
          <w:szCs w:val="22"/>
          <w:rtl w:val="off"/>
          <w:lang w:val="en-US"/>
        </w:rPr>
        <w:t>Historically, community assistance for the elderly has evolved from informal networks of family and friends to more formal groups that include local governments, non-profits, and community organisations. The recognition of loneliness as a public health issue has resulted in increased funding in community assistance programs aimed at strengthening social bonds among the elderly (Department for Digital, Culture, Media, and Sport, 2018). Age UK's development of programs such as "Friendship Services" has been critical in allowing people to meet new people and feel less alone (Age UK, 2022). The COVID-19 pandemic exacerbated the importance of these systems by isolating many elderly people through COVID-19  pandemic and social distancing (Public Health England, 2021).</w:t>
      </w:r>
    </w:p>
    <w:p w14:paraId="0000018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p>
    <w:p w14:paraId="0000018E">
      <w:pPr>
        <w:pStyle w:val="Heading4"/>
        <w:jc w:val="both"/>
        <w:rPr>
          <w:rFonts w:ascii="Aptos" w:hAnsi="Aptos"/>
        </w:rPr>
      </w:pPr>
      <w:r>
        <w:rPr>
          <w:rFonts w:ascii="Aptos" w:hAnsi="Aptos"/>
        </w:rPr>
        <w:t>Impact on Research Question</w:t>
      </w:r>
    </w:p>
    <w:p w14:paraId="0000018F">
      <w:pPr>
        <w:numPr>
          <w:ilvl w:val="0"/>
          <w:numId w:val="78"/>
        </w:numPr>
        <w:spacing w:before="100" w:after="100"/>
        <w:jc w:val="both"/>
        <w:rPr/>
      </w:pPr>
      <w:r>
        <w:rPr>
          <w:rStyle w:val="Strong"/>
        </w:rPr>
        <w:t>Relevance to Title/Research Question:</w:t>
      </w:r>
    </w:p>
    <w:p w14:paraId="0000019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This theme is critical for addressing the research question of the link between loneliness and mental health in older individuals. Understanding the role of community support systems reveals how strong social links can reduce loneliness and improve mental health outcomes (Victor et al., 2018). It emphasises the need of community involvement in addressing the mental health problem among the elderly, stating that loneliness is a societal burden that requires a collective response (Holt-Lunstad et al., 2015).</w:t>
      </w:r>
    </w:p>
    <w:p w14:paraId="00000191">
      <w:pPr>
        <w:spacing w:before="100" w:after="100" w:line="360"/>
        <w:ind w:right="0"/>
        <w:jc w:val="both"/>
        <w:rPr>
          <w:rFonts w:ascii="Arial" w:cs="Arial" w:hAnsi="Arial"/>
          <w:sz w:val="22"/>
          <w:szCs w:val="22"/>
        </w:rPr>
      </w:pPr>
    </w:p>
    <w:p w14:paraId="00000192">
      <w:pPr>
        <w:pStyle w:val="Heading4"/>
        <w:jc w:val="both"/>
        <w:rPr>
          <w:rFonts w:ascii="Aptos" w:hAnsi="Aptos"/>
        </w:rPr>
      </w:pPr>
      <w:r>
        <w:rPr>
          <w:rFonts w:ascii="Aptos" w:hAnsi="Aptos"/>
        </w:rPr>
        <w:t>Statistical Information</w:t>
      </w:r>
    </w:p>
    <w:p w14:paraId="00000193">
      <w:pPr>
        <w:numPr>
          <w:ilvl w:val="0"/>
          <w:numId w:val="79"/>
        </w:numPr>
        <w:spacing w:before="100" w:after="100"/>
        <w:jc w:val="both"/>
        <w:rPr/>
      </w:pPr>
      <w:r>
        <w:rPr>
          <w:rStyle w:val="Strong"/>
        </w:rPr>
        <w:t>Data and Statistics:</w:t>
      </w:r>
    </w:p>
    <w:p w14:paraId="0000019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r>
        <w:rPr>
          <w:rFonts w:ascii="Arial" w:cs="Arial" w:hAnsi="Arial"/>
          <w:color w:val="000000"/>
          <w:sz w:val="22"/>
          <w:szCs w:val="22"/>
          <w:rtl w:val="off"/>
          <w:lang w:val="en-US"/>
        </w:rPr>
        <w:t xml:space="preserve">The community support system is critical for reducing loneliness among elderly people. The evolution of informal networks into more structured community support mechanisms implies a larger acknowledgement of loneliness as a public health concern. The funding for projects like Age UK's "Friendship Services" demonstrates a proactive approach to establishing social relationships. According to ONS  (2023), 60% of older people who participated in community programs reported feeling less lonely, indicating a clear correlation between active community engagement and improved mental health outcomes. </w:t>
      </w:r>
      <w:r>
        <w:rPr>
          <w:rFonts w:ascii="Arial" w:cs="Arial" w:hAnsi="Arial"/>
          <w:color w:val="000000"/>
          <w:sz w:val="22"/>
          <w:szCs w:val="22"/>
          <w:rtl w:val="off"/>
          <w:lang w:val="en-US"/>
        </w:rPr>
        <w:t>Despite these encouraging findings, the ONS (2023) data suggests that a sizable proportion of the elderly remain lonely, implying that community interventions may not be universally effective. Geographic constraints, poor transit access, and differing levels of computer literacy can all prevent people from participating in community activities. This disparity highlights the importance of flexible community initiatives that respond to a wide range of needs and preferences.</w:t>
      </w:r>
    </w:p>
    <w:p w14:paraId="0000019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p>
    <w:p w14:paraId="00000196">
      <w:pPr>
        <w:pStyle w:val="Heading4"/>
        <w:jc w:val="both"/>
        <w:rPr>
          <w:rFonts w:ascii="Aptos" w:hAnsi="Aptos"/>
        </w:rPr>
      </w:pPr>
      <w:r>
        <w:rPr>
          <w:rFonts w:ascii="Aptos" w:hAnsi="Aptos"/>
        </w:rPr>
        <w:t>Theories, Policies, and Legislation</w:t>
      </w:r>
    </w:p>
    <w:p w14:paraId="00000197">
      <w:pPr>
        <w:pStyle w:val="Normal(Web)"/>
        <w:numPr>
          <w:ilvl w:val="0"/>
          <w:numId w:val="80"/>
        </w:numPr>
        <w:spacing w:line="360" w:lineRule="auto"/>
        <w:jc w:val="both"/>
        <w:rPr/>
      </w:pPr>
      <w:r>
        <w:rPr>
          <w:rStyle w:val="Strong"/>
          <w:rFonts w:ascii="Aptos" w:eastAsia="Calibri Light" w:hAnsi="Aptos"/>
          <w:sz w:val="22"/>
          <w:szCs w:val="22"/>
        </w:rPr>
        <w:t>Theoretical Framework:</w:t>
      </w:r>
    </w:p>
    <w:p w14:paraId="0000019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sz w:val="22"/>
          <w:szCs w:val="22"/>
        </w:rPr>
      </w:pPr>
      <w:r>
        <w:rPr>
          <w:rFonts w:ascii="Arial" w:cs="Arial" w:hAnsi="Arial"/>
          <w:color w:val="000000"/>
          <w:sz w:val="22"/>
          <w:szCs w:val="22"/>
          <w:highlight w:val="white"/>
          <w:rtl w:val="off"/>
          <w:lang w:val="en-US"/>
        </w:rPr>
        <w:t>Theoretical frameworks, such as social capital theory, establish a basis for comprehending the significance of community support systems. This idea asserts that social networks and relational connections are significant assets that enhance individual welfare (Putnam, 2000; Ungar, 2012). Community support systems may enhance people's social capital by helping them make friends, which can help people feel less lonely and improve their mental health.</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19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sz w:val="22"/>
          <w:szCs w:val="22"/>
        </w:rPr>
      </w:pPr>
    </w:p>
    <w:p w14:paraId="0000019A">
      <w:pPr>
        <w:pStyle w:val="Normal(Web)"/>
        <w:numPr>
          <w:ilvl w:val="0"/>
          <w:numId w:val="80"/>
        </w:numPr>
        <w:spacing w:line="360" w:lineRule="auto"/>
        <w:jc w:val="both"/>
        <w:rPr/>
      </w:pPr>
      <w:r>
        <w:rPr>
          <w:rStyle w:val="Strong"/>
          <w:rFonts w:ascii="Aptos" w:eastAsia="Calibri Light" w:hAnsi="Aptos"/>
          <w:sz w:val="22"/>
          <w:szCs w:val="22"/>
        </w:rPr>
        <w:t>Policy and Legislation:</w:t>
      </w:r>
    </w:p>
    <w:p w14:paraId="0000019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sz w:val="22"/>
          <w:szCs w:val="22"/>
        </w:rPr>
      </w:pPr>
      <w:r>
        <w:rPr>
          <w:rFonts w:ascii="Arial" w:cs="Arial" w:hAnsi="Arial"/>
          <w:color w:val="000000"/>
          <w:sz w:val="22"/>
          <w:szCs w:val="22"/>
          <w:rtl w:val="off"/>
          <w:lang w:val="en-US"/>
        </w:rPr>
        <w:t>Local initiatives, programs, and policies. Community supporters interact with national policy by translating broad goals into specific, location-based actions. Social prescribing, for example, connects people to community resources and voluntary sector services, transforming policy intentions into tangible social engagement and neighbourhood-level connections (Age UK, 2022). Local efforts such as volunteer-driven befriending programmes, age-friendly community spaces, and peer-support schemes serve to reduce loneliness by improving the opportunities for regular interaction and meaningful connection. Several factors, including the availability of local assets, finance stability, agency cooperation, and frontline workers' abilities to facilitate connections, are crucial to the success of these activities (King's Fund, 2021; Courtin &amp; Knapp, 2017). While online forums and tele-mentoring can replace in-person activities while requiring equitable access and digital capabilities, the pandemic-era emphasis on digital inclusion overlaps with community supports (NHS Digital, 2023).</w:t>
      </w:r>
    </w:p>
    <w:p w14:paraId="0000019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sz w:val="22"/>
          <w:szCs w:val="22"/>
        </w:rPr>
      </w:pPr>
    </w:p>
    <w:p w14:paraId="0000019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sz w:val="22"/>
          <w:szCs w:val="22"/>
        </w:rPr>
      </w:pPr>
    </w:p>
    <w:p w14:paraId="0000019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sz w:val="22"/>
          <w:szCs w:val="22"/>
        </w:rPr>
      </w:pPr>
    </w:p>
    <w:p w14:paraId="0000019F">
      <w:pPr>
        <w:pStyle w:val="Heading4"/>
        <w:jc w:val="both"/>
        <w:rPr>
          <w:rFonts w:ascii="Aptos" w:hAnsi="Aptos"/>
        </w:rPr>
      </w:pPr>
      <w:r>
        <w:rPr>
          <w:rFonts w:ascii="Aptos" w:hAnsi="Aptos"/>
        </w:rPr>
        <w:t>Implications</w:t>
      </w:r>
    </w:p>
    <w:p w14:paraId="000001A0">
      <w:pPr>
        <w:numPr>
          <w:ilvl w:val="0"/>
          <w:numId w:val="81"/>
        </w:numPr>
        <w:spacing w:before="100" w:after="100"/>
        <w:jc w:val="both"/>
        <w:rPr/>
      </w:pPr>
      <w:r>
        <w:rPr>
          <w:rStyle w:val="Strong"/>
        </w:rPr>
        <w:t>Positive and Negative Implications:</w:t>
      </w:r>
    </w:p>
    <w:p w14:paraId="000001A1">
      <w:pPr>
        <w:spacing w:before="100" w:after="100"/>
        <w:ind w:left="360" w:right="0" w:firstLine="0"/>
        <w:jc w:val="both"/>
        <w:rPr/>
      </w:pPr>
    </w:p>
    <w:p w14:paraId="000001A2">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360" w:lineRule="auto"/>
        <w:ind w:left="0" w:right="0" w:firstLine="0"/>
        <w:jc w:val="both"/>
        <w:rPr>
          <w:rFonts w:ascii="Aptos" w:hAnsi="Aptos"/>
        </w:rPr>
      </w:pPr>
      <w:r>
        <w:rPr>
          <w:rFonts w:ascii="Arial"/>
          <w:color w:val="000000"/>
          <w:sz w:val="22"/>
          <w:rtl w:val="off"/>
          <w:lang w:val="en-US"/>
        </w:rPr>
        <w:t xml:space="preserve">Strong community supports can help people feel more connected to others, give them a feeling of belonging, and give them practical help that all work together to protect against loneliness and improve mental health. Regularly taking part in community activities can make you feel better, help you think more clearly, and make you happier with your life in general. This can also have positive effects on your physical health and ability to function (Victor et al., 2018; Holt-Lunstad et al., 2015). Community-based techniques can also be </w:t>
      </w:r>
      <w:r>
        <w:rPr>
          <w:rFonts w:ascii="Arial"/>
          <w:color w:val="000000"/>
          <w:sz w:val="22"/>
          <w:rtl w:val="off"/>
          <w:lang w:val="en-US"/>
        </w:rPr>
        <w:t>used</w:t>
      </w:r>
      <w:r>
        <w:rPr>
          <w:rFonts w:ascii="Arial"/>
          <w:color w:val="000000"/>
          <w:sz w:val="22"/>
          <w:rtl w:val="off"/>
          <w:lang w:val="en-US"/>
        </w:rPr>
        <w:t xml:space="preserve"> to reach out to groups that are on the outside</w:t>
      </w:r>
      <w:r>
        <w:rPr>
          <w:rFonts w:ascii="Arial"/>
          <w:color w:val="000000"/>
          <w:sz w:val="22"/>
          <w:rtl w:val="off"/>
          <w:lang w:val="en-US"/>
        </w:rPr>
        <w:t xml:space="preserve"> by providing</w:t>
      </w:r>
      <w:r>
        <w:rPr>
          <w:rFonts w:ascii="Arial"/>
          <w:color w:val="000000"/>
          <w:sz w:val="22"/>
          <w:rtl w:val="off"/>
          <w:lang w:val="en-US"/>
        </w:rPr>
        <w:t xml:space="preserve"> activities that are culturally appropriate and formats that are easy to use and respect people's freedom and choice.</w:t>
      </w:r>
    </w:p>
    <w:p w14:paraId="000001A3">
      <w:pPr>
        <w:pStyle w:val="ListParagraph"/>
        <w:ind w:left="1080" w:firstLine="0"/>
        <w:jc w:val="both"/>
        <w:rPr/>
      </w:pPr>
    </w:p>
    <w:p w14:paraId="000001A4">
      <w:pPr>
        <w:pStyle w:val="Heading4"/>
        <w:jc w:val="both"/>
        <w:rPr/>
      </w:pPr>
      <w:r>
        <w:rPr>
          <w:rFonts w:ascii="Aptos" w:hAnsi="Aptos"/>
          <w:i/>
          <w:iCs/>
        </w:rPr>
        <w:t>Example From Your Article</w:t>
      </w:r>
    </w:p>
    <w:p w14:paraId="000001A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rtl w:val="off"/>
          <w:lang w:val="en-US"/>
        </w:rPr>
      </w:pPr>
      <w:r>
        <w:rPr>
          <w:rFonts w:ascii="Arial" w:cs="Arial" w:hAnsi="Arial"/>
          <w:color w:val="000000"/>
          <w:sz w:val="22"/>
          <w:szCs w:val="22"/>
          <w:rtl w:val="off"/>
          <w:lang w:val="en-US"/>
        </w:rPr>
        <w:t>The Results Summary Table (Appendix B) investigates how community support reduces loneliness. Age UK (2022) stresses the need of social prescribing and community participation for lonely elderly people. Volunteer programs and social organisations have helped people overcome loneliness by fostering friendships, according to the study. The NHS Digital (2023) study shows that community support improves mental health. Community involvement reduces loneliness and improves mental health in seniors. Multi-source consensus emphasises the importance of communal support in reducing loneliness.</w:t>
      </w:r>
    </w:p>
    <w:p w14:paraId="000001A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However, ONS (2023)  indicate underperforming community support services. It shows that many older people are isolated despite programs. This discrepancy emphasises the need to constantly evaluate and adapt community activities for the elderly. This study of article perspectives shows that community support reduces loneliness and improves mental health in the elderly, answering the research question. By understanding older adults' different support system experiences, policymakers can better tailor measures to their needs.</w:t>
      </w:r>
    </w:p>
    <w:p w14:paraId="000001A7">
      <w:pPr>
        <w:pStyle w:val="Normal"/>
        <w:jc w:val="both"/>
        <w:rPr/>
      </w:pPr>
    </w:p>
    <w:p w14:paraId="000001A8">
      <w:pPr>
        <w:pStyle w:val="Heading4"/>
        <w:jc w:val="both"/>
        <w:rPr>
          <w:rFonts w:ascii="Aptos" w:hAnsi="Aptos"/>
          <w:i w:val="off"/>
          <w:iCs w:val="off"/>
        </w:rPr>
      </w:pPr>
      <w:r>
        <w:rPr>
          <w:rFonts w:ascii="Aptos" w:hAnsi="Aptos"/>
        </w:rPr>
        <w:t>Connections to Other Themes</w:t>
      </w:r>
    </w:p>
    <w:p w14:paraId="000001A9">
      <w:pPr>
        <w:numPr>
          <w:ilvl w:val="0"/>
          <w:numId w:val="83"/>
        </w:numPr>
        <w:spacing w:before="100" w:after="100"/>
        <w:jc w:val="both"/>
        <w:rPr/>
      </w:pPr>
      <w:r>
        <w:rPr>
          <w:rStyle w:val="Strong"/>
        </w:rPr>
        <w:t>Interconnections:</w:t>
      </w:r>
    </w:p>
    <w:p w14:paraId="000001A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r>
        <w:rPr>
          <w:rFonts w:ascii="Arial" w:cs="Arial" w:hAnsi="Arial"/>
          <w:color w:val="000000"/>
          <w:sz w:val="22"/>
          <w:szCs w:val="22"/>
          <w:rtl w:val="off"/>
          <w:lang w:val="en-US"/>
        </w:rPr>
        <w:t>This theme is related to theme 1 about how successfully current policies cope with loneliness (theme 2). Understanding how community support networks work allows us to discuss how to implement policies that promote social relationships (Age UK, 2022; Courtin &amp; Knapp, 2017). Furthermore, the relationship between loneliness and mental health outcomes, as investigated in Theme 1, emphasises the importance of developing social connections to improve mental health (Holt-Lunstad, Smith, &amp; Layton, 2015; Victor et al., 2018). The overlap between these issues emphasises the need for a comprehensive strategy that combines effective policy interventions with community support programs (NHS Long Term Plan, 2020; Public Health England, 2021). The dissertation emphasises the need for comprehensive solutions that address the complexities of loneliness and its influence on mental health (Courtin &amp; Knapp, 2017; Holt-Lunstad et al., 2015).</w:t>
      </w:r>
    </w:p>
    <w:p w14:paraId="000001A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p>
    <w:p w14:paraId="000001AC">
      <w:pPr>
        <w:pStyle w:val="Heading2"/>
        <w:jc w:val="both"/>
        <w:rPr/>
      </w:pPr>
      <w:bookmarkStart w:id="19" w:name="_Toc20"/>
      <w:r>
        <w:t>4.6 – Chapter Conclusion</w:t>
      </w:r>
      <w:bookmarkEnd w:id="19"/>
      <w:r>
        <w:t xml:space="preserve"> </w:t>
      </w:r>
    </w:p>
    <w:p w14:paraId="000001AD">
      <w:pPr>
        <w:pStyle w:val="Heading1"/>
        <w:jc w:val="both"/>
        <w:rPr>
          <w:rFonts w:ascii="Aptos" w:hAnsi="Aptos"/>
          <w:sz w:val="28"/>
          <w:szCs w:val="28"/>
        </w:rPr>
      </w:pPr>
    </w:p>
    <w:p w14:paraId="000001A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This chapter has offered a thorough review of the evidence and debate on loneliness and mental health in the elderly population. Theme 1 investigated the substantial impact of loneliness on mental health outcomes, identifying a clear link between loneliness experiences and the prevalence of depression and anxiety in the elderly (Holt-Lunstad et al., 2015; Victor et al., 2018). Statistical evidence highlighted the importance of addressing loneliness as a public health concern (ONS, 2023; NHS Digital, 2023). Theme 2 examined the effectiveness of current loneliness-reduction strategies, highlighting both their merits and limitations. It emphasised the need for specific initiatives and increased awareness of available resources (Age UK, 2022). Theme 3 highlighted the importance of community support systems in reducing loneliness, demonstrating how social connections can improve mental health (Courtin &amp; Knapp, 2017; Holt-Lunstad et al., 2015). This chapter has provided a thorough examination of how loneliness, mental health, and policy effectiveness interact, allowing us to better understand these critical topics (Courtin &amp; Knapp, 2017; Holt-Lunstad et al., 2015). Chapter 5 will examine the overall results and future recommendations for dealing with loneliness and improving mental health outcomes for elderly people (Age UK, 2022; Public Health England, 2021).</w:t>
      </w:r>
    </w:p>
    <w:p w14:paraId="000001AF">
      <w:pPr>
        <w:spacing w:line="360"/>
        <w:jc w:val="both"/>
        <w:rPr>
          <w:rFonts w:ascii="Arial" w:cs="Arial" w:hAnsi="Arial"/>
          <w:sz w:val="22"/>
          <w:szCs w:val="22"/>
        </w:rPr>
      </w:pPr>
    </w:p>
    <w:p w14:paraId="000001B0">
      <w:pPr>
        <w:jc w:val="both"/>
        <w:rPr/>
      </w:pPr>
    </w:p>
    <w:p w14:paraId="000001B1">
      <w:pPr>
        <w:pStyle w:val="Heading1"/>
        <w:ind w:left="0"/>
        <w:jc w:val="both"/>
        <w:rPr/>
      </w:pPr>
      <w:bookmarkStart w:id="20" w:name="_Toc21"/>
      <w:r>
        <w:rPr>
          <w:rFonts w:ascii="Aptos" w:hAnsi="Aptos"/>
        </w:rPr>
        <w:t>C</w:t>
      </w:r>
      <w:r>
        <w:rPr>
          <w:rFonts w:ascii="Aptos" w:hAnsi="Aptos"/>
        </w:rPr>
        <w:t>HAPTER</w:t>
      </w:r>
      <w:r>
        <w:rPr>
          <w:rFonts w:ascii="Aptos" w:hAnsi="Aptos"/>
        </w:rPr>
        <w:t xml:space="preserve"> </w:t>
      </w:r>
      <w:r>
        <w:rPr>
          <w:rFonts w:ascii="Aptos" w:hAnsi="Aptos"/>
        </w:rPr>
        <w:t>5</w:t>
      </w:r>
      <w:r>
        <w:rPr>
          <w:rFonts w:ascii="Aptos" w:hAnsi="Aptos"/>
        </w:rPr>
        <w:t xml:space="preserve"> – </w:t>
      </w:r>
      <w:r>
        <w:rPr>
          <w:rFonts w:ascii="Aptos" w:hAnsi="Aptos"/>
        </w:rPr>
        <w:t>Conclusion and Recommendations</w:t>
      </w:r>
      <w:bookmarkEnd w:id="20"/>
      <w:r>
        <w:rPr>
          <w:rFonts w:ascii="Aptos" w:hAnsi="Aptos"/>
        </w:rPr>
        <w:t xml:space="preserve"> </w:t>
      </w:r>
    </w:p>
    <w:p w14:paraId="000001B2">
      <w:pPr>
        <w:pStyle w:val="Heading1"/>
        <w:ind w:left="0"/>
        <w:jc w:val="both"/>
        <w:rPr/>
      </w:pPr>
    </w:p>
    <w:p w14:paraId="000001B3">
      <w:pPr>
        <w:pStyle w:val="Heading2"/>
        <w:jc w:val="both"/>
        <w:rPr/>
      </w:pPr>
      <w:bookmarkStart w:id="21" w:name="_Toc22"/>
      <w:r>
        <w:t>5.1 – Overall Conclusion</w:t>
      </w:r>
      <w:bookmarkEnd w:id="21"/>
      <w:r>
        <w:t xml:space="preserve"> </w:t>
      </w:r>
    </w:p>
    <w:p w14:paraId="000001B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The dissertation investigated the complex relationship between loneliness, social isolation, and mental health among older adults in the United Kingdom, addressing the public health concern that these characteristics provide. Chapter 1 explained the reason for the study, highlighting the critical need to understand how loneliness and isolation lead to depression and anxiety in older adults. The research objectives were clearly specified and served as a guide for the entire investigation. Chapter 2 provided important background context, demonstrating historical trends, theoretical frameworks, and policy landscapes that impact current understanding and response to loneliness and mental health in the elderly population. The results demonstrated the biopsychosocial model's usefulness in describing the connection of health outcomes and social dynamics.</w:t>
      </w:r>
    </w:p>
    <w:p w14:paraId="000001B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both"/>
        <w:rPr>
          <w:rFonts w:ascii="Segoe UI"/>
          <w:color w:val="000000"/>
          <w:sz w:val="18"/>
          <w:rtl w:val="off"/>
          <w:lang w:val="en-US"/>
        </w:rPr>
      </w:pPr>
    </w:p>
    <w:p w14:paraId="000001B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Chapter 3 described a methodical strategy for synthesising relevant literature. The findings demonstrated that loneliness strongly leads to mental health outcomes, and that present strategies, while well-intentioned, frequently fail to successfully reduce loneliness among older adults. In Chapter 4, thematic analysis highlighted three themes: the impact of loneliness on mental health outcomes, the effectiveness of current policies addressing loneliness, and the role of community support systems in mitigating loneliness. This analysis found that, while some policies show potential, gaps in awareness and implementation persist, emphasising the need for focused community interventions.</w:t>
      </w:r>
    </w:p>
    <w:p w14:paraId="000001B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r>
        <w:rPr>
          <w:rFonts w:ascii="Arial" w:cs="Arial" w:hAnsi="Arial"/>
          <w:color w:val="000000"/>
          <w:sz w:val="22"/>
          <w:szCs w:val="22"/>
          <w:rtl w:val="off"/>
          <w:lang w:val="en-US"/>
        </w:rPr>
        <w:t>Overall, the dissertation successfully reached its objective of investigating the impacts of loneliness on mental health in older adults, and it partially met its objectives by making evidence-based recommendations for future policy and practice. The findings highlight the need of a holistic approach that combines community support with effective policy initiatives, so providing a path to improving the well-being of older adults across the UK.</w:t>
      </w:r>
    </w:p>
    <w:p w14:paraId="000001B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p>
    <w:p w14:paraId="000001B9">
      <w:pPr>
        <w:pStyle w:val="Heading2"/>
        <w:jc w:val="both"/>
        <w:rPr/>
      </w:pPr>
      <w:bookmarkStart w:id="22" w:name="_Toc23"/>
      <w:r>
        <w:t>5.</w:t>
      </w:r>
      <w:r>
        <w:t>2</w:t>
      </w:r>
      <w:r>
        <w:t xml:space="preserve"> – </w:t>
      </w:r>
      <w:r>
        <w:t>Recommendations</w:t>
      </w:r>
      <w:bookmarkEnd w:id="22"/>
      <w:r>
        <w:t xml:space="preserve"> </w:t>
      </w:r>
    </w:p>
    <w:p w14:paraId="000001BA">
      <w:pPr>
        <w:pStyle w:val="Heading1"/>
        <w:jc w:val="both"/>
        <w:rPr>
          <w:rFonts w:ascii="Aptos" w:hAnsi="Aptos"/>
          <w:sz w:val="28"/>
          <w:szCs w:val="28"/>
        </w:rPr>
      </w:pPr>
    </w:p>
    <w:p w14:paraId="000001BB">
      <w:pPr>
        <w:pStyle w:val="Heading1"/>
        <w:jc w:val="both"/>
        <w:rPr>
          <w:rFonts w:ascii="Aptos" w:hAnsi="Aptos"/>
          <w:sz w:val="28"/>
          <w:szCs w:val="28"/>
        </w:rPr>
      </w:pPr>
      <w:bookmarkStart w:id="23" w:name="_Toc24"/>
      <w:r>
        <w:rPr>
          <w:rFonts w:ascii="Aptos" w:hAnsi="Aptos"/>
          <w:sz w:val="28"/>
          <w:szCs w:val="28"/>
        </w:rPr>
        <w:t>5.2.1 – Recommendation 1: Enhance Social Prescribing Initiatives</w:t>
      </w:r>
      <w:bookmarkEnd w:id="23"/>
    </w:p>
    <w:p w14:paraId="000001BC">
      <w:pPr>
        <w:pStyle w:val="Heading1"/>
        <w:jc w:val="both"/>
        <w:rPr>
          <w:rFonts w:ascii="Aptos" w:hAnsi="Aptos"/>
          <w:sz w:val="28"/>
          <w:szCs w:val="28"/>
        </w:rPr>
      </w:pPr>
    </w:p>
    <w:p w14:paraId="000001B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rtl w:val="off"/>
          <w:lang w:val="en-US"/>
        </w:rPr>
      </w:pPr>
      <w:r>
        <w:rPr>
          <w:rFonts w:ascii="Arial" w:cs="Arial" w:hAnsi="Arial"/>
          <w:color w:val="000000"/>
          <w:sz w:val="22"/>
          <w:szCs w:val="22"/>
          <w:rtl w:val="off"/>
          <w:lang w:val="en-US"/>
        </w:rPr>
        <w:t>To address loneliness among the elderly, health and social care systems should prioritise improving social prescribing activities (NHS England, 2020). Social prescribing enables healthcare providers to refer patients to non-clinical services that can benefit their health, such as community clubs, social activities, and support networks (Age UK, 2020). By expanding these projects, we can provide older adults greater opportunity to interact socially, lowering feelings of isolation and enhancing mental health</w:t>
      </w:r>
      <w:r>
        <w:rPr>
          <w:rFonts w:ascii="Arial" w:cs="Arial" w:hAnsi="Arial"/>
          <w:color w:val="000000"/>
          <w:sz w:val="22"/>
          <w:szCs w:val="22"/>
          <w:rtl w:val="off"/>
          <w:lang w:val="en-US"/>
        </w:rPr>
        <w:t xml:space="preserve"> outcome (Courtin and Knapp, 2017).</w:t>
      </w:r>
    </w:p>
    <w:p w14:paraId="000001B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Implementing this proposal entails training healthcare workers to effectively identify and refer older individuals feeling loneliness to relevant community resources (Public Health England, 2021). Local governments and community organisations should work together to create a comprehensive list of accessible services tailored to the requirements of older individuals. This could include hobbies like gardening clubs, which improve both social and physical health (Victor et al., 2018).</w:t>
      </w:r>
    </w:p>
    <w:p w14:paraId="000001B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Barriers include healthcare providers' lack of awareness of social prescribing and the availability of resources in specific places (King' Fund, 2021). To address these limitations, public health campaigns can increase awareness of the benefits of social prescribing while also gaining financing for community programs (NHS Digital, 2023). Furthermore, incorporating social prescribing into existing healthcare frameworks and including it in healthcare training can broaden its reach and efficacy. This allows us to create a more supportive environment for the elderly, enhancing their general mental health and well-being (Holt-Lunstad et al. 2015).</w:t>
      </w:r>
    </w:p>
    <w:p w14:paraId="000001C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p>
    <w:p w14:paraId="000001C1">
      <w:pPr>
        <w:pStyle w:val="Heading1"/>
        <w:jc w:val="both"/>
        <w:rPr>
          <w:rFonts w:ascii="Aptos" w:hAnsi="Aptos"/>
          <w:sz w:val="28"/>
          <w:szCs w:val="28"/>
        </w:rPr>
      </w:pPr>
      <w:bookmarkStart w:id="24" w:name="_Toc25"/>
      <w:r>
        <w:rPr>
          <w:rFonts w:ascii="Aptos" w:hAnsi="Aptos"/>
          <w:sz w:val="28"/>
          <w:szCs w:val="28"/>
        </w:rPr>
        <w:t>5.2.2 – Recommendation: Develop Digital Inclusion Programs</w:t>
      </w:r>
      <w:bookmarkEnd w:id="24"/>
    </w:p>
    <w:p w14:paraId="000001C2">
      <w:pPr>
        <w:pStyle w:val="Heading1"/>
        <w:jc w:val="both"/>
        <w:rPr>
          <w:rFonts w:ascii="Aptos" w:hAnsi="Aptos"/>
          <w:sz w:val="28"/>
          <w:szCs w:val="28"/>
        </w:rPr>
      </w:pPr>
    </w:p>
    <w:p w14:paraId="000001C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As digital technology becomes more prevalent in daily life, establishing digital inclusion programs tailored to older adults is critical for reducing loneliness and promoting mental health (Public Health England, 2021). Such programs would focus on improving digital literacy, allowing the elderly to connect with family, friends, and community resources via technology, reducing feelings of isolation (Courtin and Knapp, 2017).</w:t>
      </w:r>
    </w:p>
    <w:p w14:paraId="000001C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Local governments, in partnership with community organisations, should develop seminars and training sessions to teach older adults how to use smartphones, tablets, and computers successfully (NHS Digital, 2023). These programs should address basic skills like video calling, social media usage, and internet service access, which can assist older adults to retain social connections and access mental health resources (Wetter et al., 2019).</w:t>
      </w:r>
    </w:p>
    <w:p w14:paraId="000001C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Barriers include elderly people's various levels of familiarity and knowledge with technology, as well as potential budgetary constraints for low-income individuals (Victor et al. 2018). To solve these issues, it is critical to provide free or low-cost access to devices and internet services, which can be achieved through collaboration with local businesses or government programs (Age UK, 2020). Furthermore, using peer assistance models can build a feeling of community while increasing digital literacy (Holt-Lunstad et al., 2015).</w:t>
      </w:r>
    </w:p>
    <w:p w14:paraId="000001C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By concentrating on digital inclusion, we can enable older adults to connect with their social networks and have access to critical resources that benefit their mental health, eventually reducing loneliness in this vulnerable population (Cacioppo and Cacioppo, 2018).</w:t>
      </w:r>
    </w:p>
    <w:p w14:paraId="000001C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p>
    <w:p w14:paraId="000001C8">
      <w:pPr>
        <w:pStyle w:val="Heading1"/>
        <w:jc w:val="both"/>
        <w:rPr>
          <w:rFonts w:ascii="Aptos" w:hAnsi="Aptos"/>
          <w:sz w:val="28"/>
          <w:szCs w:val="28"/>
        </w:rPr>
      </w:pPr>
      <w:bookmarkStart w:id="25" w:name="_Toc26"/>
      <w:r>
        <w:rPr>
          <w:rFonts w:ascii="Aptos" w:hAnsi="Aptos"/>
          <w:sz w:val="28"/>
          <w:szCs w:val="28"/>
        </w:rPr>
        <w:t>5.2.3 – Recommendation: Implement Community- Based Interventions</w:t>
      </w:r>
      <w:bookmarkEnd w:id="25"/>
      <w:r>
        <w:rPr>
          <w:rFonts w:ascii="Aptos" w:hAnsi="Aptos"/>
          <w:sz w:val="28"/>
          <w:szCs w:val="28"/>
        </w:rPr>
        <w:t xml:space="preserve"> </w:t>
      </w:r>
    </w:p>
    <w:p w14:paraId="000001C9">
      <w:pPr>
        <w:jc w:val="both"/>
        <w:rPr/>
      </w:pPr>
    </w:p>
    <w:p w14:paraId="000001C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Providing community-based interventions that actively promote social engagement among older persons is critical in alleviating loneliness and mental health difficulties (Holt-Lunstad et al., 2015). These interventions can take many forms, such as constructing community centers, organising social events, and offering volunteer opportunities suited to elderly people's interests and abilities (Victor et al., 2018).</w:t>
      </w:r>
    </w:p>
    <w:p w14:paraId="000001C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Local authorities and community organisations should work together to determine the specific needs of older persons in their communities, allowing for the development of activities that promote social engagement and a sense of belonging (Age UK, 2022). Regular social outings, volunteering, group activities, and a crafting club can all help older persons build meaningful connections and reduce social isolation (Courtin and Knapp, 2017).</w:t>
      </w:r>
    </w:p>
    <w:p w14:paraId="000001C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Barriers to adopting community-based interventions include inadequate money, low understanding of available resources, and the difficulty of reaching isolated older adults (ONS,2023). To overcome these challenges, local stakeholders such as healthcare providers, social services, and community leaders must campaign for and support these initiatives (Public Health England, 2021). Additionally, using targeted outreach tactics to create knowledge about available programs will assist ensure that individuals in greatest need are educated and encouraged to participate.</w:t>
      </w:r>
    </w:p>
    <w:p w14:paraId="000001C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r>
        <w:rPr>
          <w:rFonts w:ascii="Arial" w:cs="Arial" w:hAnsi="Arial"/>
          <w:color w:val="000000"/>
          <w:sz w:val="22"/>
          <w:szCs w:val="22"/>
          <w:rtl w:val="off"/>
          <w:lang w:val="en-US"/>
        </w:rPr>
        <w:t>We can develop supportive environments for older adults by encouraging community involvement and providing structured chances for social interaction (NHS Digital, 2023).</w:t>
      </w:r>
    </w:p>
    <w:p w14:paraId="000001C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Arial" w:cs="Arial" w:hAnsi="Arial"/>
          <w:color w:val="000000"/>
          <w:sz w:val="22"/>
          <w:szCs w:val="22"/>
          <w:lang w:val="en-US"/>
        </w:rPr>
      </w:pPr>
    </w:p>
    <w:p w14:paraId="000001CF">
      <w:pPr>
        <w:jc w:val="both"/>
        <w:rPr/>
      </w:pPr>
    </w:p>
    <w:p w14:paraId="000001D0">
      <w:pPr>
        <w:pStyle w:val="Heading1"/>
        <w:ind w:left="0"/>
        <w:jc w:val="both"/>
        <w:rPr>
          <w:rFonts w:ascii="Aptos" w:hAnsi="Aptos"/>
        </w:rPr>
      </w:pPr>
      <w:bookmarkStart w:id="26" w:name="_Toc27"/>
      <w:r>
        <w:rPr>
          <w:rFonts w:ascii="Aptos" w:hAnsi="Aptos"/>
        </w:rPr>
        <w:t>C</w:t>
      </w:r>
      <w:r>
        <w:rPr>
          <w:rFonts w:ascii="Aptos" w:hAnsi="Aptos"/>
        </w:rPr>
        <w:t>HAPTER</w:t>
      </w:r>
      <w:r>
        <w:rPr>
          <w:rFonts w:ascii="Aptos" w:hAnsi="Aptos"/>
        </w:rPr>
        <w:t xml:space="preserve"> </w:t>
      </w:r>
      <w:r>
        <w:rPr>
          <w:rFonts w:ascii="Aptos" w:hAnsi="Aptos"/>
        </w:rPr>
        <w:t>6</w:t>
      </w:r>
      <w:r>
        <w:rPr>
          <w:rFonts w:ascii="Aptos" w:hAnsi="Aptos"/>
        </w:rPr>
        <w:t xml:space="preserve"> – </w:t>
      </w:r>
      <w:r>
        <w:rPr>
          <w:rFonts w:ascii="Aptos" w:hAnsi="Aptos"/>
        </w:rPr>
        <w:t>References and Appendices</w:t>
      </w:r>
      <w:bookmarkEnd w:id="26"/>
      <w:r>
        <w:rPr>
          <w:rFonts w:ascii="Aptos" w:hAnsi="Aptos"/>
        </w:rPr>
        <w:t xml:space="preserve"> </w:t>
      </w:r>
    </w:p>
    <w:p w14:paraId="000001D1">
      <w:pPr>
        <w:jc w:val="both"/>
        <w:rPr/>
      </w:pPr>
    </w:p>
    <w:p w14:paraId="000001D2">
      <w:pPr>
        <w:pStyle w:val="Heading1"/>
        <w:ind w:left="0"/>
        <w:jc w:val="both"/>
        <w:rPr>
          <w:rFonts w:ascii="Aptos" w:hAnsi="Aptos"/>
          <w:sz w:val="28"/>
          <w:szCs w:val="28"/>
        </w:rPr>
      </w:pPr>
      <w:bookmarkStart w:id="27" w:name="_Toc28"/>
      <w:r>
        <w:rPr>
          <w:rFonts w:ascii="Aptos" w:hAnsi="Aptos"/>
          <w:sz w:val="28"/>
          <w:szCs w:val="28"/>
        </w:rPr>
        <w:t>6.1 – References</w:t>
      </w:r>
      <w:bookmarkEnd w:id="27"/>
      <w:r>
        <w:rPr>
          <w:rFonts w:ascii="Aptos" w:hAnsi="Aptos"/>
          <w:sz w:val="28"/>
          <w:szCs w:val="28"/>
        </w:rPr>
        <w:t xml:space="preserve"> </w:t>
      </w:r>
    </w:p>
    <w:p w14:paraId="000001D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right="0"/>
        <w:jc w:val="both"/>
        <w:rPr>
          <w:rFonts w:ascii="Arial" w:cs="Arial" w:hAnsi="Arial"/>
          <w:color w:val="000000"/>
          <w:sz w:val="22"/>
          <w:szCs w:val="22"/>
          <w:highlight w:val="white"/>
          <w:rtl w:val="off"/>
          <w:lang w:val="en-US"/>
        </w:rPr>
      </w:pPr>
    </w:p>
    <w:p w14:paraId="000001D4">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highlight w:val="white"/>
          <w:rtl w:val="off"/>
          <w:lang w:val="en-US"/>
        </w:rPr>
        <w:t>Aveyard, H. (2023).</w:t>
      </w:r>
      <w:r>
        <w:rPr>
          <w:rFonts w:ascii="Arial" w:cs="Arial" w:hAnsi="Arial"/>
          <w:i/>
          <w:iCs/>
          <w:color w:val="000000"/>
          <w:sz w:val="22"/>
          <w:szCs w:val="22"/>
          <w:highlight w:val="white"/>
          <w:rtl w:val="off"/>
          <w:lang w:val="en-US"/>
        </w:rPr>
        <w:t xml:space="preserve"> Doing a Literature Review in Health and Social Care: A Practical Guide.</w:t>
      </w:r>
      <w:r>
        <w:rPr>
          <w:rFonts w:ascii="Arial" w:cs="Arial" w:hAnsi="Arial"/>
          <w:color w:val="000000"/>
          <w:sz w:val="22"/>
          <w:szCs w:val="22"/>
          <w:highlight w:val="white"/>
          <w:rtl w:val="off"/>
          <w:lang w:val="en-US"/>
        </w:rPr>
        <w:t xml:space="preserve"> Open University Press. </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1D5">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ffffff"/>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rtl w:val="off"/>
          <w:lang w:val="en-US"/>
        </w:rPr>
        <w:t>Age UK. (2022).</w:t>
      </w:r>
      <w:r>
        <w:rPr>
          <w:rFonts w:ascii="Arial" w:cs="Arial" w:hAnsi="Arial"/>
          <w:i/>
          <w:iCs/>
          <w:color w:val="000000"/>
          <w:sz w:val="22"/>
          <w:szCs w:val="22"/>
          <w:rtl w:val="off"/>
          <w:lang w:val="en-US"/>
        </w:rPr>
        <w:t xml:space="preserve"> </w:t>
      </w:r>
      <w:r>
        <w:rPr>
          <w:rFonts w:ascii="Arial" w:cs="Arial" w:hAnsi="Arial"/>
          <w:i/>
          <w:iCs/>
          <w:color w:val="000000"/>
          <w:sz w:val="22"/>
          <w:szCs w:val="22"/>
          <w:rtl w:val="off"/>
          <w:lang w:val="en-US"/>
        </w:rPr>
        <w:t>Aiming High</w:t>
      </w:r>
      <w:r>
        <w:rPr>
          <w:rFonts w:ascii="Arial" w:cs="Arial" w:hAnsi="Arial"/>
          <w:i/>
          <w:iCs/>
          <w:color w:val="000000"/>
          <w:sz w:val="22"/>
          <w:szCs w:val="22"/>
          <w:rtl w:val="off"/>
          <w:lang w:val="en-US"/>
        </w:rPr>
        <w:t>? Loneliness and Older People in the UK.</w:t>
      </w:r>
      <w:r>
        <w:rPr>
          <w:rFonts w:ascii="Arial" w:cs="Arial" w:hAnsi="Arial"/>
          <w:color w:val="000000"/>
          <w:sz w:val="22"/>
          <w:szCs w:val="22"/>
          <w:rtl w:val="off"/>
          <w:lang w:val="en-US"/>
        </w:rPr>
        <w:t xml:space="preserve"> Available at: </w:t>
      </w:r>
      <w:r>
        <w:rPr>
          <w:rStyle w:val="Hyperlink"/>
          <w:rFonts w:ascii="Arial" w:cs="Arial" w:hAnsi="Arial"/>
          <w:sz w:val="22"/>
          <w:szCs w:val="22"/>
          <w:rtl w:val="off"/>
          <w:lang w:val="en-US"/>
        </w:rPr>
        <w:fldChar w:fldCharType="begin"/>
      </w:r>
      <w:r>
        <w:rPr>
          <w:rStyle w:val="Hyperlink"/>
          <w:rFonts w:ascii="Arial" w:cs="Arial" w:hAnsi="Arial"/>
          <w:sz w:val="22"/>
          <w:szCs w:val="22"/>
          <w:rtl w:val="off"/>
          <w:lang w:val="en-US"/>
        </w:rPr>
        <w:instrText xml:space="preserve">HYPERLINK "https://www.ageuk.org.uk/"</w:instrText>
      </w:r>
      <w:r>
        <w:rPr>
          <w:rStyle w:val="Hyperlink"/>
          <w:rFonts w:ascii="Arial" w:cs="Arial" w:hAnsi="Arial"/>
          <w:sz w:val="22"/>
          <w:szCs w:val="22"/>
          <w:rtl w:val="off"/>
          <w:lang w:val="en-US"/>
        </w:rPr>
        <w:fldChar w:fldCharType="separate"/>
      </w:r>
      <w:r>
        <w:rPr>
          <w:rStyle w:val="Hyperlink"/>
          <w:rFonts w:ascii="Arial" w:cs="Arial" w:hAnsi="Arial"/>
          <w:sz w:val="22"/>
          <w:szCs w:val="22"/>
          <w:rtl w:val="off"/>
          <w:lang w:val="en-US"/>
        </w:rPr>
        <w:t>https://www.ageuk.org.uk/</w:t>
      </w:r>
      <w:r>
        <w:rPr>
          <w:rFonts w:ascii="Arial" w:cs="Arial" w:hAnsi="Arial"/>
          <w:color w:val="000000"/>
          <w:sz w:val="22"/>
          <w:szCs w:val="22"/>
          <w:rtl w:val="off"/>
          <w:lang w:val="en-US"/>
        </w:rPr>
        <w:fldChar w:fldCharType="end"/>
      </w:r>
      <w:r>
        <w:rPr>
          <w:rFonts w:ascii="Arial" w:cs="Arial" w:hAnsi="Arial"/>
          <w:color w:val="000000"/>
          <w:sz w:val="22"/>
          <w:szCs w:val="22"/>
          <w:rtl w:val="off"/>
          <w:lang w:val="en-US"/>
        </w:rPr>
        <w:t xml:space="preserve"> (Accessed 22 December 2025)</w:t>
      </w:r>
      <w:r>
        <w:rPr>
          <w:rFonts w:ascii="Arial" w:cs="Arial" w:hAnsi="Arial"/>
          <w:color w:val="000000"/>
          <w:sz w:val="22"/>
          <w:szCs w:val="22"/>
          <w:highlight w:val="none"/>
          <w:rtl w:val="off"/>
          <w:lang w:val="en-US"/>
        </w:rPr>
        <w:t xml:space="preserve"> </w:t>
      </w:r>
    </w:p>
    <w:p w14:paraId="000001D6">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ffffff"/>
        <w:bidi w:val="off"/>
        <w:spacing w:before="0" w:after="0" w:line="360" w:lineRule="auto"/>
        <w:jc w:val="both"/>
        <w:rPr>
          <w:rFonts w:ascii="Arial" w:cs="Arial" w:hAnsi="Arial"/>
          <w:color w:val="000000"/>
          <w:sz w:val="22"/>
          <w:szCs w:val="22"/>
          <w:rtl w:val="off"/>
          <w:lang w:val="en-US"/>
        </w:rPr>
      </w:pPr>
      <w:r>
        <w:rPr>
          <w:rFonts w:ascii="Arial" w:cs="Arial" w:hAnsi="Arial"/>
          <w:color w:val="000000"/>
          <w:sz w:val="22"/>
          <w:szCs w:val="22"/>
          <w:highlight w:val="white"/>
          <w:rtl w:val="off"/>
          <w:lang w:val="en-US"/>
        </w:rPr>
        <w:t>Age UK. (2022).</w:t>
      </w:r>
      <w:r>
        <w:rPr>
          <w:rFonts w:ascii="Arial" w:cs="Arial" w:hAnsi="Arial"/>
          <w:i/>
          <w:iCs/>
          <w:color w:val="000000"/>
          <w:sz w:val="22"/>
          <w:szCs w:val="22"/>
          <w:highlight w:val="white"/>
          <w:rtl w:val="off"/>
          <w:lang w:val="en-US"/>
        </w:rPr>
        <w:t xml:space="preserve"> Loneliness and social isolation in older people:</w:t>
      </w:r>
      <w:r>
        <w:rPr>
          <w:rFonts w:ascii="Arial" w:cs="Arial" w:hAnsi="Arial"/>
          <w:color w:val="000000"/>
          <w:sz w:val="22"/>
          <w:szCs w:val="22"/>
          <w:highlight w:val="white"/>
          <w:rtl w:val="off"/>
          <w:lang w:val="en-US"/>
        </w:rPr>
        <w:t xml:space="preserve"> UK policy overview.  Available at: </w:t>
      </w:r>
      <w:r>
        <w:rPr>
          <w:rStyle w:val="Hyperlink"/>
          <w:rFonts w:ascii="Arial" w:cs="Arial" w:hAnsi="Arial"/>
          <w:sz w:val="22"/>
          <w:szCs w:val="22"/>
          <w:highlight w:val="white"/>
          <w:rtl w:val="off"/>
          <w:lang w:val="en-US"/>
        </w:rPr>
        <w:fldChar w:fldCharType="begin"/>
      </w:r>
      <w:r>
        <w:rPr>
          <w:rStyle w:val="Hyperlink"/>
          <w:rFonts w:ascii="Arial" w:cs="Arial" w:hAnsi="Arial"/>
          <w:sz w:val="22"/>
          <w:szCs w:val="22"/>
          <w:highlight w:val="white"/>
          <w:rtl w:val="off"/>
          <w:lang w:val="en-US"/>
        </w:rPr>
        <w:instrText xml:space="preserve">HYPERLINK "https://www.ageuk.org.uk/"</w:instrText>
      </w:r>
      <w:r>
        <w:rPr>
          <w:rStyle w:val="Hyperlink"/>
          <w:rFonts w:ascii="Arial" w:cs="Arial" w:hAnsi="Arial"/>
          <w:sz w:val="22"/>
          <w:szCs w:val="22"/>
          <w:highlight w:val="white"/>
          <w:rtl w:val="off"/>
          <w:lang w:val="en-US"/>
        </w:rPr>
        <w:fldChar w:fldCharType="separate"/>
      </w:r>
      <w:r>
        <w:rPr>
          <w:rStyle w:val="Hyperlink"/>
          <w:rFonts w:ascii="Arial" w:cs="Arial" w:hAnsi="Arial"/>
          <w:sz w:val="22"/>
          <w:szCs w:val="22"/>
          <w:highlight w:val="white"/>
          <w:rtl w:val="off"/>
          <w:lang w:val="en-US"/>
        </w:rPr>
        <w:t>https://</w:t>
      </w:r>
      <w:r>
        <w:rPr>
          <w:rStyle w:val="Hyperlink"/>
          <w:rFonts w:ascii="Arial" w:cs="Arial" w:hAnsi="Arial"/>
          <w:sz w:val="22"/>
          <w:szCs w:val="22"/>
          <w:highlight w:val="white"/>
          <w:rtl w:val="off"/>
          <w:lang w:val="en-US"/>
        </w:rPr>
        <w:t>www.ageuk.org.uk/</w:t>
      </w:r>
      <w:r>
        <w:rPr>
          <w:rFonts w:ascii="Arial" w:cs="Arial" w:hAnsi="Arial"/>
          <w:color w:val="000000"/>
          <w:sz w:val="22"/>
          <w:szCs w:val="22"/>
          <w:highlight w:val="white"/>
          <w:rtl w:val="off"/>
          <w:lang w:val="en-US"/>
        </w:rPr>
        <w:fldChar w:fldCharType="end"/>
      </w:r>
      <w:r>
        <w:rPr>
          <w:rFonts w:ascii="Arial" w:cs="Arial" w:hAnsi="Arial"/>
          <w:color w:val="000000"/>
          <w:sz w:val="22"/>
          <w:szCs w:val="22"/>
          <w:highlight w:val="white"/>
          <w:rtl w:val="off"/>
          <w:lang w:val="en-US"/>
        </w:rPr>
        <w:t xml:space="preserve">  (Accessed 2 January 2026).</w:t>
      </w:r>
      <w:r>
        <w:rPr>
          <w:rFonts w:ascii="Arial" w:cs="Arial" w:hAnsi="Arial"/>
          <w:color w:val="000000"/>
          <w:sz w:val="22"/>
          <w:szCs w:val="22"/>
          <w:highlight w:val="none"/>
          <w:rtl w:val="off"/>
          <w:lang w:val="en-US"/>
        </w:rPr>
        <w:t xml:space="preserve"> </w:t>
      </w:r>
    </w:p>
    <w:p w14:paraId="000001D7">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ffffff"/>
        <w:bidi w:val="off"/>
        <w:spacing w:before="0" w:after="0" w:line="360" w:lineRule="auto"/>
        <w:jc w:val="left"/>
        <w:rPr>
          <w:rFonts w:ascii="Arial" w:cs="Arial" w:hAnsi="Arial"/>
          <w:color w:val="000000"/>
          <w:sz w:val="22"/>
          <w:szCs w:val="22"/>
          <w:highlight w:val="none"/>
          <w:rtl w:val="off"/>
          <w:lang w:val="en-US"/>
        </w:rPr>
      </w:pPr>
      <w:r>
        <w:rPr>
          <w:rFonts w:ascii="Arial" w:cs="Arial" w:hAnsi="Arial"/>
          <w:color w:val="000000"/>
          <w:sz w:val="22"/>
          <w:szCs w:val="22"/>
          <w:rtl w:val="off"/>
          <w:lang w:val="en-US"/>
        </w:rPr>
        <w:t xml:space="preserve">Age UK. (2020). Local loneliness interventions. Available at: https:// </w:t>
      </w:r>
      <w:r>
        <w:rPr>
          <w:rStyle w:val="Hyperlink"/>
          <w:rFonts w:ascii="Arial" w:cs="Arial" w:hAnsi="Arial"/>
          <w:sz w:val="22"/>
          <w:szCs w:val="22"/>
          <w:rtl w:val="off"/>
          <w:lang w:val="en-US"/>
        </w:rPr>
        <w:fldChar w:fldCharType="begin"/>
      </w:r>
      <w:r>
        <w:rPr>
          <w:rStyle w:val="Hyperlink"/>
          <w:rFonts w:ascii="Arial" w:cs="Arial" w:hAnsi="Arial"/>
          <w:sz w:val="22"/>
          <w:szCs w:val="22"/>
          <w:rtl w:val="off"/>
          <w:lang w:val="en-US"/>
        </w:rPr>
        <w:instrText xml:space="preserve">HYPERLINK "http://www.ageukmidlands.org.uk/"</w:instrText>
      </w:r>
      <w:r>
        <w:rPr>
          <w:rStyle w:val="Hyperlink"/>
          <w:rFonts w:ascii="Arial" w:cs="Arial" w:hAnsi="Arial"/>
          <w:sz w:val="22"/>
          <w:szCs w:val="22"/>
          <w:rtl w:val="off"/>
          <w:lang w:val="en-US"/>
        </w:rPr>
        <w:fldChar w:fldCharType="separate"/>
      </w:r>
      <w:r>
        <w:rPr>
          <w:rStyle w:val="Hyperlink"/>
          <w:rFonts w:ascii="Arial" w:cs="Arial" w:hAnsi="Arial"/>
          <w:sz w:val="22"/>
          <w:szCs w:val="22"/>
          <w:rtl w:val="off"/>
          <w:lang w:val="en-US"/>
        </w:rPr>
        <w:t>www.ageukmidlands.org.uk/</w:t>
      </w:r>
      <w:r>
        <w:rPr>
          <w:rFonts w:ascii="Arial" w:cs="Arial" w:hAnsi="Arial"/>
          <w:color w:val="000000"/>
          <w:sz w:val="22"/>
          <w:szCs w:val="22"/>
          <w:rtl w:val="off"/>
          <w:lang w:val="en-US"/>
        </w:rPr>
        <w:fldChar w:fldCharType="end"/>
      </w:r>
      <w:r>
        <w:rPr>
          <w:rFonts w:ascii="Arial" w:cs="Arial" w:hAnsi="Arial"/>
          <w:color w:val="000000"/>
          <w:sz w:val="22"/>
          <w:szCs w:val="22"/>
          <w:rtl w:val="off"/>
          <w:lang w:val="en-US"/>
        </w:rPr>
        <w:t xml:space="preserve"> (Accessed:</w:t>
      </w:r>
      <w:r>
        <w:rPr>
          <w:rFonts w:ascii="Arial" w:cs="Arial" w:hAnsi="Arial"/>
          <w:color w:val="000000"/>
          <w:sz w:val="22"/>
          <w:szCs w:val="22"/>
          <w:rtl w:val="off"/>
          <w:lang w:val="en-US"/>
        </w:rPr>
        <w:t xml:space="preserve"> </w:t>
      </w:r>
      <w:r>
        <w:rPr>
          <w:rFonts w:ascii="Arial" w:cs="Arial" w:hAnsi="Arial"/>
          <w:color w:val="000000"/>
          <w:sz w:val="22"/>
          <w:szCs w:val="22"/>
          <w:rtl w:val="off"/>
          <w:lang w:val="en-US"/>
        </w:rPr>
        <w:t>12 December 2025).</w:t>
      </w:r>
    </w:p>
    <w:p w14:paraId="000001D8">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ffffff"/>
        <w:bidi w:val="off"/>
        <w:spacing w:before="0" w:after="0" w:line="360" w:lineRule="auto"/>
        <w:jc w:val="both"/>
        <w:rPr>
          <w:rFonts w:ascii="Arial" w:cs="Arial" w:hAnsi="Arial"/>
          <w:color w:val="000000"/>
          <w:sz w:val="22"/>
          <w:szCs w:val="22"/>
          <w:highlight w:val="none"/>
          <w:rtl w:val="off"/>
          <w:lang w:val="en-US"/>
        </w:rPr>
      </w:pPr>
      <w:r>
        <w:rPr>
          <w:rFonts w:ascii="Arial" w:cs="Arial" w:hAnsi="Arial"/>
          <w:color w:val="000000"/>
          <w:sz w:val="22"/>
          <w:szCs w:val="22"/>
          <w:rtl w:val="off"/>
          <w:lang w:val="en-US"/>
        </w:rPr>
        <w:t>Agyeman, J., Bullard, R.D., and Evans, B.(2014) 'The ethics of social justice:Environmentalism and the notion of the commons,</w:t>
      </w:r>
      <w:r>
        <w:rPr>
          <w:rFonts w:ascii="Arial" w:cs="Arial" w:hAnsi="Arial"/>
          <w:i/>
          <w:iCs/>
          <w:color w:val="000000"/>
          <w:sz w:val="22"/>
          <w:szCs w:val="22"/>
          <w:rtl w:val="off"/>
          <w:lang w:val="en-US"/>
        </w:rPr>
        <w:t xml:space="preserve"> Environmental Justice,</w:t>
      </w:r>
      <w:r>
        <w:rPr>
          <w:rFonts w:ascii="Arial" w:cs="Arial" w:hAnsi="Arial"/>
          <w:color w:val="000000"/>
          <w:sz w:val="22"/>
          <w:szCs w:val="22"/>
          <w:rtl w:val="off"/>
          <w:lang w:val="en-US"/>
        </w:rPr>
        <w:t xml:space="preserve"> 7(1), pp.</w:t>
      </w:r>
      <w:r>
        <w:rPr>
          <w:rFonts w:ascii="Arial" w:cs="Arial" w:hAnsi="Arial"/>
          <w:color w:val="000000"/>
          <w:sz w:val="22"/>
          <w:szCs w:val="22"/>
          <w:rtl w:val="off"/>
          <w:lang w:val="en-US"/>
        </w:rPr>
        <w:t xml:space="preserve"> </w:t>
      </w:r>
      <w:r>
        <w:rPr>
          <w:rFonts w:ascii="Arial" w:cs="Arial" w:hAnsi="Arial"/>
          <w:color w:val="000000"/>
          <w:sz w:val="22"/>
          <w:szCs w:val="22"/>
          <w:rtl w:val="off"/>
          <w:lang w:val="en-US"/>
        </w:rPr>
        <w:t xml:space="preserve">1-4. doi:10.1089/env.2014.0001. </w:t>
      </w:r>
    </w:p>
    <w:p w14:paraId="000001D9">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highlight w:val="white"/>
          <w:rtl w:val="off"/>
          <w:lang w:val="en-US"/>
        </w:rPr>
        <w:t>﻿﻿</w:t>
      </w:r>
      <w:r>
        <w:rPr>
          <w:rFonts w:ascii="Arial" w:cs="Arial" w:hAnsi="Arial"/>
          <w:color w:val="000000"/>
          <w:sz w:val="22"/>
          <w:szCs w:val="22"/>
          <w:highlight w:val="white"/>
          <w:rtl w:val="off"/>
          <w:lang w:val="en-US"/>
        </w:rPr>
        <w:t>Anglophone (2015). Cross-country aging and loneliness: synthesis. Available at:</w:t>
      </w:r>
      <w:r>
        <w:rPr>
          <w:rFonts w:ascii="Arial" w:cs="Arial" w:hAnsi="Arial"/>
          <w:color w:val="000000"/>
          <w:sz w:val="22"/>
          <w:szCs w:val="22"/>
          <w:highlight w:val="white"/>
          <w:rtl w:val="off"/>
          <w:lang w:val="en-US"/>
        </w:rPr>
        <w:t xml:space="preserve"> </w:t>
      </w:r>
      <w:r>
        <w:rPr>
          <w:rStyle w:val="Hyperlink"/>
          <w:rFonts w:ascii="Arial" w:cs="Arial" w:hAnsi="Arial"/>
          <w:sz w:val="22"/>
          <w:szCs w:val="22"/>
          <w:highlight w:val="white"/>
          <w:rtl w:val="off"/>
          <w:lang w:val="en-US"/>
        </w:rPr>
        <w:fldChar w:fldCharType="begin"/>
      </w:r>
      <w:r>
        <w:rPr>
          <w:rStyle w:val="Hyperlink"/>
          <w:rFonts w:ascii="Arial" w:cs="Arial" w:hAnsi="Arial"/>
          <w:sz w:val="22"/>
          <w:szCs w:val="22"/>
          <w:highlight w:val="white"/>
          <w:rtl w:val="off"/>
          <w:lang w:val="en-US"/>
        </w:rPr>
        <w:instrText xml:space="preserve">HYPERLINK "https://www.academic.oup.com/"</w:instrText>
      </w:r>
      <w:r>
        <w:rPr>
          <w:rStyle w:val="Hyperlink"/>
          <w:rFonts w:ascii="Arial" w:cs="Arial" w:hAnsi="Arial"/>
          <w:sz w:val="22"/>
          <w:szCs w:val="22"/>
          <w:highlight w:val="white"/>
          <w:rtl w:val="off"/>
          <w:lang w:val="en-US"/>
        </w:rPr>
        <w:fldChar w:fldCharType="separate"/>
      </w:r>
      <w:r>
        <w:rPr>
          <w:rStyle w:val="Hyperlink"/>
          <w:rFonts w:ascii="Arial" w:cs="Arial" w:hAnsi="Arial"/>
          <w:sz w:val="22"/>
          <w:szCs w:val="22"/>
          <w:highlight w:val="white"/>
          <w:rtl w:val="off"/>
          <w:lang w:val="en-US"/>
        </w:rPr>
        <w:t>https://www.academic.oup.com/</w:t>
      </w:r>
      <w:r>
        <w:rPr>
          <w:rFonts w:ascii="Arial" w:cs="Arial" w:hAnsi="Arial"/>
          <w:color w:val="000000"/>
          <w:sz w:val="22"/>
          <w:szCs w:val="22"/>
          <w:highlight w:val="white"/>
          <w:rtl w:val="off"/>
          <w:lang w:val="en-US"/>
        </w:rPr>
        <w:fldChar w:fldCharType="end"/>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t>(Accessed: 12</w:t>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t>December 2025).</w:t>
      </w:r>
      <w:r>
        <w:rPr>
          <w:rFonts w:ascii="Arial" w:cs="Arial" w:hAnsi="Arial"/>
          <w:color w:val="000000"/>
          <w:sz w:val="22"/>
          <w:szCs w:val="22"/>
          <w:highlight w:val="white"/>
          <w:rtl w:val="off"/>
          <w:lang w:val="en-US"/>
        </w:rPr>
        <w:t xml:space="preserve"> </w:t>
      </w:r>
      <w:r>
        <w:rPr>
          <w:rFonts w:ascii="Arial" w:cs="Arial" w:hAnsi="Arial"/>
          <w:color w:val="000000"/>
          <w:sz w:val="22"/>
          <w:szCs w:val="22"/>
          <w:rtl w:val="off"/>
          <w:lang w:val="en-US"/>
        </w:rPr>
        <w:t xml:space="preserve"> </w:t>
      </w:r>
    </w:p>
    <w:p w14:paraId="000001DA">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rtl w:val="off"/>
          <w:lang w:val="en-US"/>
        </w:rPr>
        <w:t xml:space="preserve"> </w:t>
      </w:r>
      <w:r>
        <w:rPr>
          <w:rFonts w:ascii="Arial" w:cs="Arial" w:hAnsi="Arial"/>
          <w:color w:val="000000"/>
          <w:sz w:val="22"/>
          <w:szCs w:val="22"/>
          <w:highlight w:val="white"/>
          <w:rtl w:val="off"/>
          <w:lang w:val="en-US"/>
        </w:rPr>
        <w:t xml:space="preserve">Braun, V. and Clarke, V., 2006. Using thematic analysis in psychology. </w:t>
      </w:r>
      <w:r>
        <w:rPr>
          <w:rFonts w:ascii="Arial" w:cs="Arial" w:hAnsi="Arial"/>
          <w:i/>
          <w:iCs/>
          <w:color w:val="000000"/>
          <w:sz w:val="22"/>
          <w:szCs w:val="22"/>
          <w:highlight w:val="white"/>
          <w:rtl w:val="off"/>
          <w:lang w:val="en-US"/>
        </w:rPr>
        <w:t>Qualitative Research in Psychology</w:t>
      </w:r>
      <w:r>
        <w:rPr>
          <w:rFonts w:ascii="Arial" w:cs="Arial" w:hAnsi="Arial"/>
          <w:color w:val="000000"/>
          <w:sz w:val="22"/>
          <w:szCs w:val="22"/>
          <w:highlight w:val="white"/>
          <w:rtl w:val="off"/>
          <w:lang w:val="en-US"/>
        </w:rPr>
        <w:t>, 3(2), pp.77-101.</w:t>
      </w:r>
      <w:r>
        <w:rPr>
          <w:rFonts w:ascii="Arial" w:cs="Arial" w:hAnsi="Arial"/>
          <w:color w:val="000000"/>
          <w:sz w:val="22"/>
          <w:szCs w:val="22"/>
          <w:rtl w:val="off"/>
          <w:lang w:val="en-US"/>
        </w:rPr>
        <w:t xml:space="preserve"> </w:t>
      </w:r>
    </w:p>
    <w:p w14:paraId="000001DB">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highlight w:val="white"/>
          <w:rtl w:val="off"/>
          <w:lang w:val="en-US"/>
        </w:rPr>
        <w:t>Bronfenbrenner, U. (1979). The Ecology of Human Development. Harvard University</w:t>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br w:type="textWrapping"/>
      </w:r>
      <w:r>
        <w:rPr>
          <w:rFonts w:ascii="Arial" w:cs="Arial" w:hAnsi="Arial"/>
          <w:color w:val="000000"/>
          <w:sz w:val="22"/>
          <w:szCs w:val="22"/>
          <w:highlight w:val="white"/>
          <w:rtl w:val="off"/>
          <w:lang w:val="en-US"/>
        </w:rPr>
        <w:t>Press. Available at: https://</w:t>
      </w:r>
      <w:r>
        <w:rPr>
          <w:rFonts w:ascii="Arial" w:cs="Arial" w:hAnsi="Arial"/>
          <w:color w:val="000000"/>
          <w:sz w:val="22"/>
          <w:szCs w:val="22"/>
          <w:highlight w:val="white"/>
          <w:rtl w:val="off"/>
          <w:lang w:val="en-US"/>
        </w:rPr>
        <w:t xml:space="preserve"> </w:t>
      </w:r>
      <w:r>
        <w:rPr>
          <w:rStyle w:val="Hyperlink"/>
          <w:rFonts w:ascii="Arial" w:cs="Arial" w:hAnsi="Arial"/>
          <w:sz w:val="22"/>
          <w:szCs w:val="22"/>
          <w:highlight w:val="white"/>
          <w:rtl w:val="off"/>
          <w:lang w:val="en-US"/>
        </w:rPr>
        <w:fldChar w:fldCharType="begin"/>
      </w:r>
      <w:r>
        <w:rPr>
          <w:rStyle w:val="Hyperlink"/>
          <w:rFonts w:ascii="Arial" w:cs="Arial" w:hAnsi="Arial"/>
          <w:sz w:val="22"/>
          <w:szCs w:val="22"/>
          <w:highlight w:val="white"/>
          <w:rtl w:val="off"/>
          <w:lang w:val="en-US"/>
        </w:rPr>
        <w:instrText xml:space="preserve">HYPERLINK "http://www.hup.harvard.edu/"</w:instrText>
      </w:r>
      <w:r>
        <w:rPr>
          <w:rStyle w:val="Hyperlink"/>
          <w:rFonts w:ascii="Arial" w:cs="Arial" w:hAnsi="Arial"/>
          <w:sz w:val="22"/>
          <w:szCs w:val="22"/>
          <w:highlight w:val="white"/>
          <w:rtl w:val="off"/>
          <w:lang w:val="en-US"/>
        </w:rPr>
        <w:fldChar w:fldCharType="separate"/>
      </w:r>
      <w:r>
        <w:rPr>
          <w:rStyle w:val="Hyperlink"/>
          <w:rFonts w:ascii="Arial" w:cs="Arial" w:hAnsi="Arial"/>
          <w:sz w:val="22"/>
          <w:szCs w:val="22"/>
          <w:highlight w:val="white"/>
          <w:rtl w:val="off"/>
          <w:lang w:val="en-US"/>
        </w:rPr>
        <w:t>www.hup.harvard.edu/</w:t>
      </w:r>
      <w:r>
        <w:rPr>
          <w:rFonts w:ascii="Arial" w:cs="Arial" w:hAnsi="Arial"/>
          <w:color w:val="000000"/>
          <w:sz w:val="22"/>
          <w:szCs w:val="22"/>
          <w:highlight w:val="white"/>
          <w:rtl w:val="off"/>
          <w:lang w:val="en-US"/>
        </w:rPr>
        <w:fldChar w:fldCharType="end"/>
      </w:r>
      <w:r>
        <w:rPr>
          <w:rFonts w:ascii="Arial" w:cs="Arial" w:hAnsi="Arial"/>
          <w:color w:val="000000"/>
          <w:sz w:val="22"/>
          <w:szCs w:val="22"/>
          <w:highlight w:val="white"/>
          <w:rtl w:val="off"/>
          <w:lang w:val="en-US"/>
        </w:rPr>
        <w:t xml:space="preserve">  (Accessed: 12</w:t>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t>December 2025).</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1DC">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highlight w:val="white"/>
          <w:rtl w:val="off"/>
          <w:lang w:val="en-US"/>
        </w:rPr>
        <w:t xml:space="preserve">Beller, J. &amp; Wagner, S. (2020). Measuring loneliness in older adults: A systematic review. </w:t>
      </w:r>
      <w:r>
        <w:rPr>
          <w:rFonts w:ascii="Arial" w:cs="Arial" w:hAnsi="Arial"/>
          <w:i/>
          <w:iCs/>
          <w:color w:val="000000"/>
          <w:sz w:val="22"/>
          <w:szCs w:val="22"/>
          <w:highlight w:val="white"/>
          <w:rtl w:val="off"/>
          <w:lang w:val="en-US"/>
        </w:rPr>
        <w:t>Aging &amp; Mental Health</w:t>
      </w:r>
      <w:r>
        <w:rPr>
          <w:rFonts w:ascii="Arial" w:cs="Arial" w:hAnsi="Arial"/>
          <w:color w:val="000000"/>
          <w:sz w:val="22"/>
          <w:szCs w:val="22"/>
          <w:highlight w:val="white"/>
          <w:rtl w:val="off"/>
          <w:lang w:val="en-US"/>
        </w:rPr>
        <w:t>, 24(4), 533-542.</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1DD">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highlight w:val="white"/>
          <w:rtl w:val="off"/>
          <w:lang w:val="en-US"/>
        </w:rPr>
      </w:pPr>
      <w:r>
        <w:rPr>
          <w:rFonts w:ascii="Arial" w:cs="Arial" w:hAnsi="Arial"/>
          <w:color w:val="000000"/>
          <w:sz w:val="22"/>
          <w:szCs w:val="22"/>
          <w:highlight w:val="white"/>
          <w:rtl w:val="off"/>
          <w:lang w:val="en-US"/>
        </w:rPr>
        <w:t>Cacioppo, J.T. &amp; Cacioppo, S. (2018)</w:t>
      </w:r>
      <w:r>
        <w:rPr>
          <w:rFonts w:ascii="Arial" w:cs="Arial" w:hAnsi="Arial"/>
          <w:color w:val="000000"/>
          <w:sz w:val="22"/>
          <w:szCs w:val="22"/>
          <w:highlight w:val="white"/>
          <w:rtl w:val="off"/>
          <w:lang w:val="en-US"/>
        </w:rPr>
        <w:t xml:space="preserve"> </w:t>
      </w:r>
      <w:r>
        <w:rPr>
          <w:rFonts w:ascii="Arial" w:cs="Arial" w:hAnsi="Arial"/>
          <w:i/>
          <w:iCs/>
          <w:color w:val="000000"/>
          <w:sz w:val="22"/>
          <w:szCs w:val="22"/>
          <w:highlight w:val="white"/>
          <w:rtl w:val="off"/>
          <w:lang w:val="en-US"/>
        </w:rPr>
        <w:t>Loneliness: human nature and the need for social connection</w:t>
      </w:r>
      <w:r>
        <w:rPr>
          <w:rFonts w:ascii="Arial" w:cs="Arial" w:hAnsi="Arial"/>
          <w:color w:val="000000"/>
          <w:sz w:val="22"/>
          <w:szCs w:val="22"/>
          <w:highlight w:val="white"/>
          <w:rtl w:val="off"/>
          <w:lang w:val="en-US"/>
        </w:rPr>
        <w:t>. New York: W.W. Norton &amp; Company.</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1DE">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highlight w:val="white"/>
          <w:rtl w:val="off"/>
          <w:lang w:val="en-US"/>
        </w:rPr>
        <w:t xml:space="preserve">Courtin, E., &amp; Knapp, M. (2017). Social isolation, loneliness and health in older people: </w:t>
      </w:r>
      <w:r>
        <w:rPr>
          <w:rFonts w:ascii="Arial" w:cs="Arial" w:hAnsi="Arial"/>
          <w:i/>
          <w:iCs/>
          <w:color w:val="000000"/>
          <w:sz w:val="22"/>
          <w:szCs w:val="22"/>
          <w:highlight w:val="white"/>
          <w:rtl w:val="off"/>
          <w:lang w:val="en-US"/>
        </w:rPr>
        <w:t>a systematic literature review. Health and Social Care in the Community,</w:t>
      </w:r>
      <w:r>
        <w:rPr>
          <w:rFonts w:ascii="Arial" w:cs="Arial" w:hAnsi="Arial"/>
          <w:color w:val="000000"/>
          <w:sz w:val="22"/>
          <w:szCs w:val="22"/>
          <w:highlight w:val="white"/>
          <w:rtl w:val="off"/>
          <w:lang w:val="en-US"/>
        </w:rPr>
        <w:t xml:space="preserve"> 25(3), 799-812.</w:t>
      </w:r>
      <w:r>
        <w:rPr>
          <w:rFonts w:ascii="Arial" w:cs="Arial" w:hAnsi="Arial"/>
          <w:color w:val="000000"/>
          <w:sz w:val="22"/>
          <w:szCs w:val="22"/>
          <w:highlight w:val="white"/>
          <w:rtl w:val="off"/>
          <w:lang w:val="en-US"/>
        </w:rPr>
        <w:t xml:space="preserve"> </w:t>
      </w:r>
      <w:r>
        <w:rPr>
          <w:rFonts w:ascii="Arial" w:cs="Arial" w:hAnsi="Arial"/>
          <w:color w:val="000000"/>
          <w:sz w:val="22"/>
          <w:szCs w:val="22"/>
          <w:rtl w:val="off"/>
          <w:lang w:val="en-US"/>
        </w:rPr>
        <w:t xml:space="preserve"> </w:t>
      </w:r>
    </w:p>
    <w:p w14:paraId="000001DF">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highlight w:val="white"/>
          <w:rtl w:val="off"/>
          <w:lang w:val="en-US"/>
        </w:rPr>
        <w:t>﻿﻿</w:t>
      </w:r>
      <w:r>
        <w:rPr>
          <w:rFonts w:ascii="Arial" w:cs="Arial" w:hAnsi="Arial"/>
          <w:color w:val="000000"/>
          <w:sz w:val="22"/>
          <w:szCs w:val="22"/>
          <w:highlight w:val="white"/>
          <w:rtl w:val="off"/>
          <w:lang w:val="en-US"/>
        </w:rPr>
        <w:t xml:space="preserve">Cacioppo, J.T. and Cacioppo, S., 2018. The growing problem of loneliness. </w:t>
      </w:r>
      <w:r>
        <w:rPr>
          <w:rFonts w:ascii="Arial" w:cs="Arial" w:hAnsi="Arial"/>
          <w:i/>
          <w:iCs/>
          <w:color w:val="000000"/>
          <w:sz w:val="22"/>
          <w:szCs w:val="22"/>
          <w:highlight w:val="white"/>
          <w:rtl w:val="off"/>
          <w:lang w:val="en-US"/>
        </w:rPr>
        <w:t>The Lancet,</w:t>
      </w:r>
      <w:r>
        <w:rPr>
          <w:rFonts w:ascii="Arial" w:cs="Arial" w:hAnsi="Arial"/>
          <w:i/>
          <w:iCs/>
          <w:color w:val="000000"/>
          <w:sz w:val="22"/>
          <w:szCs w:val="22"/>
          <w:highlight w:val="white"/>
          <w:rtl w:val="off"/>
          <w:lang w:val="en-US"/>
        </w:rPr>
        <w:t xml:space="preserve"> </w:t>
      </w:r>
      <w:r>
        <w:rPr>
          <w:rFonts w:ascii="Arial" w:cs="Arial" w:hAnsi="Arial"/>
          <w:color w:val="000000"/>
          <w:sz w:val="22"/>
          <w:szCs w:val="22"/>
          <w:highlight w:val="white"/>
          <w:rtl w:val="off"/>
          <w:lang w:val="en-US"/>
        </w:rPr>
        <w:t>392(10161), pp.1089-1091.</w:t>
      </w:r>
      <w:r>
        <w:rPr>
          <w:rFonts w:ascii="Arial" w:cs="Arial" w:hAnsi="Arial"/>
          <w:color w:val="000000"/>
          <w:sz w:val="22"/>
          <w:szCs w:val="22"/>
          <w:highlight w:val="white"/>
          <w:rtl w:val="off"/>
          <w:lang w:val="en-US"/>
        </w:rPr>
        <w:t xml:space="preserve"> </w:t>
      </w:r>
      <w:r>
        <w:rPr>
          <w:rFonts w:ascii="Arial" w:cs="Arial" w:hAnsi="Arial"/>
          <w:color w:val="000000"/>
          <w:sz w:val="22"/>
          <w:szCs w:val="22"/>
          <w:rtl w:val="off"/>
          <w:lang w:val="en-US"/>
        </w:rPr>
        <w:t xml:space="preserve"> </w:t>
      </w:r>
    </w:p>
    <w:p w14:paraId="000001E0">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highlight w:val="white"/>
          <w:rtl w:val="off"/>
          <w:lang w:val="en-US"/>
        </w:rPr>
        <w:t>Cobb, S. and Clayton, E. (2020) 'Social capital and community resilience',</w:t>
      </w:r>
      <w:r>
        <w:rPr>
          <w:rFonts w:ascii="Arial" w:cs="Arial" w:hAnsi="Arial"/>
          <w:i/>
          <w:iCs/>
          <w:color w:val="000000"/>
          <w:sz w:val="22"/>
          <w:szCs w:val="22"/>
          <w:highlight w:val="white"/>
          <w:rtl w:val="off"/>
          <w:lang w:val="en-US"/>
        </w:rPr>
        <w:t xml:space="preserve"> Journal of Community Psychology</w:t>
      </w:r>
      <w:r>
        <w:rPr>
          <w:rFonts w:ascii="Arial" w:cs="Arial" w:hAnsi="Arial"/>
          <w:color w:val="000000"/>
          <w:sz w:val="22"/>
          <w:szCs w:val="22"/>
          <w:highlight w:val="white"/>
          <w:rtl w:val="off"/>
          <w:lang w:val="en-US"/>
        </w:rPr>
        <w:t>, 48(4), pp.</w:t>
      </w:r>
      <w:r>
        <w:rPr>
          <w:rFonts w:ascii="Arial" w:cs="Arial" w:hAnsi="Arial"/>
          <w:color w:val="000000"/>
          <w:sz w:val="22"/>
          <w:szCs w:val="22"/>
          <w:highlight w:val="white"/>
          <w:rtl w:val="off"/>
          <w:lang w:val="en-US"/>
        </w:rPr>
        <w:t>1028-1042.</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1E1">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highlight w:val="white"/>
          <w:rtl w:val="off"/>
          <w:lang w:val="en-US"/>
        </w:rPr>
        <w:t>Courtin, E. &amp; Knapp, M. (2017). Social isolation, loneliness and health in old age:</w:t>
      </w:r>
      <w:r>
        <w:rPr>
          <w:rFonts w:ascii="Arial" w:cs="Arial" w:hAnsi="Arial"/>
          <w:i/>
          <w:iCs/>
          <w:color w:val="000000"/>
          <w:sz w:val="22"/>
          <w:szCs w:val="22"/>
          <w:highlight w:val="white"/>
          <w:rtl w:val="off"/>
          <w:lang w:val="en-US"/>
        </w:rPr>
        <w:t xml:space="preserve"> A scoping review. Health &amp; Social Care in the Community</w:t>
      </w:r>
      <w:r>
        <w:rPr>
          <w:rFonts w:ascii="Arial" w:cs="Arial" w:hAnsi="Arial"/>
          <w:color w:val="000000"/>
          <w:sz w:val="22"/>
          <w:szCs w:val="22"/>
          <w:highlight w:val="white"/>
          <w:rtl w:val="off"/>
          <w:lang w:val="en-US"/>
        </w:rPr>
        <w:t>, 25(3), 299-312.</w:t>
      </w:r>
      <w:r>
        <w:rPr>
          <w:rFonts w:ascii="Arial" w:cs="Arial" w:hAnsi="Arial"/>
          <w:color w:val="000000"/>
          <w:sz w:val="22"/>
          <w:szCs w:val="22"/>
          <w:highlight w:val="white"/>
          <w:rtl w:val="off"/>
          <w:lang w:val="en-US"/>
        </w:rPr>
        <w:t xml:space="preserve"> </w:t>
      </w:r>
      <w:r>
        <w:rPr>
          <w:rFonts w:ascii="Arial" w:cs="Arial" w:hAnsi="Arial"/>
          <w:color w:val="000000"/>
          <w:sz w:val="22"/>
          <w:szCs w:val="22"/>
          <w:rtl w:val="off"/>
          <w:lang w:val="en-US"/>
        </w:rPr>
        <w:t xml:space="preserve"> </w:t>
      </w:r>
    </w:p>
    <w:p w14:paraId="000001E2">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highlight w:val="white"/>
          <w:rtl w:val="off"/>
          <w:lang w:val="en-US"/>
        </w:rPr>
        <w:t>Department for Digital, Culture, Media &amp; Sport (2018) A Connected Society: A</w:t>
      </w:r>
      <w:r>
        <w:rPr>
          <w:rFonts w:ascii="Arial" w:cs="Arial" w:hAnsi="Arial"/>
          <w:i/>
          <w:iCs/>
          <w:color w:val="000000"/>
          <w:sz w:val="22"/>
          <w:szCs w:val="22"/>
          <w:highlight w:val="white"/>
          <w:rtl w:val="off"/>
          <w:lang w:val="en-US"/>
        </w:rPr>
        <w:t xml:space="preserve"> Strategy for Tackling Loneliness.</w:t>
      </w:r>
      <w:r>
        <w:rPr>
          <w:rFonts w:ascii="Arial" w:cs="Arial" w:hAnsi="Arial"/>
          <w:color w:val="000000"/>
          <w:sz w:val="22"/>
          <w:szCs w:val="22"/>
          <w:highlight w:val="white"/>
          <w:rtl w:val="off"/>
          <w:lang w:val="en-US"/>
        </w:rPr>
        <w:t xml:space="preserve"> Available at:</w:t>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t>https://www.gov.uk/government/ publications/tackling-loneliness-a-connected-society (Accessed: 12 December 2025).</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1E3">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ffffff"/>
        <w:tabs>
          <w:tab w:val="left" w:pos="0"/>
        </w:tabs>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rtl w:val="off"/>
          <w:lang w:val="en-US"/>
        </w:rPr>
        <w:t>﻿</w:t>
      </w:r>
      <w:r>
        <w:rPr>
          <w:rFonts w:ascii="Arial" w:cs="Arial" w:hAnsi="Arial"/>
          <w:color w:val="000000"/>
          <w:sz w:val="22"/>
          <w:szCs w:val="22"/>
          <w:rtl w:val="off"/>
          <w:lang w:val="en-US"/>
        </w:rPr>
        <w:t>Department of Health and Social Care (UK).</w:t>
      </w:r>
      <w:r>
        <w:rPr>
          <w:rFonts w:ascii="Arial" w:cs="Arial" w:hAnsi="Arial"/>
          <w:color w:val="000000"/>
          <w:sz w:val="22"/>
          <w:szCs w:val="22"/>
          <w:rtl w:val="off"/>
          <w:lang w:val="en-US"/>
        </w:rPr>
        <w:t xml:space="preserve"> </w:t>
      </w:r>
      <w:r>
        <w:rPr>
          <w:rFonts w:ascii="Arial" w:cs="Arial" w:hAnsi="Arial"/>
          <w:color w:val="000000"/>
          <w:sz w:val="22"/>
          <w:szCs w:val="22"/>
          <w:rtl w:val="off"/>
          <w:lang w:val="en-US"/>
        </w:rPr>
        <w:t>(2018). Loneliness Strategy for England.</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Available at: </w:t>
      </w:r>
      <w:r>
        <w:rPr>
          <w:rStyle w:val="Hyperlink"/>
          <w:rFonts w:ascii="Arial" w:cs="Arial" w:hAnsi="Arial"/>
          <w:sz w:val="22"/>
          <w:szCs w:val="22"/>
          <w:rtl w:val="off"/>
          <w:lang w:val="en-US"/>
        </w:rPr>
        <w:fldChar w:fldCharType="begin"/>
      </w:r>
      <w:r>
        <w:rPr>
          <w:rStyle w:val="Hyperlink"/>
          <w:rFonts w:ascii="Arial" w:cs="Arial" w:hAnsi="Arial"/>
          <w:sz w:val="22"/>
          <w:szCs w:val="22"/>
          <w:rtl w:val="off"/>
          <w:lang w:val="en-US"/>
        </w:rPr>
        <w:instrText xml:space="preserve">HYPERLINK "https://www.gov.uk/"</w:instrText>
      </w:r>
      <w:r>
        <w:rPr>
          <w:rStyle w:val="Hyperlink"/>
          <w:rFonts w:ascii="Arial" w:cs="Arial" w:hAnsi="Arial"/>
          <w:sz w:val="22"/>
          <w:szCs w:val="22"/>
          <w:rtl w:val="off"/>
          <w:lang w:val="en-US"/>
        </w:rPr>
        <w:fldChar w:fldCharType="separate"/>
      </w:r>
      <w:r>
        <w:rPr>
          <w:rStyle w:val="Hyperlink"/>
          <w:rFonts w:ascii="Arial" w:cs="Arial" w:hAnsi="Arial"/>
          <w:sz w:val="22"/>
          <w:szCs w:val="22"/>
          <w:rtl w:val="off"/>
          <w:lang w:val="en-US"/>
        </w:rPr>
        <w:t>https://www.gov.uk/</w:t>
      </w:r>
      <w:r>
        <w:rPr>
          <w:rFonts w:ascii="Arial" w:cs="Arial" w:hAnsi="Arial"/>
          <w:color w:val="000000"/>
          <w:sz w:val="22"/>
          <w:szCs w:val="22"/>
          <w:rtl w:val="off"/>
          <w:lang w:val="en-US"/>
        </w:rPr>
        <w:fldChar w:fldCharType="end"/>
      </w:r>
      <w:r>
        <w:rPr>
          <w:rFonts w:ascii="Arial" w:cs="Arial" w:hAnsi="Arial"/>
          <w:color w:val="000000"/>
          <w:sz w:val="22"/>
          <w:szCs w:val="22"/>
          <w:rtl w:val="off"/>
          <w:lang w:val="en-US"/>
        </w:rPr>
        <w:t xml:space="preserve">  (Accessed:10 December 2025)</w:t>
      </w:r>
    </w:p>
    <w:p w14:paraId="000001E4">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ffffff"/>
        <w:tabs>
          <w:tab w:val="left" w:pos="0"/>
        </w:tabs>
        <w:bidi w:val="off"/>
        <w:spacing w:before="0" w:after="0" w:line="360" w:lineRule="auto"/>
        <w:jc w:val="both"/>
        <w:rPr>
          <w:rFonts w:ascii="Arial" w:cs="Arial" w:hAnsi="Arial"/>
          <w:sz w:val="22"/>
          <w:szCs w:val="22"/>
        </w:rPr>
      </w:pPr>
      <w:r>
        <w:rPr>
          <w:rFonts w:ascii="Arial" w:cs="Arial" w:hAnsi="Arial"/>
          <w:color w:val="000000"/>
          <w:sz w:val="22"/>
          <w:szCs w:val="22"/>
          <w:rtl w:val="off"/>
          <w:lang w:val="en-US"/>
        </w:rPr>
        <w:t xml:space="preserve">De Jong </w:t>
      </w:r>
      <w:r>
        <w:rPr>
          <w:rFonts w:ascii="Arial" w:cs="Arial" w:hAnsi="Arial"/>
          <w:color w:val="000000"/>
          <w:sz w:val="22"/>
          <w:szCs w:val="22"/>
          <w:highlight w:val="none"/>
          <w:rtl w:val="off"/>
          <w:lang w:val="en-US"/>
        </w:rPr>
        <w:t>Gierveld</w:t>
      </w:r>
      <w:r>
        <w:rPr>
          <w:rFonts w:ascii="Arial" w:cs="Arial" w:hAnsi="Arial"/>
          <w:color w:val="000000"/>
          <w:sz w:val="22"/>
          <w:szCs w:val="22"/>
          <w:rtl w:val="off"/>
          <w:lang w:val="en-US"/>
        </w:rPr>
        <w:t>, J., van Tilburg, T., &amp;</w:t>
      </w:r>
      <w:r>
        <w:rPr>
          <w:rFonts w:ascii="Arial" w:cs="Arial" w:hAnsi="Arial"/>
          <w:color w:val="000000"/>
          <w:sz w:val="22"/>
          <w:szCs w:val="22"/>
          <w:rtl w:val="off"/>
          <w:lang w:val="en-US"/>
        </w:rPr>
        <w:t xml:space="preserve"> </w:t>
      </w:r>
      <w:r>
        <w:rPr>
          <w:rFonts w:ascii="Arial" w:cs="Arial" w:hAnsi="Arial"/>
          <w:color w:val="000000"/>
          <w:sz w:val="22"/>
          <w:szCs w:val="22"/>
          <w:rtl w:val="off"/>
          <w:lang w:val="en-US"/>
        </w:rPr>
        <w:t>Dykstra, P. (2018). The New International Loneliness Scale (NILS). J</w:t>
      </w:r>
      <w:r>
        <w:rPr>
          <w:rFonts w:ascii="Arial" w:cs="Arial" w:hAnsi="Arial"/>
          <w:i/>
          <w:iCs/>
          <w:color w:val="000000"/>
          <w:sz w:val="22"/>
          <w:szCs w:val="22"/>
          <w:rtl w:val="off"/>
          <w:lang w:val="en-US"/>
        </w:rPr>
        <w:t>ournal of Gerontology,</w:t>
      </w:r>
      <w:r>
        <w:rPr>
          <w:rFonts w:ascii="Arial" w:cs="Arial" w:hAnsi="Arial"/>
          <w:color w:val="000000"/>
          <w:sz w:val="22"/>
          <w:szCs w:val="22"/>
          <w:rtl w:val="off"/>
          <w:lang w:val="en-US"/>
        </w:rPr>
        <w:t xml:space="preserve"> 73(5), e1-e9.</w:t>
      </w:r>
      <w:r>
        <w:rPr>
          <w:rFonts w:ascii="Arial" w:cs="Arial" w:hAnsi="Arial"/>
          <w:color w:val="000000"/>
          <w:sz w:val="22"/>
          <w:szCs w:val="22"/>
          <w:highlight w:val="none"/>
          <w:rtl w:val="off"/>
          <w:lang w:val="en-US"/>
        </w:rPr>
        <w:t xml:space="preserve"> </w:t>
      </w:r>
    </w:p>
    <w:p w14:paraId="000001E5">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ffffff"/>
        <w:tabs>
          <w:tab w:val="left" w:pos="0"/>
        </w:tabs>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rtl w:val="off"/>
          <w:lang w:val="en-US"/>
        </w:rPr>
        <w:t>﻿</w:t>
      </w:r>
      <w:r>
        <w:rPr>
          <w:rFonts w:ascii="Arial" w:cs="Arial" w:hAnsi="Arial"/>
          <w:color w:val="000000"/>
          <w:sz w:val="22"/>
          <w:szCs w:val="22"/>
          <w:rtl w:val="off"/>
          <w:lang w:val="en-US"/>
        </w:rPr>
        <w:t>Graham, J. (2020) 'Generalized Anxiety Disorder in Older Adults',</w:t>
      </w:r>
      <w:r>
        <w:rPr>
          <w:rFonts w:ascii="Arial" w:cs="Arial" w:hAnsi="Arial"/>
          <w:color w:val="000000"/>
          <w:sz w:val="22"/>
          <w:szCs w:val="22"/>
          <w:rtl w:val="off"/>
          <w:lang w:val="en-US"/>
        </w:rPr>
        <w:t xml:space="preserve"> </w:t>
      </w:r>
      <w:r>
        <w:rPr>
          <w:rFonts w:ascii="Arial" w:cs="Arial" w:hAnsi="Arial"/>
          <w:i/>
          <w:iCs/>
          <w:color w:val="000000"/>
          <w:sz w:val="22"/>
          <w:szCs w:val="22"/>
          <w:rtl w:val="off"/>
          <w:lang w:val="en-US"/>
        </w:rPr>
        <w:t>Journal of Geriatric</w:t>
      </w:r>
      <w:r>
        <w:rPr>
          <w:rFonts w:ascii="Arial" w:cs="Arial" w:hAnsi="Arial"/>
          <w:i/>
          <w:iCs/>
          <w:color w:val="000000"/>
          <w:sz w:val="22"/>
          <w:szCs w:val="22"/>
          <w:highlight w:val="none"/>
          <w:rtl w:val="off"/>
          <w:lang w:val="en-US"/>
        </w:rPr>
        <w:t xml:space="preserve"> </w:t>
      </w:r>
      <w:r>
        <w:rPr>
          <w:rFonts w:ascii="Arial" w:cs="Arial" w:hAnsi="Arial"/>
          <w:i/>
          <w:iCs/>
          <w:color w:val="000000"/>
          <w:sz w:val="22"/>
          <w:szCs w:val="22"/>
          <w:rtl w:val="off"/>
          <w:lang w:val="en-US"/>
        </w:rPr>
        <w:t>Psychiatry and Neurology,</w:t>
      </w:r>
      <w:r>
        <w:rPr>
          <w:rFonts w:ascii="Arial" w:cs="Arial" w:hAnsi="Arial"/>
          <w:color w:val="000000"/>
          <w:sz w:val="22"/>
          <w:szCs w:val="22"/>
          <w:rtl w:val="off"/>
          <w:lang w:val="en-US"/>
        </w:rPr>
        <w:t xml:space="preserve"> 33(1), pp. 3-10.</w:t>
      </w:r>
    </w:p>
    <w:p w14:paraId="000001E6">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ffffff"/>
        <w:bidi w:val="off"/>
        <w:spacing w:before="0" w:after="0" w:line="360" w:lineRule="auto"/>
        <w:jc w:val="both"/>
        <w:rPr>
          <w:rFonts w:ascii="Arial" w:cs="Arial" w:hAnsi="Arial"/>
          <w:color w:val="000000"/>
          <w:sz w:val="22"/>
          <w:szCs w:val="22"/>
          <w:rtl w:val="off"/>
          <w:lang w:val="en-US"/>
        </w:rPr>
      </w:pPr>
      <w:r>
        <w:rPr>
          <w:rFonts w:ascii="Arial" w:cs="Arial" w:hAnsi="Arial"/>
          <w:color w:val="000000"/>
          <w:sz w:val="22"/>
          <w:szCs w:val="22"/>
          <w:highlight w:val="white"/>
          <w:rtl w:val="off"/>
          <w:lang w:val="en-US"/>
        </w:rPr>
        <w:t>Graham, C., 2020. Loneliness and mental health in older adults: A review of the literature. Psychology, Health &amp; Medicin</w:t>
      </w:r>
      <w:r>
        <w:rPr>
          <w:rFonts w:ascii="Arial" w:cs="Arial" w:hAnsi="Arial"/>
          <w:color w:val="000000"/>
          <w:sz w:val="22"/>
          <w:szCs w:val="22"/>
          <w:highlight w:val="white"/>
          <w:rtl w:val="off"/>
          <w:lang w:val="en-US"/>
        </w:rPr>
        <w:t>e</w:t>
      </w:r>
    </w:p>
    <w:p w14:paraId="000001E7">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ffffff"/>
        <w:bidi w:val="off"/>
        <w:spacing w:before="0" w:after="0" w:line="360" w:lineRule="auto"/>
        <w:jc w:val="both"/>
        <w:rPr>
          <w:rFonts w:ascii="Arial" w:cs="Arial" w:hAnsi="Arial"/>
          <w:color w:val="000000"/>
          <w:sz w:val="22"/>
          <w:szCs w:val="22"/>
          <w:highlight w:val="white"/>
          <w:rtl w:val="off"/>
          <w:lang w:val="en-US"/>
        </w:rPr>
      </w:pPr>
      <w:r>
        <w:rPr>
          <w:rFonts w:ascii="Arial" w:cs="Arial" w:hAnsi="Arial"/>
          <w:color w:val="000000"/>
          <w:sz w:val="22"/>
          <w:szCs w:val="22"/>
          <w:rtl w:val="off"/>
          <w:lang w:val="en-US"/>
        </w:rPr>
        <w:t>Hawkley, L.C. and Cacioppo, J.T. (2010). Loneliness matters: A theoretical and empirical review of consequences and mechanisms. </w:t>
      </w:r>
      <w:r>
        <w:rPr>
          <w:rFonts w:ascii="Arial" w:cs="Arial" w:hAnsi="Arial"/>
          <w:i/>
          <w:color w:val="000000"/>
          <w:sz w:val="22"/>
          <w:szCs w:val="22"/>
          <w:rtl w:val="off"/>
          <w:lang w:val="en-US"/>
        </w:rPr>
        <w:t>Annals of Behavioral Medicine</w:t>
      </w:r>
      <w:r>
        <w:rPr>
          <w:rFonts w:ascii="Arial" w:cs="Arial" w:hAnsi="Arial"/>
          <w:color w:val="000000"/>
          <w:sz w:val="22"/>
          <w:szCs w:val="22"/>
          <w:rtl w:val="off"/>
          <w:lang w:val="en-US"/>
        </w:rPr>
        <w:t>, 40(2), pp.218–227. doi:https://doi.org/10.1007/s12160-010-9210-8.</w:t>
      </w:r>
      <w:r>
        <w:rPr>
          <w:rFonts w:ascii="Arial" w:cs="Arial" w:hAnsi="Arial"/>
          <w:color w:val="000000"/>
          <w:sz w:val="22"/>
          <w:szCs w:val="22"/>
          <w:rtl w:val="off"/>
          <w:lang w:val="en-US"/>
        </w:rPr>
        <w:t xml:space="preserve"> </w:t>
      </w:r>
    </w:p>
    <w:p w14:paraId="000001E8">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t>﻿</w:t>
      </w:r>
      <w:r>
        <w:rPr>
          <w:rFonts w:ascii="Arial" w:cs="Arial" w:hAnsi="Arial"/>
          <w:color w:val="000000"/>
          <w:sz w:val="22"/>
          <w:szCs w:val="22"/>
          <w:highlight w:val="white"/>
          <w:rtl w:val="off"/>
          <w:lang w:val="en-US"/>
        </w:rPr>
        <w:t xml:space="preserve">Holt-Lunstad, J., Smith, T.B., Baker, M., Harris, T., &amp; Stephenson, D. (2015). </w:t>
      </w:r>
      <w:r>
        <w:rPr>
          <w:rFonts w:ascii="Arial" w:cs="Arial" w:hAnsi="Arial"/>
          <w:color w:val="000000"/>
          <w:sz w:val="22"/>
          <w:szCs w:val="22"/>
          <w:highlight w:val="white"/>
          <w:rtl w:val="off"/>
          <w:lang w:val="en-US"/>
        </w:rPr>
        <w:t xml:space="preserve">Loneliness and social isolation as risk factors for mortality: </w:t>
      </w:r>
      <w:r>
        <w:rPr>
          <w:rFonts w:ascii="Arial" w:cs="Arial" w:hAnsi="Arial"/>
          <w:i/>
          <w:iCs/>
          <w:color w:val="000000"/>
          <w:sz w:val="22"/>
          <w:szCs w:val="22"/>
          <w:highlight w:val="white"/>
          <w:rtl w:val="off"/>
          <w:lang w:val="en-US"/>
        </w:rPr>
        <w:t>A meta-analytic review.</w:t>
      </w:r>
      <w:r>
        <w:rPr>
          <w:rFonts w:ascii="Arial" w:cs="Arial" w:hAnsi="Arial"/>
          <w:i/>
          <w:iCs/>
          <w:color w:val="000000"/>
          <w:sz w:val="22"/>
          <w:szCs w:val="22"/>
          <w:highlight w:val="white"/>
          <w:rtl w:val="off"/>
          <w:lang w:val="en-US"/>
        </w:rPr>
        <w:t xml:space="preserve"> </w:t>
      </w:r>
      <w:r>
        <w:rPr>
          <w:rFonts w:ascii="Arial" w:cs="Arial" w:hAnsi="Arial"/>
          <w:i/>
          <w:iCs/>
          <w:color w:val="000000"/>
          <w:sz w:val="22"/>
          <w:szCs w:val="22"/>
          <w:highlight w:val="white"/>
          <w:rtl w:val="off"/>
          <w:lang w:val="en-US"/>
        </w:rPr>
        <w:br w:type="textWrapping"/>
      </w:r>
      <w:r>
        <w:rPr>
          <w:rFonts w:ascii="Arial" w:cs="Arial" w:hAnsi="Arial"/>
          <w:i/>
          <w:iCs/>
          <w:color w:val="000000"/>
          <w:sz w:val="22"/>
          <w:szCs w:val="22"/>
          <w:highlight w:val="white"/>
          <w:rtl w:val="off"/>
          <w:lang w:val="en-US"/>
        </w:rPr>
        <w:t>Perspectives on Psychological Science,</w:t>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t>10(2), 227-237.</w:t>
      </w:r>
      <w:r>
        <w:rPr>
          <w:rFonts w:ascii="Arial" w:cs="Arial" w:hAnsi="Arial"/>
          <w:color w:val="000000"/>
          <w:sz w:val="22"/>
          <w:szCs w:val="22"/>
          <w:highlight w:val="white"/>
          <w:rtl w:val="off"/>
          <w:lang w:val="en-US"/>
        </w:rPr>
        <w:t xml:space="preserve"> </w:t>
      </w:r>
      <w:r>
        <w:rPr>
          <w:rFonts w:ascii="Arial" w:cs="Arial" w:hAnsi="Arial"/>
          <w:color w:val="000000"/>
          <w:sz w:val="22"/>
          <w:szCs w:val="22"/>
          <w:rtl w:val="off"/>
          <w:lang w:val="en-US"/>
        </w:rPr>
        <w:t xml:space="preserve"> </w:t>
      </w:r>
      <w:r>
        <w:rPr>
          <w:rFonts w:ascii="Arial" w:cs="Arial" w:hAnsi="Arial"/>
          <w:color w:val="000000"/>
          <w:sz w:val="22"/>
          <w:szCs w:val="22"/>
          <w:highlight w:val="white"/>
          <w:rtl w:val="off"/>
          <w:lang w:val="en-US"/>
        </w:rPr>
        <w:t xml:space="preserve"> </w:t>
      </w:r>
      <w:r>
        <w:rPr>
          <w:rFonts w:ascii="Arial" w:cs="Arial" w:hAnsi="Arial"/>
          <w:color w:val="000000"/>
          <w:sz w:val="22"/>
          <w:szCs w:val="22"/>
          <w:rtl w:val="off"/>
          <w:lang w:val="en-US"/>
        </w:rPr>
        <w:t xml:space="preserve"> </w:t>
      </w:r>
    </w:p>
    <w:p w14:paraId="000001E9">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highlight w:val="white"/>
          <w:rtl w:val="off"/>
          <w:lang w:val="en-US"/>
        </w:rPr>
        <w:t>Hughes, M. et al. (2004). Loneliness and mental health in older adults:</w:t>
      </w:r>
      <w:r>
        <w:rPr>
          <w:rFonts w:ascii="Arial" w:cs="Arial" w:hAnsi="Arial"/>
          <w:i/>
          <w:iCs/>
          <w:color w:val="000000"/>
          <w:sz w:val="22"/>
          <w:szCs w:val="22"/>
          <w:highlight w:val="white"/>
          <w:rtl w:val="off"/>
          <w:lang w:val="en-US"/>
        </w:rPr>
        <w:t xml:space="preserve"> UK cohort findings.</w:t>
      </w:r>
      <w:r>
        <w:rPr>
          <w:rFonts w:ascii="Arial" w:cs="Arial" w:hAnsi="Arial"/>
          <w:color w:val="000000"/>
          <w:sz w:val="22"/>
          <w:szCs w:val="22"/>
          <w:highlight w:val="white"/>
          <w:rtl w:val="off"/>
          <w:lang w:val="en-US"/>
        </w:rPr>
        <w:t xml:space="preserve"> Available at: </w:t>
      </w:r>
      <w:r>
        <w:rPr>
          <w:rStyle w:val="Hyperlink"/>
          <w:rFonts w:ascii="Arial" w:cs="Arial" w:hAnsi="Arial"/>
          <w:sz w:val="22"/>
          <w:szCs w:val="22"/>
          <w:highlight w:val="white"/>
          <w:rtl w:val="off"/>
          <w:lang w:val="en-US"/>
        </w:rPr>
        <w:fldChar w:fldCharType="begin"/>
      </w:r>
      <w:r>
        <w:rPr>
          <w:rStyle w:val="Hyperlink"/>
          <w:rFonts w:ascii="Arial" w:cs="Arial" w:hAnsi="Arial"/>
          <w:sz w:val="22"/>
          <w:szCs w:val="22"/>
          <w:highlight w:val="white"/>
          <w:rtl w:val="off"/>
          <w:lang w:val="en-US"/>
        </w:rPr>
        <w:instrText xml:space="preserve">HYPERLINK "https://www.ncbi.nlm.nih.gov/pmc/articles/"</w:instrText>
      </w:r>
      <w:r>
        <w:rPr>
          <w:rStyle w:val="Hyperlink"/>
          <w:rFonts w:ascii="Arial" w:cs="Arial" w:hAnsi="Arial"/>
          <w:sz w:val="22"/>
          <w:szCs w:val="22"/>
          <w:highlight w:val="white"/>
          <w:rtl w:val="off"/>
          <w:lang w:val="en-US"/>
        </w:rPr>
        <w:fldChar w:fldCharType="separate"/>
      </w:r>
      <w:r>
        <w:rPr>
          <w:rStyle w:val="Hyperlink"/>
          <w:rFonts w:ascii="Arial" w:cs="Arial" w:hAnsi="Arial"/>
          <w:sz w:val="22"/>
          <w:szCs w:val="22"/>
          <w:highlight w:val="white"/>
          <w:rtl w:val="off"/>
          <w:lang w:val="en-US"/>
        </w:rPr>
        <w:t>https://www.ncbi.nlm.nih.gov/pmc/articles/</w:t>
      </w:r>
      <w:r>
        <w:rPr>
          <w:rFonts w:ascii="Arial" w:cs="Arial" w:hAnsi="Arial"/>
          <w:color w:val="000000"/>
          <w:sz w:val="22"/>
          <w:szCs w:val="22"/>
          <w:highlight w:val="white"/>
          <w:rtl w:val="off"/>
          <w:lang w:val="en-US"/>
        </w:rPr>
        <w:fldChar w:fldCharType="end"/>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t>(Accessed: 12 December 2025).</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1EA">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highlight w:val="white"/>
          <w:rtl w:val="off"/>
          <w:lang w:val="en-US"/>
        </w:rPr>
      </w:pPr>
      <w:r>
        <w:rPr>
          <w:rFonts w:ascii="Arial" w:cs="Arial" w:hAnsi="Arial"/>
          <w:color w:val="000000"/>
          <w:sz w:val="22"/>
          <w:szCs w:val="22"/>
          <w:rtl w:val="off"/>
          <w:lang w:val="en-US"/>
        </w:rPr>
        <w:t xml:space="preserve"> </w:t>
      </w:r>
      <w:r>
        <w:rPr>
          <w:rFonts w:ascii="Arial" w:cs="Arial" w:hAnsi="Arial"/>
          <w:color w:val="000000"/>
          <w:sz w:val="22"/>
          <w:szCs w:val="22"/>
          <w:highlight w:val="white"/>
          <w:rtl w:val="off"/>
          <w:lang w:val="en-US"/>
        </w:rPr>
        <w:t>﻿</w:t>
      </w:r>
      <w:r>
        <w:rPr>
          <w:rFonts w:ascii="Arial" w:cs="Arial" w:hAnsi="Arial"/>
          <w:color w:val="000000"/>
          <w:sz w:val="22"/>
          <w:szCs w:val="22"/>
          <w:highlight w:val="white"/>
          <w:rtl w:val="off"/>
          <w:lang w:val="en-US"/>
        </w:rPr>
        <w:t xml:space="preserve">Higgins, J. P. T., Thomas, J., Chandler, J., et al. (2020). </w:t>
      </w:r>
      <w:r>
        <w:rPr>
          <w:rFonts w:ascii="Arial" w:cs="Arial" w:hAnsi="Arial"/>
          <w:i/>
          <w:iCs/>
          <w:color w:val="000000"/>
          <w:sz w:val="22"/>
          <w:szCs w:val="22"/>
          <w:highlight w:val="white"/>
          <w:rtl w:val="off"/>
          <w:lang w:val="en-US"/>
        </w:rPr>
        <w:t>Cochrane Handbook for Systematic Reviews of Interventions</w:t>
      </w:r>
      <w:r>
        <w:rPr>
          <w:rFonts w:ascii="Arial" w:cs="Arial" w:hAnsi="Arial"/>
          <w:color w:val="000000"/>
          <w:sz w:val="22"/>
          <w:szCs w:val="22"/>
          <w:highlight w:val="white"/>
          <w:rtl w:val="off"/>
          <w:lang w:val="en-US"/>
        </w:rPr>
        <w:t>. Wiley.</w:t>
      </w:r>
      <w:r>
        <w:rPr>
          <w:rFonts w:ascii="Arial" w:cs="Arial" w:hAnsi="Arial"/>
          <w:color w:val="000000"/>
          <w:sz w:val="22"/>
          <w:szCs w:val="22"/>
          <w:rtl w:val="off"/>
          <w:lang w:val="en-US"/>
        </w:rPr>
        <w:t xml:space="preserve"> </w:t>
      </w:r>
    </w:p>
    <w:p w14:paraId="000001EB">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highlight w:val="white"/>
          <w:rtl w:val="off"/>
          <w:lang w:val="en-US"/>
        </w:rPr>
        <w:t xml:space="preserve">Holt-Lunstad, J., Smith, T.B. and Layton, J.B., 2015. </w:t>
      </w:r>
      <w:r>
        <w:rPr>
          <w:rFonts w:ascii="Arial" w:cs="Arial" w:hAnsi="Arial"/>
          <w:i/>
          <w:iCs/>
          <w:color w:val="000000"/>
          <w:sz w:val="22"/>
          <w:szCs w:val="22"/>
          <w:highlight w:val="white"/>
          <w:rtl w:val="off"/>
          <w:lang w:val="en-US"/>
        </w:rPr>
        <w:t>Social relationships and mortality risk: A meta-analytic review.</w:t>
      </w:r>
      <w:r>
        <w:rPr>
          <w:rFonts w:ascii="Arial" w:cs="Arial" w:hAnsi="Arial"/>
          <w:color w:val="000000"/>
          <w:sz w:val="22"/>
          <w:szCs w:val="22"/>
          <w:highlight w:val="white"/>
          <w:rtl w:val="off"/>
          <w:lang w:val="en-US"/>
        </w:rPr>
        <w:t xml:space="preserve"> PLoS Medicine,</w:t>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t>12(1), p.e1000316.</w:t>
      </w:r>
      <w:r>
        <w:rPr>
          <w:rFonts w:ascii="Arial" w:cs="Arial" w:hAnsi="Arial"/>
          <w:color w:val="000000"/>
          <w:sz w:val="22"/>
          <w:szCs w:val="22"/>
          <w:highlight w:val="white"/>
          <w:rtl w:val="off"/>
          <w:lang w:val="en-US"/>
        </w:rPr>
        <w:t xml:space="preserve"> </w:t>
      </w:r>
      <w:r>
        <w:rPr>
          <w:rFonts w:ascii="Arial" w:cs="Arial" w:hAnsi="Arial"/>
          <w:color w:val="000000"/>
          <w:sz w:val="22"/>
          <w:szCs w:val="22"/>
          <w:rtl w:val="off"/>
          <w:lang w:val="en-US"/>
        </w:rPr>
        <w:t xml:space="preserve"> </w:t>
      </w:r>
    </w:p>
    <w:p w14:paraId="000001EC">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rtl w:val="off"/>
          <w:lang w:val="en-US"/>
        </w:rPr>
      </w:pPr>
      <w:r>
        <w:rPr>
          <w:rFonts w:ascii="Arial" w:cs="Arial" w:hAnsi="Arial"/>
          <w:color w:val="000000"/>
          <w:sz w:val="22"/>
          <w:szCs w:val="22"/>
          <w:highlight w:val="white"/>
          <w:rtl w:val="off"/>
          <w:lang w:val="en-US"/>
        </w:rPr>
        <w:t>﻿</w:t>
      </w:r>
      <w:r>
        <w:rPr>
          <w:rFonts w:ascii="Arial" w:cs="Arial" w:hAnsi="Arial"/>
          <w:color w:val="000000"/>
          <w:sz w:val="22"/>
          <w:szCs w:val="22"/>
          <w:highlight w:val="white"/>
          <w:rtl w:val="off"/>
          <w:lang w:val="en-US"/>
        </w:rPr>
        <w:t xml:space="preserve">King's Fund (2021) </w:t>
      </w:r>
      <w:r>
        <w:rPr>
          <w:rFonts w:ascii="Arial" w:cs="Arial" w:hAnsi="Arial"/>
          <w:i/>
          <w:iCs/>
          <w:color w:val="000000"/>
          <w:sz w:val="22"/>
          <w:szCs w:val="22"/>
          <w:highlight w:val="white"/>
          <w:rtl w:val="off"/>
          <w:lang w:val="en-US"/>
        </w:rPr>
        <w:t>'Loneliness and social isolation in older people</w:t>
      </w:r>
      <w:r>
        <w:rPr>
          <w:rFonts w:ascii="Arial" w:cs="Arial" w:hAnsi="Arial"/>
          <w:color w:val="000000"/>
          <w:sz w:val="22"/>
          <w:szCs w:val="22"/>
          <w:highlight w:val="white"/>
          <w:rtl w:val="off"/>
          <w:lang w:val="en-US"/>
        </w:rPr>
        <w:t xml:space="preserve">: an overview', Available at </w:t>
      </w:r>
      <w:r>
        <w:rPr>
          <w:rStyle w:val="Hyperlink"/>
          <w:rFonts w:ascii="Arial" w:cs="Arial" w:hAnsi="Arial"/>
          <w:sz w:val="22"/>
          <w:szCs w:val="22"/>
          <w:highlight w:val="white"/>
          <w:rtl w:val="off"/>
          <w:lang w:val="en-US"/>
        </w:rPr>
        <w:fldChar w:fldCharType="begin"/>
      </w:r>
      <w:r>
        <w:rPr>
          <w:rStyle w:val="Hyperlink"/>
          <w:rFonts w:ascii="Arial" w:cs="Arial" w:hAnsi="Arial"/>
          <w:sz w:val="22"/>
          <w:szCs w:val="22"/>
          <w:highlight w:val="white"/>
          <w:rtl w:val="off"/>
          <w:lang w:val="en-US"/>
        </w:rPr>
        <w:instrText xml:space="preserve">HYPERLINK "https://www.kingsfund.org.uk/publications/loneliness-social-isolation/"</w:instrText>
      </w:r>
      <w:r>
        <w:rPr>
          <w:rStyle w:val="Hyperlink"/>
          <w:rFonts w:ascii="Arial" w:cs="Arial" w:hAnsi="Arial"/>
          <w:sz w:val="22"/>
          <w:szCs w:val="22"/>
          <w:highlight w:val="white"/>
          <w:rtl w:val="off"/>
          <w:lang w:val="en-US"/>
        </w:rPr>
        <w:fldChar w:fldCharType="separate"/>
      </w:r>
      <w:r>
        <w:rPr>
          <w:rStyle w:val="Hyperlink"/>
          <w:rFonts w:ascii="Arial" w:cs="Arial" w:hAnsi="Arial"/>
          <w:sz w:val="22"/>
          <w:szCs w:val="22"/>
          <w:highlight w:val="white"/>
          <w:rtl w:val="off"/>
          <w:lang w:val="en-US"/>
        </w:rPr>
        <w:t>https://www.kingsfund.org.uk/</w:t>
      </w:r>
      <w:r>
        <w:rPr>
          <w:rStyle w:val="Hyperlink"/>
          <w:rFonts w:ascii="Arial" w:cs="Arial" w:hAnsi="Arial"/>
          <w:sz w:val="22"/>
          <w:szCs w:val="22"/>
          <w:highlight w:val="white"/>
          <w:rtl w:val="off"/>
          <w:lang w:val="en-US"/>
        </w:rPr>
        <w:t>publications/loneliness-social-isolation/</w:t>
      </w:r>
      <w:r>
        <w:rPr>
          <w:rFonts w:ascii="Arial" w:cs="Arial" w:hAnsi="Arial"/>
          <w:color w:val="000000"/>
          <w:sz w:val="22"/>
          <w:szCs w:val="22"/>
          <w:highlight w:val="white"/>
          <w:rtl w:val="off"/>
          <w:lang w:val="en-US"/>
        </w:rPr>
        <w:fldChar w:fldCharType="end"/>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br w:type="textWrapping"/>
      </w:r>
      <w:r>
        <w:rPr>
          <w:rFonts w:ascii="Arial" w:cs="Arial" w:hAnsi="Arial"/>
          <w:color w:val="000000"/>
          <w:sz w:val="22"/>
          <w:szCs w:val="22"/>
          <w:highlight w:val="white"/>
          <w:rtl w:val="off"/>
          <w:lang w:val="en-US"/>
        </w:rPr>
        <w:t>(Accessed: 12 December 2025).</w:t>
      </w:r>
      <w:r>
        <w:rPr>
          <w:rFonts w:ascii="Arial" w:cs="Arial" w:hAnsi="Arial"/>
          <w:color w:val="000000"/>
          <w:sz w:val="22"/>
          <w:szCs w:val="22"/>
          <w:highlight w:val="white"/>
          <w:rtl w:val="off"/>
          <w:lang w:val="en-US"/>
        </w:rPr>
        <w:t xml:space="preserve"> </w:t>
      </w:r>
    </w:p>
    <w:p w14:paraId="000001ED">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rtl w:val="off"/>
          <w:lang w:val="en-US"/>
        </w:rPr>
        <w:t xml:space="preserve"> </w:t>
      </w:r>
      <w:r>
        <w:rPr>
          <w:rFonts w:ascii="Arial" w:cs="Arial" w:hAnsi="Arial"/>
          <w:color w:val="000000"/>
          <w:sz w:val="22"/>
          <w:szCs w:val="22"/>
          <w:highlight w:val="white"/>
          <w:rtl w:val="off"/>
          <w:lang w:val="en-US"/>
        </w:rPr>
        <w:t>﻿﻿</w:t>
      </w:r>
      <w:r>
        <w:rPr>
          <w:rFonts w:ascii="Arial" w:cs="Arial" w:hAnsi="Arial"/>
          <w:color w:val="000000"/>
          <w:sz w:val="22"/>
          <w:szCs w:val="22"/>
          <w:highlight w:val="white"/>
          <w:rtl w:val="off"/>
          <w:lang w:val="en-US"/>
        </w:rPr>
        <w:t xml:space="preserve">Layton, J. (2015) 'The impact of social isolation on mental health', </w:t>
      </w:r>
      <w:r>
        <w:rPr>
          <w:rFonts w:ascii="Arial" w:cs="Arial" w:hAnsi="Arial"/>
          <w:i/>
          <w:iCs/>
          <w:color w:val="000000"/>
          <w:sz w:val="22"/>
          <w:szCs w:val="22"/>
          <w:highlight w:val="white"/>
          <w:rtl w:val="off"/>
          <w:lang w:val="en-US"/>
        </w:rPr>
        <w:t>Journal of Mental Health Policy and Economics,</w:t>
      </w:r>
      <w:r>
        <w:rPr>
          <w:rFonts w:ascii="Arial" w:cs="Arial" w:hAnsi="Arial"/>
          <w:color w:val="000000"/>
          <w:sz w:val="22"/>
          <w:szCs w:val="22"/>
          <w:highlight w:val="white"/>
          <w:rtl w:val="off"/>
          <w:lang w:val="en-US"/>
        </w:rPr>
        <w:t xml:space="preserve"> 18(1), pp.1-10.</w:t>
      </w:r>
      <w:r>
        <w:rPr>
          <w:rFonts w:ascii="Arial" w:cs="Arial" w:hAnsi="Arial"/>
          <w:color w:val="000000"/>
          <w:sz w:val="22"/>
          <w:szCs w:val="22"/>
          <w:highlight w:val="white"/>
          <w:rtl w:val="off"/>
          <w:lang w:val="en-US"/>
        </w:rPr>
        <w:t xml:space="preserve"> </w:t>
      </w:r>
      <w:r>
        <w:rPr>
          <w:rFonts w:ascii="Arial" w:cs="Arial" w:hAnsi="Arial"/>
          <w:color w:val="000000"/>
          <w:sz w:val="22"/>
          <w:szCs w:val="22"/>
          <w:rtl w:val="off"/>
          <w:lang w:val="en-US"/>
        </w:rPr>
        <w:t xml:space="preserve"> </w:t>
      </w:r>
    </w:p>
    <w:p w14:paraId="000001EE">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rtl w:val="off"/>
          <w:lang w:val="en-US"/>
        </w:rPr>
        <w:t>Lazarus, R. S., &amp; Folkman, S. (1984). ‘</w:t>
      </w:r>
      <w:r>
        <w:rPr>
          <w:rFonts w:ascii="Arial" w:cs="Arial" w:hAnsi="Arial"/>
          <w:i/>
          <w:iCs/>
          <w:color w:val="000000"/>
          <w:sz w:val="22"/>
          <w:szCs w:val="22"/>
          <w:rtl w:val="off"/>
          <w:lang w:val="en-US"/>
        </w:rPr>
        <w:t>Stress, Appraisal, and Coping</w:t>
      </w:r>
      <w:r>
        <w:rPr>
          <w:rFonts w:ascii="Arial" w:cs="Arial" w:hAnsi="Arial"/>
          <w:color w:val="000000"/>
          <w:sz w:val="22"/>
          <w:szCs w:val="22"/>
          <w:rtl w:val="off"/>
          <w:lang w:val="en-US"/>
        </w:rPr>
        <w:t>’. New York: Springer Publishing Company.</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1EF">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ffffff"/>
        <w:tabs>
          <w:tab w:val="left" w:pos="0"/>
        </w:tabs>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rtl w:val="off"/>
          <w:lang w:val="en-US"/>
        </w:rPr>
        <w:t>﻿</w:t>
      </w:r>
      <w:r>
        <w:rPr>
          <w:rFonts w:ascii="Arial" w:cs="Arial" w:hAnsi="Arial"/>
          <w:color w:val="000000"/>
          <w:sz w:val="22"/>
          <w:szCs w:val="22"/>
          <w:rtl w:val="off"/>
          <w:lang w:val="en-US"/>
        </w:rPr>
        <w:t>Manea, L., Gilbody, S., &amp; McMillan, D. (2012).</w:t>
      </w:r>
      <w:r>
        <w:rPr>
          <w:rFonts w:ascii="Arial" w:cs="Arial" w:hAnsi="Arial"/>
          <w:color w:val="000000"/>
          <w:sz w:val="22"/>
          <w:szCs w:val="22"/>
          <w:rtl w:val="off"/>
          <w:lang w:val="en-US"/>
        </w:rPr>
        <w:t xml:space="preserve"> </w:t>
      </w:r>
      <w:r>
        <w:rPr>
          <w:rFonts w:ascii="Arial" w:cs="Arial" w:hAnsi="Arial"/>
          <w:i/>
          <w:iCs/>
          <w:color w:val="000000"/>
          <w:sz w:val="22"/>
          <w:szCs w:val="22"/>
          <w:rtl w:val="off"/>
          <w:lang w:val="en-US"/>
        </w:rPr>
        <w:t>PHQ-9: A meta-analysis</w:t>
      </w:r>
      <w:r>
        <w:rPr>
          <w:rFonts w:ascii="Arial" w:cs="Arial" w:hAnsi="Arial"/>
          <w:color w:val="000000"/>
          <w:sz w:val="22"/>
          <w:szCs w:val="22"/>
          <w:rtl w:val="off"/>
          <w:lang w:val="en-US"/>
        </w:rPr>
        <w:t>. CMAJ, 184(3), E307-E317.</w:t>
      </w:r>
      <w:r>
        <w:rPr>
          <w:rFonts w:ascii="Arial" w:cs="Arial" w:hAnsi="Arial"/>
          <w:color w:val="000000"/>
          <w:sz w:val="22"/>
          <w:szCs w:val="22"/>
          <w:rtl w:val="off"/>
          <w:lang w:val="en-US"/>
        </w:rPr>
        <w:t xml:space="preserve"> </w:t>
      </w:r>
    </w:p>
    <w:p w14:paraId="000001F0">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rtl w:val="off"/>
          <w:lang w:val="en-US"/>
        </w:rPr>
      </w:pPr>
      <w:r>
        <w:rPr>
          <w:rFonts w:ascii="Arial" w:cs="Arial" w:hAnsi="Arial"/>
          <w:color w:val="000000"/>
          <w:sz w:val="22"/>
          <w:szCs w:val="22"/>
          <w:highlight w:val="white"/>
          <w:rtl w:val="off"/>
          <w:lang w:val="en-US"/>
        </w:rPr>
        <w:t>﻿﻿</w:t>
      </w:r>
      <w:r>
        <w:rPr>
          <w:rFonts w:ascii="Arial" w:cs="Arial" w:hAnsi="Arial"/>
          <w:color w:val="000000"/>
          <w:sz w:val="22"/>
          <w:szCs w:val="22"/>
          <w:highlight w:val="white"/>
          <w:rtl w:val="off"/>
          <w:lang w:val="en-US"/>
        </w:rPr>
        <w:t>MIND. (2021). Loneliness and mental health: a UK perspective. Available at:</w:t>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br w:type="textWrapping"/>
      </w:r>
      <w:r>
        <w:rPr>
          <w:rFonts w:ascii="Arial" w:cs="Arial" w:hAnsi="Arial"/>
          <w:color w:val="000000"/>
          <w:sz w:val="22"/>
          <w:szCs w:val="22"/>
          <w:highlight w:val="white"/>
          <w:rtl w:val="off"/>
          <w:lang w:val="en-US"/>
        </w:rPr>
        <w:t>https://www.mind.org.uk.  (Accessed 27 februrary 2026).</w:t>
      </w:r>
    </w:p>
    <w:p w14:paraId="000001F1">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ffffff"/>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rtl w:val="off"/>
          <w:lang w:val="en-US"/>
        </w:rPr>
        <w:t xml:space="preserve"> </w:t>
      </w:r>
      <w:r>
        <w:rPr>
          <w:rFonts w:ascii="Arial" w:cs="Arial" w:hAnsi="Arial"/>
          <w:color w:val="000000"/>
          <w:sz w:val="22"/>
          <w:szCs w:val="22"/>
          <w:rtl w:val="off"/>
          <w:lang w:val="en-US"/>
        </w:rPr>
        <w:t xml:space="preserve">Ministry of Housing, Communities &amp; Local Government (2019) </w:t>
      </w:r>
      <w:r>
        <w:rPr>
          <w:rFonts w:ascii="Arial" w:cs="Arial" w:hAnsi="Arial"/>
          <w:i/>
          <w:iCs/>
          <w:color w:val="000000"/>
          <w:sz w:val="22"/>
          <w:szCs w:val="22"/>
          <w:rtl w:val="off"/>
          <w:lang w:val="en-US"/>
        </w:rPr>
        <w:t>The Rough Sleeping Strategy:</w:t>
      </w:r>
      <w:r>
        <w:rPr>
          <w:rFonts w:ascii="Arial" w:cs="Arial" w:hAnsi="Arial"/>
          <w:color w:val="000000"/>
          <w:sz w:val="22"/>
          <w:szCs w:val="22"/>
          <w:rtl w:val="off"/>
          <w:lang w:val="en-US"/>
        </w:rPr>
        <w:t xml:space="preserve"> </w:t>
      </w:r>
      <w:r>
        <w:rPr>
          <w:rFonts w:ascii="Arial" w:cs="Arial" w:hAnsi="Arial"/>
          <w:i/>
          <w:iCs/>
          <w:color w:val="000000"/>
          <w:sz w:val="22"/>
          <w:szCs w:val="22"/>
          <w:rtl w:val="off"/>
          <w:lang w:val="en-US"/>
        </w:rPr>
        <w:t>Statutory Guidance for Local Authoritiies</w:t>
      </w:r>
      <w:r>
        <w:rPr>
          <w:rFonts w:ascii="Arial" w:cs="Arial" w:hAnsi="Arial"/>
          <w:color w:val="000000"/>
          <w:sz w:val="22"/>
          <w:szCs w:val="22"/>
          <w:rtl w:val="off"/>
          <w:lang w:val="en-US"/>
        </w:rPr>
        <w:t xml:space="preserve"> Available at: </w:t>
      </w:r>
      <w:r>
        <w:rPr>
          <w:rStyle w:val="Hyperlink"/>
          <w:rFonts w:ascii="Arial" w:cs="Arial" w:hAnsi="Arial"/>
          <w:sz w:val="22"/>
          <w:szCs w:val="22"/>
          <w:rtl w:val="off"/>
          <w:lang w:val="en-US"/>
        </w:rPr>
        <w:fldChar w:fldCharType="begin"/>
      </w:r>
      <w:r>
        <w:rPr>
          <w:rStyle w:val="Hyperlink"/>
          <w:rFonts w:ascii="Arial" w:cs="Arial" w:hAnsi="Arial"/>
          <w:sz w:val="22"/>
          <w:szCs w:val="22"/>
          <w:rtl w:val="off"/>
          <w:lang w:val="en-US"/>
        </w:rPr>
        <w:instrText xml:space="preserve">HYPERLINK "https://www.gov.uk/government/publications/the-rough-sleeping-strategy-statutory-guidance-for-local-authorities/"</w:instrText>
      </w:r>
      <w:r>
        <w:rPr>
          <w:rStyle w:val="Hyperlink"/>
          <w:rFonts w:ascii="Arial" w:cs="Arial" w:hAnsi="Arial"/>
          <w:sz w:val="22"/>
          <w:szCs w:val="22"/>
          <w:rtl w:val="off"/>
          <w:lang w:val="en-US"/>
        </w:rPr>
        <w:fldChar w:fldCharType="separate"/>
      </w:r>
      <w:r>
        <w:rPr>
          <w:rStyle w:val="Hyperlink"/>
          <w:rFonts w:ascii="Arial" w:cs="Arial" w:hAnsi="Arial"/>
          <w:sz w:val="22"/>
          <w:szCs w:val="22"/>
          <w:rtl w:val="off"/>
          <w:lang w:val="en-US"/>
        </w:rPr>
        <w:t>https://</w:t>
      </w:r>
      <w:r>
        <w:rPr>
          <w:rStyle w:val="Hyperlink"/>
          <w:rFonts w:ascii="Arial" w:cs="Arial" w:hAnsi="Arial"/>
          <w:sz w:val="22"/>
          <w:szCs w:val="22"/>
          <w:rtl w:val="off"/>
          <w:lang w:val="en-US"/>
        </w:rPr>
        <w:t>www.gov.uk/government/publications/the-</w:t>
      </w:r>
      <w:r>
        <w:rPr>
          <w:rStyle w:val="Hyperlink"/>
          <w:rFonts w:ascii="Arial" w:cs="Arial" w:hAnsi="Arial"/>
          <w:sz w:val="22"/>
          <w:szCs w:val="22"/>
          <w:rtl w:val="off"/>
          <w:lang w:val="en-US"/>
        </w:rPr>
        <w:t>rough-sleeping-strategy-statutory-guidance-for-local-authorities/</w:t>
      </w:r>
      <w:r>
        <w:rPr>
          <w:rFonts w:ascii="Arial" w:cs="Arial" w:hAnsi="Arial"/>
          <w:color w:val="000000"/>
          <w:sz w:val="22"/>
          <w:szCs w:val="22"/>
          <w:rtl w:val="off"/>
          <w:lang w:val="en-US"/>
        </w:rPr>
        <w:fldChar w:fldCharType="end"/>
      </w:r>
      <w:r>
        <w:rPr>
          <w:rFonts w:ascii="Arial" w:cs="Arial" w:hAnsi="Arial"/>
          <w:color w:val="000000"/>
          <w:sz w:val="22"/>
          <w:szCs w:val="22"/>
          <w:rtl w:val="off"/>
          <w:lang w:val="en-US"/>
        </w:rPr>
        <w:t xml:space="preserve">  [Accessed</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4 February 2026).</w:t>
      </w:r>
      <w:r>
        <w:rPr>
          <w:rFonts w:ascii="Arial" w:cs="Arial" w:hAnsi="Arial"/>
          <w:color w:val="000000"/>
          <w:sz w:val="22"/>
          <w:szCs w:val="22"/>
          <w:highlight w:val="none"/>
          <w:rtl w:val="off"/>
          <w:lang w:val="en-US"/>
        </w:rPr>
        <w:t xml:space="preserve"> </w:t>
      </w:r>
    </w:p>
    <w:p w14:paraId="000001F2">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highlight w:val="white"/>
          <w:rtl w:val="off"/>
          <w:lang w:val="en-US"/>
        </w:rPr>
        <w:t>﻿﻿</w:t>
      </w:r>
      <w:r>
        <w:rPr>
          <w:rFonts w:ascii="Arial" w:cs="Arial" w:hAnsi="Arial"/>
          <w:color w:val="000000"/>
          <w:sz w:val="22"/>
          <w:szCs w:val="22"/>
          <w:highlight w:val="white"/>
          <w:rtl w:val="off"/>
          <w:lang w:val="en-US"/>
        </w:rPr>
        <w:t>Nordic models (2013). Welfare regimes and loneliness:</w:t>
      </w:r>
      <w:r>
        <w:rPr>
          <w:rFonts w:ascii="Arial" w:cs="Arial" w:hAnsi="Arial"/>
          <w:i/>
          <w:iCs/>
          <w:color w:val="000000"/>
          <w:sz w:val="22"/>
          <w:szCs w:val="22"/>
          <w:highlight w:val="white"/>
          <w:rtl w:val="off"/>
          <w:lang w:val="en-US"/>
        </w:rPr>
        <w:t xml:space="preserve"> cross-country comparisons</w:t>
      </w:r>
      <w:r>
        <w:rPr>
          <w:rFonts w:ascii="Arial" w:cs="Arial" w:hAnsi="Arial"/>
          <w:color w:val="000000"/>
          <w:sz w:val="22"/>
          <w:szCs w:val="22"/>
          <w:highlight w:val="white"/>
          <w:rtl w:val="off"/>
          <w:lang w:val="en-US"/>
        </w:rPr>
        <w:t xml:space="preserve">. Available at: </w:t>
      </w:r>
      <w:r>
        <w:rPr>
          <w:rStyle w:val="Hyperlink"/>
          <w:rFonts w:ascii="Arial" w:cs="Arial" w:hAnsi="Arial"/>
          <w:sz w:val="22"/>
          <w:szCs w:val="22"/>
          <w:highlight w:val="white"/>
          <w:rtl w:val="off"/>
          <w:lang w:val="en-US"/>
        </w:rPr>
        <w:fldChar w:fldCharType="begin"/>
      </w:r>
      <w:r>
        <w:rPr>
          <w:rStyle w:val="Hyperlink"/>
          <w:rFonts w:ascii="Arial" w:cs="Arial" w:hAnsi="Arial"/>
          <w:sz w:val="22"/>
          <w:szCs w:val="22"/>
          <w:highlight w:val="white"/>
          <w:rtl w:val="off"/>
          <w:lang w:val="en-US"/>
        </w:rPr>
        <w:instrText xml:space="preserve">HYPERLINK "https://www.nordicwelfare.org/"</w:instrText>
      </w:r>
      <w:r>
        <w:rPr>
          <w:rStyle w:val="Hyperlink"/>
          <w:rFonts w:ascii="Arial" w:cs="Arial" w:hAnsi="Arial"/>
          <w:sz w:val="22"/>
          <w:szCs w:val="22"/>
          <w:highlight w:val="white"/>
          <w:rtl w:val="off"/>
          <w:lang w:val="en-US"/>
        </w:rPr>
        <w:fldChar w:fldCharType="separate"/>
      </w:r>
      <w:r>
        <w:rPr>
          <w:rStyle w:val="Hyperlink"/>
          <w:rFonts w:ascii="Arial" w:cs="Arial" w:hAnsi="Arial"/>
          <w:sz w:val="22"/>
          <w:szCs w:val="22"/>
          <w:highlight w:val="white"/>
          <w:rtl w:val="off"/>
          <w:lang w:val="en-US"/>
        </w:rPr>
        <w:t>https://www.nordicwelfare.org/</w:t>
      </w:r>
      <w:r>
        <w:rPr>
          <w:rFonts w:ascii="Arial" w:cs="Arial" w:hAnsi="Arial"/>
          <w:color w:val="000000"/>
          <w:sz w:val="22"/>
          <w:szCs w:val="22"/>
          <w:highlight w:val="white"/>
          <w:rtl w:val="off"/>
          <w:lang w:val="en-US"/>
        </w:rPr>
        <w:fldChar w:fldCharType="end"/>
      </w:r>
      <w:r>
        <w:rPr>
          <w:rFonts w:ascii="Arial" w:cs="Arial" w:hAnsi="Arial"/>
          <w:color w:val="000000"/>
          <w:sz w:val="22"/>
          <w:szCs w:val="22"/>
          <w:highlight w:val="white"/>
          <w:rtl w:val="off"/>
          <w:lang w:val="en-US"/>
        </w:rPr>
        <w:t xml:space="preserve">  (Accessed: 12 December 2025).</w:t>
      </w:r>
      <w:r>
        <w:rPr>
          <w:rFonts w:ascii="Arial" w:cs="Arial" w:hAnsi="Arial"/>
          <w:color w:val="000000"/>
          <w:sz w:val="22"/>
          <w:szCs w:val="22"/>
          <w:highlight w:val="white"/>
          <w:rtl w:val="off"/>
          <w:lang w:val="en-US"/>
        </w:rPr>
        <w:t xml:space="preserve"> </w:t>
      </w:r>
      <w:r>
        <w:rPr>
          <w:rFonts w:ascii="Arial" w:cs="Arial" w:hAnsi="Arial"/>
          <w:color w:val="000000"/>
          <w:sz w:val="22"/>
          <w:szCs w:val="22"/>
          <w:rtl w:val="off"/>
          <w:lang w:val="en-US"/>
        </w:rPr>
        <w:t xml:space="preserve"> </w:t>
      </w:r>
    </w:p>
    <w:p w14:paraId="000001F3">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ffffff"/>
        <w:tabs>
          <w:tab w:val="left" w:pos="0"/>
        </w:tabs>
        <w:bidi w:val="off"/>
        <w:spacing w:before="0" w:after="0" w:line="360" w:lineRule="auto"/>
        <w:jc w:val="both"/>
        <w:rPr>
          <w:rFonts w:ascii="Arial" w:cs="Arial" w:hAnsi="Arial"/>
          <w:color w:val="000000"/>
          <w:sz w:val="22"/>
          <w:szCs w:val="22"/>
          <w:rtl w:val="off"/>
          <w:lang w:val="en-US"/>
        </w:rPr>
      </w:pPr>
      <w:r>
        <w:rPr>
          <w:rFonts w:ascii="Arial" w:cs="Arial" w:hAnsi="Arial"/>
          <w:color w:val="000000"/>
          <w:sz w:val="22"/>
          <w:szCs w:val="22"/>
          <w:rtl w:val="off"/>
          <w:lang w:val="en-US"/>
        </w:rPr>
        <w:t xml:space="preserve">NHS Digital (2023) The Health Survey for England: Loneliness module. Available at: </w:t>
      </w:r>
      <w:r>
        <w:rPr>
          <w:rFonts w:ascii="Arial" w:cs="Arial" w:hAnsi="Arial"/>
          <w:color w:val="000000"/>
          <w:sz w:val="22"/>
          <w:szCs w:val="22"/>
          <w:rtl w:val="off"/>
          <w:lang w:val="en-US"/>
        </w:rPr>
        <w:t>https://www.digital.nhs.uk/data-and-information/publications/statistical/health-survey-for-england.  (Accessed: 12 December 2025).</w:t>
      </w:r>
      <w:r>
        <w:rPr>
          <w:rFonts w:ascii="Arial" w:cs="Arial" w:hAnsi="Arial"/>
          <w:color w:val="000000"/>
          <w:sz w:val="22"/>
          <w:szCs w:val="22"/>
          <w:highlight w:val="none"/>
          <w:rtl w:val="off"/>
          <w:lang w:val="en-US"/>
        </w:rPr>
        <w:t xml:space="preserve"> </w:t>
      </w:r>
    </w:p>
    <w:p w14:paraId="000001F4">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ffffff"/>
        <w:tabs>
          <w:tab w:val="left" w:pos="0"/>
        </w:tabs>
        <w:bidi w:val="off"/>
        <w:spacing w:before="0" w:after="0" w:line="360" w:lineRule="auto"/>
        <w:jc w:val="both"/>
        <w:rPr>
          <w:rFonts w:ascii="Arial" w:cs="Arial" w:hAnsi="Arial"/>
          <w:sz w:val="22"/>
          <w:szCs w:val="22"/>
        </w:rPr>
      </w:pPr>
      <w:r>
        <w:rPr>
          <w:rFonts w:ascii="Arial" w:cs="Arial" w:hAnsi="Arial"/>
          <w:color w:val="000000"/>
          <w:sz w:val="22"/>
          <w:szCs w:val="22"/>
          <w:rtl w:val="off"/>
          <w:lang w:val="en-US"/>
        </w:rPr>
        <w:t>NHS England (2020) NHS Long Term Plan.</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Available at: </w:t>
      </w:r>
      <w:r>
        <w:rPr>
          <w:rStyle w:val="Hyperlink"/>
          <w:rFonts w:ascii="Arial" w:cs="Arial" w:hAnsi="Arial"/>
          <w:sz w:val="22"/>
          <w:szCs w:val="22"/>
          <w:rtl w:val="off"/>
          <w:lang w:val="en-US"/>
        </w:rPr>
        <w:fldChar w:fldCharType="begin"/>
      </w:r>
      <w:r>
        <w:rPr>
          <w:rStyle w:val="Hyperlink"/>
          <w:rFonts w:ascii="Arial" w:cs="Arial" w:hAnsi="Arial"/>
          <w:sz w:val="22"/>
          <w:szCs w:val="22"/>
          <w:rtl w:val="off"/>
          <w:lang w:val="en-US"/>
        </w:rPr>
        <w:instrText xml:space="preserve">HYPERLINK "https://www.longtermplan.nhs.uk"</w:instrText>
      </w:r>
      <w:r>
        <w:rPr>
          <w:rStyle w:val="Hyperlink"/>
          <w:rFonts w:ascii="Arial" w:cs="Arial" w:hAnsi="Arial"/>
          <w:sz w:val="22"/>
          <w:szCs w:val="22"/>
          <w:rtl w:val="off"/>
          <w:lang w:val="en-US"/>
        </w:rPr>
        <w:fldChar w:fldCharType="separate"/>
      </w:r>
      <w:r>
        <w:rPr>
          <w:rStyle w:val="Hyperlink"/>
          <w:rFonts w:ascii="Arial" w:cs="Arial" w:hAnsi="Arial"/>
          <w:sz w:val="22"/>
          <w:szCs w:val="22"/>
          <w:rtl w:val="off"/>
          <w:lang w:val="en-US"/>
        </w:rPr>
        <w:t>https://www.longtermplan.nhs.uk</w:t>
      </w:r>
      <w:r>
        <w:rPr>
          <w:rFonts w:ascii="Arial" w:cs="Arial" w:hAnsi="Arial"/>
          <w:color w:val="000000"/>
          <w:sz w:val="22"/>
          <w:szCs w:val="22"/>
          <w:rtl w:val="off"/>
          <w:lang w:val="en-US"/>
        </w:rPr>
        <w:fldChar w:fldCharType="end"/>
      </w:r>
      <w:r>
        <w:rPr>
          <w:rFonts w:ascii="Arial" w:cs="Arial" w:hAnsi="Arial"/>
          <w:color w:val="000000"/>
          <w:sz w:val="22"/>
          <w:szCs w:val="22"/>
          <w:rtl w:val="off"/>
          <w:lang w:val="en-US"/>
        </w:rPr>
        <w:t xml:space="preserve"> </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(Accessed: 12 December 2025).</w:t>
      </w:r>
    </w:p>
    <w:p w14:paraId="000001F5">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left"/>
        <w:rPr>
          <w:rFonts w:ascii="Arial" w:cs="Arial" w:hAnsi="Arial"/>
          <w:color w:val="000000"/>
          <w:sz w:val="22"/>
          <w:szCs w:val="22"/>
          <w:lang w:val="en-US"/>
        </w:rPr>
      </w:pPr>
      <w:r>
        <w:rPr>
          <w:rFonts w:ascii="Arial" w:cs="Arial" w:hAnsi="Arial"/>
          <w:color w:val="000000"/>
          <w:sz w:val="22"/>
          <w:szCs w:val="22"/>
          <w:highlight w:val="white"/>
          <w:rtl w:val="off"/>
          <w:lang w:val="en-US"/>
        </w:rPr>
        <w:t>Office for National Statistics (ONS), 2023.</w:t>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t>Loneliness in the UK: 2023. [online]</w:t>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t xml:space="preserve">Available at: </w:t>
      </w:r>
      <w:r>
        <w:rPr>
          <w:rStyle w:val="Hyperlink"/>
          <w:rFonts w:ascii="Arial" w:cs="Arial" w:hAnsi="Arial"/>
          <w:sz w:val="22"/>
          <w:szCs w:val="22"/>
          <w:highlight w:val="white"/>
          <w:rtl w:val="off"/>
          <w:lang w:val="en-US"/>
        </w:rPr>
        <w:fldChar w:fldCharType="begin"/>
      </w:r>
      <w:r>
        <w:rPr>
          <w:rStyle w:val="Hyperlink"/>
          <w:rFonts w:ascii="Arial" w:cs="Arial" w:hAnsi="Arial"/>
          <w:sz w:val="22"/>
          <w:szCs w:val="22"/>
          <w:highlight w:val="white"/>
          <w:rtl w:val="off"/>
          <w:lang w:val="en-US"/>
        </w:rPr>
        <w:instrText xml:space="preserve">HYPERLINK "https://www.ons.gov.uk/"</w:instrText>
      </w:r>
      <w:r>
        <w:rPr>
          <w:rStyle w:val="Hyperlink"/>
          <w:rFonts w:ascii="Arial" w:cs="Arial" w:hAnsi="Arial"/>
          <w:sz w:val="22"/>
          <w:szCs w:val="22"/>
          <w:highlight w:val="white"/>
          <w:rtl w:val="off"/>
          <w:lang w:val="en-US"/>
        </w:rPr>
        <w:fldChar w:fldCharType="separate"/>
      </w:r>
      <w:r>
        <w:rPr>
          <w:rStyle w:val="Hyperlink"/>
          <w:rFonts w:ascii="Arial" w:cs="Arial" w:hAnsi="Arial"/>
          <w:sz w:val="22"/>
          <w:szCs w:val="22"/>
          <w:highlight w:val="white"/>
          <w:rtl w:val="off"/>
          <w:lang w:val="en-US"/>
        </w:rPr>
        <w:t>https://www.ons.gov.uk/</w:t>
      </w:r>
      <w:r>
        <w:rPr>
          <w:rFonts w:ascii="Arial" w:cs="Arial" w:hAnsi="Arial"/>
          <w:color w:val="000000"/>
          <w:sz w:val="22"/>
          <w:szCs w:val="22"/>
          <w:highlight w:val="white"/>
          <w:rtl w:val="off"/>
          <w:lang w:val="en-US"/>
        </w:rPr>
        <w:fldChar w:fldCharType="end"/>
      </w:r>
      <w:r>
        <w:rPr>
          <w:rFonts w:ascii="Arial" w:cs="Arial" w:hAnsi="Arial"/>
          <w:color w:val="000000"/>
          <w:sz w:val="22"/>
          <w:szCs w:val="22"/>
          <w:highlight w:val="white"/>
          <w:rtl w:val="off"/>
          <w:lang w:val="en-US"/>
        </w:rPr>
        <w:t xml:space="preserve">   [Accessed 27</w:t>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br w:type="textWrapping"/>
      </w:r>
      <w:r>
        <w:rPr>
          <w:rFonts w:ascii="Arial" w:cs="Arial" w:hAnsi="Arial"/>
          <w:color w:val="000000"/>
          <w:sz w:val="22"/>
          <w:szCs w:val="22"/>
          <w:highlight w:val="white"/>
          <w:rtl w:val="off"/>
          <w:lang w:val="en-US"/>
        </w:rPr>
        <w:t>October 2023].</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1F6">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highlight w:val="white"/>
          <w:rtl w:val="off"/>
          <w:lang w:val="en-US"/>
        </w:rPr>
        <w:t>Public Health England (2021) Loneliness and social isolation: safeguarding the mental health of older adults. Available at:</w:t>
      </w:r>
      <w:r>
        <w:rPr>
          <w:rStyle w:val="Hyperlink"/>
          <w:rFonts w:ascii="Arial" w:cs="Arial" w:hAnsi="Arial"/>
          <w:sz w:val="22"/>
          <w:szCs w:val="22"/>
          <w:highlight w:val="white"/>
          <w:rtl w:val="off"/>
          <w:lang w:val="en-US"/>
        </w:rPr>
        <w:fldChar w:fldCharType="begin"/>
      </w:r>
      <w:r>
        <w:rPr>
          <w:rStyle w:val="Hyperlink"/>
          <w:rFonts w:ascii="Arial" w:cs="Arial" w:hAnsi="Arial"/>
          <w:sz w:val="22"/>
          <w:szCs w:val="22"/>
          <w:highlight w:val="white"/>
          <w:rtl w:val="off"/>
          <w:lang w:val="en-US"/>
        </w:rPr>
        <w:instrText xml:space="preserve">HYPERLINK "https://www.gov.uk"</w:instrText>
      </w:r>
      <w:r>
        <w:rPr>
          <w:rStyle w:val="Hyperlink"/>
          <w:rFonts w:ascii="Arial" w:cs="Arial" w:hAnsi="Arial"/>
          <w:sz w:val="22"/>
          <w:szCs w:val="22"/>
          <w:highlight w:val="white"/>
          <w:rtl w:val="off"/>
          <w:lang w:val="en-US"/>
        </w:rPr>
        <w:fldChar w:fldCharType="separate"/>
      </w:r>
      <w:r>
        <w:rPr>
          <w:rStyle w:val="Hyperlink"/>
          <w:rFonts w:ascii="Arial" w:cs="Arial" w:hAnsi="Arial"/>
          <w:sz w:val="22"/>
          <w:szCs w:val="22"/>
          <w:highlight w:val="white"/>
          <w:rtl w:val="off"/>
          <w:lang w:val="en-US"/>
        </w:rPr>
        <w:t>https://www.gov.uk</w:t>
      </w:r>
      <w:r>
        <w:rPr>
          <w:rFonts w:ascii="Arial" w:cs="Arial" w:hAnsi="Arial"/>
          <w:color w:val="000000"/>
          <w:sz w:val="22"/>
          <w:szCs w:val="22"/>
          <w:highlight w:val="white"/>
          <w:rtl w:val="off"/>
          <w:lang w:val="en-US"/>
        </w:rPr>
        <w:fldChar w:fldCharType="end"/>
      </w:r>
      <w:r>
        <w:rPr>
          <w:rFonts w:ascii="Arial" w:cs="Arial" w:hAnsi="Arial"/>
          <w:color w:val="000000"/>
          <w:sz w:val="22"/>
          <w:szCs w:val="22"/>
          <w:highlight w:val="white"/>
          <w:rtl w:val="off"/>
          <w:lang w:val="en-US"/>
        </w:rPr>
        <w:t>government/publications/loneliness-and-social-isolation-safeguarding-the-mental-health (Accessed: 12 December 2025).</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1F7">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rtl w:val="off"/>
          <w:lang w:val="en-US"/>
        </w:rPr>
      </w:pPr>
      <w:r>
        <w:rPr>
          <w:rFonts w:ascii="Arial" w:cs="Arial" w:hAnsi="Arial"/>
          <w:color w:val="000000"/>
          <w:sz w:val="22"/>
          <w:szCs w:val="22"/>
          <w:highlight w:val="white"/>
          <w:rtl w:val="off"/>
          <w:lang w:val="en-US"/>
        </w:rPr>
        <w:t>﻿﻿</w:t>
      </w:r>
      <w:r>
        <w:rPr>
          <w:rFonts w:ascii="Arial" w:cs="Arial" w:hAnsi="Arial"/>
          <w:color w:val="000000"/>
          <w:sz w:val="22"/>
          <w:szCs w:val="22"/>
          <w:highlight w:val="white"/>
          <w:rtl w:val="off"/>
          <w:lang w:val="en-US"/>
        </w:rPr>
        <w:t>Putnam, R.D., 2000. Bowling Alone: The Collapse and Revival of American Community. New York: Simon &amp; Schuster.</w:t>
      </w:r>
      <w:r>
        <w:rPr>
          <w:rFonts w:ascii="Arial" w:cs="Arial" w:hAnsi="Arial"/>
          <w:color w:val="000000"/>
          <w:sz w:val="22"/>
          <w:szCs w:val="22"/>
          <w:highlight w:val="white"/>
          <w:rtl w:val="off"/>
          <w:lang w:val="en-US"/>
        </w:rPr>
        <w:t xml:space="preserve"> </w:t>
      </w:r>
    </w:p>
    <w:p w14:paraId="000001F8">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rtl w:val="off"/>
          <w:lang w:val="en-US"/>
        </w:rPr>
        <w:t xml:space="preserve"> </w:t>
      </w:r>
      <w:r>
        <w:rPr>
          <w:rFonts w:ascii="Arial" w:cs="Arial" w:hAnsi="Arial"/>
          <w:color w:val="000000"/>
          <w:sz w:val="22"/>
          <w:szCs w:val="22"/>
          <w:highlight w:val="white"/>
          <w:rtl w:val="off"/>
          <w:lang w:val="en-US"/>
        </w:rPr>
        <w:t>Public Health England. (2021). A framework for action on loneliness and mental health.</w:t>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t xml:space="preserve">Available at: </w:t>
      </w:r>
      <w:r>
        <w:rPr>
          <w:rStyle w:val="Hyperlink"/>
          <w:rFonts w:ascii="Arial" w:cs="Arial" w:hAnsi="Arial"/>
          <w:sz w:val="22"/>
          <w:szCs w:val="22"/>
          <w:highlight w:val="white"/>
          <w:rtl w:val="off"/>
          <w:lang w:val="en-US"/>
        </w:rPr>
        <w:fldChar w:fldCharType="begin"/>
      </w:r>
      <w:r>
        <w:rPr>
          <w:rStyle w:val="Hyperlink"/>
          <w:rFonts w:ascii="Arial" w:cs="Arial" w:hAnsi="Arial"/>
          <w:sz w:val="22"/>
          <w:szCs w:val="22"/>
          <w:highlight w:val="white"/>
          <w:rtl w:val="off"/>
          <w:lang w:val="en-US"/>
        </w:rPr>
        <w:instrText xml:space="preserve">HYPERLINK "https://www.gov.uk/government/organisations/public-health-england/"</w:instrText>
      </w:r>
      <w:r>
        <w:rPr>
          <w:rStyle w:val="Hyperlink"/>
          <w:rFonts w:ascii="Arial" w:cs="Arial" w:hAnsi="Arial"/>
          <w:sz w:val="22"/>
          <w:szCs w:val="22"/>
          <w:highlight w:val="white"/>
          <w:rtl w:val="off"/>
          <w:lang w:val="en-US"/>
        </w:rPr>
        <w:fldChar w:fldCharType="separate"/>
      </w:r>
      <w:r>
        <w:rPr>
          <w:rStyle w:val="Hyperlink"/>
          <w:rFonts w:ascii="Arial" w:cs="Arial" w:hAnsi="Arial"/>
          <w:sz w:val="22"/>
          <w:szCs w:val="22"/>
          <w:highlight w:val="white"/>
          <w:rtl w:val="off"/>
          <w:lang w:val="en-US"/>
        </w:rPr>
        <w:t>https://www.gov.uk/</w:t>
      </w:r>
      <w:r>
        <w:rPr>
          <w:rStyle w:val="Hyperlink"/>
          <w:rFonts w:ascii="Arial" w:cs="Arial" w:hAnsi="Arial"/>
          <w:sz w:val="22"/>
          <w:szCs w:val="22"/>
          <w:highlight w:val="white"/>
          <w:rtl w:val="off"/>
          <w:lang w:val="en-US"/>
        </w:rPr>
        <w:t>government/organisations/public-health-englan</w:t>
      </w:r>
      <w:r>
        <w:rPr>
          <w:rStyle w:val="Hyperlink"/>
          <w:rFonts w:ascii="Arial" w:cs="Arial" w:hAnsi="Arial"/>
          <w:sz w:val="22"/>
          <w:szCs w:val="22"/>
          <w:rtl w:val="off"/>
          <w:lang w:val="en-US"/>
        </w:rPr>
        <w:t>d/</w:t>
      </w:r>
      <w:r>
        <w:rPr>
          <w:rFonts w:ascii="Arial" w:cs="Arial" w:hAnsi="Arial"/>
          <w:color w:val="000000"/>
          <w:sz w:val="22"/>
          <w:szCs w:val="22"/>
          <w:rtl w:val="off"/>
          <w:lang w:val="en-US"/>
        </w:rPr>
        <w:fldChar w:fldCharType="end"/>
      </w:r>
      <w:r>
        <w:rPr>
          <w:rFonts w:ascii="Arial" w:cs="Arial" w:hAnsi="Arial"/>
          <w:color w:val="000000"/>
          <w:sz w:val="22"/>
          <w:szCs w:val="22"/>
          <w:rtl w:val="off"/>
          <w:lang w:val="en-US"/>
        </w:rPr>
        <w:t xml:space="preserve"> </w:t>
      </w:r>
    </w:p>
    <w:p w14:paraId="000001F9">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ffffff"/>
        <w:bidi w:val="off"/>
        <w:spacing w:before="0" w:after="0" w:line="360" w:lineRule="auto"/>
        <w:jc w:val="both"/>
        <w:rPr>
          <w:rFonts w:ascii="Arial" w:cs="Arial" w:hAnsi="Arial"/>
          <w:sz w:val="22"/>
          <w:szCs w:val="22"/>
        </w:rPr>
      </w:pPr>
      <w:r>
        <w:rPr>
          <w:rFonts w:ascii="Arial" w:cs="Arial" w:hAnsi="Arial"/>
          <w:color w:val="000000"/>
          <w:sz w:val="22"/>
          <w:szCs w:val="22"/>
          <w:rtl w:val="off"/>
          <w:lang w:val="en-US"/>
        </w:rPr>
        <w:t>Qualter, P., Brown, S.L., Rotenberg, K.J., Vanhalst, J., Harris, R.A., Goossens, L., Bangee, M. and Munn, P. (2013). Trajectories of loneliness during childhood and adolescence: Predictors and health outcomes. </w:t>
      </w:r>
      <w:r>
        <w:rPr>
          <w:rFonts w:ascii="Arial" w:cs="Arial" w:hAnsi="Arial"/>
          <w:i/>
          <w:color w:val="000000"/>
          <w:sz w:val="22"/>
          <w:szCs w:val="22"/>
          <w:rtl w:val="off"/>
          <w:lang w:val="en-US"/>
        </w:rPr>
        <w:t>Journal of Adolescence</w:t>
      </w:r>
      <w:r>
        <w:rPr>
          <w:rFonts w:ascii="Arial" w:cs="Arial" w:hAnsi="Arial"/>
          <w:color w:val="000000"/>
          <w:sz w:val="22"/>
          <w:szCs w:val="22"/>
          <w:rtl w:val="off"/>
          <w:lang w:val="en-US"/>
        </w:rPr>
        <w:t>, 36(6), pp.1283–1293. doi:https://doi.org/10.1016/j.adolescence.2013.01.005.</w:t>
      </w:r>
      <w:r>
        <w:rPr>
          <w:rFonts w:ascii="Arial" w:cs="Arial" w:hAnsi="Arial"/>
          <w:color w:val="000000"/>
          <w:sz w:val="22"/>
          <w:szCs w:val="22"/>
          <w:highlight w:val="none"/>
          <w:rtl w:val="off"/>
          <w:lang w:val="en-US"/>
        </w:rPr>
        <w:t xml:space="preserve"> </w:t>
      </w:r>
    </w:p>
    <w:p w14:paraId="000001FA">
      <w:pPr>
        <w:pStyle w:val="Heading1"/>
        <w:numPr>
          <w:ilvl w:val="0"/>
          <w:numId w:val="167"/>
        </w:numPr>
        <w:spacing w:line="360"/>
        <w:jc w:val="both"/>
        <w:rPr>
          <w:rFonts w:ascii="Arial" w:cs="Arial" w:hAnsi="Arial"/>
          <w:b w:val="off"/>
          <w:bCs w:val="off"/>
          <w:sz w:val="22"/>
          <w:szCs w:val="22"/>
        </w:rPr>
      </w:pPr>
      <w:r>
        <w:rPr>
          <w:rFonts w:ascii="Arial" w:cs="Arial" w:hAnsi="Arial" w:hint="cs"/>
          <w:sz w:val="22"/>
          <w:szCs w:val="22"/>
          <w:rtl/>
        </w:rPr>
        <w:t>﻿</w:t>
      </w:r>
      <w:r>
        <w:rPr>
          <w:rFonts w:ascii="Arial" w:cs="Arial" w:hAnsi="Arial" w:hint="cs"/>
          <w:b w:val="off"/>
          <w:bCs w:val="off"/>
          <w:sz w:val="22"/>
          <w:szCs w:val="22"/>
          <w:rtl/>
        </w:rPr>
        <w:t>﻿</w:t>
      </w:r>
      <w:r>
        <w:rPr>
          <w:rFonts w:ascii="Arial" w:cs="Arial" w:hAnsi="Arial" w:hint="cs"/>
          <w:b w:val="off"/>
          <w:bCs w:val="off"/>
          <w:sz w:val="22"/>
          <w:szCs w:val="22"/>
        </w:rPr>
        <w:t xml:space="preserve">Royal College of Psychiatrists, 2020. </w:t>
      </w:r>
      <w:r>
        <w:rPr>
          <w:rFonts w:ascii="Arial" w:cs="Arial" w:hAnsi="Arial"/>
          <w:b w:val="off"/>
          <w:bCs w:val="off"/>
          <w:sz w:val="22"/>
          <w:szCs w:val="22"/>
        </w:rPr>
        <w:t xml:space="preserve">Mental health and older people: A guide for health professionals. Available at: </w:t>
      </w:r>
      <w:r>
        <w:rPr>
          <w:rStyle w:val="Hyperlink"/>
          <w:rFonts w:ascii="Arial" w:cs="Arial" w:hAnsi="Arial"/>
          <w:b w:val="off"/>
          <w:bCs w:val="off"/>
          <w:sz w:val="22"/>
          <w:szCs w:val="22"/>
        </w:rPr>
        <w:fldChar w:fldCharType="begin"/>
      </w:r>
      <w:r>
        <w:rPr>
          <w:rStyle w:val="Hyperlink"/>
          <w:rFonts w:ascii="Arial" w:cs="Arial" w:hAnsi="Arial"/>
          <w:b w:val="off"/>
          <w:bCs w:val="off"/>
          <w:sz w:val="22"/>
          <w:szCs w:val="22"/>
        </w:rPr>
        <w:instrText xml:space="preserve">HYPERLINK "https://www.rcpsych.ac.uk"</w:instrText>
      </w:r>
      <w:r>
        <w:rPr>
          <w:rStyle w:val="Hyperlink"/>
          <w:rFonts w:ascii="Arial" w:cs="Arial" w:hAnsi="Arial"/>
          <w:b w:val="off"/>
          <w:bCs w:val="off"/>
          <w:sz w:val="22"/>
          <w:szCs w:val="22"/>
        </w:rPr>
        <w:fldChar w:fldCharType="separate"/>
      </w:r>
      <w:r>
        <w:rPr>
          <w:rStyle w:val="Hyperlink"/>
          <w:rFonts w:ascii="Arial" w:cs="Arial" w:hAnsi="Arial"/>
          <w:b w:val="off"/>
          <w:bCs w:val="off"/>
          <w:sz w:val="22"/>
          <w:szCs w:val="22"/>
        </w:rPr>
        <w:t>https://www.rcpsych.ac.uk</w:t>
      </w:r>
      <w:r>
        <w:rPr>
          <w:rFonts w:ascii="Arial" w:cs="Arial" w:hAnsi="Arial"/>
          <w:b w:val="off"/>
          <w:bCs w:val="off"/>
          <w:sz w:val="22"/>
          <w:szCs w:val="22"/>
        </w:rPr>
        <w:fldChar w:fldCharType="end"/>
      </w:r>
      <w:r>
        <w:rPr>
          <w:rFonts w:ascii="Arial" w:cs="Arial" w:hAnsi="Arial"/>
          <w:b w:val="off"/>
          <w:bCs w:val="off"/>
          <w:sz w:val="22"/>
          <w:szCs w:val="22"/>
        </w:rPr>
        <w:t xml:space="preserve"> (Accessed 20 january 2026). </w:t>
      </w:r>
    </w:p>
    <w:p w14:paraId="000001FB">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Segoe UI"/>
          <w:color w:val="000000"/>
          <w:sz w:val="18"/>
          <w:highlight w:val="white"/>
          <w:rtl w:val="off"/>
          <w:lang w:val="en-US"/>
        </w:rPr>
      </w:pPr>
      <w:r>
        <w:rPr>
          <w:rFonts w:ascii="Arial" w:cs="Arial" w:hAnsi="Arial"/>
          <w:color w:val="000000"/>
          <w:sz w:val="22"/>
          <w:szCs w:val="22"/>
          <w:highlight w:val="white"/>
          <w:rtl w:val="off"/>
          <w:lang w:val="en-US"/>
        </w:rPr>
        <w:t>﻿﻿</w:t>
      </w:r>
      <w:r>
        <w:rPr>
          <w:rFonts w:ascii="Arial" w:cs="Arial" w:hAnsi="Arial"/>
          <w:color w:val="000000"/>
          <w:sz w:val="22"/>
          <w:szCs w:val="22"/>
          <w:highlight w:val="white"/>
          <w:rtl w:val="off"/>
          <w:lang w:val="en-US"/>
        </w:rPr>
        <w:t xml:space="preserve">Smith, R., Jones, A., and Brown, T. (2021)'Assessment of depression in older adults: A review of the Geriatric Depression Scale', </w:t>
      </w:r>
      <w:r>
        <w:rPr>
          <w:rFonts w:ascii="Arial" w:cs="Arial" w:hAnsi="Arial"/>
          <w:i/>
          <w:iCs/>
          <w:color w:val="000000"/>
          <w:sz w:val="22"/>
          <w:szCs w:val="22"/>
          <w:highlight w:val="white"/>
          <w:rtl w:val="off"/>
          <w:lang w:val="en-US"/>
        </w:rPr>
        <w:t>Aging &amp; Mental Health</w:t>
      </w:r>
      <w:r>
        <w:rPr>
          <w:rFonts w:ascii="Arial" w:cs="Arial" w:hAnsi="Arial"/>
          <w:color w:val="000000"/>
          <w:sz w:val="22"/>
          <w:szCs w:val="22"/>
          <w:highlight w:val="white"/>
          <w:rtl w:val="off"/>
          <w:lang w:val="en-US"/>
        </w:rPr>
        <w:t>, 25(3), pp. 457-463. doi:10.1080/13607863.2020.1752573</w:t>
      </w:r>
      <w:r>
        <w:rPr>
          <w:rFonts w:ascii="Arial" w:cs="Arial" w:hAnsi="Arial"/>
          <w:color w:val="000000"/>
          <w:sz w:val="22"/>
          <w:szCs w:val="22"/>
          <w:rtl w:val="off"/>
          <w:lang w:val="en-US"/>
        </w:rPr>
        <w:t>.</w:t>
      </w:r>
    </w:p>
    <w:p w14:paraId="000001FC">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b w:val="off"/>
          <w:bCs w:val="off"/>
          <w:sz w:val="22"/>
          <w:szCs w:val="22"/>
        </w:rPr>
      </w:pPr>
      <w:r>
        <w:rPr>
          <w:rFonts w:ascii="Arial" w:cs="Arial" w:hAnsi="Arial"/>
          <w:color w:val="000000"/>
          <w:sz w:val="22"/>
          <w:szCs w:val="22"/>
          <w:highlight w:val="white"/>
          <w:rtl w:val="off"/>
          <w:lang w:val="en-US"/>
        </w:rPr>
        <w:t xml:space="preserve">Snowball, J., Victor, C.R., and Scambler, S.J. (2018) ‘Loneliness and social isolation: The role of social networks in the lives of older adults’, </w:t>
      </w:r>
      <w:r>
        <w:rPr>
          <w:rFonts w:ascii="Arial" w:cs="Arial" w:hAnsi="Arial"/>
          <w:i/>
          <w:iCs/>
          <w:color w:val="000000"/>
          <w:sz w:val="22"/>
          <w:szCs w:val="22"/>
          <w:highlight w:val="white"/>
          <w:rtl w:val="off"/>
          <w:lang w:val="en-US"/>
        </w:rPr>
        <w:t>Ageing &amp; Society,</w:t>
      </w:r>
      <w:r>
        <w:rPr>
          <w:rFonts w:ascii="Arial" w:cs="Arial" w:hAnsi="Arial"/>
          <w:color w:val="000000"/>
          <w:sz w:val="22"/>
          <w:szCs w:val="22"/>
          <w:highlight w:val="white"/>
          <w:rtl w:val="off"/>
          <w:lang w:val="en-US"/>
        </w:rPr>
        <w:t xml:space="preserve"> 38(4), pp. 635-661.</w:t>
      </w:r>
      <w:r>
        <w:rPr>
          <w:rFonts w:ascii="Arial" w:cs="Arial" w:hAnsi="Arial"/>
          <w:color w:val="000000"/>
          <w:sz w:val="22"/>
          <w:szCs w:val="22"/>
          <w:highlight w:val="none"/>
          <w:rtl w:val="off"/>
          <w:lang w:val="en-US"/>
        </w:rPr>
        <w:t xml:space="preserve"> </w:t>
      </w:r>
    </w:p>
    <w:p w14:paraId="000001FD">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sz w:val="22"/>
          <w:szCs w:val="22"/>
        </w:rPr>
      </w:pPr>
      <w:r>
        <w:rPr>
          <w:rFonts w:ascii="Arial" w:cs="Arial" w:hAnsi="Arial"/>
          <w:color w:val="000000"/>
          <w:sz w:val="22"/>
          <w:szCs w:val="22"/>
          <w:highlight w:val="white"/>
          <w:rtl w:val="off"/>
          <w:lang w:val="en-US"/>
        </w:rPr>
        <w:t>﻿﻿</w:t>
      </w:r>
      <w:r>
        <w:rPr>
          <w:rFonts w:ascii="Arial" w:cs="Arial" w:hAnsi="Arial"/>
          <w:color w:val="000000"/>
          <w:sz w:val="22"/>
          <w:szCs w:val="22"/>
          <w:highlight w:val="white"/>
          <w:rtl w:val="off"/>
          <w:lang w:val="en-US"/>
        </w:rPr>
        <w:t>Southern Europe (2014). Aging, so</w:t>
      </w:r>
      <w:r>
        <w:rPr>
          <w:rFonts w:ascii="Arial" w:cs="Arial" w:hAnsi="Arial"/>
          <w:i/>
          <w:iCs/>
          <w:color w:val="000000"/>
          <w:sz w:val="22"/>
          <w:szCs w:val="22"/>
          <w:highlight w:val="white"/>
          <w:rtl w:val="off"/>
          <w:lang w:val="en-US"/>
        </w:rPr>
        <w:t>cial connectedness, and wellbeing</w:t>
      </w:r>
      <w:r>
        <w:rPr>
          <w:rFonts w:ascii="Arial" w:cs="Arial" w:hAnsi="Arial"/>
          <w:color w:val="000000"/>
          <w:sz w:val="22"/>
          <w:szCs w:val="22"/>
          <w:highlight w:val="white"/>
          <w:rtl w:val="off"/>
          <w:lang w:val="en-US"/>
        </w:rPr>
        <w:t xml:space="preserve">. Available at: </w:t>
      </w:r>
      <w:r>
        <w:rPr>
          <w:rStyle w:val="Hyperlink"/>
          <w:rFonts w:ascii="Arial" w:cs="Arial" w:hAnsi="Arial"/>
          <w:sz w:val="22"/>
          <w:szCs w:val="22"/>
          <w:highlight w:val="white"/>
          <w:rtl w:val="off"/>
          <w:lang w:val="en-US"/>
        </w:rPr>
        <w:fldChar w:fldCharType="begin"/>
      </w:r>
      <w:r>
        <w:rPr>
          <w:rStyle w:val="Hyperlink"/>
          <w:rFonts w:ascii="Arial" w:cs="Arial" w:hAnsi="Arial"/>
          <w:sz w:val="22"/>
          <w:szCs w:val="22"/>
          <w:highlight w:val="white"/>
          <w:rtl w:val="off"/>
          <w:lang w:val="en-US"/>
        </w:rPr>
        <w:instrText xml:space="preserve">HYPERLINK "https://www.unece.org/"</w:instrText>
      </w:r>
      <w:r>
        <w:rPr>
          <w:rStyle w:val="Hyperlink"/>
          <w:rFonts w:ascii="Arial" w:cs="Arial" w:hAnsi="Arial"/>
          <w:sz w:val="22"/>
          <w:szCs w:val="22"/>
          <w:highlight w:val="white"/>
          <w:rtl w:val="off"/>
          <w:lang w:val="en-US"/>
        </w:rPr>
        <w:fldChar w:fldCharType="separate"/>
      </w:r>
      <w:r>
        <w:rPr>
          <w:rStyle w:val="Hyperlink"/>
          <w:rFonts w:ascii="Arial" w:cs="Arial" w:hAnsi="Arial"/>
          <w:sz w:val="22"/>
          <w:szCs w:val="22"/>
          <w:highlight w:val="white"/>
          <w:rtl w:val="off"/>
          <w:lang w:val="en-US"/>
        </w:rPr>
        <w:t>https://www.unece.org/</w:t>
      </w:r>
      <w:r>
        <w:rPr>
          <w:rFonts w:ascii="Arial" w:cs="Arial" w:hAnsi="Arial"/>
          <w:color w:val="000000"/>
          <w:sz w:val="22"/>
          <w:szCs w:val="22"/>
          <w:highlight w:val="white"/>
          <w:rtl w:val="off"/>
          <w:lang w:val="en-US"/>
        </w:rPr>
        <w:fldChar w:fldCharType="end"/>
      </w:r>
      <w:r>
        <w:rPr>
          <w:rFonts w:ascii="Arial" w:cs="Arial" w:hAnsi="Arial"/>
          <w:color w:val="000000"/>
          <w:sz w:val="22"/>
          <w:szCs w:val="22"/>
          <w:highlight w:val="white"/>
          <w:rtl w:val="off"/>
          <w:lang w:val="en-US"/>
        </w:rPr>
        <w:t xml:space="preserve">  (Accessed: 12</w:t>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t>December 2025)</w:t>
      </w:r>
      <w:r>
        <w:rPr>
          <w:rFonts w:ascii="Arial" w:cs="Arial" w:hAnsi="Arial"/>
          <w:color w:val="000000"/>
          <w:sz w:val="22"/>
          <w:szCs w:val="22"/>
          <w:rtl w:val="off"/>
          <w:lang w:val="en-US"/>
        </w:rPr>
        <w:t xml:space="preserve"> </w:t>
      </w:r>
    </w:p>
    <w:p w14:paraId="000001FE">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highlight w:val="white"/>
          <w:rtl w:val="off"/>
          <w:lang w:val="en-US"/>
        </w:rPr>
        <w:t>﻿﻿</w:t>
      </w:r>
      <w:r>
        <w:rPr>
          <w:rFonts w:ascii="Arial" w:cs="Arial" w:hAnsi="Arial"/>
          <w:color w:val="000000"/>
          <w:sz w:val="22"/>
          <w:szCs w:val="22"/>
          <w:highlight w:val="white"/>
          <w:rtl w:val="off"/>
          <w:lang w:val="en-US"/>
        </w:rPr>
        <w:t xml:space="preserve">Ungar, M. (2012). The Social Ecologies of Resilience. Available at: https:// </w:t>
      </w:r>
      <w:r>
        <w:rPr>
          <w:rStyle w:val="Hyperlink"/>
          <w:rFonts w:ascii="Arial" w:cs="Arial" w:hAnsi="Arial"/>
          <w:sz w:val="22"/>
          <w:szCs w:val="22"/>
          <w:highlight w:val="white"/>
          <w:rtl w:val="off"/>
          <w:lang w:val="en-US"/>
        </w:rPr>
        <w:fldChar w:fldCharType="begin"/>
      </w:r>
      <w:r>
        <w:rPr>
          <w:rStyle w:val="Hyperlink"/>
          <w:rFonts w:ascii="Arial" w:cs="Arial" w:hAnsi="Arial"/>
          <w:sz w:val="22"/>
          <w:szCs w:val="22"/>
          <w:highlight w:val="white"/>
          <w:rtl w:val="off"/>
          <w:lang w:val="en-US"/>
        </w:rPr>
        <w:instrText xml:space="preserve">HYPERLINK "http://www.springer.com/"</w:instrText>
      </w:r>
      <w:r>
        <w:rPr>
          <w:rStyle w:val="Hyperlink"/>
          <w:rFonts w:ascii="Arial" w:cs="Arial" w:hAnsi="Arial"/>
          <w:sz w:val="22"/>
          <w:szCs w:val="22"/>
          <w:highlight w:val="white"/>
          <w:rtl w:val="off"/>
          <w:lang w:val="en-US"/>
        </w:rPr>
        <w:fldChar w:fldCharType="separate"/>
      </w:r>
      <w:r>
        <w:rPr>
          <w:rStyle w:val="Hyperlink"/>
          <w:rFonts w:ascii="Arial" w:cs="Arial" w:hAnsi="Arial"/>
          <w:sz w:val="22"/>
          <w:szCs w:val="22"/>
          <w:highlight w:val="white"/>
          <w:rtl w:val="off"/>
          <w:lang w:val="en-US"/>
        </w:rPr>
        <w:t>www.springer.com/</w:t>
      </w:r>
      <w:r>
        <w:rPr>
          <w:rFonts w:ascii="Arial" w:cs="Arial" w:hAnsi="Arial"/>
          <w:color w:val="000000"/>
          <w:sz w:val="22"/>
          <w:szCs w:val="22"/>
          <w:highlight w:val="white"/>
          <w:rtl w:val="off"/>
          <w:lang w:val="en-US"/>
        </w:rPr>
        <w:fldChar w:fldCharType="end"/>
      </w:r>
      <w:r>
        <w:rPr>
          <w:rFonts w:ascii="Arial" w:cs="Arial" w:hAnsi="Arial"/>
          <w:color w:val="000000"/>
          <w:sz w:val="22"/>
          <w:szCs w:val="22"/>
          <w:highlight w:val="white"/>
          <w:rtl w:val="off"/>
          <w:lang w:val="en-US"/>
        </w:rPr>
        <w:t xml:space="preserve">  (Accessed: 12 December 2025).</w:t>
      </w:r>
      <w:r>
        <w:rPr>
          <w:rFonts w:ascii="Arial" w:cs="Arial" w:hAnsi="Arial"/>
          <w:color w:val="000000"/>
          <w:sz w:val="22"/>
          <w:szCs w:val="22"/>
          <w:rtl w:val="off"/>
          <w:lang w:val="en-US"/>
        </w:rPr>
        <w:t xml:space="preserve"> </w:t>
      </w:r>
    </w:p>
    <w:p w14:paraId="000001FF">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ffffff"/>
        <w:tabs>
          <w:tab w:val="left" w:pos="0"/>
        </w:tabs>
        <w:bidi w:val="off"/>
        <w:spacing w:before="0" w:after="0" w:line="360" w:lineRule="auto"/>
        <w:jc w:val="both"/>
        <w:rPr>
          <w:rFonts w:ascii="Arial" w:cs="Arial" w:hAnsi="Arial"/>
          <w:sz w:val="22"/>
          <w:szCs w:val="22"/>
        </w:rPr>
      </w:pPr>
      <w:r>
        <w:rPr>
          <w:rFonts w:ascii="Arial" w:cs="Arial" w:hAnsi="Arial"/>
          <w:color w:val="000000"/>
          <w:sz w:val="22"/>
          <w:szCs w:val="22"/>
          <w:rtl w:val="off"/>
          <w:lang w:val="en-US"/>
        </w:rPr>
        <w:t>Victor, C.R., Scambler, S., Bowling, A., Bond, J.</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(2018) Loneliness, depression and the role of social relationships in older adults: a UK cohort study. </w:t>
      </w:r>
      <w:r>
        <w:rPr>
          <w:rFonts w:ascii="Arial" w:cs="Arial" w:hAnsi="Arial"/>
          <w:i/>
          <w:iCs/>
          <w:color w:val="000000"/>
          <w:sz w:val="22"/>
          <w:szCs w:val="22"/>
          <w:rtl w:val="off"/>
          <w:lang w:val="en-US"/>
        </w:rPr>
        <w:t>Journal of Gerontology: Social Sciences,</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73(3), 442-451.</w:t>
      </w:r>
      <w:r>
        <w:rPr>
          <w:rFonts w:ascii="Arial" w:cs="Arial" w:hAnsi="Arial"/>
          <w:color w:val="000000"/>
          <w:sz w:val="22"/>
          <w:szCs w:val="22"/>
          <w:highlight w:val="none"/>
          <w:rtl w:val="off"/>
          <w:lang w:val="en-US"/>
        </w:rPr>
        <w:t xml:space="preserve"> </w:t>
      </w:r>
    </w:p>
    <w:p w14:paraId="00000200">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sz w:val="22"/>
          <w:szCs w:val="22"/>
        </w:rPr>
      </w:pPr>
      <w:r>
        <w:rPr>
          <w:rFonts w:ascii="Arial" w:cs="Arial" w:hAnsi="Arial"/>
          <w:color w:val="000000"/>
          <w:sz w:val="22"/>
          <w:szCs w:val="22"/>
          <w:highlight w:val="white"/>
          <w:rtl w:val="off"/>
          <w:lang w:val="en-US"/>
        </w:rPr>
        <w:t>﻿﻿</w:t>
      </w:r>
      <w:r>
        <w:rPr>
          <w:rFonts w:ascii="Arial" w:cs="Arial" w:hAnsi="Arial"/>
          <w:color w:val="000000"/>
          <w:sz w:val="22"/>
          <w:szCs w:val="22"/>
          <w:highlight w:val="white"/>
          <w:rtl w:val="off"/>
          <w:lang w:val="en-US"/>
        </w:rPr>
        <w:t>Wetter, S. et al. (2017). Community resilience and loneliness in later life.</w:t>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t xml:space="preserve">Available at: </w:t>
      </w:r>
      <w:r>
        <w:rPr>
          <w:rStyle w:val="Hyperlink"/>
          <w:rFonts w:ascii="Arial" w:cs="Arial" w:hAnsi="Arial"/>
          <w:sz w:val="22"/>
          <w:szCs w:val="22"/>
          <w:highlight w:val="white"/>
          <w:rtl w:val="off"/>
          <w:lang w:val="en-US"/>
        </w:rPr>
        <w:fldChar w:fldCharType="begin"/>
      </w:r>
      <w:r>
        <w:rPr>
          <w:rStyle w:val="Hyperlink"/>
          <w:rFonts w:ascii="Arial" w:cs="Arial" w:hAnsi="Arial"/>
          <w:sz w:val="22"/>
          <w:szCs w:val="22"/>
          <w:highlight w:val="white"/>
          <w:rtl w:val="off"/>
          <w:lang w:val="en-US"/>
        </w:rPr>
        <w:instrText xml:space="preserve">HYPERLINK "https://www.ncbi.nlm.nih.gov/"</w:instrText>
      </w:r>
      <w:r>
        <w:rPr>
          <w:rStyle w:val="Hyperlink"/>
          <w:rFonts w:ascii="Arial" w:cs="Arial" w:hAnsi="Arial"/>
          <w:sz w:val="22"/>
          <w:szCs w:val="22"/>
          <w:highlight w:val="white"/>
          <w:rtl w:val="off"/>
          <w:lang w:val="en-US"/>
        </w:rPr>
        <w:fldChar w:fldCharType="separate"/>
      </w:r>
      <w:r>
        <w:rPr>
          <w:rStyle w:val="Hyperlink"/>
          <w:rFonts w:ascii="Arial" w:cs="Arial" w:hAnsi="Arial"/>
          <w:sz w:val="22"/>
          <w:szCs w:val="22"/>
          <w:highlight w:val="white"/>
          <w:rtl w:val="off"/>
          <w:lang w:val="en-US"/>
        </w:rPr>
        <w:t>https://www.ncbi.nlm.nih.gov/</w:t>
      </w:r>
      <w:r>
        <w:rPr>
          <w:rFonts w:ascii="Arial" w:cs="Arial" w:hAnsi="Arial"/>
          <w:color w:val="000000"/>
          <w:sz w:val="22"/>
          <w:szCs w:val="22"/>
          <w:highlight w:val="white"/>
          <w:rtl w:val="off"/>
          <w:lang w:val="en-US"/>
        </w:rPr>
        <w:fldChar w:fldCharType="end"/>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t>(Accessed: 12 December 2025).</w:t>
      </w:r>
      <w:r>
        <w:rPr>
          <w:rFonts w:ascii="Arial" w:cs="Arial" w:hAnsi="Arial"/>
          <w:color w:val="000000"/>
          <w:sz w:val="22"/>
          <w:szCs w:val="22"/>
          <w:rtl w:val="off"/>
          <w:lang w:val="en-US"/>
        </w:rPr>
        <w:t xml:space="preserve"> </w:t>
      </w:r>
    </w:p>
    <w:p w14:paraId="00000201">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ffffff"/>
        <w:tabs>
          <w:tab w:val="left" w:pos="0"/>
        </w:tabs>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rtl w:val="off"/>
          <w:lang w:val="en-US"/>
        </w:rPr>
        <w:t>Wittenberg, R., Hu, B., &amp; Brown, J. (2019).</w:t>
      </w:r>
      <w:r>
        <w:rPr>
          <w:rFonts w:ascii="Arial" w:cs="Arial" w:hAnsi="Arial"/>
          <w:color w:val="000000"/>
          <w:sz w:val="22"/>
          <w:szCs w:val="22"/>
          <w:rtl w:val="off"/>
          <w:lang w:val="en-US"/>
        </w:rPr>
        <w:t xml:space="preserve"> </w:t>
      </w:r>
      <w:r>
        <w:rPr>
          <w:rFonts w:ascii="Arial" w:cs="Arial" w:hAnsi="Arial"/>
          <w:color w:val="000000"/>
          <w:sz w:val="22"/>
          <w:szCs w:val="22"/>
          <w:rtl w:val="off"/>
          <w:lang w:val="en-US"/>
        </w:rPr>
        <w:br w:type="textWrapping"/>
      </w:r>
      <w:r>
        <w:rPr>
          <w:rFonts w:ascii="Arial" w:cs="Arial" w:hAnsi="Arial"/>
          <w:color w:val="000000"/>
          <w:sz w:val="22"/>
          <w:szCs w:val="22"/>
          <w:rtl w:val="off"/>
          <w:lang w:val="en-US"/>
        </w:rPr>
        <w:t xml:space="preserve">The economic cost of loneliness and isolation in older adults in the UK. </w:t>
      </w:r>
      <w:r>
        <w:rPr>
          <w:rFonts w:ascii="Arial" w:cs="Arial" w:hAnsi="Arial"/>
          <w:i/>
          <w:iCs/>
          <w:color w:val="000000"/>
          <w:sz w:val="22"/>
          <w:szCs w:val="22"/>
          <w:rtl w:val="off"/>
          <w:lang w:val="en-US"/>
        </w:rPr>
        <w:t xml:space="preserve">Health Economics, </w:t>
      </w:r>
      <w:r>
        <w:rPr>
          <w:rFonts w:ascii="Arial" w:cs="Arial" w:hAnsi="Arial"/>
          <w:color w:val="000000"/>
          <w:sz w:val="22"/>
          <w:szCs w:val="22"/>
          <w:rtl w:val="off"/>
          <w:lang w:val="en-US"/>
        </w:rPr>
        <w:t>28(11), 1226-1230.</w:t>
      </w:r>
      <w:r>
        <w:rPr>
          <w:rFonts w:ascii="Arial" w:cs="Arial" w:hAnsi="Arial"/>
          <w:color w:val="000000"/>
          <w:sz w:val="22"/>
          <w:szCs w:val="22"/>
          <w:highlight w:val="none"/>
          <w:rtl w:val="off"/>
          <w:lang w:val="en-US"/>
        </w:rPr>
        <w:t xml:space="preserve"> </w:t>
      </w:r>
    </w:p>
    <w:p w14:paraId="00000202">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sz w:val="22"/>
          <w:szCs w:val="22"/>
        </w:rPr>
      </w:pPr>
      <w:r>
        <w:rPr>
          <w:rFonts w:ascii="Arial" w:cs="Arial" w:hAnsi="Arial"/>
          <w:color w:val="000000"/>
          <w:sz w:val="22"/>
          <w:szCs w:val="22"/>
          <w:highlight w:val="white"/>
          <w:rtl w:val="off"/>
          <w:lang w:val="en-US"/>
        </w:rPr>
        <w:t>Wetter, E., Dijkstra, A., &amp; White, S. (2017).</w:t>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t xml:space="preserve">Interventions to reduce loneliness and social isolation in older people: </w:t>
      </w:r>
      <w:r>
        <w:rPr>
          <w:rFonts w:ascii="Arial" w:cs="Arial" w:hAnsi="Arial"/>
          <w:i/>
          <w:iCs/>
          <w:color w:val="000000"/>
          <w:sz w:val="22"/>
          <w:szCs w:val="22"/>
          <w:highlight w:val="white"/>
          <w:rtl w:val="off"/>
          <w:lang w:val="en-US"/>
        </w:rPr>
        <w:t xml:space="preserve">A systematic review. Systematic Reviews, </w:t>
      </w:r>
      <w:r>
        <w:rPr>
          <w:rFonts w:ascii="Arial" w:cs="Arial" w:hAnsi="Arial"/>
          <w:color w:val="000000"/>
          <w:sz w:val="22"/>
          <w:szCs w:val="22"/>
          <w:highlight w:val="white"/>
          <w:rtl w:val="off"/>
          <w:lang w:val="en-US"/>
        </w:rPr>
        <w:t>6(1), 1-15.</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203">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auto"/>
        <w:bidi w:val="off"/>
        <w:spacing w:before="0" w:after="0" w:line="360" w:lineRule="auto"/>
        <w:jc w:val="both"/>
        <w:rPr>
          <w:rFonts w:ascii="Arial" w:cs="Arial" w:hAnsi="Arial"/>
          <w:sz w:val="22"/>
          <w:szCs w:val="22"/>
        </w:rPr>
      </w:pPr>
      <w:r>
        <w:rPr>
          <w:rFonts w:ascii="Arial" w:cs="Arial" w:hAnsi="Arial"/>
          <w:color w:val="000000"/>
          <w:sz w:val="22"/>
          <w:szCs w:val="22"/>
          <w:highlight w:val="white"/>
          <w:rtl w:val="off"/>
          <w:lang w:val="en-US"/>
        </w:rPr>
        <w:t xml:space="preserve">Wittenberg, R. et al. (2019). The ageing population in the UK: projections and policy implications. Available at: https:// </w:t>
      </w:r>
      <w:r>
        <w:rPr>
          <w:rStyle w:val="Hyperlink"/>
          <w:rFonts w:ascii="Arial" w:cs="Arial" w:hAnsi="Arial"/>
          <w:sz w:val="22"/>
          <w:szCs w:val="22"/>
          <w:highlight w:val="white"/>
          <w:rtl w:val="off"/>
          <w:lang w:val="en-US"/>
        </w:rPr>
        <w:fldChar w:fldCharType="begin"/>
      </w:r>
      <w:r>
        <w:rPr>
          <w:rStyle w:val="Hyperlink"/>
          <w:rFonts w:ascii="Arial" w:cs="Arial" w:hAnsi="Arial"/>
          <w:sz w:val="22"/>
          <w:szCs w:val="22"/>
          <w:highlight w:val="white"/>
          <w:rtl w:val="off"/>
          <w:lang w:val="en-US"/>
        </w:rPr>
        <w:instrText xml:space="preserve">HYPERLINK "http://www.ifs.org.uk/"</w:instrText>
      </w:r>
      <w:r>
        <w:rPr>
          <w:rStyle w:val="Hyperlink"/>
          <w:rFonts w:ascii="Arial" w:cs="Arial" w:hAnsi="Arial"/>
          <w:sz w:val="22"/>
          <w:szCs w:val="22"/>
          <w:highlight w:val="white"/>
          <w:rtl w:val="off"/>
          <w:lang w:val="en-US"/>
        </w:rPr>
        <w:fldChar w:fldCharType="separate"/>
      </w:r>
      <w:r>
        <w:rPr>
          <w:rStyle w:val="Hyperlink"/>
          <w:rFonts w:ascii="Arial" w:cs="Arial" w:hAnsi="Arial"/>
          <w:sz w:val="22"/>
          <w:szCs w:val="22"/>
          <w:highlight w:val="white"/>
          <w:rtl w:val="off"/>
          <w:lang w:val="en-US"/>
        </w:rPr>
        <w:t>www.ifs.org.uk/</w:t>
      </w:r>
      <w:r>
        <w:rPr>
          <w:rFonts w:ascii="Arial" w:cs="Arial" w:hAnsi="Arial"/>
          <w:color w:val="000000"/>
          <w:sz w:val="22"/>
          <w:szCs w:val="22"/>
          <w:highlight w:val="white"/>
          <w:rtl w:val="off"/>
          <w:lang w:val="en-US"/>
        </w:rPr>
        <w:fldChar w:fldCharType="end"/>
      </w:r>
      <w:r>
        <w:rPr>
          <w:rFonts w:ascii="Arial" w:cs="Arial" w:hAnsi="Arial"/>
          <w:color w:val="000000"/>
          <w:sz w:val="22"/>
          <w:szCs w:val="22"/>
          <w:highlight w:val="white"/>
          <w:rtl w:val="off"/>
          <w:lang w:val="en-US"/>
        </w:rPr>
        <w:t xml:space="preserve">  (Accessed: 12 December 2025).</w:t>
      </w:r>
      <w:r>
        <w:rPr>
          <w:rFonts w:ascii="Arial" w:cs="Arial" w:hAnsi="Arial"/>
          <w:color w:val="000000"/>
          <w:sz w:val="22"/>
          <w:szCs w:val="22"/>
          <w:highlight w:val="none"/>
          <w:rtl w:val="off"/>
          <w:lang w:val="en-US"/>
        </w:rPr>
        <w:t xml:space="preserve"> </w:t>
      </w:r>
      <w:r>
        <w:rPr>
          <w:rFonts w:ascii="Arial" w:cs="Arial" w:hAnsi="Arial"/>
          <w:color w:val="000000"/>
          <w:sz w:val="22"/>
          <w:szCs w:val="22"/>
          <w:rtl w:val="off"/>
          <w:lang w:val="en-US"/>
        </w:rPr>
        <w:t xml:space="preserve"> </w:t>
      </w:r>
    </w:p>
    <w:p w14:paraId="00000204">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ffffff"/>
        <w:bidi w:val="off"/>
        <w:spacing w:before="0" w:after="0" w:line="360" w:lineRule="auto"/>
        <w:jc w:val="both"/>
        <w:rPr>
          <w:rFonts w:ascii="Arial" w:cs="Arial" w:hAnsi="Arial"/>
          <w:color w:val="000000"/>
          <w:sz w:val="22"/>
          <w:szCs w:val="22"/>
          <w:rtl w:val="off"/>
          <w:lang w:val="en-US"/>
        </w:rPr>
      </w:pPr>
      <w:r>
        <w:rPr>
          <w:rFonts w:ascii="Arial" w:cs="Arial" w:hAnsi="Arial"/>
          <w:color w:val="000000"/>
          <w:sz w:val="22"/>
          <w:szCs w:val="22"/>
          <w:highlight w:val="white"/>
          <w:rtl w:val="off"/>
          <w:lang w:val="en-US"/>
        </w:rPr>
        <w:t>﻿﻿</w:t>
      </w:r>
      <w:r>
        <w:rPr>
          <w:rFonts w:ascii="Arial" w:cs="Arial" w:hAnsi="Arial"/>
          <w:color w:val="000000"/>
          <w:sz w:val="22"/>
          <w:szCs w:val="22"/>
          <w:highlight w:val="white"/>
          <w:rtl w:val="off"/>
          <w:lang w:val="en-US"/>
        </w:rPr>
        <w:t>World Health Organisation (WHO), 2021.</w:t>
      </w:r>
      <w:r>
        <w:rPr>
          <w:rFonts w:ascii="Arial" w:cs="Arial" w:hAnsi="Arial"/>
          <w:color w:val="000000"/>
          <w:sz w:val="22"/>
          <w:szCs w:val="22"/>
          <w:highlight w:val="white"/>
          <w:rtl w:val="off"/>
          <w:lang w:val="en-US"/>
        </w:rPr>
        <w:t xml:space="preserve"> </w:t>
      </w:r>
      <w:r>
        <w:rPr>
          <w:rFonts w:ascii="Arial" w:cs="Arial" w:hAnsi="Arial"/>
          <w:color w:val="000000"/>
          <w:sz w:val="22"/>
          <w:szCs w:val="22"/>
          <w:highlight w:val="white"/>
          <w:rtl w:val="off"/>
          <w:lang w:val="en-US"/>
        </w:rPr>
        <w:t>Mental health: strengthening our response. Available at:</w:t>
      </w:r>
      <w:r>
        <w:rPr>
          <w:rFonts w:ascii="Arial" w:cs="Arial" w:hAnsi="Arial"/>
          <w:color w:val="000000"/>
          <w:sz w:val="22"/>
          <w:szCs w:val="22"/>
          <w:highlight w:val="white"/>
          <w:rtl w:val="off"/>
          <w:lang w:val="en-US"/>
        </w:rPr>
        <w:t xml:space="preserve">https://www.who.in.it </w:t>
      </w:r>
      <w:r>
        <w:rPr>
          <w:rFonts w:ascii="Arial" w:cs="Arial" w:hAnsi="Arial"/>
          <w:color w:val="000000"/>
          <w:sz w:val="22"/>
          <w:szCs w:val="22"/>
          <w:highlight w:val="white"/>
          <w:rtl w:val="off"/>
          <w:lang w:val="en-US"/>
        </w:rPr>
        <w:t xml:space="preserve"> (14 january 2026)</w:t>
      </w:r>
      <w:r>
        <w:rPr>
          <w:rFonts w:ascii="Arial" w:cs="Arial" w:hAnsi="Arial"/>
          <w:color w:val="000000"/>
          <w:sz w:val="22"/>
          <w:szCs w:val="22"/>
          <w:highlight w:val="white"/>
          <w:rtl w:val="off"/>
          <w:lang w:val="en-US"/>
        </w:rPr>
        <w:t>.</w:t>
      </w:r>
      <w:r>
        <w:rPr>
          <w:rFonts w:ascii="Arial" w:cs="Arial" w:hAnsi="Arial"/>
          <w:color w:val="000000"/>
          <w:sz w:val="22"/>
          <w:szCs w:val="22"/>
          <w:highlight w:val="white"/>
          <w:rtl w:val="off"/>
          <w:lang w:val="en-US"/>
        </w:rPr>
        <w:t xml:space="preserve"> </w:t>
      </w:r>
      <w:r>
        <w:rPr>
          <w:rFonts w:ascii="Arial" w:cs="Arial" w:hAnsi="Arial"/>
          <w:color w:val="000000"/>
          <w:sz w:val="22"/>
          <w:szCs w:val="22"/>
          <w:rtl w:val="off"/>
          <w:lang w:val="en-US"/>
        </w:rPr>
        <w:t xml:space="preserve"> </w:t>
      </w:r>
    </w:p>
    <w:p w14:paraId="00000205">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360" w:lineRule="auto"/>
        <w:ind w:left="0" w:right="0" w:firstLine="0"/>
        <w:jc w:val="both"/>
        <w:rPr>
          <w:rFonts w:ascii="Arial" w:cs="Arial" w:hAnsi="Arial"/>
          <w:color w:val="000000"/>
          <w:sz w:val="22"/>
          <w:szCs w:val="22"/>
          <w:rtl w:val="off"/>
          <w:lang w:val="en-US"/>
        </w:rPr>
      </w:pPr>
    </w:p>
    <w:p w14:paraId="00000206">
      <w:pPr>
        <w:framePr w:w="0" w:h="0" w:vAnchor="margin" w:hAnchor="text" w:x="0" w:y="0"/>
        <w:numPr>
          <w:ilvl w:val="0"/>
          <w:numId w:val="167"/>
        </w:numPr>
        <w:pBdr>
          <w:top w:val="none" w:sz="4" w:space="0"/>
          <w:left w:val="none" w:sz="4" w:space="0"/>
          <w:bottom w:val="none" w:sz="4" w:space="0"/>
          <w:right w:val="none" w:sz="4" w:space="0"/>
          <w:between w:val="none" w:sz="4" w:space="0"/>
          <w:bar w:val="none" w:sz="4" w:space="0"/>
        </w:pBdr>
        <w:shd w:val="clear" w:fill="ffffff"/>
        <w:bidi w:val="off"/>
        <w:spacing w:before="0" w:after="0" w:line="360" w:lineRule="auto"/>
        <w:jc w:val="both"/>
        <w:rPr>
          <w:rFonts w:ascii="Arial" w:cs="Arial" w:hAnsi="Arial"/>
          <w:color w:val="000000"/>
          <w:sz w:val="22"/>
          <w:szCs w:val="22"/>
          <w:lang w:val="en-US"/>
        </w:rPr>
      </w:pPr>
      <w:r>
        <w:rPr>
          <w:rFonts w:ascii="Arial" w:cs="Arial" w:hAnsi="Arial"/>
          <w:color w:val="000000"/>
          <w:sz w:val="22"/>
          <w:szCs w:val="22"/>
          <w:rtl w:val="off"/>
          <w:lang w:val="en-US"/>
        </w:rPr>
        <w:t>Zhou, X., Yang, F. and Gao, Y. (2023). A meta-analysis of the association between loneliness and all-cause mortality in older adults. </w:t>
      </w:r>
      <w:r>
        <w:rPr>
          <w:rFonts w:ascii="Arial" w:cs="Arial" w:hAnsi="Arial"/>
          <w:i/>
          <w:color w:val="000000"/>
          <w:sz w:val="22"/>
          <w:szCs w:val="22"/>
          <w:rtl w:val="off"/>
          <w:lang w:val="en-US"/>
        </w:rPr>
        <w:t>Psychiatry Research</w:t>
      </w:r>
      <w:r>
        <w:rPr>
          <w:rFonts w:ascii="Arial" w:cs="Arial" w:hAnsi="Arial"/>
          <w:color w:val="000000"/>
          <w:sz w:val="22"/>
          <w:szCs w:val="22"/>
          <w:rtl w:val="off"/>
          <w:lang w:val="en-US"/>
        </w:rPr>
        <w:t>, 328, pp.115430–115430. doi:https://doi.org/10.1016/j.psychres.2023</w:t>
      </w:r>
      <w:r>
        <w:rPr>
          <w:rFonts w:ascii="Arial" w:cs="Arial" w:hAnsi="Arial"/>
          <w:color w:val="000000"/>
          <w:sz w:val="22"/>
          <w:szCs w:val="22"/>
          <w:rtl w:val="off"/>
          <w:lang w:val="en-US"/>
        </w:rPr>
        <w:t>.115430.</w:t>
      </w:r>
      <w:r>
        <w:rPr>
          <w:rFonts w:ascii="Arial" w:cs="Arial" w:hAnsi="Arial"/>
          <w:color w:val="000000"/>
          <w:sz w:val="22"/>
          <w:szCs w:val="22"/>
          <w:rtl w:val="off"/>
          <w:lang w:val="en-US"/>
        </w:rPr>
        <w:t xml:space="preserve"> </w:t>
      </w:r>
    </w:p>
    <w:p w14:paraId="0000020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720" w:right="0" w:firstLine="0"/>
        <w:jc w:val="left"/>
        <w:rPr>
          <w:rFonts w:ascii="Arial" w:cs="Arial" w:hAnsi="Arial"/>
          <w:color w:val="000000"/>
          <w:sz w:val="22"/>
          <w:szCs w:val="22"/>
          <w:lang w:val="en-US"/>
        </w:rPr>
      </w:pPr>
    </w:p>
    <w:p w14:paraId="0000020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720" w:right="0" w:firstLine="0"/>
        <w:jc w:val="left"/>
        <w:rPr>
          <w:rFonts w:ascii="Arial" w:cs="Arial" w:hAnsi="Arial"/>
          <w:color w:val="000000"/>
          <w:sz w:val="22"/>
          <w:szCs w:val="22"/>
          <w:lang w:val="en-US"/>
        </w:rPr>
      </w:pPr>
    </w:p>
    <w:p w14:paraId="00000209">
      <w:pPr>
        <w:pStyle w:val="Heading1"/>
        <w:ind w:left="0"/>
        <w:jc w:val="both"/>
        <w:rPr>
          <w:rFonts w:ascii="Aptos" w:hAnsi="Aptos"/>
          <w:sz w:val="28"/>
          <w:szCs w:val="28"/>
        </w:rPr>
      </w:pPr>
    </w:p>
    <w:p w14:paraId="0000020A">
      <w:pPr>
        <w:pStyle w:val="Heading1"/>
        <w:ind w:left="0"/>
        <w:jc w:val="both"/>
        <w:rPr>
          <w:rFonts w:ascii="Aptos" w:hAnsi="Aptos"/>
          <w:sz w:val="28"/>
          <w:szCs w:val="28"/>
        </w:rPr>
      </w:pPr>
    </w:p>
    <w:p w14:paraId="0000020B">
      <w:pPr>
        <w:pStyle w:val="Heading1"/>
        <w:ind w:left="0"/>
        <w:jc w:val="both"/>
        <w:rPr>
          <w:rFonts w:ascii="Aptos" w:hAnsi="Aptos"/>
          <w:sz w:val="28"/>
          <w:szCs w:val="28"/>
        </w:rPr>
      </w:pPr>
    </w:p>
    <w:p w14:paraId="0000020C">
      <w:pPr>
        <w:pStyle w:val="Heading1"/>
        <w:ind w:left="0"/>
        <w:jc w:val="both"/>
        <w:rPr>
          <w:rFonts w:ascii="Aptos" w:hAnsi="Aptos"/>
          <w:sz w:val="28"/>
          <w:szCs w:val="28"/>
        </w:rPr>
      </w:pPr>
      <w:bookmarkStart w:id="28" w:name="_Toc29"/>
      <w:r>
        <w:rPr>
          <w:rFonts w:ascii="Aptos" w:hAnsi="Aptos"/>
          <w:sz w:val="28"/>
          <w:szCs w:val="28"/>
        </w:rPr>
        <w:t>6.2 – Appendices</w:t>
      </w:r>
      <w:bookmarkEnd w:id="28"/>
    </w:p>
    <w:p w14:paraId="0000020D">
      <w:pPr>
        <w:pStyle w:val="Heading1"/>
        <w:ind w:left="0"/>
        <w:jc w:val="both"/>
        <w:rPr>
          <w:rFonts w:ascii="Aptos" w:hAnsi="Aptos"/>
          <w:sz w:val="28"/>
          <w:szCs w:val="28"/>
        </w:rPr>
      </w:pPr>
    </w:p>
    <w:p w14:paraId="0000020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both"/>
        <w:rPr>
          <w:rFonts w:ascii="Aptos" w:hAnsi="Aptos"/>
          <w:sz w:val="28"/>
          <w:szCs w:val="28"/>
        </w:rPr>
      </w:pPr>
      <w:r>
        <w:rPr>
          <w:rFonts w:ascii="Arial" w:cs="Arial" w:hAnsi="Arial"/>
          <w:b/>
          <w:bCs/>
          <w:color w:val="000000"/>
          <w:sz w:val="22"/>
          <w:highlight w:val="white"/>
          <w:rtl w:val="off"/>
          <w:lang w:val="en-US"/>
        </w:rPr>
        <w:t>2.3 Theoretical Background</w:t>
      </w:r>
      <w:r>
        <w:rPr>
          <w:rFonts w:ascii="Arial" w:cs="Arial" w:hAnsi="Arial"/>
          <w:b/>
          <w:bCs/>
          <w:color w:val="000000"/>
          <w:sz w:val="24"/>
          <w:highlight w:val="white"/>
          <w:rtl w:val="off"/>
          <w:lang w:val="en-US"/>
        </w:rPr>
        <w:t xml:space="preserve"> </w:t>
      </w:r>
      <w:r>
        <w:rPr>
          <w:rFonts w:ascii="Arial" w:cs="Arial" w:hAnsi="Arial"/>
          <w:b/>
          <w:bCs/>
          <w:color w:val="000000"/>
          <w:sz w:val="24"/>
          <w:highlight w:val="none"/>
          <w:rtl w:val="off"/>
          <w:lang w:val="en-US"/>
        </w:rPr>
        <w:t xml:space="preserve"> </w:t>
      </w:r>
      <w:r>
        <w:rPr>
          <w:rFonts w:ascii="Arial" w:cs="Arial" w:hAnsi="Arial"/>
          <w:b/>
          <w:bCs/>
          <w:color w:val="000000"/>
          <w:sz w:val="18"/>
          <w:rtl w:val="off"/>
          <w:lang w:val="en-US"/>
        </w:rPr>
        <w:t xml:space="preserve"> </w:t>
      </w:r>
    </w:p>
    <w:p w14:paraId="0000020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both"/>
        <w:rPr>
          <w:rFonts w:ascii="Aptos" w:hAnsi="Aptos"/>
          <w:sz w:val="28"/>
          <w:szCs w:val="28"/>
        </w:rPr>
      </w:pPr>
    </w:p>
    <w:p w14:paraId="0000021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both"/>
        <w:rPr>
          <w:rFonts w:ascii="Aptos" w:hAnsi="Aptos"/>
          <w:sz w:val="28"/>
          <w:szCs w:val="28"/>
        </w:rPr>
      </w:pPr>
      <w:r>
        <w:rPr>
          <w:rFonts w:ascii="Arial"/>
          <w:color w:val="000000"/>
          <w:sz w:val="22"/>
          <w:highlight w:val="white"/>
          <w:rtl w:val="off"/>
          <w:lang w:val="en-US"/>
        </w:rPr>
        <w:t xml:space="preserve">Theory and comparison </w:t>
      </w:r>
      <w:r>
        <w:rPr>
          <w:rFonts w:ascii="Arial"/>
          <w:color w:val="000000"/>
          <w:sz w:val="22"/>
          <w:highlight w:val="white"/>
          <w:rtl w:val="off"/>
          <w:lang w:val="en-US"/>
        </w:rPr>
        <w:t xml:space="preserve">Table </w:t>
      </w:r>
      <w:r>
        <w:rPr>
          <w:rFonts w:ascii="Arial"/>
          <w:color w:val="000000"/>
          <w:sz w:val="22"/>
          <w:highlight w:val="white"/>
          <w:rtl w:val="off"/>
          <w:lang w:val="en-US"/>
        </w:rPr>
        <w:t>1</w:t>
      </w:r>
      <w:r>
        <w:rPr>
          <w:rFonts w:ascii="Segoe UI"/>
          <w:color w:val="000000"/>
          <w:sz w:val="18"/>
          <w:rtl w:val="off"/>
          <w:lang w:val="en-US"/>
        </w:rPr>
        <w:t xml:space="preserve"> </w:t>
      </w:r>
      <w:r>
        <w:rPr>
          <w:rFonts w:ascii="Aptos" w:hAnsi="Aptos"/>
          <w:sz w:val="28"/>
          <w:szCs w:val="28"/>
        </w:rPr>
        <w:t xml:space="preserve"> </w:t>
      </w:r>
    </w:p>
    <w:p w14:paraId="00000211">
      <w:pPr>
        <w:pStyle w:val="Heading1"/>
        <w:ind w:left="0"/>
        <w:jc w:val="left"/>
        <w:rPr>
          <w:rFonts w:ascii="Aptos" w:hAnsi="Aptos"/>
          <w:sz w:val="28"/>
          <w:szCs w:val="28"/>
        </w:rPr>
      </w:pPr>
    </w:p>
    <w:tbl>
      <w:tblPr>
        <w:bidiVisual w:val="off"/>
        <w:tblW w:w="11445" w:type="dxa"/>
        <w:jc w:val="left"/>
        <w:tblInd w:w="-12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0" w:type="dxa"/>
          <w:left w:w="10" w:type="dxa"/>
          <w:bottom w:w="10" w:type="dxa"/>
          <w:right w:w="10" w:type="dxa"/>
        </w:tblCellMar>
      </w:tblPr>
      <w:tblGrid>
        <w:gridCol w:w="1665"/>
        <w:gridCol w:w="1705"/>
        <w:gridCol w:w="1855"/>
        <w:gridCol w:w="2200"/>
        <w:gridCol w:w="2190"/>
        <w:gridCol w:w="1830"/>
      </w:tblGrid>
      <w:tr>
        <w:trPr>
          <w:wBefore w:w="0" w:type="dxa"/>
          <w:jc w:val="left"/>
        </w:trPr>
        <w:tc>
          <w:tcPr>
            <w:cnfStyle w:val="100010000000"/>
            <w:tcW w:w="1665" w:type="dxa"/>
            <w:tcBorders>
              <w:top w:val="single" w:color="000000" w:sz="6" w:space="0"/>
              <w:left w:val="single" w:color="000000" w:sz="6" w:space="0"/>
              <w:bottom w:val="single" w:color="000000" w:sz="6" w:space="0"/>
              <w:right w:val="single" w:color="000000" w:sz="6" w:space="0"/>
            </w:tcBorders>
            <w:shd w:val="clear" w:fill="ffffff"/>
            <w:vAlign w:val="top"/>
          </w:tcPr>
          <w:p w14:paraId="00000212">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Theory</w:t>
            </w:r>
            <w:r>
              <w:rPr>
                <w:rFonts w:ascii="Arial"/>
                <w:color w:val="000000"/>
                <w:sz w:val="22"/>
                <w:rtl w:val="off"/>
                <w:lang w:val="en-US"/>
              </w:rPr>
              <w:t xml:space="preserve"> </w:t>
            </w:r>
          </w:p>
        </w:tc>
        <w:tc>
          <w:tcPr>
            <w:cnfStyle w:val="100001000000"/>
            <w:tcW w:w="1705" w:type="dxa"/>
            <w:tcBorders>
              <w:top w:val="single" w:color="000000" w:sz="6" w:space="0"/>
              <w:left w:val="single" w:color="000000" w:sz="6" w:space="0"/>
              <w:bottom w:val="single" w:color="000000" w:sz="6" w:space="0"/>
              <w:right w:val="single" w:color="000000" w:sz="6" w:space="0"/>
            </w:tcBorders>
            <w:shd w:val="clear" w:fill="ffffff"/>
            <w:vAlign w:val="top"/>
          </w:tcPr>
          <w:p w14:paraId="00000213">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 xml:space="preserve">Core Proposition </w:t>
            </w:r>
            <w:r>
              <w:rPr>
                <w:rFonts w:ascii="Arial"/>
                <w:color w:val="000000"/>
                <w:sz w:val="22"/>
                <w:rtl w:val="off"/>
                <w:lang w:val="en-US"/>
              </w:rPr>
              <w:t xml:space="preserve"> </w:t>
            </w:r>
          </w:p>
        </w:tc>
        <w:tc>
          <w:tcPr>
            <w:cnfStyle w:val="100010000000"/>
            <w:tcW w:w="1855" w:type="dxa"/>
            <w:tcBorders>
              <w:top w:val="single" w:color="000000" w:sz="6" w:space="0"/>
              <w:left w:val="single" w:color="000000" w:sz="6" w:space="0"/>
              <w:bottom w:val="single" w:color="000000" w:sz="6" w:space="0"/>
              <w:right w:val="single" w:color="000000" w:sz="6" w:space="0"/>
            </w:tcBorders>
            <w:shd w:val="clear" w:fill="ffffff"/>
            <w:vAlign w:val="top"/>
          </w:tcPr>
          <w:p w14:paraId="00000214">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 xml:space="preserve">Key Evidence Highlights Policy </w:t>
            </w:r>
            <w:r>
              <w:rPr>
                <w:rFonts w:ascii="Arial"/>
                <w:color w:val="000000"/>
                <w:sz w:val="22"/>
                <w:rtl w:val="off"/>
                <w:lang w:val="en-US"/>
              </w:rPr>
              <w:t xml:space="preserve"> </w:t>
            </w:r>
          </w:p>
        </w:tc>
        <w:tc>
          <w:tcPr>
            <w:cnfStyle w:val="100001000000"/>
            <w:tcW w:w="2200" w:type="dxa"/>
            <w:tcBorders>
              <w:top w:val="single" w:color="000000" w:sz="6" w:space="0"/>
              <w:left w:val="single" w:color="000000" w:sz="6" w:space="0"/>
              <w:bottom w:val="single" w:color="000000" w:sz="6" w:space="0"/>
              <w:right w:val="single" w:color="000000" w:sz="6" w:space="0"/>
            </w:tcBorders>
            <w:shd w:val="clear" w:fill="ffffff"/>
            <w:vAlign w:val="top"/>
          </w:tcPr>
          <w:p w14:paraId="00000215">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Policy Implications</w:t>
            </w:r>
            <w:r>
              <w:rPr>
                <w:rFonts w:ascii="Arial"/>
                <w:color w:val="000000"/>
                <w:sz w:val="22"/>
                <w:rtl w:val="off"/>
                <w:lang w:val="en-US"/>
              </w:rPr>
              <w:t xml:space="preserve"> </w:t>
            </w:r>
          </w:p>
        </w:tc>
        <w:tc>
          <w:tcPr>
            <w:cnfStyle w:val="100010000000"/>
            <w:tcW w:w="2190" w:type="dxa"/>
            <w:tcBorders>
              <w:top w:val="single" w:color="000000" w:sz="6" w:space="0"/>
              <w:left w:val="single" w:color="000000" w:sz="6" w:space="0"/>
              <w:bottom w:val="single" w:color="000000" w:sz="6" w:space="0"/>
              <w:right w:val="single" w:color="000000" w:sz="6" w:space="0"/>
            </w:tcBorders>
            <w:shd w:val="clear" w:fill="ffffff"/>
            <w:vAlign w:val="top"/>
          </w:tcPr>
          <w:p w14:paraId="00000216">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Strengths</w:t>
            </w:r>
            <w:r>
              <w:rPr>
                <w:rFonts w:ascii="Arial"/>
                <w:color w:val="000000"/>
                <w:sz w:val="22"/>
                <w:rtl w:val="off"/>
                <w:lang w:val="en-US"/>
              </w:rPr>
              <w:t xml:space="preserve"> </w:t>
            </w:r>
          </w:p>
        </w:tc>
        <w:tc>
          <w:tcPr>
            <w:cnfStyle w:val="100001000000"/>
            <w:tcW w:w="1830" w:type="dxa"/>
            <w:tcBorders>
              <w:top w:val="single" w:color="000000" w:sz="6" w:space="0"/>
              <w:left w:val="single" w:color="000000" w:sz="6" w:space="0"/>
              <w:bottom w:val="single" w:color="000000" w:sz="6" w:space="0"/>
              <w:right w:val="single" w:color="000000" w:sz="6" w:space="0"/>
            </w:tcBorders>
            <w:shd w:val="clear" w:fill="ffffff"/>
            <w:vAlign w:val="top"/>
          </w:tcPr>
          <w:p w14:paraId="00000217">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Limitations</w:t>
            </w:r>
            <w:r>
              <w:rPr>
                <w:rFonts w:ascii="Arial"/>
                <w:color w:val="000000"/>
                <w:sz w:val="22"/>
                <w:rtl w:val="off"/>
                <w:lang w:val="en-US"/>
              </w:rPr>
              <w:t xml:space="preserve"> </w:t>
            </w:r>
          </w:p>
        </w:tc>
      </w:tr>
      <w:tr>
        <w:trPr>
          <w:wBefore w:w="0" w:type="dxa"/>
          <w:jc w:val="left"/>
        </w:trPr>
        <w:tc>
          <w:tcPr>
            <w:cnfStyle w:val="000010000000"/>
            <w:tcW w:w="1665" w:type="dxa"/>
            <w:tcBorders>
              <w:top w:val="single" w:color="000000" w:sz="6" w:space="0"/>
              <w:left w:val="single" w:color="000000" w:sz="6" w:space="0"/>
              <w:bottom w:val="single" w:color="000000" w:sz="6" w:space="0"/>
              <w:right w:val="single" w:color="000000" w:sz="6" w:space="0"/>
            </w:tcBorders>
            <w:shd w:val="clear" w:fill="ffffff"/>
            <w:vAlign w:val="top"/>
          </w:tcPr>
          <w:p w14:paraId="00000218">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Biopsychosocial Model</w:t>
            </w:r>
            <w:r>
              <w:rPr>
                <w:rFonts w:ascii="Arial"/>
                <w:color w:val="000000"/>
                <w:sz w:val="22"/>
                <w:rtl w:val="off"/>
                <w:lang w:val="en-US"/>
              </w:rPr>
              <w:t xml:space="preserve"> </w:t>
            </w:r>
          </w:p>
        </w:tc>
        <w:tc>
          <w:tcPr>
            <w:cnfStyle w:val="000001000000"/>
            <w:tcW w:w="1705" w:type="dxa"/>
            <w:tcBorders>
              <w:top w:val="single" w:color="000000" w:sz="6" w:space="0"/>
              <w:left w:val="single" w:color="000000" w:sz="6" w:space="0"/>
              <w:bottom w:val="single" w:color="000000" w:sz="6" w:space="0"/>
              <w:right w:val="single" w:color="000000" w:sz="6" w:space="0"/>
            </w:tcBorders>
            <w:shd w:val="clear" w:fill="ffffff"/>
            <w:vAlign w:val="top"/>
          </w:tcPr>
          <w:p w14:paraId="00000219">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Health outcomes result from the interplay of biological, psychological, and social variables.</w:t>
            </w:r>
            <w:r>
              <w:rPr>
                <w:rFonts w:ascii="Arial"/>
                <w:color w:val="000000"/>
                <w:sz w:val="22"/>
                <w:rtl w:val="off"/>
                <w:lang w:val="en-US"/>
              </w:rPr>
              <w:t xml:space="preserve"> </w:t>
            </w:r>
          </w:p>
        </w:tc>
        <w:tc>
          <w:tcPr>
            <w:cnfStyle w:val="000010000000"/>
            <w:tcW w:w="1855" w:type="dxa"/>
            <w:tcBorders>
              <w:top w:val="single" w:color="000000" w:sz="6" w:space="0"/>
              <w:left w:val="single" w:color="000000" w:sz="6" w:space="0"/>
              <w:bottom w:val="single" w:color="000000" w:sz="6" w:space="0"/>
              <w:right w:val="single" w:color="000000" w:sz="6" w:space="0"/>
            </w:tcBorders>
            <w:shd w:val="clear" w:fill="ffffff"/>
            <w:vAlign w:val="top"/>
          </w:tcPr>
          <w:p w14:paraId="0000021A">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It identifies multimorbidity, mobility, housing, and social networks as indicators of loneliness-related mental health in elderly people.</w:t>
            </w:r>
            <w:r>
              <w:rPr>
                <w:rFonts w:ascii="Arial"/>
                <w:color w:val="000000"/>
                <w:sz w:val="22"/>
                <w:rtl w:val="off"/>
                <w:lang w:val="en-US"/>
              </w:rPr>
              <w:t xml:space="preserve"> </w:t>
            </w:r>
          </w:p>
        </w:tc>
        <w:tc>
          <w:tcPr>
            <w:cnfStyle w:val="000001000000"/>
            <w:tcW w:w="2200" w:type="dxa"/>
            <w:tcBorders>
              <w:top w:val="single" w:color="000000" w:sz="6" w:space="0"/>
              <w:left w:val="single" w:color="000000" w:sz="6" w:space="0"/>
              <w:bottom w:val="single" w:color="000000" w:sz="6" w:space="0"/>
              <w:right w:val="single" w:color="000000" w:sz="6" w:space="0"/>
            </w:tcBorders>
            <w:shd w:val="clear" w:fill="ffffff"/>
            <w:vAlign w:val="top"/>
          </w:tcPr>
          <w:p w14:paraId="0000021B">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Supports services that work together, interventions that use more than one mode, and coordination between different sectors.</w:t>
            </w:r>
            <w:r>
              <w:rPr>
                <w:rFonts w:ascii="Arial"/>
                <w:color w:val="000000"/>
                <w:sz w:val="22"/>
                <w:rtl w:val="off"/>
                <w:lang w:val="en-US"/>
              </w:rPr>
              <w:t xml:space="preserve"> </w:t>
            </w:r>
          </w:p>
        </w:tc>
        <w:tc>
          <w:tcPr>
            <w:cnfStyle w:val="000010000000"/>
            <w:tcW w:w="2190" w:type="dxa"/>
            <w:tcBorders>
              <w:top w:val="single" w:color="000000" w:sz="6" w:space="0"/>
              <w:left w:val="single" w:color="000000" w:sz="6" w:space="0"/>
              <w:bottom w:val="single" w:color="000000" w:sz="6" w:space="0"/>
              <w:right w:val="single" w:color="000000" w:sz="6" w:space="0"/>
            </w:tcBorders>
            <w:shd w:val="clear" w:fill="ffffff"/>
            <w:vAlign w:val="top"/>
          </w:tcPr>
          <w:p w14:paraId="0000021C">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Holistic goes along with the UK's idea of integrating health and services.</w:t>
            </w:r>
            <w:r>
              <w:rPr>
                <w:rFonts w:ascii="Arial"/>
                <w:color w:val="000000"/>
                <w:sz w:val="22"/>
                <w:rtl w:val="off"/>
                <w:lang w:val="en-US"/>
              </w:rPr>
              <w:t xml:space="preserve"> </w:t>
            </w:r>
          </w:p>
        </w:tc>
        <w:tc>
          <w:tcPr>
            <w:cnfStyle w:val="000001000000"/>
            <w:tcW w:w="1830" w:type="dxa"/>
            <w:tcBorders>
              <w:top w:val="single" w:color="000000" w:sz="6" w:space="0"/>
              <w:left w:val="single" w:color="000000" w:sz="6" w:space="0"/>
              <w:bottom w:val="single" w:color="000000" w:sz="6" w:space="0"/>
              <w:right w:val="single" w:color="000000" w:sz="6" w:space="0"/>
            </w:tcBorders>
            <w:shd w:val="clear" w:fill="ffffff"/>
            <w:vAlign w:val="top"/>
          </w:tcPr>
          <w:p w14:paraId="0000021D">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Can undervalue structural determinants unless connected to ecological environment.</w:t>
            </w:r>
            <w:r>
              <w:rPr>
                <w:rFonts w:ascii="Arial"/>
                <w:color w:val="000000"/>
                <w:sz w:val="22"/>
                <w:rtl w:val="off"/>
                <w:lang w:val="en-US"/>
              </w:rPr>
              <w:t xml:space="preserve"> </w:t>
            </w:r>
          </w:p>
        </w:tc>
      </w:tr>
      <w:tr>
        <w:trPr>
          <w:wBefore w:w="0" w:type="dxa"/>
          <w:jc w:val="left"/>
        </w:trPr>
        <w:tc>
          <w:tcPr>
            <w:cnfStyle w:val="000010000000"/>
            <w:tcW w:w="1665" w:type="dxa"/>
            <w:tcBorders>
              <w:top w:val="single" w:color="000000" w:sz="6" w:space="0"/>
              <w:left w:val="single" w:color="000000" w:sz="6" w:space="0"/>
              <w:bottom w:val="single" w:color="000000" w:sz="6" w:space="0"/>
              <w:right w:val="single" w:color="000000" w:sz="6" w:space="0"/>
            </w:tcBorders>
            <w:shd w:val="clear" w:fill="ffffff"/>
            <w:vAlign w:val="top"/>
          </w:tcPr>
          <w:p w14:paraId="0000021E">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Social Theory</w:t>
            </w:r>
            <w:r>
              <w:rPr>
                <w:rFonts w:ascii="Arial"/>
                <w:color w:val="000000"/>
                <w:sz w:val="22"/>
                <w:rtl w:val="off"/>
                <w:lang w:val="en-US"/>
              </w:rPr>
              <w:t xml:space="preserve"> </w:t>
            </w:r>
          </w:p>
        </w:tc>
        <w:tc>
          <w:tcPr>
            <w:cnfStyle w:val="000001000000"/>
            <w:tcW w:w="1705" w:type="dxa"/>
            <w:tcBorders>
              <w:top w:val="single" w:color="000000" w:sz="6" w:space="0"/>
              <w:left w:val="single" w:color="000000" w:sz="6" w:space="0"/>
              <w:bottom w:val="single" w:color="000000" w:sz="6" w:space="0"/>
              <w:right w:val="single" w:color="000000" w:sz="6" w:space="0"/>
            </w:tcBorders>
            <w:shd w:val="clear" w:fill="ffffff"/>
            <w:vAlign w:val="top"/>
          </w:tcPr>
          <w:p w14:paraId="0000021F">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Networks offer emotional, informational, and practical resources; bonding and bridging links influence well-being.</w:t>
            </w:r>
            <w:r>
              <w:rPr>
                <w:rFonts w:ascii="Arial"/>
                <w:color w:val="000000"/>
                <w:sz w:val="22"/>
                <w:rtl w:val="off"/>
                <w:lang w:val="en-US"/>
              </w:rPr>
              <w:t xml:space="preserve"> </w:t>
            </w:r>
          </w:p>
        </w:tc>
        <w:tc>
          <w:tcPr>
            <w:cnfStyle w:val="000010000000"/>
            <w:tcW w:w="1855" w:type="dxa"/>
            <w:tcBorders>
              <w:top w:val="single" w:color="000000" w:sz="6" w:space="0"/>
              <w:left w:val="single" w:color="000000" w:sz="6" w:space="0"/>
              <w:bottom w:val="single" w:color="000000" w:sz="6" w:space="0"/>
              <w:right w:val="single" w:color="000000" w:sz="6" w:space="0"/>
            </w:tcBorders>
            <w:shd w:val="clear" w:fill="ffffff"/>
            <w:vAlign w:val="top"/>
          </w:tcPr>
          <w:p w14:paraId="00000220">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Community ties that help people be more resilient and less lonely in poor or rural places show how important it is to have trusted local networks.</w:t>
            </w:r>
            <w:r>
              <w:rPr>
                <w:rFonts w:ascii="Arial"/>
                <w:color w:val="000000"/>
                <w:sz w:val="22"/>
                <w:rtl w:val="off"/>
                <w:lang w:val="en-US"/>
              </w:rPr>
              <w:t xml:space="preserve"> </w:t>
            </w:r>
          </w:p>
        </w:tc>
        <w:tc>
          <w:tcPr>
            <w:cnfStyle w:val="000001000000"/>
            <w:tcW w:w="2200" w:type="dxa"/>
            <w:tcBorders>
              <w:top w:val="single" w:color="000000" w:sz="6" w:space="0"/>
              <w:left w:val="single" w:color="000000" w:sz="6" w:space="0"/>
              <w:bottom w:val="single" w:color="000000" w:sz="6" w:space="0"/>
              <w:right w:val="single" w:color="000000" w:sz="6" w:space="0"/>
            </w:tcBorders>
            <w:shd w:val="clear" w:fill="ffffff"/>
            <w:vAlign w:val="top"/>
          </w:tcPr>
          <w:p w14:paraId="00000221">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It helps with community development, co-design, and making the most of local groups.</w:t>
            </w:r>
            <w:r>
              <w:rPr>
                <w:rFonts w:ascii="Arial"/>
                <w:color w:val="000000"/>
                <w:sz w:val="22"/>
                <w:rtl w:val="off"/>
                <w:lang w:val="en-US"/>
              </w:rPr>
              <w:t xml:space="preserve"> </w:t>
            </w:r>
          </w:p>
        </w:tc>
        <w:tc>
          <w:tcPr>
            <w:cnfStyle w:val="000010000000"/>
            <w:tcW w:w="2190" w:type="dxa"/>
            <w:tcBorders>
              <w:top w:val="single" w:color="000000" w:sz="6" w:space="0"/>
              <w:left w:val="single" w:color="000000" w:sz="6" w:space="0"/>
              <w:bottom w:val="single" w:color="000000" w:sz="6" w:space="0"/>
              <w:right w:val="single" w:color="000000" w:sz="6" w:space="0"/>
            </w:tcBorders>
            <w:shd w:val="clear" w:fill="ffffff"/>
            <w:vAlign w:val="top"/>
          </w:tcPr>
          <w:p w14:paraId="00000222">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Actionable for community-level initiatives promotes fairness by fostering network development.</w:t>
            </w:r>
            <w:r>
              <w:rPr>
                <w:rFonts w:ascii="Arial"/>
                <w:color w:val="000000"/>
                <w:sz w:val="22"/>
                <w:rtl w:val="off"/>
                <w:lang w:val="en-US"/>
              </w:rPr>
              <w:t xml:space="preserve"> </w:t>
            </w:r>
          </w:p>
        </w:tc>
        <w:tc>
          <w:tcPr>
            <w:cnfStyle w:val="000001000000"/>
            <w:tcW w:w="1830" w:type="dxa"/>
            <w:tcBorders>
              <w:top w:val="single" w:color="000000" w:sz="6" w:space="0"/>
              <w:left w:val="single" w:color="000000" w:sz="6" w:space="0"/>
              <w:bottom w:val="single" w:color="000000" w:sz="6" w:space="0"/>
              <w:right w:val="single" w:color="000000" w:sz="6" w:space="0"/>
            </w:tcBorders>
            <w:shd w:val="clear" w:fill="ffffff"/>
            <w:vAlign w:val="top"/>
          </w:tcPr>
          <w:p w14:paraId="00000223">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May ignore individual capacity restrictions if networks are thought to be open to everyone.</w:t>
            </w:r>
            <w:r>
              <w:rPr>
                <w:rFonts w:ascii="Arial"/>
                <w:color w:val="000000"/>
                <w:sz w:val="22"/>
                <w:rtl w:val="off"/>
                <w:lang w:val="en-US"/>
              </w:rPr>
              <w:t xml:space="preserve"> </w:t>
            </w:r>
          </w:p>
        </w:tc>
      </w:tr>
      <w:tr>
        <w:trPr>
          <w:wBefore w:w="0" w:type="dxa"/>
          <w:jc w:val="left"/>
        </w:trPr>
        <w:tc>
          <w:tcPr>
            <w:cnfStyle w:val="000010000000"/>
            <w:tcW w:w="1665" w:type="dxa"/>
            <w:tcBorders>
              <w:top w:val="single" w:color="000000" w:sz="6" w:space="0"/>
              <w:left w:val="single" w:color="000000" w:sz="6" w:space="0"/>
              <w:bottom w:val="single" w:color="000000" w:sz="6" w:space="0"/>
              <w:right w:val="single" w:color="000000" w:sz="6" w:space="0"/>
            </w:tcBorders>
            <w:shd w:val="clear" w:fill="ffffff"/>
            <w:vAlign w:val="top"/>
          </w:tcPr>
          <w:p w14:paraId="00000224">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Transactional Social Support Theory</w:t>
            </w:r>
            <w:r>
              <w:rPr>
                <w:rFonts w:ascii="Arial"/>
                <w:color w:val="000000"/>
                <w:sz w:val="22"/>
                <w:rtl w:val="off"/>
                <w:lang w:val="en-US"/>
              </w:rPr>
              <w:t xml:space="preserve"> </w:t>
            </w:r>
          </w:p>
        </w:tc>
        <w:tc>
          <w:tcPr>
            <w:cnfStyle w:val="000001000000"/>
            <w:tcW w:w="1705" w:type="dxa"/>
            <w:tcBorders>
              <w:top w:val="single" w:color="000000" w:sz="6" w:space="0"/>
              <w:left w:val="single" w:color="000000" w:sz="6" w:space="0"/>
              <w:bottom w:val="single" w:color="000000" w:sz="6" w:space="0"/>
              <w:right w:val="single" w:color="000000" w:sz="6" w:space="0"/>
            </w:tcBorders>
            <w:shd w:val="clear" w:fill="ffffff"/>
            <w:vAlign w:val="top"/>
          </w:tcPr>
          <w:p w14:paraId="00000225">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The perceived quality of support mitigates stress and depressive symptoms; relationship satisfaction is significant.</w:t>
            </w:r>
            <w:r>
              <w:rPr>
                <w:rFonts w:ascii="Arial"/>
                <w:color w:val="000000"/>
                <w:sz w:val="22"/>
                <w:rtl w:val="off"/>
                <w:lang w:val="en-US"/>
              </w:rPr>
              <w:t xml:space="preserve"> </w:t>
            </w:r>
          </w:p>
        </w:tc>
        <w:tc>
          <w:tcPr>
            <w:cnfStyle w:val="000010000000"/>
            <w:tcW w:w="1855" w:type="dxa"/>
            <w:tcBorders>
              <w:top w:val="single" w:color="000000" w:sz="6" w:space="0"/>
              <w:left w:val="single" w:color="000000" w:sz="6" w:space="0"/>
              <w:bottom w:val="single" w:color="000000" w:sz="6" w:space="0"/>
              <w:right w:val="single" w:color="000000" w:sz="6" w:space="0"/>
            </w:tcBorders>
            <w:shd w:val="clear" w:fill="ffffff"/>
            <w:vAlign w:val="top"/>
          </w:tcPr>
          <w:p w14:paraId="00000226">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Perceived support affects the relationship between loneliness and depression, potentially offsetting the constraints of limited objective commitments.</w:t>
            </w:r>
            <w:r>
              <w:rPr>
                <w:rFonts w:ascii="Arial"/>
                <w:color w:val="000000"/>
                <w:sz w:val="22"/>
                <w:rtl w:val="off"/>
                <w:lang w:val="en-US"/>
              </w:rPr>
              <w:t xml:space="preserve"> </w:t>
            </w:r>
          </w:p>
        </w:tc>
        <w:tc>
          <w:tcPr>
            <w:cnfStyle w:val="000001000000"/>
            <w:tcW w:w="2200" w:type="dxa"/>
            <w:tcBorders>
              <w:top w:val="single" w:color="000000" w:sz="6" w:space="0"/>
              <w:left w:val="single" w:color="000000" w:sz="6" w:space="0"/>
              <w:bottom w:val="single" w:color="000000" w:sz="6" w:space="0"/>
              <w:right w:val="single" w:color="000000" w:sz="6" w:space="0"/>
            </w:tcBorders>
            <w:shd w:val="clear" w:fill="ffffff"/>
            <w:vAlign w:val="top"/>
          </w:tcPr>
          <w:p w14:paraId="00000227">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Stresses the need to improve the quality of relationships and support that people feel they are getting from services and programs.</w:t>
            </w:r>
            <w:r>
              <w:rPr>
                <w:rFonts w:ascii="Arial"/>
                <w:color w:val="000000"/>
                <w:sz w:val="22"/>
                <w:rtl w:val="off"/>
                <w:lang w:val="en-US"/>
              </w:rPr>
              <w:t xml:space="preserve"> </w:t>
            </w:r>
          </w:p>
        </w:tc>
        <w:tc>
          <w:tcPr>
            <w:cnfStyle w:val="000010000000"/>
            <w:tcW w:w="2190" w:type="dxa"/>
            <w:tcBorders>
              <w:top w:val="single" w:color="000000" w:sz="6" w:space="0"/>
              <w:left w:val="single" w:color="000000" w:sz="6" w:space="0"/>
              <w:bottom w:val="single" w:color="000000" w:sz="6" w:space="0"/>
              <w:right w:val="single" w:color="000000" w:sz="6" w:space="0"/>
            </w:tcBorders>
            <w:shd w:val="clear" w:fill="ffffff"/>
            <w:vAlign w:val="top"/>
          </w:tcPr>
          <w:p w14:paraId="00000228">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Emphasises subjective experience that is important to social prescribing and peer support.</w:t>
            </w:r>
            <w:r>
              <w:rPr>
                <w:rFonts w:ascii="Arial"/>
                <w:color w:val="000000"/>
                <w:sz w:val="22"/>
                <w:rtl w:val="off"/>
                <w:lang w:val="en-US"/>
              </w:rPr>
              <w:t xml:space="preserve"> </w:t>
            </w:r>
          </w:p>
        </w:tc>
        <w:tc>
          <w:tcPr>
            <w:cnfStyle w:val="000001000000"/>
            <w:tcW w:w="1830" w:type="dxa"/>
            <w:tcBorders>
              <w:top w:val="single" w:color="000000" w:sz="6" w:space="0"/>
              <w:left w:val="single" w:color="000000" w:sz="6" w:space="0"/>
              <w:bottom w:val="single" w:color="000000" w:sz="6" w:space="0"/>
              <w:right w:val="single" w:color="000000" w:sz="6" w:space="0"/>
            </w:tcBorders>
            <w:shd w:val="clear" w:fill="ffffff"/>
            <w:vAlign w:val="top"/>
          </w:tcPr>
          <w:p w14:paraId="00000229">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Dependence on precise evaluations may overlook structural accessibility problems or social stigma.</w:t>
            </w:r>
            <w:r>
              <w:rPr>
                <w:rFonts w:ascii="Arial"/>
                <w:color w:val="000000"/>
                <w:sz w:val="22"/>
                <w:rtl w:val="off"/>
                <w:lang w:val="en-US"/>
              </w:rPr>
              <w:t xml:space="preserve"> </w:t>
            </w:r>
          </w:p>
        </w:tc>
      </w:tr>
      <w:tr>
        <w:trPr>
          <w:wBefore w:w="0" w:type="dxa"/>
          <w:jc w:val="left"/>
        </w:trPr>
        <w:tc>
          <w:tcPr>
            <w:cnfStyle w:val="000010000000"/>
            <w:tcW w:w="1665" w:type="dxa"/>
            <w:tcBorders>
              <w:top w:val="single" w:color="000000" w:sz="6" w:space="0"/>
              <w:left w:val="single" w:color="000000" w:sz="6" w:space="0"/>
              <w:bottom w:val="single" w:color="000000" w:sz="6" w:space="0"/>
              <w:right w:val="single" w:color="000000" w:sz="6" w:space="0"/>
            </w:tcBorders>
            <w:shd w:val="clear" w:fill="ffffff"/>
            <w:vAlign w:val="top"/>
          </w:tcPr>
          <w:p w14:paraId="0000022A">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Ecological Systems Theory</w:t>
            </w:r>
            <w:r>
              <w:rPr>
                <w:rFonts w:ascii="Arial"/>
                <w:color w:val="000000"/>
                <w:sz w:val="22"/>
                <w:rtl w:val="off"/>
                <w:lang w:val="en-US"/>
              </w:rPr>
              <w:t xml:space="preserve"> </w:t>
            </w:r>
          </w:p>
        </w:tc>
        <w:tc>
          <w:tcPr>
            <w:cnfStyle w:val="000001000000"/>
            <w:tcW w:w="1705" w:type="dxa"/>
            <w:tcBorders>
              <w:top w:val="single" w:color="000000" w:sz="6" w:space="0"/>
              <w:left w:val="single" w:color="000000" w:sz="6" w:space="0"/>
              <w:bottom w:val="single" w:color="000000" w:sz="6" w:space="0"/>
              <w:right w:val="single" w:color="000000" w:sz="6" w:space="0"/>
            </w:tcBorders>
            <w:shd w:val="clear" w:fill="ffffff"/>
            <w:vAlign w:val="top"/>
          </w:tcPr>
          <w:p w14:paraId="0000022B">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Multiple contextual factors, ranging from person to policy, influence health outcomes across several levels.</w:t>
            </w:r>
            <w:r>
              <w:rPr>
                <w:rFonts w:ascii="Arial"/>
                <w:color w:val="000000"/>
                <w:sz w:val="22"/>
                <w:rtl w:val="off"/>
                <w:lang w:val="en-US"/>
              </w:rPr>
              <w:t xml:space="preserve"> </w:t>
            </w:r>
          </w:p>
        </w:tc>
        <w:tc>
          <w:tcPr>
            <w:cnfStyle w:val="000010000000"/>
            <w:tcW w:w="1855" w:type="dxa"/>
            <w:tcBorders>
              <w:top w:val="single" w:color="000000" w:sz="6" w:space="0"/>
              <w:left w:val="single" w:color="000000" w:sz="6" w:space="0"/>
              <w:bottom w:val="single" w:color="000000" w:sz="6" w:space="0"/>
              <w:right w:val="single" w:color="000000" w:sz="6" w:space="0"/>
            </w:tcBorders>
            <w:shd w:val="clear" w:fill="ffffff"/>
            <w:vAlign w:val="top"/>
          </w:tcPr>
          <w:p w14:paraId="0000022C">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Talks about how housing, transport, and regional policy affect social connections and access to care in the UK.</w:t>
            </w:r>
            <w:r>
              <w:rPr>
                <w:rFonts w:ascii="Arial"/>
                <w:color w:val="000000"/>
                <w:sz w:val="22"/>
                <w:rtl w:val="off"/>
                <w:lang w:val="en-US"/>
              </w:rPr>
              <w:t xml:space="preserve"> </w:t>
            </w:r>
          </w:p>
        </w:tc>
        <w:tc>
          <w:tcPr>
            <w:cnfStyle w:val="000001000000"/>
            <w:tcW w:w="2200" w:type="dxa"/>
            <w:tcBorders>
              <w:top w:val="single" w:color="000000" w:sz="6" w:space="0"/>
              <w:left w:val="single" w:color="000000" w:sz="6" w:space="0"/>
              <w:bottom w:val="single" w:color="000000" w:sz="6" w:space="0"/>
              <w:right w:val="single" w:color="000000" w:sz="6" w:space="0"/>
            </w:tcBorders>
            <w:shd w:val="clear" w:fill="ffffff"/>
            <w:vAlign w:val="top"/>
          </w:tcPr>
          <w:p w14:paraId="0000022D">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Supports policy and intervention designs that work at all levels, including individuals, communities, and governments.</w:t>
            </w:r>
            <w:r>
              <w:rPr>
                <w:rFonts w:ascii="Arial"/>
                <w:color w:val="000000"/>
                <w:sz w:val="22"/>
                <w:rtl w:val="off"/>
                <w:lang w:val="en-US"/>
              </w:rPr>
              <w:t xml:space="preserve"> </w:t>
            </w:r>
          </w:p>
        </w:tc>
        <w:tc>
          <w:tcPr>
            <w:cnfStyle w:val="000010000000"/>
            <w:tcW w:w="2190" w:type="dxa"/>
            <w:tcBorders>
              <w:top w:val="single" w:color="000000" w:sz="6" w:space="0"/>
              <w:left w:val="single" w:color="000000" w:sz="6" w:space="0"/>
              <w:bottom w:val="single" w:color="000000" w:sz="6" w:space="0"/>
              <w:right w:val="single" w:color="000000" w:sz="6" w:space="0"/>
            </w:tcBorders>
            <w:shd w:val="clear" w:fill="ffffff"/>
            <w:vAlign w:val="top"/>
          </w:tcPr>
          <w:p w14:paraId="0000022E">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Supports policy and intervention designs that work at several levels and bring together individuals, communities, and governments.</w:t>
            </w:r>
            <w:r>
              <w:rPr>
                <w:rFonts w:ascii="Arial"/>
                <w:color w:val="000000"/>
                <w:sz w:val="22"/>
                <w:rtl w:val="off"/>
                <w:lang w:val="en-US"/>
              </w:rPr>
              <w:t xml:space="preserve"> </w:t>
            </w:r>
          </w:p>
        </w:tc>
        <w:tc>
          <w:tcPr>
            <w:cnfStyle w:val="000001000000"/>
            <w:tcW w:w="1830" w:type="dxa"/>
            <w:tcBorders>
              <w:top w:val="single" w:color="000000" w:sz="6" w:space="0"/>
              <w:left w:val="single" w:color="000000" w:sz="6" w:space="0"/>
              <w:bottom w:val="single" w:color="000000" w:sz="6" w:space="0"/>
              <w:right w:val="single" w:color="000000" w:sz="6" w:space="0"/>
            </w:tcBorders>
            <w:shd w:val="clear" w:fill="ffffff"/>
            <w:vAlign w:val="top"/>
          </w:tcPr>
          <w:p w14:paraId="0000022F">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2"/>
                <w:lang w:val="en-US"/>
              </w:rPr>
            </w:pPr>
            <w:r>
              <w:rPr>
                <w:rFonts w:ascii="Arial"/>
                <w:color w:val="000000"/>
                <w:sz w:val="22"/>
                <w:rtl w:val="off"/>
                <w:lang w:val="en-US"/>
              </w:rPr>
              <w:t>Complexity may obstruct accurate measurement and attribution of effects.</w:t>
            </w:r>
            <w:r>
              <w:rPr>
                <w:rFonts w:ascii="Arial"/>
                <w:color w:val="000000"/>
                <w:sz w:val="22"/>
                <w:rtl w:val="off"/>
                <w:lang w:val="en-US"/>
              </w:rPr>
              <w:t xml:space="preserve"> </w:t>
            </w:r>
          </w:p>
        </w:tc>
      </w:tr>
    </w:tbl>
    <w:p w14:paraId="00000230">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60" w:line="240" w:lineRule="auto"/>
        <w:ind w:left="0" w:right="0" w:firstLine="0"/>
        <w:jc w:val="left"/>
        <w:rPr>
          <w:rFonts w:ascii="Segoe UI"/>
          <w:color w:val="000000"/>
          <w:sz w:val="18"/>
          <w:lang w:val="en-US"/>
        </w:rPr>
      </w:pPr>
      <w:r>
        <w:rPr>
          <w:rFonts w:ascii="Arial"/>
          <w:color w:val="000000"/>
          <w:sz w:val="22"/>
          <w:highlight w:val="none"/>
          <w:rtl w:val="off"/>
          <w:lang w:val="en-US"/>
        </w:rPr>
        <w:t xml:space="preserve"> </w:t>
      </w:r>
    </w:p>
    <w:p w14:paraId="00000231">
      <w:pPr>
        <w:pStyle w:val="Heading1"/>
        <w:ind w:left="0"/>
        <w:jc w:val="left"/>
        <w:rPr>
          <w:rFonts w:ascii="Aptos" w:hAnsi="Aptos"/>
          <w:sz w:val="28"/>
          <w:szCs w:val="28"/>
        </w:rPr>
      </w:pPr>
    </w:p>
    <w:p w14:paraId="00000232">
      <w:pPr>
        <w:pStyle w:val="Heading1"/>
        <w:ind w:left="0"/>
        <w:jc w:val="left"/>
        <w:rPr>
          <w:rFonts w:ascii="Aptos" w:hAnsi="Aptos"/>
          <w:sz w:val="28"/>
          <w:szCs w:val="28"/>
        </w:rPr>
      </w:pPr>
    </w:p>
    <w:p w14:paraId="0000023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olor w:val="000000"/>
          <w:sz w:val="22"/>
          <w:highlight w:val="white"/>
          <w:rtl w:val="off"/>
          <w:lang w:val="en-US"/>
        </w:rPr>
      </w:pPr>
    </w:p>
    <w:p w14:paraId="0000023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olor w:val="000000"/>
          <w:sz w:val="22"/>
          <w:highlight w:val="white"/>
          <w:rtl w:val="off"/>
          <w:lang w:val="en-US"/>
        </w:rPr>
      </w:pPr>
    </w:p>
    <w:p w14:paraId="0000023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olor w:val="000000"/>
          <w:sz w:val="22"/>
          <w:highlight w:val="white"/>
          <w:rtl w:val="off"/>
          <w:lang w:val="en-US"/>
        </w:rPr>
      </w:pPr>
    </w:p>
    <w:p w14:paraId="0000023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Arial"/>
          <w:color w:val="000000"/>
          <w:sz w:val="22"/>
          <w:highlight w:val="white"/>
          <w:rtl w:val="off"/>
          <w:lang w:val="en-US"/>
        </w:rPr>
        <w:t xml:space="preserve"> </w:t>
      </w:r>
      <w:r>
        <w:rPr>
          <w:rFonts w:ascii="Arial"/>
          <w:color w:val="000000"/>
          <w:sz w:val="22"/>
          <w:highlight w:val="none"/>
          <w:rtl w:val="off"/>
          <w:lang w:val="en-US"/>
        </w:rPr>
        <w:t xml:space="preserve"> </w:t>
      </w:r>
      <w:r>
        <w:rPr>
          <w:rFonts w:ascii="Segoe UI"/>
          <w:color w:val="000000"/>
          <w:sz w:val="18"/>
          <w:rtl w:val="off"/>
          <w:lang w:val="en-US"/>
        </w:rPr>
        <w:t xml:space="preserve"> </w:t>
      </w:r>
    </w:p>
    <w:p w14:paraId="0000023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olor w:val="000000"/>
          <w:sz w:val="22"/>
          <w:highlight w:val="none"/>
          <w:rtl w:val="off"/>
          <w:lang w:val="en-US"/>
        </w:rPr>
      </w:pPr>
      <w:r>
        <w:rPr>
          <w:rFonts w:ascii="Arial"/>
          <w:b/>
          <w:color w:val="000000"/>
          <w:sz w:val="22"/>
          <w:highlight w:val="white"/>
          <w:rtl w:val="off"/>
          <w:lang w:val="en-US"/>
        </w:rPr>
        <w:t>Appendix A Source Tracking Table</w:t>
      </w:r>
      <w:r>
        <w:rPr>
          <w:rFonts w:ascii="Arial"/>
          <w:color w:val="000000"/>
          <w:sz w:val="22"/>
          <w:highlight w:val="white"/>
          <w:rtl w:val="off"/>
          <w:lang w:val="en-US"/>
        </w:rPr>
        <w:t xml:space="preserve"> </w:t>
      </w:r>
      <w:r>
        <w:rPr>
          <w:rFonts w:ascii="Arial"/>
          <w:color w:val="000000"/>
          <w:sz w:val="22"/>
          <w:highlight w:val="none"/>
          <w:rtl w:val="off"/>
          <w:lang w:val="en-US"/>
        </w:rPr>
        <w:t xml:space="preserve"> </w:t>
      </w:r>
    </w:p>
    <w:p w14:paraId="0000023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tbl>
      <w:tblPr>
        <w:bidiVisual w:val="off"/>
        <w:tblW w:w="11492" w:type="dxa"/>
        <w:jc w:val="left"/>
        <w:tblInd w:w="-124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0" w:type="dxa"/>
          <w:left w:w="10" w:type="dxa"/>
          <w:bottom w:w="10" w:type="dxa"/>
          <w:right w:w="10" w:type="dxa"/>
        </w:tblCellMar>
      </w:tblPr>
      <w:tblGrid>
        <w:gridCol w:w="690"/>
        <w:gridCol w:w="1325"/>
        <w:gridCol w:w="2068"/>
        <w:gridCol w:w="2540"/>
        <w:gridCol w:w="2090"/>
        <w:gridCol w:w="2779"/>
      </w:tblGrid>
      <w:tr>
        <w:trPr>
          <w:wBefore w:w="0" w:type="dxa"/>
          <w:jc w:val="left"/>
        </w:trPr>
        <w:tc>
          <w:tcPr>
            <w:cnfStyle w:val="100010000000"/>
            <w:tcW w:w="690" w:type="dxa"/>
            <w:tcBorders>
              <w:top w:val="single" w:color="000000" w:sz="6" w:space="0"/>
              <w:left w:val="single" w:color="000000" w:sz="6" w:space="0"/>
              <w:bottom w:val="single" w:color="000000" w:sz="6" w:space="0"/>
              <w:right w:val="single" w:color="000000" w:sz="6" w:space="0"/>
            </w:tcBorders>
            <w:shd w:val="clear" w:fill="ffffff"/>
            <w:vAlign w:val="top"/>
          </w:tcPr>
          <w:p w14:paraId="00000239">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Saved?</w:t>
            </w:r>
            <w:r>
              <w:rPr>
                <w:rFonts w:ascii="Segoe UI"/>
                <w:color w:val="000000"/>
                <w:sz w:val="24"/>
                <w:rtl w:val="off"/>
                <w:lang w:val="en-US"/>
              </w:rPr>
              <w:t xml:space="preserve"> </w:t>
            </w:r>
          </w:p>
        </w:tc>
        <w:tc>
          <w:tcPr>
            <w:cnfStyle w:val="100001000000"/>
            <w:tcW w:w="1325" w:type="dxa"/>
            <w:tcBorders>
              <w:top w:val="single" w:color="000000" w:sz="6" w:space="0"/>
              <w:left w:val="single" w:color="000000" w:sz="6" w:space="0"/>
              <w:bottom w:val="single" w:color="000000" w:sz="6" w:space="0"/>
              <w:right w:val="single" w:color="000000" w:sz="6" w:space="0"/>
            </w:tcBorders>
            <w:shd w:val="clear" w:fill="ffffff"/>
            <w:vAlign w:val="top"/>
          </w:tcPr>
          <w:p w14:paraId="0000023A">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Author(s) &amp; Year</w:t>
            </w:r>
            <w:r>
              <w:rPr>
                <w:rFonts w:ascii="Segoe UI"/>
                <w:color w:val="000000"/>
                <w:sz w:val="24"/>
                <w:rtl w:val="off"/>
                <w:lang w:val="en-US"/>
              </w:rPr>
              <w:t xml:space="preserve"> </w:t>
            </w:r>
          </w:p>
        </w:tc>
        <w:tc>
          <w:tcPr>
            <w:cnfStyle w:val="100010000000"/>
            <w:tcW w:w="2068" w:type="dxa"/>
            <w:tcBorders>
              <w:top w:val="single" w:color="000000" w:sz="6" w:space="0"/>
              <w:left w:val="single" w:color="000000" w:sz="6" w:space="0"/>
              <w:bottom w:val="single" w:color="000000" w:sz="6" w:space="0"/>
              <w:right w:val="single" w:color="000000" w:sz="6" w:space="0"/>
            </w:tcBorders>
            <w:shd w:val="clear" w:fill="ffffff"/>
            <w:vAlign w:val="top"/>
          </w:tcPr>
          <w:p w14:paraId="0000023B">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Title</w:t>
            </w:r>
            <w:r>
              <w:rPr>
                <w:rFonts w:ascii="Segoe UI"/>
                <w:color w:val="000000"/>
                <w:sz w:val="24"/>
                <w:rtl w:val="off"/>
                <w:lang w:val="en-US"/>
              </w:rPr>
              <w:t xml:space="preserve"> </w:t>
            </w:r>
          </w:p>
        </w:tc>
        <w:tc>
          <w:tcPr>
            <w:cnfStyle w:val="100001000000"/>
            <w:tcW w:w="2540" w:type="dxa"/>
            <w:tcBorders>
              <w:top w:val="single" w:color="000000" w:sz="6" w:space="0"/>
              <w:left w:val="single" w:color="000000" w:sz="6" w:space="0"/>
              <w:bottom w:val="single" w:color="000000" w:sz="6" w:space="0"/>
              <w:right w:val="single" w:color="000000" w:sz="6" w:space="0"/>
            </w:tcBorders>
            <w:shd w:val="clear" w:fill="ffffff"/>
            <w:vAlign w:val="top"/>
          </w:tcPr>
          <w:p w14:paraId="0000023C">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Summary</w:t>
            </w:r>
            <w:r>
              <w:rPr>
                <w:rFonts w:ascii="Segoe UI"/>
                <w:color w:val="000000"/>
                <w:sz w:val="24"/>
                <w:rtl w:val="off"/>
                <w:lang w:val="en-US"/>
              </w:rPr>
              <w:t xml:space="preserve"> </w:t>
            </w:r>
          </w:p>
        </w:tc>
        <w:tc>
          <w:tcPr>
            <w:cnfStyle w:val="100010000000"/>
            <w:tcW w:w="2090" w:type="dxa"/>
            <w:tcBorders>
              <w:top w:val="single" w:color="000000" w:sz="6" w:space="0"/>
              <w:left w:val="single" w:color="000000" w:sz="6" w:space="0"/>
              <w:bottom w:val="single" w:color="000000" w:sz="6" w:space="0"/>
              <w:right w:val="single" w:color="000000" w:sz="6" w:space="0"/>
            </w:tcBorders>
            <w:shd w:val="clear" w:fill="ffffff"/>
            <w:vAlign w:val="top"/>
          </w:tcPr>
          <w:p w14:paraId="0000023D">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CRAAP Notes</w:t>
            </w:r>
            <w:r>
              <w:rPr>
                <w:rFonts w:ascii="Segoe UI"/>
                <w:color w:val="000000"/>
                <w:sz w:val="24"/>
                <w:rtl w:val="off"/>
                <w:lang w:val="en-US"/>
              </w:rPr>
              <w:t xml:space="preserve"> </w:t>
            </w:r>
          </w:p>
        </w:tc>
        <w:tc>
          <w:tcPr>
            <w:cnfStyle w:val="100001000000"/>
            <w:tcW w:w="2779" w:type="dxa"/>
            <w:tcBorders>
              <w:top w:val="single" w:color="000000" w:sz="6" w:space="0"/>
              <w:left w:val="single" w:color="000000" w:sz="6" w:space="0"/>
              <w:bottom w:val="single" w:color="000000" w:sz="6" w:space="0"/>
              <w:right w:val="single" w:color="000000" w:sz="6" w:space="0"/>
            </w:tcBorders>
            <w:shd w:val="clear" w:fill="ffffff"/>
            <w:vAlign w:val="top"/>
          </w:tcPr>
          <w:p w14:paraId="0000023E">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Link to Source</w:t>
            </w:r>
          </w:p>
        </w:tc>
      </w:tr>
      <w:tr>
        <w:trPr>
          <w:wBefore w:w="0" w:type="dxa"/>
          <w:jc w:val="left"/>
        </w:trPr>
        <w:tc>
          <w:tcPr>
            <w:cnfStyle w:val="000010000000"/>
            <w:tcW w:w="690" w:type="dxa"/>
            <w:tcBorders>
              <w:top w:val="single" w:color="000000" w:sz="6" w:space="0"/>
              <w:left w:val="single" w:color="000000" w:sz="6" w:space="0"/>
              <w:bottom w:val="single" w:color="000000" w:sz="6" w:space="0"/>
              <w:right w:val="single" w:color="000000" w:sz="6" w:space="0"/>
            </w:tcBorders>
            <w:shd w:val="clear" w:fill="ffffff"/>
            <w:vAlign w:val="top"/>
          </w:tcPr>
          <w:p w14:paraId="0000023F">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Yes</w:t>
            </w:r>
            <w:r>
              <w:rPr>
                <w:rFonts w:ascii="Segoe UI"/>
                <w:color w:val="000000"/>
                <w:sz w:val="24"/>
                <w:rtl w:val="off"/>
                <w:lang w:val="en-US"/>
              </w:rPr>
              <w:t xml:space="preserve"> </w:t>
            </w:r>
          </w:p>
        </w:tc>
        <w:tc>
          <w:tcPr>
            <w:cnfStyle w:val="000001000000"/>
            <w:tcW w:w="1325" w:type="dxa"/>
            <w:tcBorders>
              <w:top w:val="single" w:color="000000" w:sz="6" w:space="0"/>
              <w:left w:val="single" w:color="000000" w:sz="6" w:space="0"/>
              <w:bottom w:val="single" w:color="000000" w:sz="6" w:space="0"/>
              <w:right w:val="single" w:color="000000" w:sz="6" w:space="0"/>
            </w:tcBorders>
            <w:shd w:val="clear" w:fill="ffffff"/>
            <w:vAlign w:val="top"/>
          </w:tcPr>
          <w:p w14:paraId="00000240">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Age UK (2022)</w:t>
            </w:r>
            <w:r>
              <w:rPr>
                <w:rFonts w:ascii="Segoe UI"/>
                <w:color w:val="000000"/>
                <w:sz w:val="24"/>
                <w:rtl w:val="off"/>
                <w:lang w:val="en-US"/>
              </w:rPr>
              <w:t xml:space="preserve"> </w:t>
            </w:r>
          </w:p>
        </w:tc>
        <w:tc>
          <w:tcPr>
            <w:cnfStyle w:val="000010000000"/>
            <w:tcW w:w="2068" w:type="dxa"/>
            <w:tcBorders>
              <w:top w:val="single" w:color="000000" w:sz="6" w:space="0"/>
              <w:left w:val="single" w:color="000000" w:sz="6" w:space="0"/>
              <w:bottom w:val="single" w:color="000000" w:sz="6" w:space="0"/>
              <w:right w:val="single" w:color="000000" w:sz="6" w:space="0"/>
            </w:tcBorders>
            <w:shd w:val="clear" w:fill="ffffff"/>
            <w:vAlign w:val="top"/>
          </w:tcPr>
          <w:p w14:paraId="00000241">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Aiming High? Loneliness and Older People in the UK</w:t>
            </w:r>
            <w:r>
              <w:rPr>
                <w:rFonts w:ascii="Segoe UI"/>
                <w:color w:val="000000"/>
                <w:sz w:val="24"/>
                <w:rtl w:val="off"/>
                <w:lang w:val="en-US"/>
              </w:rPr>
              <w:t xml:space="preserve"> </w:t>
            </w:r>
          </w:p>
        </w:tc>
        <w:tc>
          <w:tcPr>
            <w:cnfStyle w:val="000001000000"/>
            <w:tcW w:w="2540" w:type="dxa"/>
            <w:tcBorders>
              <w:top w:val="single" w:color="000000" w:sz="6" w:space="0"/>
              <w:left w:val="single" w:color="000000" w:sz="6" w:space="0"/>
              <w:bottom w:val="single" w:color="000000" w:sz="6" w:space="0"/>
              <w:right w:val="single" w:color="000000" w:sz="6" w:space="0"/>
            </w:tcBorders>
            <w:shd w:val="clear" w:fill="ffffff"/>
            <w:vAlign w:val="top"/>
          </w:tcPr>
          <w:p w14:paraId="00000242">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Synthesises policy landscape and interventions for loneliness among 65+.</w:t>
            </w:r>
            <w:r>
              <w:rPr>
                <w:rFonts w:ascii="Segoe UI"/>
                <w:color w:val="000000"/>
                <w:sz w:val="24"/>
                <w:rtl w:val="off"/>
                <w:lang w:val="en-US"/>
              </w:rPr>
              <w:t xml:space="preserve"> </w:t>
            </w:r>
          </w:p>
        </w:tc>
        <w:tc>
          <w:tcPr>
            <w:cnfStyle w:val="000010000000"/>
            <w:tcW w:w="2090" w:type="dxa"/>
            <w:tcBorders>
              <w:top w:val="single" w:color="000000" w:sz="6" w:space="0"/>
              <w:left w:val="single" w:color="000000" w:sz="6" w:space="0"/>
              <w:bottom w:val="single" w:color="000000" w:sz="6" w:space="0"/>
              <w:right w:val="single" w:color="000000" w:sz="6" w:space="0"/>
            </w:tcBorders>
            <w:shd w:val="clear" w:fill="ffffff"/>
            <w:vAlign w:val="top"/>
          </w:tcPr>
          <w:p w14:paraId="00000243">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Current, NGO, policy guidance</w:t>
            </w:r>
            <w:r>
              <w:rPr>
                <w:rFonts w:ascii="Segoe UI"/>
                <w:color w:val="000000"/>
                <w:sz w:val="24"/>
                <w:rtl w:val="off"/>
                <w:lang w:val="en-US"/>
              </w:rPr>
              <w:t xml:space="preserve"> </w:t>
            </w:r>
          </w:p>
        </w:tc>
        <w:tc>
          <w:tcPr>
            <w:cnfStyle w:val="000001000000"/>
            <w:tcW w:w="2779" w:type="dxa"/>
            <w:tcBorders>
              <w:top w:val="single" w:color="000000" w:sz="6" w:space="0"/>
              <w:left w:val="single" w:color="000000" w:sz="6" w:space="0"/>
              <w:bottom w:val="single" w:color="000000" w:sz="6" w:space="0"/>
              <w:right w:val="single" w:color="000000" w:sz="6" w:space="0"/>
            </w:tcBorders>
            <w:shd w:val="clear" w:fill="ffffff"/>
            <w:vAlign w:val="top"/>
          </w:tcPr>
          <w:p w14:paraId="00000244">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18"/>
                <w:lang w:val="en-US"/>
              </w:rPr>
            </w:pPr>
            <w:r>
              <w:rPr>
                <w:rFonts w:ascii="Segoe UI"/>
                <w:color w:val="467886"/>
                <w:sz w:val="24"/>
                <w:u w:val="single"/>
                <w:rtl w:val="off"/>
                <w:lang w:val="en-US"/>
              </w:rPr>
              <w:fldChar w:fldCharType="begin"/>
            </w:r>
            <w:r>
              <w:rPr>
                <w:rFonts w:ascii="Segoe UI"/>
                <w:color w:val="467886"/>
                <w:sz w:val="24"/>
                <w:u w:val="single"/>
                <w:rtl w:val="off"/>
                <w:lang w:val="en-US"/>
              </w:rPr>
              <w:instrText xml:space="preserve"> HYPERLINK "https://www.ageuk.org.uk/" </w:instrText>
            </w:r>
            <w:r>
              <w:rPr>
                <w:rFonts w:ascii="Segoe UI"/>
                <w:color w:val="467886"/>
                <w:sz w:val="24"/>
                <w:u w:val="single"/>
                <w:rtl w:val="off"/>
                <w:lang w:val="en-US"/>
              </w:rPr>
              <w:fldChar w:fldCharType="separate"/>
            </w:r>
            <w:r>
              <w:rPr>
                <w:rFonts w:ascii="Segoe UI"/>
                <w:color w:val="467886"/>
                <w:sz w:val="24"/>
                <w:u w:val="single"/>
                <w:rtl w:val="off"/>
                <w:lang w:val="en-US"/>
              </w:rPr>
              <w:t>https://www.ageuk.org.uk/</w:t>
            </w:r>
            <w:r>
              <w:rPr>
                <w:rFonts w:ascii="Segoe UI"/>
                <w:color w:val="000000"/>
                <w:sz w:val="24"/>
                <w:rtl w:val="off"/>
                <w:lang w:val="en-US"/>
              </w:rPr>
              <w:fldChar w:fldCharType="end"/>
            </w:r>
            <w:r>
              <w:rPr>
                <w:rFonts w:ascii="Segoe UI"/>
                <w:color w:val="000000"/>
                <w:sz w:val="24"/>
                <w:rtl w:val="off"/>
                <w:lang w:val="en-US"/>
              </w:rPr>
              <w:t xml:space="preserve"> </w:t>
            </w:r>
            <w:r>
              <w:rPr>
                <w:rFonts w:ascii="Segoe UI"/>
                <w:color w:val="000000"/>
                <w:sz w:val="24"/>
                <w:rtl w:val="off"/>
                <w:lang w:val="en-US"/>
              </w:rPr>
              <w:t xml:space="preserve"> </w:t>
            </w:r>
          </w:p>
        </w:tc>
      </w:tr>
      <w:tr>
        <w:trPr>
          <w:wBefore w:w="0" w:type="dxa"/>
          <w:jc w:val="left"/>
        </w:trPr>
        <w:tc>
          <w:tcPr>
            <w:cnfStyle w:val="000010000000"/>
            <w:tcW w:w="690" w:type="dxa"/>
            <w:tcBorders>
              <w:top w:val="single" w:color="000000" w:sz="6" w:space="0"/>
              <w:left w:val="single" w:color="000000" w:sz="6" w:space="0"/>
              <w:bottom w:val="single" w:color="000000" w:sz="6" w:space="0"/>
              <w:right w:val="single" w:color="000000" w:sz="6" w:space="0"/>
            </w:tcBorders>
            <w:shd w:val="clear" w:fill="ffffff"/>
            <w:vAlign w:val="top"/>
          </w:tcPr>
          <w:p w14:paraId="00000245">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Yes</w:t>
            </w:r>
            <w:r>
              <w:rPr>
                <w:rFonts w:ascii="Segoe UI"/>
                <w:color w:val="000000"/>
                <w:sz w:val="24"/>
                <w:rtl w:val="off"/>
                <w:lang w:val="en-US"/>
              </w:rPr>
              <w:t xml:space="preserve"> </w:t>
            </w:r>
          </w:p>
        </w:tc>
        <w:tc>
          <w:tcPr>
            <w:cnfStyle w:val="000001000000"/>
            <w:tcW w:w="1325" w:type="dxa"/>
            <w:tcBorders>
              <w:top w:val="single" w:color="000000" w:sz="6" w:space="0"/>
              <w:left w:val="single" w:color="000000" w:sz="6" w:space="0"/>
              <w:bottom w:val="single" w:color="000000" w:sz="6" w:space="0"/>
              <w:right w:val="single" w:color="000000" w:sz="6" w:space="0"/>
            </w:tcBorders>
            <w:shd w:val="clear" w:fill="ffffff"/>
            <w:vAlign w:val="top"/>
          </w:tcPr>
          <w:p w14:paraId="00000246">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ONS (2023)</w:t>
            </w:r>
            <w:r>
              <w:rPr>
                <w:rFonts w:ascii="Segoe UI"/>
                <w:color w:val="000000"/>
                <w:sz w:val="24"/>
                <w:rtl w:val="off"/>
                <w:lang w:val="en-US"/>
              </w:rPr>
              <w:t xml:space="preserve"> </w:t>
            </w:r>
          </w:p>
        </w:tc>
        <w:tc>
          <w:tcPr>
            <w:cnfStyle w:val="000010000000"/>
            <w:tcW w:w="2068" w:type="dxa"/>
            <w:tcBorders>
              <w:top w:val="single" w:color="000000" w:sz="6" w:space="0"/>
              <w:left w:val="single" w:color="000000" w:sz="6" w:space="0"/>
              <w:bottom w:val="single" w:color="000000" w:sz="6" w:space="0"/>
              <w:right w:val="single" w:color="000000" w:sz="6" w:space="0"/>
            </w:tcBorders>
            <w:shd w:val="clear" w:fill="ffffff"/>
            <w:vAlign w:val="top"/>
          </w:tcPr>
          <w:p w14:paraId="00000247">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Loneliness in the UK</w:t>
            </w:r>
            <w:r>
              <w:rPr>
                <w:rFonts w:ascii="Segoe UI"/>
                <w:color w:val="000000"/>
                <w:sz w:val="24"/>
                <w:rtl w:val="off"/>
                <w:lang w:val="en-US"/>
              </w:rPr>
              <w:t xml:space="preserve"> </w:t>
            </w:r>
          </w:p>
        </w:tc>
        <w:tc>
          <w:tcPr>
            <w:cnfStyle w:val="000001000000"/>
            <w:tcW w:w="2540" w:type="dxa"/>
            <w:tcBorders>
              <w:top w:val="single" w:color="000000" w:sz="6" w:space="0"/>
              <w:left w:val="single" w:color="000000" w:sz="6" w:space="0"/>
              <w:bottom w:val="single" w:color="000000" w:sz="6" w:space="0"/>
              <w:right w:val="single" w:color="000000" w:sz="6" w:space="0"/>
            </w:tcBorders>
            <w:shd w:val="clear" w:fill="ffffff"/>
            <w:vAlign w:val="top"/>
          </w:tcPr>
          <w:p w14:paraId="00000248">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National prevalence data and socio-demographic breakdowns.</w:t>
            </w:r>
            <w:r>
              <w:rPr>
                <w:rFonts w:ascii="Segoe UI"/>
                <w:color w:val="000000"/>
                <w:sz w:val="24"/>
                <w:rtl w:val="off"/>
                <w:lang w:val="en-US"/>
              </w:rPr>
              <w:t xml:space="preserve"> </w:t>
            </w:r>
          </w:p>
        </w:tc>
        <w:tc>
          <w:tcPr>
            <w:cnfStyle w:val="000010000000"/>
            <w:tcW w:w="2090" w:type="dxa"/>
            <w:tcBorders>
              <w:top w:val="single" w:color="000000" w:sz="6" w:space="0"/>
              <w:left w:val="single" w:color="000000" w:sz="6" w:space="0"/>
              <w:bottom w:val="single" w:color="000000" w:sz="6" w:space="0"/>
              <w:right w:val="single" w:color="000000" w:sz="6" w:space="0"/>
            </w:tcBorders>
            <w:shd w:val="clear" w:fill="ffffff"/>
            <w:vAlign w:val="top"/>
          </w:tcPr>
          <w:p w14:paraId="00000249">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Current, relevance, Official statistic, public health</w:t>
            </w:r>
            <w:r>
              <w:rPr>
                <w:rFonts w:ascii="Segoe UI"/>
                <w:color w:val="000000"/>
                <w:sz w:val="24"/>
                <w:rtl w:val="off"/>
                <w:lang w:val="en-US"/>
              </w:rPr>
              <w:t xml:space="preserve"> </w:t>
            </w:r>
          </w:p>
        </w:tc>
        <w:tc>
          <w:tcPr>
            <w:cnfStyle w:val="000001000000"/>
            <w:tcW w:w="2779" w:type="dxa"/>
            <w:tcBorders>
              <w:top w:val="single" w:color="000000" w:sz="6" w:space="0"/>
              <w:left w:val="single" w:color="000000" w:sz="6" w:space="0"/>
              <w:bottom w:val="single" w:color="000000" w:sz="6" w:space="0"/>
              <w:right w:val="single" w:color="000000" w:sz="6" w:space="0"/>
            </w:tcBorders>
            <w:shd w:val="clear" w:fill="ffffff"/>
            <w:vAlign w:val="top"/>
          </w:tcPr>
          <w:p w14:paraId="0000024A">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18"/>
                <w:lang w:val="en-US"/>
              </w:rPr>
            </w:pPr>
            <w:r>
              <w:rPr>
                <w:rFonts w:ascii="Segoe UI"/>
                <w:color w:val="467886"/>
                <w:sz w:val="24"/>
                <w:u w:val="single"/>
                <w:rtl w:val="off"/>
                <w:lang w:val="en-US"/>
              </w:rPr>
              <w:fldChar w:fldCharType="begin"/>
            </w:r>
            <w:r>
              <w:rPr>
                <w:rFonts w:ascii="Segoe UI"/>
                <w:color w:val="467886"/>
                <w:sz w:val="24"/>
                <w:u w:val="single"/>
                <w:rtl w:val="off"/>
                <w:lang w:val="en-US"/>
              </w:rPr>
              <w:instrText xml:space="preserve"> HYPERLINK "https://www.ons.gov.uk/lonelinessintheuk/2023" </w:instrText>
            </w:r>
            <w:r>
              <w:rPr>
                <w:rFonts w:ascii="Segoe UI"/>
                <w:color w:val="467886"/>
                <w:sz w:val="24"/>
                <w:u w:val="single"/>
                <w:rtl w:val="off"/>
                <w:lang w:val="en-US"/>
              </w:rPr>
              <w:fldChar w:fldCharType="separate"/>
            </w:r>
            <w:r>
              <w:rPr>
                <w:rFonts w:ascii="Segoe UI"/>
                <w:color w:val="467886"/>
                <w:sz w:val="24"/>
                <w:u w:val="single"/>
                <w:rtl w:val="off"/>
                <w:lang w:val="en-US"/>
              </w:rPr>
              <w:t>https://www.ons.gov.uk/../lonelinessintheuk/2023</w:t>
            </w:r>
            <w:r>
              <w:rPr>
                <w:rFonts w:ascii="Segoe UI"/>
                <w:color w:val="000000"/>
                <w:sz w:val="24"/>
                <w:rtl w:val="off"/>
                <w:lang w:val="en-US"/>
              </w:rPr>
              <w:fldChar w:fldCharType="end"/>
            </w:r>
            <w:r>
              <w:rPr>
                <w:rFonts w:ascii="Segoe UI"/>
                <w:color w:val="000000"/>
                <w:sz w:val="24"/>
                <w:rtl w:val="off"/>
                <w:lang w:val="en-US"/>
              </w:rPr>
              <w:t xml:space="preserve"> </w:t>
            </w:r>
            <w:r>
              <w:rPr>
                <w:rFonts w:ascii="Segoe UI"/>
                <w:color w:val="000000"/>
                <w:sz w:val="24"/>
                <w:rtl w:val="off"/>
                <w:lang w:val="en-US"/>
              </w:rPr>
              <w:t xml:space="preserve"> </w:t>
            </w:r>
          </w:p>
        </w:tc>
      </w:tr>
      <w:tr>
        <w:trPr>
          <w:wBefore w:w="0" w:type="dxa"/>
          <w:jc w:val="left"/>
        </w:trPr>
        <w:tc>
          <w:tcPr>
            <w:cnfStyle w:val="000010000000"/>
            <w:tcW w:w="690" w:type="dxa"/>
            <w:tcBorders>
              <w:top w:val="single" w:color="000000" w:sz="6" w:space="0"/>
              <w:left w:val="single" w:color="000000" w:sz="6" w:space="0"/>
              <w:bottom w:val="single" w:color="000000" w:sz="6" w:space="0"/>
              <w:right w:val="single" w:color="000000" w:sz="6" w:space="0"/>
            </w:tcBorders>
            <w:shd w:val="clear" w:fill="ffffff"/>
            <w:vAlign w:val="top"/>
          </w:tcPr>
          <w:p w14:paraId="0000024B">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Yes</w:t>
            </w:r>
            <w:r>
              <w:rPr>
                <w:rFonts w:ascii="Segoe UI"/>
                <w:color w:val="000000"/>
                <w:sz w:val="24"/>
                <w:rtl w:val="off"/>
                <w:lang w:val="en-US"/>
              </w:rPr>
              <w:t xml:space="preserve"> </w:t>
            </w:r>
          </w:p>
        </w:tc>
        <w:tc>
          <w:tcPr>
            <w:cnfStyle w:val="000001000000"/>
            <w:tcW w:w="1325" w:type="dxa"/>
            <w:tcBorders>
              <w:top w:val="single" w:color="000000" w:sz="6" w:space="0"/>
              <w:left w:val="single" w:color="000000" w:sz="6" w:space="0"/>
              <w:bottom w:val="single" w:color="000000" w:sz="6" w:space="0"/>
              <w:right w:val="single" w:color="000000" w:sz="6" w:space="0"/>
            </w:tcBorders>
            <w:shd w:val="clear" w:fill="ffffff"/>
            <w:vAlign w:val="top"/>
          </w:tcPr>
          <w:p w14:paraId="0000024C">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NHS Digital (2023)</w:t>
            </w:r>
            <w:r>
              <w:rPr>
                <w:rFonts w:ascii="Segoe UI"/>
                <w:color w:val="000000"/>
                <w:sz w:val="24"/>
                <w:rtl w:val="off"/>
                <w:lang w:val="en-US"/>
              </w:rPr>
              <w:t xml:space="preserve"> </w:t>
            </w:r>
          </w:p>
        </w:tc>
        <w:tc>
          <w:tcPr>
            <w:cnfStyle w:val="000010000000"/>
            <w:tcW w:w="2068" w:type="dxa"/>
            <w:tcBorders>
              <w:top w:val="single" w:color="000000" w:sz="6" w:space="0"/>
              <w:left w:val="single" w:color="000000" w:sz="6" w:space="0"/>
              <w:bottom w:val="single" w:color="000000" w:sz="6" w:space="0"/>
              <w:right w:val="single" w:color="000000" w:sz="6" w:space="0"/>
            </w:tcBorders>
            <w:shd w:val="clear" w:fill="ffffff"/>
            <w:vAlign w:val="top"/>
          </w:tcPr>
          <w:p w14:paraId="0000024D">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Health Survey for England: Loneliness module</w:t>
            </w:r>
            <w:r>
              <w:rPr>
                <w:rFonts w:ascii="Segoe UI"/>
                <w:color w:val="000000"/>
                <w:sz w:val="24"/>
                <w:rtl w:val="off"/>
                <w:lang w:val="en-US"/>
              </w:rPr>
              <w:t xml:space="preserve"> </w:t>
            </w:r>
          </w:p>
        </w:tc>
        <w:tc>
          <w:tcPr>
            <w:cnfStyle w:val="000001000000"/>
            <w:tcW w:w="2540" w:type="dxa"/>
            <w:tcBorders>
              <w:top w:val="single" w:color="000000" w:sz="6" w:space="0"/>
              <w:left w:val="single" w:color="000000" w:sz="6" w:space="0"/>
              <w:bottom w:val="single" w:color="000000" w:sz="6" w:space="0"/>
              <w:right w:val="single" w:color="000000" w:sz="6" w:space="0"/>
            </w:tcBorders>
            <w:shd w:val="clear" w:fill="ffffff"/>
            <w:vAlign w:val="top"/>
          </w:tcPr>
          <w:p w14:paraId="0000024E">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 xml:space="preserve">Methodology and findings on loneliness within the HSE. </w:t>
            </w:r>
            <w:r>
              <w:rPr>
                <w:rFonts w:ascii="Segoe UI"/>
                <w:color w:val="000000"/>
                <w:sz w:val="24"/>
                <w:rtl w:val="off"/>
                <w:lang w:val="en-US"/>
              </w:rPr>
              <w:t xml:space="preserve"> </w:t>
            </w:r>
          </w:p>
        </w:tc>
        <w:tc>
          <w:tcPr>
            <w:cnfStyle w:val="000010000000"/>
            <w:tcW w:w="2090" w:type="dxa"/>
            <w:tcBorders>
              <w:top w:val="single" w:color="000000" w:sz="6" w:space="0"/>
              <w:left w:val="single" w:color="000000" w:sz="6" w:space="0"/>
              <w:bottom w:val="single" w:color="000000" w:sz="6" w:space="0"/>
              <w:right w:val="single" w:color="000000" w:sz="6" w:space="0"/>
            </w:tcBorders>
            <w:shd w:val="clear" w:fill="ffffff"/>
            <w:vAlign w:val="top"/>
          </w:tcPr>
          <w:p w14:paraId="0000024F">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Current, relevance, Government data, accuracy, policy</w:t>
            </w:r>
            <w:r>
              <w:rPr>
                <w:rFonts w:ascii="Segoe UI"/>
                <w:color w:val="000000"/>
                <w:sz w:val="24"/>
                <w:rtl w:val="off"/>
                <w:lang w:val="en-US"/>
              </w:rPr>
              <w:t xml:space="preserve"> </w:t>
            </w:r>
          </w:p>
        </w:tc>
        <w:tc>
          <w:tcPr>
            <w:cnfStyle w:val="000001000000"/>
            <w:tcW w:w="2779" w:type="dxa"/>
            <w:tcBorders>
              <w:top w:val="single" w:color="000000" w:sz="6" w:space="0"/>
              <w:left w:val="single" w:color="000000" w:sz="6" w:space="0"/>
              <w:bottom w:val="single" w:color="000000" w:sz="6" w:space="0"/>
              <w:right w:val="single" w:color="000000" w:sz="6" w:space="0"/>
            </w:tcBorders>
            <w:shd w:val="clear" w:fill="ffffff"/>
            <w:vAlign w:val="top"/>
          </w:tcPr>
          <w:p w14:paraId="00000250">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18"/>
                <w:lang w:val="en-US"/>
              </w:rPr>
            </w:pPr>
            <w:r>
              <w:rPr>
                <w:rFonts w:ascii="Segoe UI"/>
                <w:color w:val="467886"/>
                <w:sz w:val="24"/>
                <w:u w:val="single"/>
                <w:rtl w:val="off"/>
                <w:lang w:val="en-US"/>
              </w:rPr>
              <w:fldChar w:fldCharType="begin"/>
            </w:r>
            <w:r>
              <w:rPr>
                <w:rFonts w:ascii="Segoe UI"/>
                <w:color w:val="467886"/>
                <w:sz w:val="24"/>
                <w:u w:val="single"/>
                <w:rtl w:val="off"/>
                <w:lang w:val="en-US"/>
              </w:rPr>
              <w:instrText xml:space="preserve"> HYPERLINK "https://digital.nhs.uk/" </w:instrText>
            </w:r>
            <w:r>
              <w:rPr>
                <w:rFonts w:ascii="Segoe UI"/>
                <w:color w:val="467886"/>
                <w:sz w:val="24"/>
                <w:u w:val="single"/>
                <w:rtl w:val="off"/>
                <w:lang w:val="en-US"/>
              </w:rPr>
              <w:fldChar w:fldCharType="separate"/>
            </w:r>
            <w:r>
              <w:rPr>
                <w:rFonts w:ascii="Segoe UI"/>
                <w:color w:val="467886"/>
                <w:sz w:val="24"/>
                <w:u w:val="single"/>
                <w:rtl w:val="off"/>
                <w:lang w:val="en-US"/>
              </w:rPr>
              <w:t>https://digital.nhs.uk</w:t>
            </w:r>
            <w:r>
              <w:rPr>
                <w:rFonts w:ascii="Segoe UI"/>
                <w:color w:val="000000"/>
                <w:sz w:val="24"/>
                <w:rtl w:val="off"/>
                <w:lang w:val="en-US"/>
              </w:rPr>
              <w:fldChar w:fldCharType="end"/>
            </w:r>
            <w:r>
              <w:rPr>
                <w:rFonts w:ascii="Segoe UI"/>
                <w:color w:val="000000"/>
                <w:sz w:val="24"/>
                <w:rtl w:val="off"/>
                <w:lang w:val="en-US"/>
              </w:rPr>
              <w:t xml:space="preserve"> </w:t>
            </w:r>
            <w:r>
              <w:rPr>
                <w:rFonts w:ascii="Segoe UI"/>
                <w:color w:val="000000"/>
                <w:sz w:val="24"/>
                <w:rtl w:val="off"/>
                <w:lang w:val="en-US"/>
              </w:rPr>
              <w:t xml:space="preserve"> </w:t>
            </w:r>
          </w:p>
        </w:tc>
      </w:tr>
      <w:tr>
        <w:trPr>
          <w:wBefore w:w="0" w:type="dxa"/>
          <w:jc w:val="left"/>
        </w:trPr>
        <w:tc>
          <w:tcPr>
            <w:cnfStyle w:val="000010000000"/>
            <w:tcW w:w="690" w:type="dxa"/>
            <w:tcBorders>
              <w:top w:val="single" w:color="000000" w:sz="6" w:space="0"/>
              <w:left w:val="single" w:color="000000" w:sz="6" w:space="0"/>
              <w:bottom w:val="single" w:color="000000" w:sz="6" w:space="0"/>
              <w:right w:val="single" w:color="000000" w:sz="6" w:space="0"/>
            </w:tcBorders>
            <w:shd w:val="clear" w:fill="ffffff"/>
            <w:vAlign w:val="top"/>
          </w:tcPr>
          <w:p w14:paraId="00000251">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Yes</w:t>
            </w:r>
            <w:r>
              <w:rPr>
                <w:rFonts w:ascii="Segoe UI"/>
                <w:color w:val="000000"/>
                <w:sz w:val="24"/>
                <w:rtl w:val="off"/>
                <w:lang w:val="en-US"/>
              </w:rPr>
              <w:t xml:space="preserve"> </w:t>
            </w:r>
          </w:p>
        </w:tc>
        <w:tc>
          <w:tcPr>
            <w:cnfStyle w:val="000001000000"/>
            <w:tcW w:w="1325" w:type="dxa"/>
            <w:tcBorders>
              <w:top w:val="single" w:color="000000" w:sz="6" w:space="0"/>
              <w:left w:val="single" w:color="000000" w:sz="6" w:space="0"/>
              <w:bottom w:val="single" w:color="000000" w:sz="6" w:space="0"/>
              <w:right w:val="single" w:color="000000" w:sz="6" w:space="0"/>
            </w:tcBorders>
            <w:shd w:val="clear" w:fill="ffffff"/>
            <w:vAlign w:val="top"/>
          </w:tcPr>
          <w:p w14:paraId="00000252">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Public Health England (2021)</w:t>
            </w:r>
            <w:r>
              <w:rPr>
                <w:rFonts w:ascii="Segoe UI"/>
                <w:color w:val="000000"/>
                <w:sz w:val="24"/>
                <w:rtl w:val="off"/>
                <w:lang w:val="en-US"/>
              </w:rPr>
              <w:t xml:space="preserve"> </w:t>
            </w:r>
          </w:p>
        </w:tc>
        <w:tc>
          <w:tcPr>
            <w:cnfStyle w:val="000010000000"/>
            <w:tcW w:w="2068" w:type="dxa"/>
            <w:tcBorders>
              <w:top w:val="single" w:color="000000" w:sz="6" w:space="0"/>
              <w:left w:val="single" w:color="000000" w:sz="6" w:space="0"/>
              <w:bottom w:val="single" w:color="000000" w:sz="6" w:space="0"/>
              <w:right w:val="single" w:color="000000" w:sz="6" w:space="0"/>
            </w:tcBorders>
            <w:shd w:val="clear" w:fill="ffffff"/>
            <w:vAlign w:val="top"/>
          </w:tcPr>
          <w:p w14:paraId="00000253">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Loneliness and social isolation: safeguarding the mental health of older adults.</w:t>
            </w:r>
            <w:r>
              <w:rPr>
                <w:rFonts w:ascii="Segoe UI"/>
                <w:color w:val="000000"/>
                <w:sz w:val="24"/>
                <w:rtl w:val="off"/>
                <w:lang w:val="en-US"/>
              </w:rPr>
              <w:t xml:space="preserve"> </w:t>
            </w:r>
          </w:p>
        </w:tc>
        <w:tc>
          <w:tcPr>
            <w:cnfStyle w:val="000001000000"/>
            <w:tcW w:w="2540" w:type="dxa"/>
            <w:tcBorders>
              <w:top w:val="single" w:color="000000" w:sz="6" w:space="0"/>
              <w:left w:val="single" w:color="000000" w:sz="6" w:space="0"/>
              <w:bottom w:val="single" w:color="000000" w:sz="6" w:space="0"/>
              <w:right w:val="single" w:color="000000" w:sz="6" w:space="0"/>
            </w:tcBorders>
            <w:shd w:val="clear" w:fill="ffffff"/>
            <w:vAlign w:val="top"/>
          </w:tcPr>
          <w:p w14:paraId="00000254">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Policy guidance linking loneliness to mental health risk interventions.</w:t>
            </w:r>
            <w:r>
              <w:rPr>
                <w:rFonts w:ascii="Segoe UI"/>
                <w:color w:val="000000"/>
                <w:sz w:val="24"/>
                <w:rtl w:val="off"/>
                <w:lang w:val="en-US"/>
              </w:rPr>
              <w:t xml:space="preserve"> </w:t>
            </w:r>
          </w:p>
        </w:tc>
        <w:tc>
          <w:tcPr>
            <w:cnfStyle w:val="000010000000"/>
            <w:tcW w:w="2090" w:type="dxa"/>
            <w:tcBorders>
              <w:top w:val="single" w:color="000000" w:sz="6" w:space="0"/>
              <w:left w:val="single" w:color="000000" w:sz="6" w:space="0"/>
              <w:bottom w:val="single" w:color="000000" w:sz="6" w:space="0"/>
              <w:right w:val="single" w:color="000000" w:sz="6" w:space="0"/>
            </w:tcBorders>
            <w:shd w:val="clear" w:fill="ffffff"/>
            <w:vAlign w:val="top"/>
          </w:tcPr>
          <w:p w14:paraId="00000255">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Recent, relevance, public health, Evidence supported, policy</w:t>
            </w:r>
            <w:r>
              <w:rPr>
                <w:rFonts w:ascii="Segoe UI"/>
                <w:color w:val="000000"/>
                <w:sz w:val="24"/>
                <w:rtl w:val="off"/>
                <w:lang w:val="en-US"/>
              </w:rPr>
              <w:t xml:space="preserve"> </w:t>
            </w:r>
          </w:p>
        </w:tc>
        <w:tc>
          <w:tcPr>
            <w:cnfStyle w:val="000001000000"/>
            <w:tcW w:w="2779" w:type="dxa"/>
            <w:tcBorders>
              <w:top w:val="single" w:color="000000" w:sz="6" w:space="0"/>
              <w:left w:val="single" w:color="000000" w:sz="6" w:space="0"/>
              <w:bottom w:val="single" w:color="000000" w:sz="6" w:space="0"/>
              <w:right w:val="single" w:color="000000" w:sz="6" w:space="0"/>
            </w:tcBorders>
            <w:shd w:val="clear" w:fill="ffffff"/>
            <w:vAlign w:val="top"/>
          </w:tcPr>
          <w:p w14:paraId="00000256">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18"/>
                <w:lang w:val="en-US"/>
              </w:rPr>
            </w:pPr>
            <w:r>
              <w:rPr>
                <w:rFonts w:ascii="Segoe UI"/>
                <w:color w:val="467886"/>
                <w:sz w:val="24"/>
                <w:u w:val="single"/>
                <w:rtl w:val="off"/>
                <w:lang w:val="en-US"/>
              </w:rPr>
              <w:fldChar w:fldCharType="begin"/>
            </w:r>
            <w:r>
              <w:rPr>
                <w:rFonts w:ascii="Segoe UI"/>
                <w:color w:val="467886"/>
                <w:sz w:val="24"/>
                <w:u w:val="single"/>
                <w:rtl w:val="off"/>
                <w:lang w:val="en-US"/>
              </w:rPr>
              <w:instrText xml:space="preserve"> HYPERLINK "https://www.gov.uk/government/publications/" </w:instrText>
            </w:r>
            <w:r>
              <w:rPr>
                <w:rFonts w:ascii="Segoe UI"/>
                <w:color w:val="467886"/>
                <w:sz w:val="24"/>
                <w:u w:val="single"/>
                <w:rtl w:val="off"/>
                <w:lang w:val="en-US"/>
              </w:rPr>
              <w:fldChar w:fldCharType="separate"/>
            </w:r>
            <w:r>
              <w:rPr>
                <w:rFonts w:ascii="Segoe UI"/>
                <w:color w:val="467886"/>
                <w:sz w:val="24"/>
                <w:u w:val="single"/>
                <w:rtl w:val="off"/>
                <w:lang w:val="en-US"/>
              </w:rPr>
              <w:t>https://www.gov.uk/government/publications/</w:t>
            </w:r>
            <w:r>
              <w:rPr>
                <w:rFonts w:ascii="Segoe UI"/>
                <w:color w:val="000000"/>
                <w:sz w:val="24"/>
                <w:rtl w:val="off"/>
                <w:lang w:val="en-US"/>
              </w:rPr>
              <w:fldChar w:fldCharType="end"/>
            </w:r>
            <w:r>
              <w:rPr>
                <w:rFonts w:ascii="Segoe UI"/>
                <w:color w:val="000000"/>
                <w:sz w:val="24"/>
                <w:rtl w:val="off"/>
                <w:lang w:val="en-US"/>
              </w:rPr>
              <w:t xml:space="preserve"> </w:t>
            </w:r>
            <w:r>
              <w:rPr>
                <w:rFonts w:ascii="Segoe UI"/>
                <w:color w:val="000000"/>
                <w:sz w:val="24"/>
                <w:rtl w:val="off"/>
                <w:lang w:val="en-US"/>
              </w:rPr>
              <w:t xml:space="preserve"> </w:t>
            </w:r>
          </w:p>
        </w:tc>
      </w:tr>
      <w:tr>
        <w:trPr>
          <w:wBefore w:w="0" w:type="dxa"/>
          <w:jc w:val="left"/>
        </w:trPr>
        <w:tc>
          <w:tcPr>
            <w:cnfStyle w:val="000010000000"/>
            <w:tcW w:w="690" w:type="dxa"/>
            <w:tcBorders>
              <w:top w:val="single" w:color="000000" w:sz="6" w:space="0"/>
              <w:left w:val="single" w:color="000000" w:sz="6" w:space="0"/>
              <w:bottom w:val="single" w:color="000000" w:sz="6" w:space="0"/>
              <w:right w:val="single" w:color="000000" w:sz="6" w:space="0"/>
            </w:tcBorders>
            <w:shd w:val="clear" w:fill="ffffff"/>
            <w:vAlign w:val="top"/>
          </w:tcPr>
          <w:p w14:paraId="00000257">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Yes</w:t>
            </w:r>
            <w:r>
              <w:rPr>
                <w:rFonts w:ascii="Segoe UI"/>
                <w:color w:val="000000"/>
                <w:sz w:val="24"/>
                <w:rtl w:val="off"/>
                <w:lang w:val="en-US"/>
              </w:rPr>
              <w:t xml:space="preserve"> </w:t>
            </w:r>
          </w:p>
        </w:tc>
        <w:tc>
          <w:tcPr>
            <w:cnfStyle w:val="000001000000"/>
            <w:tcW w:w="1325" w:type="dxa"/>
            <w:tcBorders>
              <w:top w:val="single" w:color="000000" w:sz="6" w:space="0"/>
              <w:left w:val="single" w:color="000000" w:sz="6" w:space="0"/>
              <w:bottom w:val="single" w:color="000000" w:sz="6" w:space="0"/>
              <w:right w:val="single" w:color="000000" w:sz="6" w:space="0"/>
            </w:tcBorders>
            <w:shd w:val="clear" w:fill="ffffff"/>
            <w:vAlign w:val="top"/>
          </w:tcPr>
          <w:p w14:paraId="00000258">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MIND (2021)</w:t>
            </w:r>
            <w:r>
              <w:rPr>
                <w:rFonts w:ascii="Segoe UI"/>
                <w:color w:val="000000"/>
                <w:sz w:val="24"/>
                <w:rtl w:val="off"/>
                <w:lang w:val="en-US"/>
              </w:rPr>
              <w:t xml:space="preserve"> </w:t>
            </w:r>
          </w:p>
        </w:tc>
        <w:tc>
          <w:tcPr>
            <w:cnfStyle w:val="000010000000"/>
            <w:tcW w:w="2068" w:type="dxa"/>
            <w:tcBorders>
              <w:top w:val="single" w:color="000000" w:sz="6" w:space="0"/>
              <w:left w:val="single" w:color="000000" w:sz="6" w:space="0"/>
              <w:bottom w:val="single" w:color="000000" w:sz="6" w:space="0"/>
              <w:right w:val="single" w:color="000000" w:sz="6" w:space="0"/>
            </w:tcBorders>
            <w:shd w:val="clear" w:fill="ffffff"/>
            <w:vAlign w:val="top"/>
          </w:tcPr>
          <w:p w14:paraId="00000259">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Loneliness and mental health: a UK perspective</w:t>
            </w:r>
            <w:r>
              <w:rPr>
                <w:rFonts w:ascii="Segoe UI"/>
                <w:color w:val="000000"/>
                <w:sz w:val="24"/>
                <w:rtl w:val="off"/>
                <w:lang w:val="en-US"/>
              </w:rPr>
              <w:t xml:space="preserve"> </w:t>
            </w:r>
          </w:p>
        </w:tc>
        <w:tc>
          <w:tcPr>
            <w:cnfStyle w:val="000001000000"/>
            <w:tcW w:w="2540" w:type="dxa"/>
            <w:tcBorders>
              <w:top w:val="single" w:color="000000" w:sz="6" w:space="0"/>
              <w:left w:val="single" w:color="000000" w:sz="6" w:space="0"/>
              <w:bottom w:val="single" w:color="000000" w:sz="6" w:space="0"/>
              <w:right w:val="single" w:color="000000" w:sz="6" w:space="0"/>
            </w:tcBorders>
            <w:shd w:val="clear" w:fill="ffffff"/>
            <w:vAlign w:val="top"/>
          </w:tcPr>
          <w:p w14:paraId="0000025A">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Mental health framing of loneliness with policy implications.</w:t>
            </w:r>
            <w:r>
              <w:rPr>
                <w:rFonts w:ascii="Segoe UI"/>
                <w:color w:val="000000"/>
                <w:sz w:val="24"/>
                <w:rtl w:val="off"/>
                <w:lang w:val="en-US"/>
              </w:rPr>
              <w:t xml:space="preserve"> </w:t>
            </w:r>
          </w:p>
        </w:tc>
        <w:tc>
          <w:tcPr>
            <w:cnfStyle w:val="000010000000"/>
            <w:tcW w:w="2090" w:type="dxa"/>
            <w:tcBorders>
              <w:top w:val="single" w:color="000000" w:sz="6" w:space="0"/>
              <w:left w:val="single" w:color="000000" w:sz="6" w:space="0"/>
              <w:bottom w:val="single" w:color="000000" w:sz="6" w:space="0"/>
              <w:right w:val="single" w:color="000000" w:sz="6" w:space="0"/>
            </w:tcBorders>
            <w:shd w:val="clear" w:fill="ffffff"/>
            <w:vAlign w:val="top"/>
          </w:tcPr>
          <w:p w14:paraId="0000025B">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Recent. Relevance, Mental health charity, Evidence based, practical</w:t>
            </w:r>
            <w:r>
              <w:rPr>
                <w:rFonts w:ascii="Segoe UI"/>
                <w:color w:val="000000"/>
                <w:sz w:val="24"/>
                <w:rtl w:val="off"/>
                <w:lang w:val="en-US"/>
              </w:rPr>
              <w:t xml:space="preserve"> </w:t>
            </w:r>
          </w:p>
        </w:tc>
        <w:tc>
          <w:tcPr>
            <w:cnfStyle w:val="000001000000"/>
            <w:tcW w:w="2779" w:type="dxa"/>
            <w:tcBorders>
              <w:top w:val="single" w:color="000000" w:sz="6" w:space="0"/>
              <w:left w:val="single" w:color="000000" w:sz="6" w:space="0"/>
              <w:bottom w:val="single" w:color="000000" w:sz="6" w:space="0"/>
              <w:right w:val="single" w:color="000000" w:sz="6" w:space="0"/>
            </w:tcBorders>
            <w:shd w:val="clear" w:fill="ffffff"/>
            <w:vAlign w:val="top"/>
          </w:tcPr>
          <w:p w14:paraId="0000025C">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467886"/>
                <w:sz w:val="24"/>
                <w:u w:val="single"/>
                <w:rtl w:val="off"/>
                <w:lang w:val="en-US"/>
              </w:rPr>
              <w:t>https://m</w:t>
            </w:r>
            <w:r>
              <w:rPr>
                <w:rFonts w:ascii="Segoe UI"/>
                <w:color w:val="000000"/>
                <w:sz w:val="24"/>
                <w:rtl w:val="off"/>
                <w:lang w:val="en-US"/>
              </w:rPr>
              <w:t xml:space="preserve"> </w:t>
            </w:r>
            <w:r>
              <w:rPr>
                <w:rFonts w:ascii="Segoe UI"/>
                <w:color w:val="000000"/>
                <w:sz w:val="24"/>
                <w:rtl w:val="off"/>
                <w:lang w:val="en-US"/>
              </w:rPr>
              <w:t xml:space="preserve"> </w:t>
            </w:r>
          </w:p>
        </w:tc>
      </w:tr>
      <w:tr>
        <w:trPr>
          <w:wBefore w:w="0" w:type="dxa"/>
          <w:jc w:val="left"/>
        </w:trPr>
        <w:tc>
          <w:tcPr>
            <w:cnfStyle w:val="000010000000"/>
            <w:tcW w:w="690" w:type="dxa"/>
            <w:tcBorders>
              <w:top w:val="single" w:color="000000" w:sz="6" w:space="0"/>
              <w:left w:val="single" w:color="000000" w:sz="6" w:space="0"/>
              <w:bottom w:val="single" w:color="000000" w:sz="6" w:space="0"/>
              <w:right w:val="single" w:color="000000" w:sz="6" w:space="0"/>
            </w:tcBorders>
            <w:shd w:val="clear" w:fill="ffffff"/>
            <w:vAlign w:val="top"/>
          </w:tcPr>
          <w:p w14:paraId="0000025D">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 xml:space="preserve">Yes </w:t>
            </w:r>
            <w:r>
              <w:rPr>
                <w:rFonts w:ascii="Segoe UI"/>
                <w:color w:val="000000"/>
                <w:sz w:val="24"/>
                <w:rtl w:val="off"/>
                <w:lang w:val="en-US"/>
              </w:rPr>
              <w:t xml:space="preserve"> </w:t>
            </w:r>
          </w:p>
        </w:tc>
        <w:tc>
          <w:tcPr>
            <w:cnfStyle w:val="000001000000"/>
            <w:tcW w:w="1325" w:type="dxa"/>
            <w:tcBorders>
              <w:top w:val="single" w:color="000000" w:sz="6" w:space="0"/>
              <w:left w:val="single" w:color="000000" w:sz="6" w:space="0"/>
              <w:bottom w:val="single" w:color="000000" w:sz="6" w:space="0"/>
              <w:right w:val="single" w:color="000000" w:sz="6" w:space="0"/>
            </w:tcBorders>
            <w:shd w:val="clear" w:fill="ffffff"/>
            <w:vAlign w:val="top"/>
          </w:tcPr>
          <w:p w14:paraId="0000025E">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Courtin and Knapp (2017)</w:t>
            </w:r>
            <w:r>
              <w:rPr>
                <w:rFonts w:ascii="Segoe UI"/>
                <w:color w:val="000000"/>
                <w:sz w:val="24"/>
                <w:rtl w:val="off"/>
                <w:lang w:val="en-US"/>
              </w:rPr>
              <w:t xml:space="preserve"> </w:t>
            </w:r>
          </w:p>
        </w:tc>
        <w:tc>
          <w:tcPr>
            <w:cnfStyle w:val="000010000000"/>
            <w:tcW w:w="2068" w:type="dxa"/>
            <w:tcBorders>
              <w:top w:val="single" w:color="000000" w:sz="6" w:space="0"/>
              <w:left w:val="single" w:color="000000" w:sz="6" w:space="0"/>
              <w:bottom w:val="single" w:color="000000" w:sz="6" w:space="0"/>
              <w:right w:val="single" w:color="000000" w:sz="6" w:space="0"/>
            </w:tcBorders>
            <w:shd w:val="clear" w:fill="ffffff"/>
            <w:vAlign w:val="top"/>
          </w:tcPr>
          <w:p w14:paraId="0000025F">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Social isolation and loneliness in older people: UK policy overview</w:t>
            </w:r>
            <w:r>
              <w:rPr>
                <w:rFonts w:ascii="Segoe UI"/>
                <w:color w:val="000000"/>
                <w:sz w:val="24"/>
                <w:rtl w:val="off"/>
                <w:lang w:val="en-US"/>
              </w:rPr>
              <w:t xml:space="preserve"> </w:t>
            </w:r>
          </w:p>
        </w:tc>
        <w:tc>
          <w:tcPr>
            <w:cnfStyle w:val="000001000000"/>
            <w:tcW w:w="2540" w:type="dxa"/>
            <w:tcBorders>
              <w:top w:val="single" w:color="000000" w:sz="6" w:space="0"/>
              <w:left w:val="single" w:color="000000" w:sz="6" w:space="0"/>
              <w:bottom w:val="single" w:color="000000" w:sz="6" w:space="0"/>
              <w:right w:val="single" w:color="000000" w:sz="6" w:space="0"/>
            </w:tcBorders>
            <w:shd w:val="clear" w:fill="ffffff"/>
            <w:vAlign w:val="top"/>
          </w:tcPr>
          <w:p w14:paraId="00000260">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Review of the UK policy landscape and cross-sector responses.</w:t>
            </w:r>
            <w:r>
              <w:rPr>
                <w:rFonts w:ascii="Segoe UI"/>
                <w:color w:val="000000"/>
                <w:sz w:val="24"/>
                <w:rtl w:val="off"/>
                <w:lang w:val="en-US"/>
              </w:rPr>
              <w:t xml:space="preserve"> </w:t>
            </w:r>
          </w:p>
        </w:tc>
        <w:tc>
          <w:tcPr>
            <w:cnfStyle w:val="000010000000"/>
            <w:tcW w:w="2090" w:type="dxa"/>
            <w:tcBorders>
              <w:top w:val="single" w:color="000000" w:sz="6" w:space="0"/>
              <w:left w:val="single" w:color="000000" w:sz="6" w:space="0"/>
              <w:bottom w:val="single" w:color="000000" w:sz="6" w:space="0"/>
              <w:right w:val="single" w:color="000000" w:sz="6" w:space="0"/>
            </w:tcBorders>
            <w:shd w:val="clear" w:fill="ffffff"/>
            <w:vAlign w:val="top"/>
          </w:tcPr>
          <w:p w14:paraId="00000261">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Relevance, Academic/policy</w:t>
            </w:r>
            <w:r>
              <w:rPr>
                <w:rFonts w:ascii="Segoe UI"/>
                <w:color w:val="000000"/>
                <w:sz w:val="24"/>
                <w:rtl w:val="off"/>
                <w:lang w:val="en-US"/>
              </w:rPr>
              <w:t xml:space="preserve"> </w:t>
            </w:r>
          </w:p>
        </w:tc>
        <w:tc>
          <w:tcPr>
            <w:cnfStyle w:val="000001000000"/>
            <w:tcW w:w="2779" w:type="dxa"/>
            <w:tcBorders>
              <w:top w:val="single" w:color="000000" w:sz="6" w:space="0"/>
              <w:left w:val="single" w:color="000000" w:sz="6" w:space="0"/>
              <w:bottom w:val="single" w:color="000000" w:sz="6" w:space="0"/>
              <w:right w:val="single" w:color="000000" w:sz="6" w:space="0"/>
            </w:tcBorders>
            <w:shd w:val="clear" w:fill="ffffff"/>
            <w:vAlign w:val="top"/>
          </w:tcPr>
          <w:p w14:paraId="00000262">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18"/>
                <w:lang w:val="en-US"/>
              </w:rPr>
            </w:pPr>
            <w:r>
              <w:rPr>
                <w:rFonts w:ascii="Segoe UI"/>
                <w:color w:val="467886"/>
                <w:sz w:val="24"/>
                <w:u w:val="single"/>
                <w:rtl w:val="off"/>
                <w:lang w:val="en-US"/>
              </w:rPr>
              <w:fldChar w:fldCharType="begin"/>
            </w:r>
            <w:r>
              <w:rPr>
                <w:rFonts w:ascii="Segoe UI"/>
                <w:color w:val="467886"/>
                <w:sz w:val="24"/>
                <w:u w:val="single"/>
                <w:rtl w:val="off"/>
                <w:lang w:val="en-US"/>
              </w:rPr>
              <w:instrText xml:space="preserve"> HYPERLINK "https://www.kingsfund.org.uk/" </w:instrText>
            </w:r>
            <w:r>
              <w:rPr>
                <w:rFonts w:ascii="Segoe UI"/>
                <w:color w:val="467886"/>
                <w:sz w:val="24"/>
                <w:u w:val="single"/>
                <w:rtl w:val="off"/>
                <w:lang w:val="en-US"/>
              </w:rPr>
              <w:fldChar w:fldCharType="separate"/>
            </w:r>
            <w:r>
              <w:rPr>
                <w:rFonts w:ascii="Segoe UI"/>
                <w:color w:val="467886"/>
                <w:sz w:val="24"/>
                <w:u w:val="single"/>
                <w:rtl w:val="off"/>
                <w:lang w:val="en-US"/>
              </w:rPr>
              <w:t>https://www.kingsfund.org.uk/</w:t>
            </w:r>
            <w:r>
              <w:rPr>
                <w:rFonts w:ascii="Segoe UI"/>
                <w:color w:val="000000"/>
                <w:sz w:val="24"/>
                <w:rtl w:val="off"/>
                <w:lang w:val="en-US"/>
              </w:rPr>
              <w:fldChar w:fldCharType="end"/>
            </w:r>
            <w:r>
              <w:rPr>
                <w:rFonts w:ascii="Segoe UI"/>
                <w:color w:val="000000"/>
                <w:sz w:val="24"/>
                <w:rtl w:val="off"/>
                <w:lang w:val="en-US"/>
              </w:rPr>
              <w:t xml:space="preserve"> </w:t>
            </w:r>
            <w:r>
              <w:rPr>
                <w:rFonts w:ascii="Segoe UI"/>
                <w:color w:val="000000"/>
                <w:sz w:val="24"/>
                <w:rtl w:val="off"/>
                <w:lang w:val="en-US"/>
              </w:rPr>
              <w:t xml:space="preserve"> </w:t>
            </w:r>
          </w:p>
        </w:tc>
      </w:tr>
      <w:tr>
        <w:trPr>
          <w:wBefore w:w="0" w:type="dxa"/>
          <w:jc w:val="left"/>
        </w:trPr>
        <w:tc>
          <w:tcPr>
            <w:cnfStyle w:val="000010000000"/>
            <w:tcW w:w="690" w:type="dxa"/>
            <w:tcBorders>
              <w:top w:val="single" w:color="000000" w:sz="6" w:space="0"/>
              <w:left w:val="single" w:color="000000" w:sz="6" w:space="0"/>
              <w:bottom w:val="single" w:color="000000" w:sz="6" w:space="0"/>
              <w:right w:val="single" w:color="000000" w:sz="6" w:space="0"/>
            </w:tcBorders>
            <w:shd w:val="clear" w:fill="ffffff"/>
            <w:vAlign w:val="top"/>
          </w:tcPr>
          <w:p w14:paraId="00000263">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Yes</w:t>
            </w:r>
            <w:r>
              <w:rPr>
                <w:rFonts w:ascii="Segoe UI"/>
                <w:color w:val="000000"/>
                <w:sz w:val="24"/>
                <w:rtl w:val="off"/>
                <w:lang w:val="en-US"/>
              </w:rPr>
              <w:t xml:space="preserve"> </w:t>
            </w:r>
          </w:p>
        </w:tc>
        <w:tc>
          <w:tcPr>
            <w:cnfStyle w:val="000001000000"/>
            <w:tcW w:w="1325" w:type="dxa"/>
            <w:tcBorders>
              <w:top w:val="single" w:color="000000" w:sz="6" w:space="0"/>
              <w:left w:val="single" w:color="000000" w:sz="6" w:space="0"/>
              <w:bottom w:val="single" w:color="000000" w:sz="6" w:space="0"/>
              <w:right w:val="single" w:color="000000" w:sz="6" w:space="0"/>
            </w:tcBorders>
            <w:shd w:val="clear" w:fill="ffffff"/>
            <w:vAlign w:val="top"/>
          </w:tcPr>
          <w:p w14:paraId="00000264">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Victor et al., (2018)</w:t>
            </w:r>
            <w:r>
              <w:rPr>
                <w:rFonts w:ascii="Segoe UI"/>
                <w:color w:val="000000"/>
                <w:sz w:val="24"/>
                <w:rtl w:val="off"/>
                <w:lang w:val="en-US"/>
              </w:rPr>
              <w:t xml:space="preserve"> </w:t>
            </w:r>
          </w:p>
        </w:tc>
        <w:tc>
          <w:tcPr>
            <w:cnfStyle w:val="000010000000"/>
            <w:tcW w:w="2068" w:type="dxa"/>
            <w:tcBorders>
              <w:top w:val="single" w:color="000000" w:sz="6" w:space="0"/>
              <w:left w:val="single" w:color="000000" w:sz="6" w:space="0"/>
              <w:bottom w:val="single" w:color="000000" w:sz="6" w:space="0"/>
              <w:right w:val="single" w:color="000000" w:sz="6" w:space="0"/>
            </w:tcBorders>
            <w:shd w:val="clear" w:fill="ffffff"/>
            <w:vAlign w:val="top"/>
          </w:tcPr>
          <w:p w14:paraId="00000265">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The Health Survey for England and the UK Time Use data</w:t>
            </w:r>
            <w:r>
              <w:rPr>
                <w:rFonts w:ascii="Segoe UI"/>
                <w:color w:val="000000"/>
                <w:sz w:val="24"/>
                <w:rtl w:val="off"/>
                <w:lang w:val="en-US"/>
              </w:rPr>
              <w:t xml:space="preserve"> </w:t>
            </w:r>
          </w:p>
        </w:tc>
        <w:tc>
          <w:tcPr>
            <w:cnfStyle w:val="000001000000"/>
            <w:tcW w:w="2540" w:type="dxa"/>
            <w:tcBorders>
              <w:top w:val="single" w:color="000000" w:sz="6" w:space="0"/>
              <w:left w:val="single" w:color="000000" w:sz="6" w:space="0"/>
              <w:bottom w:val="single" w:color="000000" w:sz="6" w:space="0"/>
              <w:right w:val="single" w:color="000000" w:sz="6" w:space="0"/>
            </w:tcBorders>
            <w:shd w:val="clear" w:fill="ffffff"/>
            <w:vAlign w:val="top"/>
          </w:tcPr>
          <w:p w14:paraId="00000266">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Integrates health survey with time use data on social engagement.</w:t>
            </w:r>
            <w:r>
              <w:rPr>
                <w:rFonts w:ascii="Segoe UI"/>
                <w:color w:val="000000"/>
                <w:sz w:val="24"/>
                <w:rtl w:val="off"/>
                <w:lang w:val="en-US"/>
              </w:rPr>
              <w:t xml:space="preserve"> </w:t>
            </w:r>
          </w:p>
        </w:tc>
        <w:tc>
          <w:tcPr>
            <w:cnfStyle w:val="000010000000"/>
            <w:tcW w:w="2090" w:type="dxa"/>
            <w:tcBorders>
              <w:top w:val="single" w:color="000000" w:sz="6" w:space="0"/>
              <w:left w:val="single" w:color="000000" w:sz="6" w:space="0"/>
              <w:bottom w:val="single" w:color="000000" w:sz="6" w:space="0"/>
              <w:right w:val="single" w:color="000000" w:sz="6" w:space="0"/>
            </w:tcBorders>
            <w:shd w:val="clear" w:fill="ffffff"/>
            <w:vAlign w:val="top"/>
          </w:tcPr>
          <w:p w14:paraId="00000267">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 xml:space="preserve">Current, Relevance, Academic/data, </w:t>
            </w:r>
            <w:r>
              <w:rPr>
                <w:rFonts w:ascii="Segoe UI"/>
                <w:color w:val="000000"/>
                <w:sz w:val="24"/>
                <w:rtl w:val="off"/>
                <w:lang w:val="en-US"/>
              </w:rPr>
              <w:t xml:space="preserve"> </w:t>
            </w:r>
          </w:p>
        </w:tc>
        <w:tc>
          <w:tcPr>
            <w:cnfStyle w:val="000001000000"/>
            <w:tcW w:w="2779" w:type="dxa"/>
            <w:tcBorders>
              <w:top w:val="single" w:color="000000" w:sz="6" w:space="0"/>
              <w:left w:val="single" w:color="000000" w:sz="6" w:space="0"/>
              <w:bottom w:val="single" w:color="000000" w:sz="6" w:space="0"/>
              <w:right w:val="single" w:color="000000" w:sz="6" w:space="0"/>
            </w:tcBorders>
            <w:shd w:val="clear" w:fill="ffffff"/>
            <w:vAlign w:val="top"/>
          </w:tcPr>
          <w:p w14:paraId="00000268">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18"/>
                <w:lang w:val="en-US"/>
              </w:rPr>
            </w:pPr>
            <w:r>
              <w:rPr>
                <w:rFonts w:ascii="Segoe UI"/>
                <w:color w:val="467886"/>
                <w:sz w:val="24"/>
                <w:u w:val="single"/>
                <w:rtl w:val="off"/>
                <w:lang w:val="en-US"/>
              </w:rPr>
              <w:fldChar w:fldCharType="begin"/>
            </w:r>
            <w:r>
              <w:rPr>
                <w:rFonts w:ascii="Segoe UI"/>
                <w:color w:val="467886"/>
                <w:sz w:val="24"/>
                <w:u w:val="single"/>
                <w:rtl w:val="off"/>
                <w:lang w:val="en-US"/>
              </w:rPr>
              <w:instrText xml:space="preserve"> HYPERLINK "https://ons.gov.uk/" </w:instrText>
            </w:r>
            <w:r>
              <w:rPr>
                <w:rFonts w:ascii="Segoe UI"/>
                <w:color w:val="467886"/>
                <w:sz w:val="24"/>
                <w:u w:val="single"/>
                <w:rtl w:val="off"/>
                <w:lang w:val="en-US"/>
              </w:rPr>
              <w:fldChar w:fldCharType="separate"/>
            </w:r>
            <w:r>
              <w:rPr>
                <w:rFonts w:ascii="Segoe UI"/>
                <w:color w:val="467886"/>
                <w:sz w:val="24"/>
                <w:u w:val="single"/>
                <w:rtl w:val="off"/>
                <w:lang w:val="en-US"/>
              </w:rPr>
              <w:t>https://ons.gov.uk/</w:t>
            </w:r>
            <w:r>
              <w:rPr>
                <w:rFonts w:ascii="Segoe UI"/>
                <w:color w:val="000000"/>
                <w:sz w:val="24"/>
                <w:rtl w:val="off"/>
                <w:lang w:val="en-US"/>
              </w:rPr>
              <w:fldChar w:fldCharType="end"/>
            </w:r>
            <w:r>
              <w:rPr>
                <w:rFonts w:ascii="Segoe UI"/>
                <w:color w:val="000000"/>
                <w:sz w:val="24"/>
                <w:rtl w:val="off"/>
                <w:lang w:val="en-US"/>
              </w:rPr>
              <w:t xml:space="preserve"> </w:t>
            </w:r>
            <w:r>
              <w:rPr>
                <w:rFonts w:ascii="Segoe UI"/>
                <w:color w:val="000000"/>
                <w:sz w:val="24"/>
                <w:rtl w:val="off"/>
                <w:lang w:val="en-US"/>
              </w:rPr>
              <w:t xml:space="preserve"> </w:t>
            </w:r>
          </w:p>
        </w:tc>
      </w:tr>
      <w:tr>
        <w:trPr>
          <w:wBefore w:w="0" w:type="dxa"/>
          <w:jc w:val="left"/>
        </w:trPr>
        <w:tc>
          <w:tcPr>
            <w:cnfStyle w:val="000010000000"/>
            <w:tcW w:w="690" w:type="dxa"/>
            <w:tcBorders>
              <w:top w:val="single" w:color="000000" w:sz="6" w:space="0"/>
              <w:left w:val="single" w:color="000000" w:sz="6" w:space="0"/>
              <w:bottom w:val="single" w:color="000000" w:sz="6" w:space="0"/>
              <w:right w:val="single" w:color="000000" w:sz="6" w:space="0"/>
            </w:tcBorders>
            <w:shd w:val="clear" w:fill="ffffff"/>
            <w:vAlign w:val="top"/>
          </w:tcPr>
          <w:p w14:paraId="00000269">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Yes</w:t>
            </w:r>
            <w:r>
              <w:rPr>
                <w:rFonts w:ascii="Segoe UI"/>
                <w:color w:val="000000"/>
                <w:sz w:val="24"/>
                <w:rtl w:val="off"/>
                <w:lang w:val="en-US"/>
              </w:rPr>
              <w:t xml:space="preserve"> </w:t>
            </w:r>
          </w:p>
        </w:tc>
        <w:tc>
          <w:tcPr>
            <w:cnfStyle w:val="000001000000"/>
            <w:tcW w:w="1325" w:type="dxa"/>
            <w:tcBorders>
              <w:top w:val="single" w:color="000000" w:sz="6" w:space="0"/>
              <w:left w:val="single" w:color="000000" w:sz="6" w:space="0"/>
              <w:bottom w:val="single" w:color="000000" w:sz="6" w:space="0"/>
              <w:right w:val="single" w:color="000000" w:sz="6" w:space="0"/>
            </w:tcBorders>
            <w:shd w:val="clear" w:fill="ffffff"/>
            <w:vAlign w:val="top"/>
          </w:tcPr>
          <w:p w14:paraId="0000026A">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Wetter et al., (2017)</w:t>
            </w:r>
            <w:r>
              <w:rPr>
                <w:rFonts w:ascii="Segoe UI"/>
                <w:color w:val="000000"/>
                <w:sz w:val="24"/>
                <w:rtl w:val="off"/>
                <w:lang w:val="en-US"/>
              </w:rPr>
              <w:t xml:space="preserve"> </w:t>
            </w:r>
          </w:p>
        </w:tc>
        <w:tc>
          <w:tcPr>
            <w:cnfStyle w:val="000010000000"/>
            <w:tcW w:w="2068" w:type="dxa"/>
            <w:tcBorders>
              <w:top w:val="single" w:color="000000" w:sz="6" w:space="0"/>
              <w:left w:val="single" w:color="000000" w:sz="6" w:space="0"/>
              <w:bottom w:val="single" w:color="000000" w:sz="6" w:space="0"/>
              <w:right w:val="single" w:color="000000" w:sz="6" w:space="0"/>
            </w:tcBorders>
            <w:shd w:val="clear" w:fill="ffffff"/>
            <w:vAlign w:val="top"/>
          </w:tcPr>
          <w:p w14:paraId="0000026B">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Community resilience and loneliness in later life</w:t>
            </w:r>
            <w:r>
              <w:rPr>
                <w:rFonts w:ascii="Segoe UI"/>
                <w:color w:val="000000"/>
                <w:sz w:val="24"/>
                <w:rtl w:val="off"/>
                <w:lang w:val="en-US"/>
              </w:rPr>
              <w:t xml:space="preserve"> </w:t>
            </w:r>
          </w:p>
        </w:tc>
        <w:tc>
          <w:tcPr>
            <w:cnfStyle w:val="000001000000"/>
            <w:tcW w:w="2540" w:type="dxa"/>
            <w:tcBorders>
              <w:top w:val="single" w:color="000000" w:sz="6" w:space="0"/>
              <w:left w:val="single" w:color="000000" w:sz="6" w:space="0"/>
              <w:bottom w:val="single" w:color="000000" w:sz="6" w:space="0"/>
              <w:right w:val="single" w:color="000000" w:sz="6" w:space="0"/>
            </w:tcBorders>
            <w:shd w:val="clear" w:fill="ffffff"/>
            <w:vAlign w:val="top"/>
          </w:tcPr>
          <w:p w14:paraId="0000026C">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 xml:space="preserve">Explores how community resilience relates to loneliness. </w:t>
            </w:r>
            <w:r>
              <w:rPr>
                <w:rFonts w:ascii="Segoe UI"/>
                <w:color w:val="000000"/>
                <w:sz w:val="24"/>
                <w:rtl w:val="off"/>
                <w:lang w:val="en-US"/>
              </w:rPr>
              <w:t xml:space="preserve"> </w:t>
            </w:r>
          </w:p>
        </w:tc>
        <w:tc>
          <w:tcPr>
            <w:cnfStyle w:val="000010000000"/>
            <w:tcW w:w="2090" w:type="dxa"/>
            <w:tcBorders>
              <w:top w:val="single" w:color="000000" w:sz="6" w:space="0"/>
              <w:left w:val="single" w:color="000000" w:sz="6" w:space="0"/>
              <w:bottom w:val="single" w:color="000000" w:sz="6" w:space="0"/>
              <w:right w:val="single" w:color="000000" w:sz="6" w:space="0"/>
            </w:tcBorders>
            <w:shd w:val="clear" w:fill="ffffff"/>
            <w:vAlign w:val="top"/>
          </w:tcPr>
          <w:p w14:paraId="0000026D">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Relevance, Academic, theory to practice</w:t>
            </w:r>
            <w:r>
              <w:rPr>
                <w:rFonts w:ascii="Segoe UI"/>
                <w:color w:val="000000"/>
                <w:sz w:val="24"/>
                <w:rtl w:val="off"/>
                <w:lang w:val="en-US"/>
              </w:rPr>
              <w:t xml:space="preserve"> </w:t>
            </w:r>
          </w:p>
        </w:tc>
        <w:tc>
          <w:tcPr>
            <w:cnfStyle w:val="000001000000"/>
            <w:tcW w:w="2779" w:type="dxa"/>
            <w:tcBorders>
              <w:top w:val="single" w:color="000000" w:sz="6" w:space="0"/>
              <w:left w:val="single" w:color="000000" w:sz="6" w:space="0"/>
              <w:bottom w:val="single" w:color="000000" w:sz="6" w:space="0"/>
              <w:right w:val="single" w:color="000000" w:sz="6" w:space="0"/>
            </w:tcBorders>
            <w:shd w:val="clear" w:fill="ffffff"/>
            <w:vAlign w:val="top"/>
          </w:tcPr>
          <w:p w14:paraId="0000026E">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18"/>
                <w:lang w:val="en-US"/>
              </w:rPr>
            </w:pPr>
            <w:r>
              <w:rPr>
                <w:rFonts w:ascii="Segoe UI"/>
                <w:color w:val="467886"/>
                <w:sz w:val="24"/>
                <w:u w:val="single"/>
                <w:rtl w:val="off"/>
                <w:lang w:val="en-US"/>
              </w:rPr>
              <w:fldChar w:fldCharType="begin"/>
            </w:r>
            <w:r>
              <w:rPr>
                <w:rFonts w:ascii="Segoe UI"/>
                <w:color w:val="467886"/>
                <w:sz w:val="24"/>
                <w:u w:val="single"/>
                <w:rtl w:val="off"/>
                <w:lang w:val="en-US"/>
              </w:rPr>
              <w:instrText xml:space="preserve"> HYPERLINK "https://www.ncbi.nlm.nih.gov/pmc/articles/" </w:instrText>
            </w:r>
            <w:r>
              <w:rPr>
                <w:rFonts w:ascii="Segoe UI"/>
                <w:color w:val="467886"/>
                <w:sz w:val="24"/>
                <w:u w:val="single"/>
                <w:rtl w:val="off"/>
                <w:lang w:val="en-US"/>
              </w:rPr>
              <w:fldChar w:fldCharType="separate"/>
            </w:r>
            <w:r>
              <w:rPr>
                <w:rFonts w:ascii="Segoe UI"/>
                <w:color w:val="467886"/>
                <w:sz w:val="24"/>
                <w:u w:val="single"/>
                <w:rtl w:val="off"/>
                <w:lang w:val="en-US"/>
              </w:rPr>
              <w:t>https://www.ncbi.nlm.nih.gov/pmc/articles/</w:t>
            </w:r>
            <w:r>
              <w:rPr>
                <w:rFonts w:ascii="Segoe UI"/>
                <w:color w:val="000000"/>
                <w:sz w:val="24"/>
                <w:rtl w:val="off"/>
                <w:lang w:val="en-US"/>
              </w:rPr>
              <w:fldChar w:fldCharType="end"/>
            </w:r>
            <w:r>
              <w:rPr>
                <w:rFonts w:ascii="Segoe UI"/>
                <w:color w:val="000000"/>
                <w:sz w:val="24"/>
                <w:rtl w:val="off"/>
                <w:lang w:val="en-US"/>
              </w:rPr>
              <w:t xml:space="preserve"> </w:t>
            </w:r>
            <w:r>
              <w:rPr>
                <w:rFonts w:ascii="Segoe UI"/>
                <w:color w:val="000000"/>
                <w:sz w:val="24"/>
                <w:rtl w:val="off"/>
                <w:lang w:val="en-US"/>
              </w:rPr>
              <w:t xml:space="preserve"> </w:t>
            </w:r>
          </w:p>
        </w:tc>
      </w:tr>
      <w:tr>
        <w:trPr>
          <w:wBefore w:w="0" w:type="dxa"/>
          <w:jc w:val="left"/>
        </w:trPr>
        <w:tc>
          <w:tcPr>
            <w:cnfStyle w:val="000010000000"/>
            <w:tcW w:w="690" w:type="dxa"/>
            <w:tcBorders>
              <w:top w:val="single" w:color="000000" w:sz="6" w:space="0"/>
              <w:left w:val="single" w:color="000000" w:sz="6" w:space="0"/>
              <w:bottom w:val="single" w:color="000000" w:sz="6" w:space="0"/>
              <w:right w:val="single" w:color="000000" w:sz="6" w:space="0"/>
            </w:tcBorders>
            <w:shd w:val="clear" w:fill="ffffff"/>
            <w:vAlign w:val="top"/>
          </w:tcPr>
          <w:p w14:paraId="0000026F">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Yes</w:t>
            </w:r>
            <w:r>
              <w:rPr>
                <w:rFonts w:ascii="Segoe UI"/>
                <w:color w:val="000000"/>
                <w:sz w:val="24"/>
                <w:rtl w:val="off"/>
                <w:lang w:val="en-US"/>
              </w:rPr>
              <w:t xml:space="preserve"> </w:t>
            </w:r>
          </w:p>
        </w:tc>
        <w:tc>
          <w:tcPr>
            <w:cnfStyle w:val="000001000000"/>
            <w:tcW w:w="1325" w:type="dxa"/>
            <w:tcBorders>
              <w:top w:val="single" w:color="000000" w:sz="6" w:space="0"/>
              <w:left w:val="single" w:color="000000" w:sz="6" w:space="0"/>
              <w:bottom w:val="single" w:color="000000" w:sz="6" w:space="0"/>
              <w:right w:val="single" w:color="000000" w:sz="6" w:space="0"/>
            </w:tcBorders>
            <w:shd w:val="clear" w:fill="ffffff"/>
            <w:vAlign w:val="top"/>
          </w:tcPr>
          <w:p w14:paraId="00000270">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NHS England (2020)</w:t>
            </w:r>
            <w:r>
              <w:rPr>
                <w:rFonts w:ascii="Segoe UI"/>
                <w:color w:val="000000"/>
                <w:sz w:val="24"/>
                <w:rtl w:val="off"/>
                <w:lang w:val="en-US"/>
              </w:rPr>
              <w:t xml:space="preserve"> </w:t>
            </w:r>
          </w:p>
        </w:tc>
        <w:tc>
          <w:tcPr>
            <w:cnfStyle w:val="000010000000"/>
            <w:tcW w:w="2068" w:type="dxa"/>
            <w:tcBorders>
              <w:top w:val="single" w:color="000000" w:sz="6" w:space="0"/>
              <w:left w:val="single" w:color="000000" w:sz="6" w:space="0"/>
              <w:bottom w:val="single" w:color="000000" w:sz="6" w:space="0"/>
              <w:right w:val="single" w:color="000000" w:sz="6" w:space="0"/>
            </w:tcBorders>
            <w:shd w:val="clear" w:fill="ffffff"/>
            <w:vAlign w:val="top"/>
          </w:tcPr>
          <w:p w14:paraId="00000271">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Adult and older adult mental health</w:t>
            </w:r>
            <w:r>
              <w:rPr>
                <w:rFonts w:ascii="Segoe UI"/>
                <w:color w:val="000000"/>
                <w:sz w:val="24"/>
                <w:rtl w:val="off"/>
                <w:lang w:val="en-US"/>
              </w:rPr>
              <w:t xml:space="preserve"> </w:t>
            </w:r>
          </w:p>
        </w:tc>
        <w:tc>
          <w:tcPr>
            <w:cnfStyle w:val="000001000000"/>
            <w:tcW w:w="2540" w:type="dxa"/>
            <w:tcBorders>
              <w:top w:val="single" w:color="000000" w:sz="6" w:space="0"/>
              <w:left w:val="single" w:color="000000" w:sz="6" w:space="0"/>
              <w:bottom w:val="single" w:color="000000" w:sz="6" w:space="0"/>
              <w:right w:val="single" w:color="000000" w:sz="6" w:space="0"/>
            </w:tcBorders>
            <w:shd w:val="clear" w:fill="ffffff"/>
            <w:vAlign w:val="top"/>
          </w:tcPr>
          <w:p w14:paraId="00000272">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Transformation in adult and older adult mental health services</w:t>
            </w:r>
            <w:r>
              <w:rPr>
                <w:rFonts w:ascii="Segoe UI"/>
                <w:color w:val="000000"/>
                <w:sz w:val="24"/>
                <w:rtl w:val="off"/>
                <w:lang w:val="en-US"/>
              </w:rPr>
              <w:t xml:space="preserve"> </w:t>
            </w:r>
          </w:p>
        </w:tc>
        <w:tc>
          <w:tcPr>
            <w:cnfStyle w:val="000010000000"/>
            <w:tcW w:w="2090" w:type="dxa"/>
            <w:tcBorders>
              <w:top w:val="single" w:color="000000" w:sz="6" w:space="0"/>
              <w:left w:val="single" w:color="000000" w:sz="6" w:space="0"/>
              <w:bottom w:val="single" w:color="000000" w:sz="6" w:space="0"/>
              <w:right w:val="single" w:color="000000" w:sz="6" w:space="0"/>
            </w:tcBorders>
            <w:shd w:val="clear" w:fill="ffffff"/>
            <w:vAlign w:val="top"/>
          </w:tcPr>
          <w:p w14:paraId="00000273">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 xml:space="preserve">Current, relevance, Government body, </w:t>
            </w:r>
            <w:r>
              <w:rPr>
                <w:rFonts w:ascii="Segoe UI"/>
                <w:color w:val="000000"/>
                <w:sz w:val="24"/>
                <w:rtl w:val="off"/>
                <w:lang w:val="en-US"/>
              </w:rPr>
              <w:t xml:space="preserve"> </w:t>
            </w:r>
          </w:p>
        </w:tc>
        <w:tc>
          <w:tcPr>
            <w:cnfStyle w:val="000001000000"/>
            <w:tcW w:w="2779" w:type="dxa"/>
            <w:tcBorders>
              <w:top w:val="single" w:color="000000" w:sz="6" w:space="0"/>
              <w:left w:val="single" w:color="000000" w:sz="6" w:space="0"/>
              <w:bottom w:val="single" w:color="000000" w:sz="6" w:space="0"/>
              <w:right w:val="single" w:color="000000" w:sz="6" w:space="0"/>
            </w:tcBorders>
            <w:shd w:val="clear" w:fill="ffffff"/>
            <w:vAlign w:val="top"/>
          </w:tcPr>
          <w:p w14:paraId="00000274">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467886"/>
                <w:sz w:val="24"/>
                <w:u w:val="single"/>
                <w:rtl w:val="off"/>
                <w:lang w:val="en-US"/>
              </w:rPr>
              <w:t>Https://www.england.nhs,uk</w:t>
            </w:r>
            <w:r>
              <w:rPr>
                <w:rFonts w:ascii="Segoe UI"/>
                <w:color w:val="000000"/>
                <w:sz w:val="24"/>
                <w:rtl w:val="off"/>
                <w:lang w:val="en-US"/>
              </w:rPr>
              <w:t xml:space="preserve"> </w:t>
            </w:r>
            <w:r>
              <w:rPr>
                <w:rFonts w:ascii="Segoe UI"/>
                <w:color w:val="000000"/>
                <w:sz w:val="24"/>
                <w:rtl w:val="off"/>
                <w:lang w:val="en-US"/>
              </w:rPr>
              <w:t xml:space="preserve"> </w:t>
            </w:r>
          </w:p>
        </w:tc>
      </w:tr>
      <w:tr>
        <w:trPr>
          <w:wBefore w:w="0" w:type="dxa"/>
          <w:jc w:val="left"/>
        </w:trPr>
        <w:tc>
          <w:tcPr>
            <w:cnfStyle w:val="000010000000"/>
            <w:tcW w:w="690" w:type="dxa"/>
            <w:tcBorders>
              <w:top w:val="single" w:color="000000" w:sz="6" w:space="0"/>
              <w:left w:val="single" w:color="000000" w:sz="6" w:space="0"/>
              <w:bottom w:val="single" w:color="000000" w:sz="6" w:space="0"/>
              <w:right w:val="single" w:color="000000" w:sz="6" w:space="0"/>
            </w:tcBorders>
            <w:shd w:val="clear" w:fill="ffffff"/>
            <w:vAlign w:val="top"/>
          </w:tcPr>
          <w:p w14:paraId="00000275">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Yes</w:t>
            </w:r>
            <w:r>
              <w:rPr>
                <w:rFonts w:ascii="Segoe UI"/>
                <w:color w:val="000000"/>
                <w:sz w:val="24"/>
                <w:rtl w:val="off"/>
                <w:lang w:val="en-US"/>
              </w:rPr>
              <w:t xml:space="preserve"> </w:t>
            </w:r>
          </w:p>
        </w:tc>
        <w:tc>
          <w:tcPr>
            <w:cnfStyle w:val="000001000000"/>
            <w:tcW w:w="1325" w:type="dxa"/>
            <w:tcBorders>
              <w:top w:val="single" w:color="000000" w:sz="6" w:space="0"/>
              <w:left w:val="single" w:color="000000" w:sz="6" w:space="0"/>
              <w:bottom w:val="single" w:color="000000" w:sz="6" w:space="0"/>
              <w:right w:val="single" w:color="000000" w:sz="6" w:space="0"/>
            </w:tcBorders>
            <w:shd w:val="clear" w:fill="ffffff"/>
            <w:vAlign w:val="top"/>
          </w:tcPr>
          <w:p w14:paraId="00000276">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PHR (2018)</w:t>
            </w:r>
            <w:r>
              <w:rPr>
                <w:rFonts w:ascii="Segoe UI"/>
                <w:color w:val="000000"/>
                <w:sz w:val="24"/>
                <w:rtl w:val="off"/>
                <w:lang w:val="en-US"/>
              </w:rPr>
              <w:t xml:space="preserve"> </w:t>
            </w:r>
          </w:p>
        </w:tc>
        <w:tc>
          <w:tcPr>
            <w:cnfStyle w:val="000010000000"/>
            <w:tcW w:w="2068" w:type="dxa"/>
            <w:tcBorders>
              <w:top w:val="single" w:color="000000" w:sz="6" w:space="0"/>
              <w:left w:val="single" w:color="000000" w:sz="6" w:space="0"/>
              <w:bottom w:val="single" w:color="000000" w:sz="6" w:space="0"/>
              <w:right w:val="single" w:color="000000" w:sz="6" w:space="0"/>
            </w:tcBorders>
            <w:shd w:val="clear" w:fill="ffffff"/>
            <w:vAlign w:val="top"/>
          </w:tcPr>
          <w:p w14:paraId="00000277">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Policy highlights: loneliness and aging</w:t>
            </w:r>
            <w:r>
              <w:rPr>
                <w:rFonts w:ascii="Segoe UI"/>
                <w:color w:val="000000"/>
                <w:sz w:val="24"/>
                <w:rtl w:val="off"/>
                <w:lang w:val="en-US"/>
              </w:rPr>
              <w:t xml:space="preserve"> </w:t>
            </w:r>
          </w:p>
        </w:tc>
        <w:tc>
          <w:tcPr>
            <w:cnfStyle w:val="000001000000"/>
            <w:tcW w:w="2540" w:type="dxa"/>
            <w:tcBorders>
              <w:top w:val="single" w:color="000000" w:sz="6" w:space="0"/>
              <w:left w:val="single" w:color="000000" w:sz="6" w:space="0"/>
              <w:bottom w:val="single" w:color="000000" w:sz="6" w:space="0"/>
              <w:right w:val="single" w:color="000000" w:sz="6" w:space="0"/>
            </w:tcBorders>
            <w:shd w:val="clear" w:fill="ffffff"/>
            <w:vAlign w:val="top"/>
          </w:tcPr>
          <w:p w14:paraId="00000278">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Brief policy synthesis for ageing/loneliness.</w:t>
            </w:r>
            <w:r>
              <w:rPr>
                <w:rFonts w:ascii="Segoe UI"/>
                <w:color w:val="000000"/>
                <w:sz w:val="24"/>
                <w:rtl w:val="off"/>
                <w:lang w:val="en-US"/>
              </w:rPr>
              <w:t xml:space="preserve"> </w:t>
            </w:r>
          </w:p>
        </w:tc>
        <w:tc>
          <w:tcPr>
            <w:cnfStyle w:val="000010000000"/>
            <w:tcW w:w="2090" w:type="dxa"/>
            <w:tcBorders>
              <w:top w:val="single" w:color="000000" w:sz="6" w:space="0"/>
              <w:left w:val="single" w:color="000000" w:sz="6" w:space="0"/>
              <w:bottom w:val="single" w:color="000000" w:sz="6" w:space="0"/>
              <w:right w:val="single" w:color="000000" w:sz="6" w:space="0"/>
            </w:tcBorders>
            <w:shd w:val="clear" w:fill="ffffff"/>
            <w:vAlign w:val="top"/>
          </w:tcPr>
          <w:p w14:paraId="00000279">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24"/>
                <w:lang w:val="en-US"/>
              </w:rPr>
            </w:pPr>
            <w:r>
              <w:rPr>
                <w:rFonts w:ascii="Segoe UI"/>
                <w:color w:val="000000"/>
                <w:sz w:val="24"/>
                <w:rtl w:val="off"/>
                <w:lang w:val="en-US"/>
              </w:rPr>
              <w:t>Recent, relevant, policy-orientated</w:t>
            </w:r>
            <w:r>
              <w:rPr>
                <w:rFonts w:ascii="Segoe UI"/>
                <w:color w:val="000000"/>
                <w:sz w:val="24"/>
                <w:rtl w:val="off"/>
                <w:lang w:val="en-US"/>
              </w:rPr>
              <w:t xml:space="preserve"> </w:t>
            </w:r>
          </w:p>
        </w:tc>
        <w:tc>
          <w:tcPr>
            <w:cnfStyle w:val="000001000000"/>
            <w:tcW w:w="2779" w:type="dxa"/>
            <w:tcBorders>
              <w:top w:val="single" w:color="000000" w:sz="6" w:space="0"/>
              <w:left w:val="single" w:color="000000" w:sz="6" w:space="0"/>
              <w:bottom w:val="single" w:color="000000" w:sz="6" w:space="0"/>
              <w:right w:val="single" w:color="000000" w:sz="6" w:space="0"/>
            </w:tcBorders>
            <w:shd w:val="clear" w:fill="ffffff"/>
            <w:vAlign w:val="top"/>
          </w:tcPr>
          <w:p w14:paraId="0000027A">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18"/>
                <w:lang w:val="en-US"/>
              </w:rPr>
            </w:pPr>
            <w:r>
              <w:rPr>
                <w:rFonts w:ascii="Segoe UI"/>
                <w:color w:val="467886"/>
                <w:sz w:val="24"/>
                <w:u w:val="single"/>
                <w:rtl w:val="off"/>
                <w:lang w:val="en-US"/>
              </w:rPr>
              <w:fldChar w:fldCharType="begin"/>
            </w:r>
            <w:r>
              <w:rPr>
                <w:rFonts w:ascii="Segoe UI"/>
                <w:color w:val="467886"/>
                <w:sz w:val="24"/>
                <w:u w:val="single"/>
                <w:rtl w:val="off"/>
                <w:lang w:val="en-US"/>
              </w:rPr>
              <w:instrText xml:space="preserve"> HYPERLINK "https://www.phr.org.uk/" </w:instrText>
            </w:r>
            <w:r>
              <w:rPr>
                <w:rFonts w:ascii="Segoe UI"/>
                <w:color w:val="467886"/>
                <w:sz w:val="24"/>
                <w:u w:val="single"/>
                <w:rtl w:val="off"/>
                <w:lang w:val="en-US"/>
              </w:rPr>
              <w:fldChar w:fldCharType="separate"/>
            </w:r>
            <w:r>
              <w:rPr>
                <w:rFonts w:ascii="Segoe UI"/>
                <w:color w:val="467886"/>
                <w:sz w:val="24"/>
                <w:u w:val="single"/>
                <w:rtl w:val="off"/>
                <w:lang w:val="en-US"/>
              </w:rPr>
              <w:t>https://www.phr.org.uk/</w:t>
            </w:r>
            <w:r>
              <w:rPr>
                <w:rFonts w:ascii="Segoe UI"/>
                <w:color w:val="000000"/>
                <w:sz w:val="24"/>
                <w:rtl w:val="off"/>
                <w:lang w:val="en-US"/>
              </w:rPr>
              <w:fldChar w:fldCharType="end"/>
            </w:r>
            <w:r>
              <w:rPr>
                <w:rFonts w:ascii="Segoe UI"/>
                <w:color w:val="000000"/>
                <w:sz w:val="24"/>
                <w:rtl w:val="off"/>
                <w:lang w:val="en-US"/>
              </w:rPr>
              <w:t xml:space="preserve"> </w:t>
            </w:r>
            <w:r>
              <w:rPr>
                <w:rFonts w:ascii="Segoe UI"/>
                <w:color w:val="000000"/>
                <w:sz w:val="24"/>
                <w:rtl w:val="off"/>
                <w:lang w:val="en-US"/>
              </w:rPr>
              <w:t xml:space="preserve"> </w:t>
            </w:r>
          </w:p>
        </w:tc>
      </w:tr>
    </w:tbl>
    <w:p w14:paraId="0000027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b/>
          <w:color w:val="000000"/>
          <w:sz w:val="22"/>
          <w:highlight w:val="white"/>
          <w:rtl w:val="off"/>
          <w:lang w:val="en-US"/>
        </w:rPr>
      </w:pPr>
    </w:p>
    <w:p w14:paraId="0000027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b/>
          <w:color w:val="000000"/>
          <w:sz w:val="22"/>
          <w:highlight w:val="white"/>
          <w:rtl w:val="off"/>
          <w:lang w:val="en-US"/>
        </w:rPr>
      </w:pPr>
    </w:p>
    <w:p w14:paraId="0000027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b/>
          <w:color w:val="000000"/>
          <w:sz w:val="22"/>
          <w:highlight w:val="white"/>
          <w:rtl w:val="off"/>
          <w:lang w:val="en-US"/>
        </w:rPr>
      </w:pPr>
    </w:p>
    <w:p w14:paraId="0000027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Arial"/>
          <w:b/>
          <w:color w:val="000000"/>
          <w:sz w:val="22"/>
          <w:highlight w:val="white"/>
          <w:rtl w:val="off"/>
          <w:lang w:val="en-US"/>
        </w:rPr>
        <w:t>Appendix B Result Summary Table</w:t>
      </w:r>
      <w:r>
        <w:rPr>
          <w:rFonts w:ascii="Arial"/>
          <w:color w:val="000000"/>
          <w:sz w:val="22"/>
          <w:highlight w:val="none"/>
          <w:rtl w:val="off"/>
          <w:lang w:val="en-US"/>
        </w:rPr>
        <w:t xml:space="preserve"> </w:t>
      </w:r>
      <w:r>
        <w:rPr>
          <w:rFonts w:ascii="Segoe UI"/>
          <w:color w:val="000000"/>
          <w:sz w:val="18"/>
          <w:rtl w:val="off"/>
          <w:lang w:val="en-US"/>
        </w:rPr>
        <w:t xml:space="preserve"> </w:t>
      </w:r>
    </w:p>
    <w:p w14:paraId="0000027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olor w:val="000000"/>
          <w:sz w:val="22"/>
          <w:highlight w:val="white"/>
          <w:rtl w:val="off"/>
          <w:lang w:val="en-US"/>
        </w:rPr>
      </w:pPr>
    </w:p>
    <w:tbl>
      <w:tblPr>
        <w:bidiVisual w:val="off"/>
        <w:tblW w:w="11540" w:type="dxa"/>
        <w:jc w:val="left"/>
        <w:tblInd w:w="-12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0" w:type="dxa"/>
          <w:left w:w="10" w:type="dxa"/>
          <w:bottom w:w="10" w:type="dxa"/>
          <w:right w:w="10" w:type="dxa"/>
        </w:tblCellMar>
      </w:tblPr>
      <w:tblGrid>
        <w:gridCol w:w="735"/>
        <w:gridCol w:w="1294"/>
        <w:gridCol w:w="731"/>
        <w:gridCol w:w="1772"/>
        <w:gridCol w:w="1640"/>
        <w:gridCol w:w="1674"/>
        <w:gridCol w:w="1750"/>
        <w:gridCol w:w="1944"/>
      </w:tblGrid>
      <w:tr>
        <w:trPr>
          <w:wBefore w:w="0" w:type="dxa"/>
          <w:jc w:val="left"/>
        </w:trPr>
        <w:tc>
          <w:tcPr>
            <w:cnfStyle w:val="100010000000"/>
            <w:tcW w:w="735" w:type="dxa"/>
            <w:tcBorders>
              <w:top w:val="single" w:color="000000" w:sz="6" w:space="0"/>
              <w:left w:val="single" w:color="000000" w:sz="6" w:space="0"/>
              <w:bottom w:val="single" w:color="000000" w:sz="6" w:space="0"/>
              <w:right w:val="single" w:color="000000" w:sz="6" w:space="0"/>
            </w:tcBorders>
            <w:shd w:val="clear" w:fill="ffffff"/>
            <w:vAlign w:val="top"/>
          </w:tcPr>
          <w:p w14:paraId="00000280">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Author &amp; Year</w:t>
            </w:r>
            <w:r>
              <w:rPr>
                <w:rFonts w:ascii="Arial"/>
                <w:color w:val="000000"/>
                <w:sz w:val="18"/>
                <w:rtl w:val="off"/>
                <w:lang w:val="en-US"/>
              </w:rPr>
              <w:t xml:space="preserve"> </w:t>
            </w:r>
          </w:p>
        </w:tc>
        <w:tc>
          <w:tcPr>
            <w:cnfStyle w:val="100001000000"/>
            <w:tcW w:w="1294" w:type="dxa"/>
            <w:tcBorders>
              <w:top w:val="single" w:color="000000" w:sz="6" w:space="0"/>
              <w:left w:val="single" w:color="000000" w:sz="6" w:space="0"/>
              <w:bottom w:val="single" w:color="000000" w:sz="6" w:space="0"/>
              <w:right w:val="single" w:color="000000" w:sz="6" w:space="0"/>
            </w:tcBorders>
            <w:shd w:val="clear" w:fill="ffffff"/>
            <w:vAlign w:val="top"/>
          </w:tcPr>
          <w:p w14:paraId="00000281">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Article Title</w:t>
            </w:r>
            <w:r>
              <w:rPr>
                <w:rFonts w:ascii="Arial"/>
                <w:color w:val="000000"/>
                <w:sz w:val="18"/>
                <w:rtl w:val="off"/>
                <w:lang w:val="en-US"/>
              </w:rPr>
              <w:t xml:space="preserve"> </w:t>
            </w:r>
          </w:p>
        </w:tc>
        <w:tc>
          <w:tcPr>
            <w:cnfStyle w:val="100010000000"/>
            <w:tcW w:w="731" w:type="dxa"/>
            <w:tcBorders>
              <w:top w:val="single" w:color="000000" w:sz="6" w:space="0"/>
              <w:left w:val="single" w:color="000000" w:sz="6" w:space="0"/>
              <w:bottom w:val="single" w:color="000000" w:sz="6" w:space="0"/>
              <w:right w:val="single" w:color="000000" w:sz="6" w:space="0"/>
            </w:tcBorders>
            <w:shd w:val="clear" w:fill="ffffff"/>
            <w:vAlign w:val="top"/>
          </w:tcPr>
          <w:p w14:paraId="00000282">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Type of Study</w:t>
            </w:r>
            <w:r>
              <w:rPr>
                <w:rFonts w:ascii="Arial"/>
                <w:color w:val="000000"/>
                <w:sz w:val="18"/>
                <w:rtl w:val="off"/>
                <w:lang w:val="en-US"/>
              </w:rPr>
              <w:t xml:space="preserve"> </w:t>
            </w:r>
          </w:p>
        </w:tc>
        <w:tc>
          <w:tcPr>
            <w:cnfStyle w:val="100001000000"/>
            <w:tcW w:w="1772" w:type="dxa"/>
            <w:tcBorders>
              <w:top w:val="single" w:color="000000" w:sz="6" w:space="0"/>
              <w:left w:val="single" w:color="000000" w:sz="6" w:space="0"/>
              <w:bottom w:val="single" w:color="000000" w:sz="6" w:space="0"/>
              <w:right w:val="single" w:color="000000" w:sz="6" w:space="0"/>
            </w:tcBorders>
            <w:shd w:val="clear" w:fill="ffffff"/>
            <w:vAlign w:val="top"/>
          </w:tcPr>
          <w:p w14:paraId="00000283">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Research Method &amp; Sample Size</w:t>
            </w:r>
            <w:r>
              <w:rPr>
                <w:rFonts w:ascii="Arial"/>
                <w:color w:val="000000"/>
                <w:sz w:val="18"/>
                <w:rtl w:val="off"/>
                <w:lang w:val="en-US"/>
              </w:rPr>
              <w:t xml:space="preserve"> </w:t>
            </w:r>
          </w:p>
        </w:tc>
        <w:tc>
          <w:tcPr>
            <w:cnfStyle w:val="100010000000"/>
            <w:tcW w:w="1640" w:type="dxa"/>
            <w:tcBorders>
              <w:top w:val="single" w:color="000000" w:sz="6" w:space="0"/>
              <w:left w:val="single" w:color="000000" w:sz="6" w:space="0"/>
              <w:bottom w:val="single" w:color="000000" w:sz="6" w:space="0"/>
              <w:right w:val="single" w:color="000000" w:sz="6" w:space="0"/>
            </w:tcBorders>
            <w:shd w:val="clear" w:fill="ffffff"/>
            <w:vAlign w:val="top"/>
          </w:tcPr>
          <w:p w14:paraId="00000284">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Strengths &amp; Limitations</w:t>
            </w:r>
            <w:r>
              <w:rPr>
                <w:rFonts w:ascii="Arial"/>
                <w:color w:val="000000"/>
                <w:sz w:val="18"/>
                <w:rtl w:val="off"/>
                <w:lang w:val="en-US"/>
              </w:rPr>
              <w:t xml:space="preserve"> </w:t>
            </w:r>
          </w:p>
        </w:tc>
        <w:tc>
          <w:tcPr>
            <w:cnfStyle w:val="100001000000"/>
            <w:tcW w:w="1674" w:type="dxa"/>
            <w:tcBorders>
              <w:top w:val="single" w:color="000000" w:sz="6" w:space="0"/>
              <w:left w:val="single" w:color="000000" w:sz="6" w:space="0"/>
              <w:bottom w:val="single" w:color="000000" w:sz="6" w:space="0"/>
              <w:right w:val="single" w:color="000000" w:sz="6" w:space="0"/>
            </w:tcBorders>
            <w:shd w:val="clear" w:fill="ffffff"/>
            <w:vAlign w:val="top"/>
          </w:tcPr>
          <w:p w14:paraId="00000285">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Main Findings</w:t>
            </w:r>
            <w:r>
              <w:rPr>
                <w:rFonts w:ascii="Arial"/>
                <w:color w:val="000000"/>
                <w:sz w:val="18"/>
                <w:rtl w:val="off"/>
                <w:lang w:val="en-US"/>
              </w:rPr>
              <w:t xml:space="preserve"> </w:t>
            </w:r>
          </w:p>
        </w:tc>
        <w:tc>
          <w:tcPr>
            <w:cnfStyle w:val="100010000000"/>
            <w:tcW w:w="1750" w:type="dxa"/>
            <w:tcBorders>
              <w:top w:val="single" w:color="000000" w:sz="6" w:space="0"/>
              <w:left w:val="single" w:color="000000" w:sz="6" w:space="0"/>
              <w:bottom w:val="single" w:color="000000" w:sz="6" w:space="0"/>
              <w:right w:val="single" w:color="000000" w:sz="6" w:space="0"/>
            </w:tcBorders>
            <w:shd w:val="clear" w:fill="ffffff"/>
            <w:vAlign w:val="top"/>
          </w:tcPr>
          <w:p w14:paraId="00000286">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 xml:space="preserve">Keywords &amp; Codes </w:t>
            </w:r>
            <w:r>
              <w:rPr>
                <w:rFonts w:ascii="Arial"/>
                <w:color w:val="000000"/>
                <w:sz w:val="18"/>
                <w:rtl w:val="off"/>
                <w:lang w:val="en-US"/>
              </w:rPr>
              <w:t xml:space="preserve"> </w:t>
            </w:r>
          </w:p>
        </w:tc>
        <w:tc>
          <w:tcPr>
            <w:cnfStyle w:val="100001000000"/>
            <w:tcW w:w="1944" w:type="dxa"/>
            <w:tcBorders>
              <w:top w:val="single" w:color="000000" w:sz="6" w:space="0"/>
              <w:left w:val="single" w:color="000000" w:sz="6" w:space="0"/>
              <w:bottom w:val="single" w:color="000000" w:sz="6" w:space="0"/>
              <w:right w:val="single" w:color="000000" w:sz="6" w:space="0"/>
            </w:tcBorders>
            <w:shd w:val="clear" w:fill="ffffff"/>
            <w:vAlign w:val="top"/>
          </w:tcPr>
          <w:p w14:paraId="00000287">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Notes and Comments</w:t>
            </w:r>
            <w:r>
              <w:rPr>
                <w:rFonts w:ascii="Arial"/>
                <w:color w:val="000000"/>
                <w:sz w:val="18"/>
                <w:rtl w:val="off"/>
                <w:lang w:val="en-US"/>
              </w:rPr>
              <w:t xml:space="preserve"> </w:t>
            </w:r>
          </w:p>
        </w:tc>
      </w:tr>
      <w:tr>
        <w:trPr>
          <w:wBefore w:w="0" w:type="dxa"/>
          <w:jc w:val="left"/>
        </w:trPr>
        <w:tc>
          <w:tcPr>
            <w:cnfStyle w:val="000010000000"/>
            <w:tcW w:w="735" w:type="dxa"/>
            <w:tcBorders>
              <w:top w:val="single" w:color="000000" w:sz="6" w:space="0"/>
              <w:left w:val="single" w:color="000000" w:sz="6" w:space="0"/>
              <w:bottom w:val="single" w:color="000000" w:sz="6" w:space="0"/>
              <w:right w:val="single" w:color="000000" w:sz="6" w:space="0"/>
            </w:tcBorders>
            <w:shd w:val="clear" w:fill="ffffff"/>
            <w:vAlign w:val="top"/>
          </w:tcPr>
          <w:p w14:paraId="00000288">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Age UK (2022)</w:t>
            </w:r>
            <w:r>
              <w:rPr>
                <w:rFonts w:ascii="Arial"/>
                <w:color w:val="000000"/>
                <w:sz w:val="18"/>
                <w:rtl w:val="off"/>
                <w:lang w:val="en-US"/>
              </w:rPr>
              <w:t xml:space="preserve"> </w:t>
            </w:r>
          </w:p>
        </w:tc>
        <w:tc>
          <w:tcPr>
            <w:cnfStyle w:val="000001000000"/>
            <w:tcW w:w="1294" w:type="dxa"/>
            <w:tcBorders>
              <w:top w:val="single" w:color="000000" w:sz="6" w:space="0"/>
              <w:left w:val="single" w:color="000000" w:sz="6" w:space="0"/>
              <w:bottom w:val="single" w:color="000000" w:sz="6" w:space="0"/>
              <w:right w:val="single" w:color="000000" w:sz="6" w:space="0"/>
            </w:tcBorders>
            <w:shd w:val="clear" w:fill="ffffff"/>
            <w:vAlign w:val="top"/>
          </w:tcPr>
          <w:p w14:paraId="00000289">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Aiming High? Loneliness and older people in the UK</w:t>
            </w:r>
            <w:r>
              <w:rPr>
                <w:rFonts w:ascii="Arial"/>
                <w:color w:val="000000"/>
                <w:sz w:val="18"/>
                <w:rtl w:val="off"/>
                <w:lang w:val="en-US"/>
              </w:rPr>
              <w:t xml:space="preserve"> </w:t>
            </w:r>
          </w:p>
        </w:tc>
        <w:tc>
          <w:tcPr>
            <w:cnfStyle w:val="000010000000"/>
            <w:tcW w:w="731" w:type="dxa"/>
            <w:tcBorders>
              <w:top w:val="single" w:color="000000" w:sz="6" w:space="0"/>
              <w:left w:val="single" w:color="000000" w:sz="6" w:space="0"/>
              <w:bottom w:val="single" w:color="000000" w:sz="6" w:space="0"/>
              <w:right w:val="single" w:color="000000" w:sz="6" w:space="0"/>
            </w:tcBorders>
            <w:shd w:val="clear" w:fill="ffffff"/>
            <w:vAlign w:val="top"/>
          </w:tcPr>
          <w:p w14:paraId="0000028A">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Policy review</w:t>
            </w:r>
            <w:r>
              <w:rPr>
                <w:rFonts w:ascii="Arial"/>
                <w:color w:val="000000"/>
                <w:sz w:val="18"/>
                <w:rtl w:val="off"/>
                <w:lang w:val="en-US"/>
              </w:rPr>
              <w:t xml:space="preserve"> </w:t>
            </w:r>
          </w:p>
        </w:tc>
        <w:tc>
          <w:tcPr>
            <w:cnfStyle w:val="000001000000"/>
            <w:tcW w:w="1772" w:type="dxa"/>
            <w:tcBorders>
              <w:top w:val="single" w:color="000000" w:sz="6" w:space="0"/>
              <w:left w:val="single" w:color="000000" w:sz="6" w:space="0"/>
              <w:bottom w:val="single" w:color="000000" w:sz="6" w:space="0"/>
              <w:right w:val="single" w:color="000000" w:sz="6" w:space="0"/>
            </w:tcBorders>
            <w:shd w:val="clear" w:fill="ffffff"/>
            <w:vAlign w:val="top"/>
          </w:tcPr>
          <w:p w14:paraId="0000028B">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 xml:space="preserve">A review synthesises findings from multiple policy reviews, government reports, and statistical data related to loneliness among older adults in the UK. </w:t>
            </w:r>
            <w:r>
              <w:rPr>
                <w:rFonts w:ascii="Arial"/>
                <w:color w:val="000000"/>
                <w:sz w:val="18"/>
                <w:rtl w:val="off"/>
                <w:lang w:val="en-US"/>
              </w:rPr>
              <w:t xml:space="preserve"> </w:t>
            </w:r>
          </w:p>
        </w:tc>
        <w:tc>
          <w:tcPr>
            <w:cnfStyle w:val="000010000000"/>
            <w:tcW w:w="1640" w:type="dxa"/>
            <w:tcBorders>
              <w:top w:val="single" w:color="000000" w:sz="6" w:space="0"/>
              <w:left w:val="single" w:color="000000" w:sz="6" w:space="0"/>
              <w:bottom w:val="single" w:color="000000" w:sz="6" w:space="0"/>
              <w:right w:val="single" w:color="000000" w:sz="6" w:space="0"/>
            </w:tcBorders>
            <w:shd w:val="clear" w:fill="ffffff"/>
            <w:vAlign w:val="top"/>
          </w:tcPr>
          <w:p w14:paraId="0000028C">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ff0000"/>
                <w:sz w:val="18"/>
                <w:rtl w:val="off"/>
                <w:lang w:val="en-US"/>
              </w:rPr>
              <w:t>Strength</w:t>
            </w:r>
            <w:r>
              <w:rPr>
                <w:rFonts w:ascii="Arial"/>
                <w:color w:val="ff0000"/>
                <w:sz w:val="18"/>
                <w:rtl w:val="off"/>
                <w:lang w:val="en-US"/>
              </w:rPr>
              <w:t xml:space="preserve"> </w:t>
            </w:r>
          </w:p>
          <w:p w14:paraId="0000028D">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 xml:space="preserve">Relevant to current policy discussions regarding ageing and loneliness. </w:t>
            </w:r>
            <w:r>
              <w:rPr>
                <w:rFonts w:ascii="Arial"/>
                <w:color w:val="000000"/>
                <w:sz w:val="18"/>
                <w:rtl w:val="off"/>
                <w:lang w:val="en-US"/>
              </w:rPr>
              <w:t xml:space="preserve"> </w:t>
            </w:r>
          </w:p>
          <w:p w14:paraId="0000028E">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ff0000"/>
                <w:sz w:val="18"/>
                <w:rtl w:val="off"/>
                <w:lang w:val="en-US"/>
              </w:rPr>
              <w:t>Limitation</w:t>
            </w:r>
            <w:r>
              <w:rPr>
                <w:rFonts w:ascii="Arial"/>
                <w:color w:val="000000"/>
                <w:sz w:val="18"/>
                <w:rtl w:val="off"/>
                <w:lang w:val="en-US"/>
              </w:rPr>
              <w:t xml:space="preserve"> The reliance on secondary research may limit the depth of insights derived from analysis.</w:t>
            </w:r>
            <w:r>
              <w:rPr>
                <w:rFonts w:ascii="Arial"/>
                <w:color w:val="000000"/>
                <w:sz w:val="18"/>
                <w:rtl w:val="off"/>
                <w:lang w:val="en-US"/>
              </w:rPr>
              <w:t xml:space="preserve"> </w:t>
            </w:r>
          </w:p>
        </w:tc>
        <w:tc>
          <w:tcPr>
            <w:cnfStyle w:val="000001000000"/>
            <w:tcW w:w="1674" w:type="dxa"/>
            <w:tcBorders>
              <w:top w:val="single" w:color="000000" w:sz="6" w:space="0"/>
              <w:left w:val="single" w:color="000000" w:sz="6" w:space="0"/>
              <w:bottom w:val="single" w:color="000000" w:sz="6" w:space="0"/>
              <w:right w:val="single" w:color="000000" w:sz="6" w:space="0"/>
            </w:tcBorders>
            <w:shd w:val="clear" w:fill="ffffff"/>
            <w:vAlign w:val="top"/>
          </w:tcPr>
          <w:p w14:paraId="0000028F">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 xml:space="preserve">This report underscores the urgent need for initiatives such as social prescribing, enhancing digital inclusion, and improving housing conditions specifically for individuals aged 65 and older. </w:t>
            </w:r>
            <w:r>
              <w:rPr>
                <w:rFonts w:ascii="Arial"/>
                <w:color w:val="000000"/>
                <w:sz w:val="18"/>
                <w:rtl w:val="off"/>
                <w:lang w:val="en-US"/>
              </w:rPr>
              <w:t xml:space="preserve"> </w:t>
            </w:r>
          </w:p>
        </w:tc>
        <w:tc>
          <w:tcPr>
            <w:cnfStyle w:val="000010000000"/>
            <w:tcW w:w="1750" w:type="dxa"/>
            <w:tcBorders>
              <w:top w:val="single" w:color="000000" w:sz="6" w:space="0"/>
              <w:left w:val="single" w:color="000000" w:sz="6" w:space="0"/>
              <w:bottom w:val="single" w:color="000000" w:sz="6" w:space="0"/>
              <w:right w:val="single" w:color="000000" w:sz="6" w:space="0"/>
            </w:tcBorders>
            <w:shd w:val="clear" w:fill="ffffff"/>
            <w:vAlign w:val="top"/>
          </w:tcPr>
          <w:p w14:paraId="00000290">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 xml:space="preserve">Loneliness in older adults, policy implications, social prescribing, digital inclusion, housing improvement and public health challenges. </w:t>
            </w:r>
            <w:r>
              <w:rPr>
                <w:rFonts w:ascii="Arial"/>
                <w:color w:val="000000"/>
                <w:sz w:val="18"/>
                <w:rtl w:val="off"/>
                <w:lang w:val="en-US"/>
              </w:rPr>
              <w:t xml:space="preserve"> </w:t>
            </w:r>
          </w:p>
        </w:tc>
        <w:tc>
          <w:tcPr>
            <w:cnfStyle w:val="000001000000"/>
            <w:tcW w:w="1944" w:type="dxa"/>
            <w:tcBorders>
              <w:top w:val="single" w:color="000000" w:sz="6" w:space="0"/>
              <w:left w:val="single" w:color="000000" w:sz="6" w:space="0"/>
              <w:bottom w:val="single" w:color="000000" w:sz="6" w:space="0"/>
              <w:right w:val="single" w:color="000000" w:sz="6" w:space="0"/>
            </w:tcBorders>
            <w:shd w:val="clear" w:fill="ffffff"/>
            <w:vAlign w:val="top"/>
          </w:tcPr>
          <w:p w14:paraId="00000291">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This review aimed at finding particular factors influencing loneliness to enhance the quality of life and mental health of adults aged 65 and older.</w:t>
            </w:r>
            <w:r>
              <w:rPr>
                <w:rFonts w:ascii="Arial"/>
                <w:color w:val="000000"/>
                <w:sz w:val="18"/>
                <w:rtl w:val="off"/>
                <w:lang w:val="en-US"/>
              </w:rPr>
              <w:t xml:space="preserve"> </w:t>
            </w:r>
          </w:p>
        </w:tc>
      </w:tr>
      <w:tr>
        <w:trPr>
          <w:wBefore w:w="0" w:type="dxa"/>
          <w:jc w:val="left"/>
        </w:trPr>
        <w:tc>
          <w:tcPr>
            <w:cnfStyle w:val="000010000000"/>
            <w:tcW w:w="735" w:type="dxa"/>
            <w:tcBorders>
              <w:top w:val="single" w:color="000000" w:sz="6" w:space="0"/>
              <w:left w:val="single" w:color="000000" w:sz="6" w:space="0"/>
              <w:bottom w:val="single" w:color="000000" w:sz="6" w:space="0"/>
              <w:right w:val="single" w:color="000000" w:sz="6" w:space="0"/>
            </w:tcBorders>
            <w:shd w:val="clear" w:fill="ffffff"/>
            <w:vAlign w:val="top"/>
          </w:tcPr>
          <w:p w14:paraId="00000292">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ONS (2023)</w:t>
            </w:r>
            <w:r>
              <w:rPr>
                <w:rFonts w:ascii="Arial"/>
                <w:color w:val="000000"/>
                <w:sz w:val="18"/>
                <w:rtl w:val="off"/>
                <w:lang w:val="en-US"/>
              </w:rPr>
              <w:t xml:space="preserve"> </w:t>
            </w:r>
          </w:p>
        </w:tc>
        <w:tc>
          <w:tcPr>
            <w:cnfStyle w:val="000001000000"/>
            <w:tcW w:w="1294" w:type="dxa"/>
            <w:tcBorders>
              <w:top w:val="single" w:color="000000" w:sz="6" w:space="0"/>
              <w:left w:val="single" w:color="000000" w:sz="6" w:space="0"/>
              <w:bottom w:val="single" w:color="000000" w:sz="6" w:space="0"/>
              <w:right w:val="single" w:color="000000" w:sz="6" w:space="0"/>
            </w:tcBorders>
            <w:shd w:val="clear" w:fill="ffffff"/>
            <w:vAlign w:val="top"/>
          </w:tcPr>
          <w:p w14:paraId="00000293">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Loneliness in the UK: 2023</w:t>
            </w:r>
            <w:r>
              <w:rPr>
                <w:rFonts w:ascii="Arial"/>
                <w:color w:val="000000"/>
                <w:sz w:val="18"/>
                <w:rtl w:val="off"/>
                <w:lang w:val="en-US"/>
              </w:rPr>
              <w:t xml:space="preserve"> </w:t>
            </w:r>
          </w:p>
        </w:tc>
        <w:tc>
          <w:tcPr>
            <w:cnfStyle w:val="000010000000"/>
            <w:tcW w:w="731" w:type="dxa"/>
            <w:tcBorders>
              <w:top w:val="single" w:color="000000" w:sz="6" w:space="0"/>
              <w:left w:val="single" w:color="000000" w:sz="6" w:space="0"/>
              <w:bottom w:val="single" w:color="000000" w:sz="6" w:space="0"/>
              <w:right w:val="single" w:color="000000" w:sz="6" w:space="0"/>
            </w:tcBorders>
            <w:shd w:val="clear" w:fill="ffffff"/>
            <w:vAlign w:val="top"/>
          </w:tcPr>
          <w:p w14:paraId="00000294">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Quantitative cross-sectional report</w:t>
            </w:r>
            <w:r>
              <w:rPr>
                <w:rFonts w:ascii="Arial"/>
                <w:color w:val="000000"/>
                <w:sz w:val="18"/>
                <w:rtl w:val="off"/>
                <w:lang w:val="en-US"/>
              </w:rPr>
              <w:t xml:space="preserve"> </w:t>
            </w:r>
          </w:p>
        </w:tc>
        <w:tc>
          <w:tcPr>
            <w:cnfStyle w:val="000001000000"/>
            <w:tcW w:w="1772" w:type="dxa"/>
            <w:tcBorders>
              <w:top w:val="single" w:color="000000" w:sz="6" w:space="0"/>
              <w:left w:val="single" w:color="000000" w:sz="6" w:space="0"/>
              <w:bottom w:val="single" w:color="000000" w:sz="6" w:space="0"/>
              <w:right w:val="single" w:color="000000" w:sz="6" w:space="0"/>
            </w:tcBorders>
            <w:shd w:val="clear" w:fill="ffffff"/>
            <w:vAlign w:val="top"/>
          </w:tcPr>
          <w:p w14:paraId="00000295">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provides a comprehensive overview using data from a national survey with a sample size of several thousand respondents.</w:t>
            </w:r>
            <w:r>
              <w:rPr>
                <w:rFonts w:ascii="Arial"/>
                <w:color w:val="000000"/>
                <w:sz w:val="18"/>
                <w:rtl w:val="off"/>
                <w:lang w:val="en-US"/>
              </w:rPr>
              <w:t xml:space="preserve"> </w:t>
            </w:r>
          </w:p>
        </w:tc>
        <w:tc>
          <w:tcPr>
            <w:cnfStyle w:val="000010000000"/>
            <w:tcW w:w="1640" w:type="dxa"/>
            <w:tcBorders>
              <w:top w:val="single" w:color="000000" w:sz="6" w:space="0"/>
              <w:left w:val="single" w:color="000000" w:sz="6" w:space="0"/>
              <w:bottom w:val="single" w:color="000000" w:sz="6" w:space="0"/>
              <w:right w:val="single" w:color="000000" w:sz="6" w:space="0"/>
            </w:tcBorders>
            <w:shd w:val="clear" w:fill="ffffff"/>
            <w:vAlign w:val="top"/>
          </w:tcPr>
          <w:p w14:paraId="00000296">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ff0000"/>
                <w:sz w:val="18"/>
                <w:rtl w:val="off"/>
                <w:lang w:val="en-US"/>
              </w:rPr>
              <w:t>Strength</w:t>
            </w:r>
            <w:r>
              <w:rPr>
                <w:rFonts w:ascii="Arial"/>
                <w:color w:val="000000"/>
                <w:sz w:val="18"/>
                <w:rtl w:val="off"/>
                <w:lang w:val="en-US"/>
              </w:rPr>
              <w:t xml:space="preserve"> It covers a larger group of people, which gives dependable information. </w:t>
            </w:r>
            <w:r>
              <w:rPr>
                <w:rFonts w:ascii="Arial"/>
                <w:color w:val="000000"/>
                <w:sz w:val="18"/>
                <w:rtl w:val="off"/>
                <w:lang w:val="en-US"/>
              </w:rPr>
              <w:t xml:space="preserve"> </w:t>
            </w:r>
          </w:p>
          <w:p w14:paraId="00000297">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ff0000"/>
                <w:sz w:val="18"/>
                <w:rtl w:val="off"/>
                <w:lang w:val="en-US"/>
              </w:rPr>
              <w:t>Limitation</w:t>
            </w:r>
            <w:r>
              <w:rPr>
                <w:rFonts w:ascii="Arial"/>
                <w:color w:val="000000"/>
                <w:sz w:val="18"/>
                <w:rtl w:val="off"/>
                <w:lang w:val="en-US"/>
              </w:rPr>
              <w:t xml:space="preserve"> The research's approach enables it to capture a specific moment, rather than focusing on patterns.</w:t>
            </w:r>
            <w:r>
              <w:rPr>
                <w:rFonts w:ascii="Arial"/>
                <w:color w:val="000000"/>
                <w:sz w:val="18"/>
                <w:rtl w:val="off"/>
                <w:lang w:val="en-US"/>
              </w:rPr>
              <w:t xml:space="preserve"> </w:t>
            </w:r>
          </w:p>
        </w:tc>
        <w:tc>
          <w:tcPr>
            <w:cnfStyle w:val="000001000000"/>
            <w:tcW w:w="1674" w:type="dxa"/>
            <w:tcBorders>
              <w:top w:val="single" w:color="000000" w:sz="6" w:space="0"/>
              <w:left w:val="single" w:color="000000" w:sz="6" w:space="0"/>
              <w:bottom w:val="single" w:color="000000" w:sz="6" w:space="0"/>
              <w:right w:val="single" w:color="000000" w:sz="6" w:space="0"/>
            </w:tcBorders>
            <w:shd w:val="clear" w:fill="ffffff"/>
            <w:vAlign w:val="top"/>
          </w:tcPr>
          <w:p w14:paraId="00000298">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It presents detailed statistics on the prevalence of loneliness, highlighting demographic patterns that reveal significant variations different groups in the UK.</w:t>
            </w:r>
            <w:r>
              <w:rPr>
                <w:rFonts w:ascii="Arial"/>
                <w:color w:val="000000"/>
                <w:sz w:val="18"/>
                <w:rtl w:val="off"/>
                <w:lang w:val="en-US"/>
              </w:rPr>
              <w:t xml:space="preserve"> </w:t>
            </w:r>
          </w:p>
        </w:tc>
        <w:tc>
          <w:tcPr>
            <w:cnfStyle w:val="000010000000"/>
            <w:tcW w:w="1750" w:type="dxa"/>
            <w:tcBorders>
              <w:top w:val="single" w:color="000000" w:sz="6" w:space="0"/>
              <w:left w:val="single" w:color="000000" w:sz="6" w:space="0"/>
              <w:bottom w:val="single" w:color="000000" w:sz="6" w:space="0"/>
              <w:right w:val="single" w:color="000000" w:sz="6" w:space="0"/>
            </w:tcBorders>
            <w:shd w:val="clear" w:fill="ffffff"/>
            <w:vAlign w:val="top"/>
          </w:tcPr>
          <w:p w14:paraId="00000299">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Loneliness prevalence, demographic variations, national survey, social wellbeing and mental health impact.</w:t>
            </w:r>
            <w:r>
              <w:rPr>
                <w:rFonts w:ascii="Arial"/>
                <w:color w:val="000000"/>
                <w:sz w:val="18"/>
                <w:rtl w:val="off"/>
                <w:lang w:val="en-US"/>
              </w:rPr>
              <w:t xml:space="preserve"> </w:t>
            </w:r>
          </w:p>
        </w:tc>
        <w:tc>
          <w:tcPr>
            <w:cnfStyle w:val="000001000000"/>
            <w:tcW w:w="1944" w:type="dxa"/>
            <w:tcBorders>
              <w:top w:val="single" w:color="000000" w:sz="6" w:space="0"/>
              <w:left w:val="single" w:color="000000" w:sz="6" w:space="0"/>
              <w:bottom w:val="single" w:color="000000" w:sz="6" w:space="0"/>
              <w:right w:val="single" w:color="000000" w:sz="6" w:space="0"/>
            </w:tcBorders>
            <w:shd w:val="clear" w:fill="ffffff"/>
            <w:vAlign w:val="top"/>
          </w:tcPr>
          <w:p w14:paraId="0000029A">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18"/>
                <w:lang w:val="en-US"/>
              </w:rPr>
            </w:pPr>
            <w:r>
              <w:rPr>
                <w:rFonts w:ascii="Arial"/>
                <w:color w:val="000000"/>
                <w:sz w:val="18"/>
                <w:rtl w:val="off"/>
                <w:lang w:val="en-US"/>
              </w:rPr>
              <w:t xml:space="preserve"> </w:t>
            </w:r>
          </w:p>
          <w:p w14:paraId="0000029B">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Useful for evaluating how common loneliness is and improving the knowledge foundation for what causes loneliness, which helps the government better target interventions.</w:t>
            </w:r>
            <w:r>
              <w:rPr>
                <w:rFonts w:ascii="Arial"/>
                <w:color w:val="000000"/>
                <w:sz w:val="18"/>
                <w:rtl w:val="off"/>
                <w:lang w:val="en-US"/>
              </w:rPr>
              <w:t xml:space="preserve"> </w:t>
            </w:r>
          </w:p>
        </w:tc>
      </w:tr>
      <w:tr>
        <w:trPr>
          <w:wBefore w:w="0" w:type="dxa"/>
          <w:jc w:val="left"/>
        </w:trPr>
        <w:tc>
          <w:tcPr>
            <w:cnfStyle w:val="000010000000"/>
            <w:tcW w:w="735" w:type="dxa"/>
            <w:tcBorders>
              <w:top w:val="single" w:color="000000" w:sz="6" w:space="0"/>
              <w:left w:val="single" w:color="000000" w:sz="6" w:space="0"/>
              <w:bottom w:val="single" w:color="000000" w:sz="6" w:space="0"/>
              <w:right w:val="single" w:color="000000" w:sz="6" w:space="0"/>
            </w:tcBorders>
            <w:shd w:val="clear" w:fill="ffffff"/>
            <w:vAlign w:val="top"/>
          </w:tcPr>
          <w:p w14:paraId="0000029C">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NHS Digital (2023)</w:t>
            </w:r>
            <w:r>
              <w:rPr>
                <w:rFonts w:ascii="Arial"/>
                <w:color w:val="000000"/>
                <w:sz w:val="18"/>
                <w:rtl w:val="off"/>
                <w:lang w:val="en-US"/>
              </w:rPr>
              <w:t xml:space="preserve"> </w:t>
            </w:r>
          </w:p>
        </w:tc>
        <w:tc>
          <w:tcPr>
            <w:cnfStyle w:val="000001000000"/>
            <w:tcW w:w="1294" w:type="dxa"/>
            <w:tcBorders>
              <w:top w:val="single" w:color="000000" w:sz="6" w:space="0"/>
              <w:left w:val="single" w:color="000000" w:sz="6" w:space="0"/>
              <w:bottom w:val="single" w:color="000000" w:sz="6" w:space="0"/>
              <w:right w:val="single" w:color="000000" w:sz="6" w:space="0"/>
            </w:tcBorders>
            <w:shd w:val="clear" w:fill="ffffff"/>
            <w:vAlign w:val="top"/>
          </w:tcPr>
          <w:p w14:paraId="0000029D">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The Health Survey for England: Loneliness module</w:t>
            </w:r>
            <w:r>
              <w:rPr>
                <w:rFonts w:ascii="Arial"/>
                <w:color w:val="000000"/>
                <w:sz w:val="18"/>
                <w:rtl w:val="off"/>
                <w:lang w:val="en-US"/>
              </w:rPr>
              <w:t xml:space="preserve"> </w:t>
            </w:r>
          </w:p>
        </w:tc>
        <w:tc>
          <w:tcPr>
            <w:cnfStyle w:val="000010000000"/>
            <w:tcW w:w="731" w:type="dxa"/>
            <w:tcBorders>
              <w:top w:val="single" w:color="000000" w:sz="6" w:space="0"/>
              <w:left w:val="single" w:color="000000" w:sz="6" w:space="0"/>
              <w:bottom w:val="single" w:color="000000" w:sz="6" w:space="0"/>
              <w:right w:val="single" w:color="000000" w:sz="6" w:space="0"/>
            </w:tcBorders>
            <w:shd w:val="clear" w:fill="ffffff"/>
            <w:vAlign w:val="top"/>
          </w:tcPr>
          <w:p w14:paraId="0000029E">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Cross-sectional study</w:t>
            </w:r>
            <w:r>
              <w:rPr>
                <w:rFonts w:ascii="Arial"/>
                <w:color w:val="000000"/>
                <w:sz w:val="18"/>
                <w:rtl w:val="off"/>
                <w:lang w:val="en-US"/>
              </w:rPr>
              <w:t xml:space="preserve"> </w:t>
            </w:r>
          </w:p>
        </w:tc>
        <w:tc>
          <w:tcPr>
            <w:cnfStyle w:val="000001000000"/>
            <w:tcW w:w="1772" w:type="dxa"/>
            <w:tcBorders>
              <w:top w:val="single" w:color="000000" w:sz="6" w:space="0"/>
              <w:left w:val="single" w:color="000000" w:sz="6" w:space="0"/>
              <w:bottom w:val="single" w:color="000000" w:sz="6" w:space="0"/>
              <w:right w:val="single" w:color="000000" w:sz="6" w:space="0"/>
            </w:tcBorders>
            <w:shd w:val="clear" w:fill="ffffff"/>
            <w:vAlign w:val="top"/>
          </w:tcPr>
          <w:p w14:paraId="0000029F">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This study provides a solid dataset by using module data with a sample size that ranges from roughly 8,000 to 12,000 people.</w:t>
            </w:r>
            <w:r>
              <w:rPr>
                <w:rFonts w:ascii="Arial"/>
                <w:color w:val="000000"/>
                <w:sz w:val="18"/>
                <w:rtl w:val="off"/>
                <w:lang w:val="en-US"/>
              </w:rPr>
              <w:t xml:space="preserve"> </w:t>
            </w:r>
          </w:p>
        </w:tc>
        <w:tc>
          <w:tcPr>
            <w:cnfStyle w:val="000010000000"/>
            <w:tcW w:w="1640" w:type="dxa"/>
            <w:tcBorders>
              <w:top w:val="single" w:color="000000" w:sz="6" w:space="0"/>
              <w:left w:val="single" w:color="000000" w:sz="6" w:space="0"/>
              <w:bottom w:val="single" w:color="000000" w:sz="6" w:space="0"/>
              <w:right w:val="single" w:color="000000" w:sz="6" w:space="0"/>
            </w:tcBorders>
            <w:shd w:val="clear" w:fill="ffffff"/>
            <w:vAlign w:val="top"/>
          </w:tcPr>
          <w:p w14:paraId="000002A0">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ff0000"/>
                <w:sz w:val="18"/>
                <w:rtl w:val="off"/>
                <w:lang w:val="en-US"/>
              </w:rPr>
              <w:t>Strength</w:t>
            </w:r>
            <w:r>
              <w:rPr>
                <w:rFonts w:ascii="Arial"/>
                <w:color w:val="000000"/>
                <w:sz w:val="18"/>
                <w:rtl w:val="off"/>
                <w:lang w:val="en-US"/>
              </w:rPr>
              <w:t xml:space="preserve"> It offers extensive health context data which is crucial for understanding the implications of loneliness.</w:t>
            </w:r>
            <w:r>
              <w:rPr>
                <w:rFonts w:ascii="Arial"/>
                <w:color w:val="000000"/>
                <w:sz w:val="18"/>
                <w:rtl w:val="off"/>
                <w:lang w:val="en-US"/>
              </w:rPr>
              <w:t xml:space="preserve"> </w:t>
            </w:r>
          </w:p>
          <w:p w14:paraId="000002A1">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ff0000"/>
                <w:sz w:val="18"/>
                <w:rtl w:val="off"/>
                <w:lang w:val="en-US"/>
              </w:rPr>
              <w:t>Limitation</w:t>
            </w:r>
            <w:r>
              <w:rPr>
                <w:rFonts w:ascii="Arial"/>
                <w:color w:val="000000"/>
                <w:sz w:val="18"/>
                <w:rtl w:val="off"/>
                <w:lang w:val="en-US"/>
              </w:rPr>
              <w:t xml:space="preserve"> The data relies on self-reported measures, which can introduce biases.</w:t>
            </w:r>
            <w:r>
              <w:rPr>
                <w:rFonts w:ascii="Arial"/>
                <w:color w:val="000000"/>
                <w:sz w:val="18"/>
                <w:rtl w:val="off"/>
                <w:lang w:val="en-US"/>
              </w:rPr>
              <w:t xml:space="preserve"> </w:t>
            </w:r>
          </w:p>
        </w:tc>
        <w:tc>
          <w:tcPr>
            <w:cnfStyle w:val="000001000000"/>
            <w:tcW w:w="1674" w:type="dxa"/>
            <w:tcBorders>
              <w:top w:val="single" w:color="000000" w:sz="6" w:space="0"/>
              <w:left w:val="single" w:color="000000" w:sz="6" w:space="0"/>
              <w:bottom w:val="single" w:color="000000" w:sz="6" w:space="0"/>
              <w:right w:val="single" w:color="000000" w:sz="6" w:space="0"/>
            </w:tcBorders>
            <w:shd w:val="clear" w:fill="ffffff"/>
            <w:vAlign w:val="top"/>
          </w:tcPr>
          <w:p w14:paraId="000002A2">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The finding link loneliness with various health outcomes and behaviours, indicating that social isolation can have significant health repercussions.</w:t>
            </w:r>
            <w:r>
              <w:rPr>
                <w:rFonts w:ascii="Arial"/>
                <w:color w:val="000000"/>
                <w:sz w:val="18"/>
                <w:rtl w:val="off"/>
                <w:lang w:val="en-US"/>
              </w:rPr>
              <w:t xml:space="preserve"> </w:t>
            </w:r>
          </w:p>
        </w:tc>
        <w:tc>
          <w:tcPr>
            <w:cnfStyle w:val="000010000000"/>
            <w:tcW w:w="1750" w:type="dxa"/>
            <w:tcBorders>
              <w:top w:val="single" w:color="000000" w:sz="6" w:space="0"/>
              <w:left w:val="single" w:color="000000" w:sz="6" w:space="0"/>
              <w:bottom w:val="single" w:color="000000" w:sz="6" w:space="0"/>
              <w:right w:val="single" w:color="000000" w:sz="6" w:space="0"/>
            </w:tcBorders>
            <w:shd w:val="clear" w:fill="ffffff"/>
            <w:vAlign w:val="top"/>
          </w:tcPr>
          <w:p w14:paraId="000002A3">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Health outcomes include loneliness, social isolation, chronic illness, and mental health risk.</w:t>
            </w:r>
            <w:r>
              <w:rPr>
                <w:rFonts w:ascii="Arial"/>
                <w:color w:val="000000"/>
                <w:sz w:val="18"/>
                <w:rtl w:val="off"/>
                <w:lang w:val="en-US"/>
              </w:rPr>
              <w:t xml:space="preserve"> </w:t>
            </w:r>
          </w:p>
        </w:tc>
        <w:tc>
          <w:tcPr>
            <w:cnfStyle w:val="000001000000"/>
            <w:tcW w:w="1944" w:type="dxa"/>
            <w:tcBorders>
              <w:top w:val="single" w:color="000000" w:sz="6" w:space="0"/>
              <w:left w:val="single" w:color="000000" w:sz="6" w:space="0"/>
              <w:bottom w:val="single" w:color="000000" w:sz="6" w:space="0"/>
              <w:right w:val="single" w:color="000000" w:sz="6" w:space="0"/>
            </w:tcBorders>
            <w:shd w:val="clear" w:fill="ffffff"/>
            <w:vAlign w:val="top"/>
          </w:tcPr>
          <w:p w14:paraId="000002A4">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This study is essential for discussing measurement and patterns connected to loneliness in the context of health.</w:t>
            </w:r>
            <w:r>
              <w:rPr>
                <w:rFonts w:ascii="Arial"/>
                <w:color w:val="000000"/>
                <w:sz w:val="18"/>
                <w:rtl w:val="off"/>
                <w:lang w:val="en-US"/>
              </w:rPr>
              <w:t xml:space="preserve"> </w:t>
            </w:r>
          </w:p>
        </w:tc>
      </w:tr>
      <w:tr>
        <w:trPr>
          <w:wBefore w:w="0" w:type="dxa"/>
          <w:jc w:val="left"/>
        </w:trPr>
        <w:tc>
          <w:tcPr>
            <w:cnfStyle w:val="000010000000"/>
            <w:tcW w:w="735" w:type="dxa"/>
            <w:tcBorders>
              <w:top w:val="single" w:color="000000" w:sz="6" w:space="0"/>
              <w:left w:val="single" w:color="000000" w:sz="6" w:space="0"/>
              <w:bottom w:val="single" w:color="000000" w:sz="6" w:space="0"/>
              <w:right w:val="single" w:color="000000" w:sz="6" w:space="0"/>
            </w:tcBorders>
            <w:shd w:val="clear" w:fill="ffffff"/>
            <w:vAlign w:val="top"/>
          </w:tcPr>
          <w:p w14:paraId="000002A5">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Public Health England (2021)</w:t>
            </w:r>
            <w:r>
              <w:rPr>
                <w:rFonts w:ascii="Arial"/>
                <w:color w:val="000000"/>
                <w:sz w:val="18"/>
                <w:rtl w:val="off"/>
                <w:lang w:val="en-US"/>
              </w:rPr>
              <w:t xml:space="preserve"> </w:t>
            </w:r>
          </w:p>
        </w:tc>
        <w:tc>
          <w:tcPr>
            <w:cnfStyle w:val="000001000000"/>
            <w:tcW w:w="1294" w:type="dxa"/>
            <w:tcBorders>
              <w:top w:val="single" w:color="000000" w:sz="6" w:space="0"/>
              <w:left w:val="single" w:color="000000" w:sz="6" w:space="0"/>
              <w:bottom w:val="single" w:color="000000" w:sz="6" w:space="0"/>
              <w:right w:val="single" w:color="000000" w:sz="6" w:space="0"/>
            </w:tcBorders>
            <w:shd w:val="clear" w:fill="ffffff"/>
            <w:vAlign w:val="top"/>
          </w:tcPr>
          <w:p w14:paraId="000002A6">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Loneliness and social isolation: safeguarding the mental health of older adults</w:t>
            </w:r>
            <w:r>
              <w:rPr>
                <w:rFonts w:ascii="Arial"/>
                <w:color w:val="000000"/>
                <w:sz w:val="18"/>
                <w:rtl w:val="off"/>
                <w:lang w:val="en-US"/>
              </w:rPr>
              <w:t xml:space="preserve"> </w:t>
            </w:r>
          </w:p>
        </w:tc>
        <w:tc>
          <w:tcPr>
            <w:cnfStyle w:val="000010000000"/>
            <w:tcW w:w="731" w:type="dxa"/>
            <w:tcBorders>
              <w:top w:val="single" w:color="000000" w:sz="6" w:space="0"/>
              <w:left w:val="single" w:color="000000" w:sz="6" w:space="0"/>
              <w:bottom w:val="single" w:color="000000" w:sz="6" w:space="0"/>
              <w:right w:val="single" w:color="000000" w:sz="6" w:space="0"/>
            </w:tcBorders>
            <w:shd w:val="clear" w:fill="ffffff"/>
            <w:vAlign w:val="top"/>
          </w:tcPr>
          <w:p w14:paraId="000002A7">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Systematic review</w:t>
            </w:r>
            <w:r>
              <w:rPr>
                <w:rFonts w:ascii="Arial"/>
                <w:color w:val="000000"/>
                <w:sz w:val="18"/>
                <w:rtl w:val="off"/>
                <w:lang w:val="en-US"/>
              </w:rPr>
              <w:t xml:space="preserve"> </w:t>
            </w:r>
          </w:p>
        </w:tc>
        <w:tc>
          <w:tcPr>
            <w:cnfStyle w:val="000001000000"/>
            <w:tcW w:w="1772" w:type="dxa"/>
            <w:tcBorders>
              <w:top w:val="single" w:color="000000" w:sz="6" w:space="0"/>
              <w:left w:val="single" w:color="000000" w:sz="6" w:space="0"/>
              <w:bottom w:val="single" w:color="000000" w:sz="6" w:space="0"/>
              <w:right w:val="single" w:color="000000" w:sz="6" w:space="0"/>
            </w:tcBorders>
            <w:shd w:val="clear" w:fill="ffffff"/>
            <w:vAlign w:val="top"/>
          </w:tcPr>
          <w:p w14:paraId="000002A8">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This review offers policy recommendations derived from a synthesis of evidence about loneliness and its impacts on older adults.</w:t>
            </w:r>
            <w:r>
              <w:rPr>
                <w:rFonts w:ascii="Arial"/>
                <w:color w:val="000000"/>
                <w:sz w:val="18"/>
                <w:rtl w:val="off"/>
                <w:lang w:val="en-US"/>
              </w:rPr>
              <w:t xml:space="preserve"> </w:t>
            </w:r>
          </w:p>
        </w:tc>
        <w:tc>
          <w:tcPr>
            <w:cnfStyle w:val="000010000000"/>
            <w:tcW w:w="1640" w:type="dxa"/>
            <w:tcBorders>
              <w:top w:val="single" w:color="000000" w:sz="6" w:space="0"/>
              <w:left w:val="single" w:color="000000" w:sz="6" w:space="0"/>
              <w:bottom w:val="single" w:color="000000" w:sz="6" w:space="0"/>
              <w:right w:val="single" w:color="000000" w:sz="6" w:space="0"/>
            </w:tcBorders>
            <w:shd w:val="clear" w:fill="ffffff"/>
            <w:vAlign w:val="top"/>
          </w:tcPr>
          <w:p w14:paraId="000002A9">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ff0000"/>
                <w:sz w:val="18"/>
                <w:rtl w:val="off"/>
                <w:lang w:val="en-US"/>
              </w:rPr>
              <w:t>Strength</w:t>
            </w:r>
            <w:r>
              <w:rPr>
                <w:rFonts w:ascii="Arial"/>
                <w:color w:val="ff0000"/>
                <w:sz w:val="18"/>
                <w:rtl w:val="off"/>
                <w:lang w:val="en-US"/>
              </w:rPr>
              <w:t xml:space="preserve"> </w:t>
            </w:r>
          </w:p>
          <w:p w14:paraId="000002AA">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 xml:space="preserve">It is practice-orientated, making it useful for health and social care practitioners. </w:t>
            </w:r>
            <w:r>
              <w:rPr>
                <w:rFonts w:ascii="Arial"/>
                <w:color w:val="000000"/>
                <w:sz w:val="18"/>
                <w:rtl w:val="off"/>
                <w:lang w:val="en-US"/>
              </w:rPr>
              <w:t xml:space="preserve"> </w:t>
            </w:r>
          </w:p>
          <w:p w14:paraId="000002AB">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ff0000"/>
                <w:sz w:val="18"/>
                <w:rtl w:val="off"/>
                <w:lang w:val="en-US"/>
              </w:rPr>
              <w:t>Limitation</w:t>
            </w:r>
            <w:r>
              <w:rPr>
                <w:rFonts w:ascii="Arial"/>
                <w:color w:val="000000"/>
                <w:sz w:val="18"/>
                <w:rtl w:val="off"/>
                <w:lang w:val="en-US"/>
              </w:rPr>
              <w:t xml:space="preserve"> does not present primary data, which may reduce the direct relevance of its findings.</w:t>
            </w:r>
            <w:r>
              <w:rPr>
                <w:rFonts w:ascii="Arial"/>
                <w:color w:val="000000"/>
                <w:sz w:val="18"/>
                <w:rtl w:val="off"/>
                <w:lang w:val="en-US"/>
              </w:rPr>
              <w:t xml:space="preserve"> </w:t>
            </w:r>
          </w:p>
          <w:p w14:paraId="000002AC">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Segoe UI"/>
                <w:color w:val="000000"/>
                <w:sz w:val="18"/>
                <w:lang w:val="en-US"/>
              </w:rPr>
            </w:pPr>
            <w:r>
              <w:rPr>
                <w:rFonts w:ascii="Arial"/>
                <w:color w:val="000000"/>
                <w:sz w:val="18"/>
                <w:rtl w:val="off"/>
                <w:lang w:val="en-US"/>
              </w:rPr>
              <w:t xml:space="preserve"> </w:t>
            </w:r>
          </w:p>
        </w:tc>
        <w:tc>
          <w:tcPr>
            <w:cnfStyle w:val="000001000000"/>
            <w:tcW w:w="1674" w:type="dxa"/>
            <w:tcBorders>
              <w:top w:val="single" w:color="000000" w:sz="6" w:space="0"/>
              <w:left w:val="single" w:color="000000" w:sz="6" w:space="0"/>
              <w:bottom w:val="single" w:color="000000" w:sz="6" w:space="0"/>
              <w:right w:val="single" w:color="000000" w:sz="6" w:space="0"/>
            </w:tcBorders>
            <w:shd w:val="clear" w:fill="ffffff"/>
            <w:vAlign w:val="top"/>
          </w:tcPr>
          <w:p w14:paraId="000002AD">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It emphasises the importance of digital inclusion and community support systems as essential elements in combating loneliness among older adults.</w:t>
            </w:r>
            <w:r>
              <w:rPr>
                <w:rFonts w:ascii="Arial"/>
                <w:color w:val="000000"/>
                <w:sz w:val="18"/>
                <w:rtl w:val="off"/>
                <w:lang w:val="en-US"/>
              </w:rPr>
              <w:t xml:space="preserve"> </w:t>
            </w:r>
          </w:p>
        </w:tc>
        <w:tc>
          <w:tcPr>
            <w:cnfStyle w:val="000010000000"/>
            <w:tcW w:w="1750" w:type="dxa"/>
            <w:tcBorders>
              <w:top w:val="single" w:color="000000" w:sz="6" w:space="0"/>
              <w:left w:val="single" w:color="000000" w:sz="6" w:space="0"/>
              <w:bottom w:val="single" w:color="000000" w:sz="6" w:space="0"/>
              <w:right w:val="single" w:color="000000" w:sz="6" w:space="0"/>
            </w:tcBorders>
            <w:shd w:val="clear" w:fill="ffffff"/>
            <w:vAlign w:val="top"/>
          </w:tcPr>
          <w:p w14:paraId="000002AE">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Mental health, loneliness, older people's community support, digital inclusion and integrated care.</w:t>
            </w:r>
            <w:r>
              <w:rPr>
                <w:rFonts w:ascii="Arial"/>
                <w:color w:val="000000"/>
                <w:sz w:val="18"/>
                <w:rtl w:val="off"/>
                <w:lang w:val="en-US"/>
              </w:rPr>
              <w:t xml:space="preserve"> </w:t>
            </w:r>
          </w:p>
        </w:tc>
        <w:tc>
          <w:tcPr>
            <w:cnfStyle w:val="000001000000"/>
            <w:tcW w:w="1944" w:type="dxa"/>
            <w:tcBorders>
              <w:top w:val="single" w:color="000000" w:sz="6" w:space="0"/>
              <w:left w:val="single" w:color="000000" w:sz="6" w:space="0"/>
              <w:bottom w:val="single" w:color="000000" w:sz="6" w:space="0"/>
              <w:right w:val="single" w:color="000000" w:sz="6" w:space="0"/>
            </w:tcBorders>
            <w:shd w:val="clear" w:fill="ffffff"/>
            <w:vAlign w:val="top"/>
          </w:tcPr>
          <w:p w14:paraId="000002AF">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20"/>
                <w:lang w:val="en-US"/>
              </w:rPr>
            </w:pPr>
            <w:r>
              <w:rPr>
                <w:rFonts w:ascii="Arial"/>
                <w:color w:val="000000"/>
                <w:sz w:val="20"/>
                <w:rtl w:val="off"/>
                <w:lang w:val="en-US"/>
              </w:rPr>
              <w:t>This study supports integrated care approaches and community interventions that are vital for addressing loneliness</w:t>
            </w:r>
            <w:r>
              <w:rPr>
                <w:rFonts w:ascii="Arial"/>
                <w:color w:val="000000"/>
                <w:sz w:val="20"/>
                <w:rtl w:val="off"/>
                <w:lang w:val="en-US"/>
              </w:rPr>
              <w:t xml:space="preserve"> </w:t>
            </w:r>
          </w:p>
        </w:tc>
      </w:tr>
      <w:tr>
        <w:trPr>
          <w:wBefore w:w="0" w:type="dxa"/>
          <w:jc w:val="left"/>
        </w:trPr>
        <w:tc>
          <w:tcPr>
            <w:cnfStyle w:val="000010000000"/>
            <w:tcW w:w="735" w:type="dxa"/>
            <w:tcBorders>
              <w:top w:val="single" w:color="000000" w:sz="6" w:space="0"/>
              <w:left w:val="single" w:color="000000" w:sz="6" w:space="0"/>
              <w:bottom w:val="single" w:color="000000" w:sz="6" w:space="0"/>
              <w:right w:val="single" w:color="000000" w:sz="6" w:space="0"/>
            </w:tcBorders>
            <w:shd w:val="clear" w:fill="ffffff"/>
            <w:vAlign w:val="top"/>
          </w:tcPr>
          <w:p w14:paraId="000002B0">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Courtin and Knapp (2017)</w:t>
            </w:r>
            <w:r>
              <w:rPr>
                <w:rFonts w:ascii="Arial"/>
                <w:color w:val="000000"/>
                <w:sz w:val="18"/>
                <w:rtl w:val="off"/>
                <w:lang w:val="en-US"/>
              </w:rPr>
              <w:t xml:space="preserve"> </w:t>
            </w:r>
          </w:p>
        </w:tc>
        <w:tc>
          <w:tcPr>
            <w:cnfStyle w:val="000001000000"/>
            <w:tcW w:w="1294" w:type="dxa"/>
            <w:tcBorders>
              <w:top w:val="single" w:color="000000" w:sz="6" w:space="0"/>
              <w:left w:val="single" w:color="000000" w:sz="6" w:space="0"/>
              <w:bottom w:val="single" w:color="000000" w:sz="6" w:space="0"/>
              <w:right w:val="single" w:color="000000" w:sz="6" w:space="0"/>
            </w:tcBorders>
            <w:shd w:val="clear" w:fill="ffffff"/>
            <w:vAlign w:val="top"/>
          </w:tcPr>
          <w:p w14:paraId="000002B1">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Social isolation and loneliness in older people: UK policy overview</w:t>
            </w:r>
            <w:r>
              <w:rPr>
                <w:rFonts w:ascii="Arial"/>
                <w:color w:val="000000"/>
                <w:sz w:val="18"/>
                <w:rtl w:val="off"/>
                <w:lang w:val="en-US"/>
              </w:rPr>
              <w:t xml:space="preserve"> </w:t>
            </w:r>
          </w:p>
        </w:tc>
        <w:tc>
          <w:tcPr>
            <w:cnfStyle w:val="000010000000"/>
            <w:tcW w:w="731" w:type="dxa"/>
            <w:tcBorders>
              <w:top w:val="single" w:color="000000" w:sz="6" w:space="0"/>
              <w:left w:val="single" w:color="000000" w:sz="6" w:space="0"/>
              <w:bottom w:val="single" w:color="000000" w:sz="6" w:space="0"/>
              <w:right w:val="single" w:color="000000" w:sz="6" w:space="0"/>
            </w:tcBorders>
            <w:shd w:val="clear" w:fill="ffffff"/>
            <w:vAlign w:val="top"/>
          </w:tcPr>
          <w:p w14:paraId="000002B2">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literature review</w:t>
            </w:r>
            <w:r>
              <w:rPr>
                <w:rFonts w:ascii="Arial"/>
                <w:color w:val="000000"/>
                <w:sz w:val="18"/>
                <w:rtl w:val="off"/>
                <w:lang w:val="en-US"/>
              </w:rPr>
              <w:t xml:space="preserve"> </w:t>
            </w:r>
          </w:p>
        </w:tc>
        <w:tc>
          <w:tcPr>
            <w:cnfStyle w:val="000001000000"/>
            <w:tcW w:w="1772" w:type="dxa"/>
            <w:tcBorders>
              <w:top w:val="single" w:color="000000" w:sz="6" w:space="0"/>
              <w:left w:val="single" w:color="000000" w:sz="6" w:space="0"/>
              <w:bottom w:val="single" w:color="000000" w:sz="6" w:space="0"/>
              <w:right w:val="single" w:color="000000" w:sz="6" w:space="0"/>
            </w:tcBorders>
            <w:shd w:val="clear" w:fill="ffffff"/>
            <w:vAlign w:val="top"/>
          </w:tcPr>
          <w:p w14:paraId="000002B3">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This review used a narrative and systematic synthesis methodology to examine UK policy regarding social isolation and loneliness among older adults.</w:t>
            </w:r>
            <w:r>
              <w:rPr>
                <w:rFonts w:ascii="Arial"/>
                <w:color w:val="000000"/>
                <w:sz w:val="18"/>
                <w:rtl w:val="off"/>
                <w:lang w:val="en-US"/>
              </w:rPr>
              <w:t xml:space="preserve"> </w:t>
            </w:r>
          </w:p>
        </w:tc>
        <w:tc>
          <w:tcPr>
            <w:cnfStyle w:val="000010000000"/>
            <w:tcW w:w="1640" w:type="dxa"/>
            <w:tcBorders>
              <w:top w:val="single" w:color="000000" w:sz="6" w:space="0"/>
              <w:left w:val="single" w:color="000000" w:sz="6" w:space="0"/>
              <w:bottom w:val="single" w:color="000000" w:sz="6" w:space="0"/>
              <w:right w:val="single" w:color="000000" w:sz="6" w:space="0"/>
            </w:tcBorders>
            <w:shd w:val="clear" w:fill="ffffff"/>
            <w:vAlign w:val="top"/>
          </w:tcPr>
          <w:p w14:paraId="000002B4">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ff0000"/>
                <w:sz w:val="18"/>
                <w:rtl w:val="off"/>
                <w:lang w:val="en-US"/>
              </w:rPr>
              <w:t>Strength</w:t>
            </w:r>
            <w:r>
              <w:rPr>
                <w:rFonts w:ascii="Arial"/>
                <w:color w:val="ff0000"/>
                <w:sz w:val="18"/>
                <w:rtl w:val="off"/>
                <w:lang w:val="en-US"/>
              </w:rPr>
              <w:t xml:space="preserve"> </w:t>
            </w:r>
          </w:p>
          <w:p w14:paraId="000002B5">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 xml:space="preserve">It provides a comprehensive cross-sector view of the policy landscape. </w:t>
            </w:r>
            <w:r>
              <w:rPr>
                <w:rFonts w:ascii="Arial"/>
                <w:color w:val="000000"/>
                <w:sz w:val="18"/>
                <w:rtl w:val="off"/>
                <w:lang w:val="en-US"/>
              </w:rPr>
              <w:t xml:space="preserve"> </w:t>
            </w:r>
          </w:p>
          <w:p w14:paraId="000002B6">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ff0000"/>
                <w:sz w:val="18"/>
                <w:rtl w:val="off"/>
                <w:lang w:val="en-US"/>
              </w:rPr>
              <w:t>Limitation</w:t>
            </w:r>
            <w:r>
              <w:rPr>
                <w:rFonts w:ascii="Arial"/>
                <w:color w:val="000000"/>
                <w:sz w:val="18"/>
                <w:rtl w:val="off"/>
                <w:lang w:val="en-US"/>
              </w:rPr>
              <w:t xml:space="preserve"> There may be potential overlaps in the data, which could affect clarity.</w:t>
            </w:r>
            <w:r>
              <w:rPr>
                <w:rFonts w:ascii="Arial"/>
                <w:color w:val="000000"/>
                <w:sz w:val="18"/>
                <w:rtl w:val="off"/>
                <w:lang w:val="en-US"/>
              </w:rPr>
              <w:t xml:space="preserve"> </w:t>
            </w:r>
          </w:p>
        </w:tc>
        <w:tc>
          <w:tcPr>
            <w:cnfStyle w:val="000001000000"/>
            <w:tcW w:w="1674" w:type="dxa"/>
            <w:tcBorders>
              <w:top w:val="single" w:color="000000" w:sz="6" w:space="0"/>
              <w:left w:val="single" w:color="000000" w:sz="6" w:space="0"/>
              <w:bottom w:val="single" w:color="000000" w:sz="6" w:space="0"/>
              <w:right w:val="single" w:color="000000" w:sz="6" w:space="0"/>
            </w:tcBorders>
            <w:shd w:val="clear" w:fill="ffffff"/>
            <w:vAlign w:val="top"/>
          </w:tcPr>
          <w:p w14:paraId="000002B7">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The review maps out the current policy landscape and social isolation, offering insights for future policy development.</w:t>
            </w:r>
            <w:r>
              <w:rPr>
                <w:rFonts w:ascii="Arial"/>
                <w:color w:val="000000"/>
                <w:sz w:val="18"/>
                <w:rtl w:val="off"/>
                <w:lang w:val="en-US"/>
              </w:rPr>
              <w:t xml:space="preserve"> </w:t>
            </w:r>
          </w:p>
        </w:tc>
        <w:tc>
          <w:tcPr>
            <w:cnfStyle w:val="000010000000"/>
            <w:tcW w:w="1750" w:type="dxa"/>
            <w:tcBorders>
              <w:top w:val="single" w:color="000000" w:sz="6" w:space="0"/>
              <w:left w:val="single" w:color="000000" w:sz="6" w:space="0"/>
              <w:bottom w:val="single" w:color="000000" w:sz="6" w:space="0"/>
              <w:right w:val="single" w:color="000000" w:sz="6" w:space="0"/>
            </w:tcBorders>
            <w:shd w:val="clear" w:fill="ffffff"/>
            <w:vAlign w:val="top"/>
          </w:tcPr>
          <w:p w14:paraId="000002B8">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The policy landscape includes social isolation, loneliness, an ageing population, a policy gap, and future recommendations.</w:t>
            </w:r>
            <w:r>
              <w:rPr>
                <w:rFonts w:ascii="Arial"/>
                <w:color w:val="000000"/>
                <w:sz w:val="18"/>
                <w:rtl w:val="off"/>
                <w:lang w:val="en-US"/>
              </w:rPr>
              <w:t xml:space="preserve"> </w:t>
            </w:r>
          </w:p>
        </w:tc>
        <w:tc>
          <w:tcPr>
            <w:cnfStyle w:val="000001000000"/>
            <w:tcW w:w="1944" w:type="dxa"/>
            <w:tcBorders>
              <w:top w:val="single" w:color="000000" w:sz="6" w:space="0"/>
              <w:left w:val="single" w:color="000000" w:sz="6" w:space="0"/>
              <w:bottom w:val="single" w:color="000000" w:sz="6" w:space="0"/>
              <w:right w:val="single" w:color="000000" w:sz="6" w:space="0"/>
            </w:tcBorders>
            <w:shd w:val="clear" w:fill="ffffff"/>
            <w:vAlign w:val="top"/>
          </w:tcPr>
          <w:p w14:paraId="000002B9">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left"/>
              <w:rPr>
                <w:rFonts w:ascii="Arial"/>
                <w:color w:val="000000"/>
                <w:sz w:val="18"/>
                <w:lang w:val="en-US"/>
              </w:rPr>
            </w:pPr>
            <w:r>
              <w:rPr>
                <w:rFonts w:ascii="Arial"/>
                <w:color w:val="000000"/>
                <w:sz w:val="18"/>
                <w:rtl w:val="off"/>
                <w:lang w:val="en-US"/>
              </w:rPr>
              <w:t>Identifies research gaps on the negative effects of social isolation and loneliness on older adults' physical and mental health.</w:t>
            </w:r>
            <w:r>
              <w:rPr>
                <w:rFonts w:ascii="Arial"/>
                <w:color w:val="000000"/>
                <w:sz w:val="18"/>
                <w:rtl w:val="off"/>
                <w:lang w:val="en-US"/>
              </w:rPr>
              <w:t xml:space="preserve"> </w:t>
            </w:r>
          </w:p>
        </w:tc>
      </w:tr>
    </w:tbl>
    <w:p w14:paraId="000002B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 xml:space="preserve"> </w:t>
      </w:r>
    </w:p>
    <w:p w14:paraId="000002BB">
      <w:pPr>
        <w:jc w:val="left"/>
        <w:rPr/>
      </w:pPr>
    </w:p>
    <w:p w14:paraId="000002BC">
      <w:pPr>
        <w:jc w:val="left"/>
        <w:rPr/>
      </w:pPr>
    </w:p>
    <w:p w14:paraId="000002BD">
      <w:pPr>
        <w:jc w:val="left"/>
        <w:rPr/>
      </w:pPr>
    </w:p>
    <w:p w14:paraId="000002BE">
      <w:pPr>
        <w:jc w:val="left"/>
        <w:rPr/>
      </w:pPr>
    </w:p>
    <w:p w14:paraId="000002BF">
      <w:pPr>
        <w:jc w:val="left"/>
        <w:rPr/>
      </w:pPr>
    </w:p>
    <w:p w14:paraId="000002C0">
      <w:pPr>
        <w:pStyle w:val="Heading1"/>
        <w:ind w:left="0"/>
        <w:jc w:val="left"/>
        <w:rPr/>
      </w:pPr>
    </w:p>
    <w:p w14:paraId="000002C1">
      <w:pPr>
        <w:jc w:val="both"/>
        <w:rPr/>
      </w:pPr>
    </w:p>
    <w:sectPr>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14:paraId="00000003">
      <w:pPr>
        <w:spacing w:after="0" w:line="240" w:lineRule="auto"/>
        <w:rPr/>
      </w:pPr>
      <w:r>
        <w:rPr/>
        <w:separator/>
      </w:r>
    </w:p>
  </w:endnote>
  <w:endnote w:type="continuationSeparator" w:id="1">
    <w:p w14:paraId="00000004">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DengXian">
    <w:altName w:val="等线"/>
    <w:panose1 w:val="02010600030101010101"/>
    <w:charset w:val="86"/>
    <w:family w:val="auto"/>
    <w:pitch w:val="variable"/>
    <w:sig w:usb0="00000000" w:usb1="38cf7cfa" w:usb2="00000016" w:usb3="00000000" w:csb0="0004000f" w:csb1="00000000"/>
  </w:font>
  <w:font w:name="Calibri">
    <w:panose1 w:val="020f0502020204030204"/>
    <w:charset w:val="00"/>
    <w:family w:val="swiss"/>
    <w:pitch w:val="variable"/>
    <w:sig w:usb0="00000000" w:usb1="00000000" w:usb2="00000009" w:usb3="00000000" w:csb0="000001ff" w:csb1="00000000"/>
  </w:font>
  <w:font w:name="DengXian Light">
    <w:altName w:val="等线 Light"/>
    <w:panose1 w:val="02010600030101010101"/>
    <w:charset w:val="86"/>
    <w:family w:val="auto"/>
    <w:pitch w:val="variable"/>
    <w:sig w:usb0="00000000" w:usb1="38cf7cfa" w:usb2="00000016" w:usb3="00000000" w:csb0="0004000f" w:csb1="00000000"/>
  </w:font>
  <w:font w:name="Arial Unicode MS">
    <w:panose1 w:val="020b0604020202020204"/>
    <w:charset w:val="80"/>
    <w:family w:val="swiss"/>
    <w:pitch w:val="variable"/>
    <w:sig w:usb0="00000000" w:usb1="00000000" w:usb2="0000003f" w:usb3="00000000" w:csb0="003f01ff" w:csb1="00000000"/>
  </w:font>
  <w:font w:name="Segoe UI">
    <w:panose1 w:val="020b0502040204020203"/>
    <w:charset w:val="00"/>
    <w:family w:val="swiss"/>
    <w:pitch w:val="variable"/>
    <w:sig w:usb0="00000000" w:usb1="00000000" w:usb2="00000009" w:usb3="00000000" w:csb0="000001ff" w:csb1="00000000"/>
  </w:font>
  <w:font w:name="Cambria">
    <w:panose1 w:val="02040503050406030204"/>
    <w:charset w:val="00"/>
    <w:family w:val="roman"/>
    <w:pitch w:val="variable"/>
    <w:sig w:usb0="00000000" w:usb1="4000004b" w:usb2="00000000" w:usb3="00000000" w:csb0="0000009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2C2">
    <w:pPr>
      <w:pStyle w:val="Footer"/>
      <w:jc w:val="center"/>
      <w:rPr/>
    </w:pPr>
    <w:r>
      <w:fldChar w:fldCharType="begin"/>
    </w:r>
    <w:r>
      <w:instrText xml:space="preserve"> PAGE   \* MERGEFORMAT </w:instrText>
    </w:r>
    <w:r>
      <w:fldChar w:fldCharType="separate"/>
    </w:r>
    <w:r>
      <w:t>2</w:t>
    </w:r>
    <w:r>
      <w:fldChar w:fldCharType="end"/>
    </w:r>
  </w:p>
  <w:p w14:paraId="000002C3">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14:paraId="00000001">
      <w:pPr>
        <w:spacing w:after="0" w:line="240" w:lineRule="auto"/>
        <w:rPr/>
      </w:pPr>
      <w:r>
        <w:rPr/>
        <w:separator/>
      </w:r>
    </w:p>
  </w:footnote>
  <w:footnote w:type="continuationSeparator" w:id="1">
    <w:p w14:paraId="00000002">
      <w:pPr>
        <w:spacing w:after="0"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3">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multiLevelType w:val="multilevel"/>
    <w:lvl w:ilvl="0" w:tentative="0">
      <w:start w:val="3"/>
      <w:numFmt w:val="decimal"/>
      <w:lvlText w:val="%1"/>
      <w:lvlJc w:val="left"/>
      <w:pPr>
        <w:ind w:left="390" w:hanging="390"/>
      </w:pPr>
      <w:rPr>
        <w:rFonts w:hint="default"/>
      </w:rPr>
    </w:lvl>
    <w:lvl w:ilvl="1" w:tentative="0">
      <w:start w:val="5"/>
      <w:numFmt w:val="decimal"/>
      <w:lvlText w:val="%1.%2"/>
      <w:lvlJc w:val="left"/>
      <w:pPr>
        <w:ind w:left="940" w:hanging="720"/>
      </w:pPr>
      <w:rPr>
        <w:rFonts w:hint="default"/>
      </w:rPr>
    </w:lvl>
    <w:lvl w:ilvl="2" w:tentative="0">
      <w:start w:val="1"/>
      <w:numFmt w:val="decimal"/>
      <w:lvlText w:val="%1.%2.%3"/>
      <w:lvlJc w:val="left"/>
      <w:pPr>
        <w:ind w:left="1160" w:hanging="720"/>
      </w:pPr>
      <w:rPr>
        <w:rFonts w:hint="default"/>
      </w:rPr>
    </w:lvl>
    <w:lvl w:ilvl="3" w:tentative="0">
      <w:start w:val="1"/>
      <w:numFmt w:val="decimal"/>
      <w:lvlText w:val="%1.%2.%3.%4"/>
      <w:lvlJc w:val="left"/>
      <w:pPr>
        <w:ind w:left="1740" w:hanging="1080"/>
      </w:pPr>
      <w:rPr>
        <w:rFonts w:hint="default"/>
      </w:rPr>
    </w:lvl>
    <w:lvl w:ilvl="4" w:tentative="0">
      <w:start w:val="1"/>
      <w:numFmt w:val="decimal"/>
      <w:lvlText w:val="%1.%2.%3.%4.%5"/>
      <w:lvlJc w:val="left"/>
      <w:pPr>
        <w:ind w:left="2320" w:hanging="1440"/>
      </w:pPr>
      <w:rPr>
        <w:rFonts w:hint="default"/>
      </w:rPr>
    </w:lvl>
    <w:lvl w:ilvl="5" w:tentative="0">
      <w:start w:val="1"/>
      <w:numFmt w:val="decimal"/>
      <w:lvlText w:val="%1.%2.%3.%4.%5.%6"/>
      <w:lvlJc w:val="left"/>
      <w:pPr>
        <w:ind w:left="2540" w:hanging="1440"/>
      </w:pPr>
      <w:rPr>
        <w:rFonts w:hint="default"/>
      </w:rPr>
    </w:lvl>
    <w:lvl w:ilvl="6" w:tentative="0">
      <w:start w:val="1"/>
      <w:numFmt w:val="decimal"/>
      <w:lvlText w:val="%1.%2.%3.%4.%5.%6.%7"/>
      <w:lvlJc w:val="left"/>
      <w:pPr>
        <w:ind w:left="3120" w:hanging="1800"/>
      </w:pPr>
      <w:rPr>
        <w:rFonts w:hint="default"/>
      </w:rPr>
    </w:lvl>
    <w:lvl w:ilvl="7" w:tentative="0">
      <w:start w:val="1"/>
      <w:numFmt w:val="decimal"/>
      <w:lvlText w:val="%1.%2.%3.%4.%5.%6.%7.%8"/>
      <w:lvlJc w:val="left"/>
      <w:pPr>
        <w:ind w:left="3340" w:hanging="1800"/>
      </w:pPr>
      <w:rPr>
        <w:rFonts w:hint="default"/>
      </w:rPr>
    </w:lvl>
    <w:lvl w:ilvl="8" w:tentative="0">
      <w:start w:val="1"/>
      <w:numFmt w:val="decimal"/>
      <w:lvlText w:val="%1.%2.%3.%4.%5.%6.%7.%8.%9"/>
      <w:lvlJc w:val="left"/>
      <w:pPr>
        <w:ind w:left="3920" w:hanging="2160"/>
      </w:pPr>
      <w:rPr>
        <w:rFonts w:hint="default"/>
      </w:rPr>
    </w:lvl>
  </w:abstractNum>
  <w:abstractNum w:abstractNumId="26">
    <w:multiLevelType w:val="multilevel"/>
    <w:lvl w:ilvl="0" w:tentative="0">
      <w:start w:val="3"/>
      <w:numFmt w:val="decimal"/>
      <w:lvlText w:val="%1"/>
      <w:lvlJc w:val="left"/>
      <w:pPr>
        <w:ind w:left="555" w:hanging="555"/>
      </w:pPr>
      <w:rPr>
        <w:rFonts w:hint="default"/>
        <w:sz w:val="24"/>
      </w:rPr>
    </w:lvl>
    <w:lvl w:ilvl="1" w:tentative="0">
      <w:start w:val="2"/>
      <w:numFmt w:val="decimal"/>
      <w:lvlText w:val="%1.%2"/>
      <w:lvlJc w:val="left"/>
      <w:pPr>
        <w:ind w:left="720" w:hanging="720"/>
      </w:pPr>
      <w:rPr>
        <w:rFonts w:hint="default"/>
        <w:sz w:val="24"/>
      </w:rPr>
    </w:lvl>
    <w:lvl w:ilvl="2" w:tentative="0">
      <w:start w:val="4"/>
      <w:numFmt w:val="decimal"/>
      <w:lvlText w:val="%1.%2.%3"/>
      <w:lvlJc w:val="left"/>
      <w:pPr>
        <w:ind w:left="720" w:hanging="720"/>
      </w:pPr>
      <w:rPr>
        <w:rFonts w:hint="default"/>
        <w:sz w:val="24"/>
      </w:rPr>
    </w:lvl>
    <w:lvl w:ilvl="3" w:tentative="0">
      <w:start w:val="1"/>
      <w:numFmt w:val="decimal"/>
      <w:lvlText w:val="%1.%2.%3.%4"/>
      <w:lvlJc w:val="left"/>
      <w:pPr>
        <w:ind w:left="1080" w:hanging="1080"/>
      </w:pPr>
      <w:rPr>
        <w:rFonts w:hint="default"/>
        <w:sz w:val="24"/>
      </w:rPr>
    </w:lvl>
    <w:lvl w:ilvl="4" w:tentative="0">
      <w:start w:val="1"/>
      <w:numFmt w:val="decimal"/>
      <w:lvlText w:val="%1.%2.%3.%4.%5"/>
      <w:lvlJc w:val="left"/>
      <w:pPr>
        <w:ind w:left="1440" w:hanging="1440"/>
      </w:pPr>
      <w:rPr>
        <w:rFonts w:hint="default"/>
        <w:sz w:val="24"/>
      </w:rPr>
    </w:lvl>
    <w:lvl w:ilvl="5" w:tentative="0">
      <w:start w:val="1"/>
      <w:numFmt w:val="decimal"/>
      <w:lvlText w:val="%1.%2.%3.%4.%5.%6"/>
      <w:lvlJc w:val="left"/>
      <w:pPr>
        <w:ind w:left="1440" w:hanging="1440"/>
      </w:pPr>
      <w:rPr>
        <w:rFonts w:hint="default"/>
        <w:sz w:val="24"/>
      </w:rPr>
    </w:lvl>
    <w:lvl w:ilvl="6" w:tentative="0">
      <w:start w:val="1"/>
      <w:numFmt w:val="decimal"/>
      <w:lvlText w:val="%1.%2.%3.%4.%5.%6.%7"/>
      <w:lvlJc w:val="left"/>
      <w:pPr>
        <w:ind w:left="1800" w:hanging="1800"/>
      </w:pPr>
      <w:rPr>
        <w:rFonts w:hint="default"/>
        <w:sz w:val="24"/>
      </w:rPr>
    </w:lvl>
    <w:lvl w:ilvl="7" w:tentative="0">
      <w:start w:val="1"/>
      <w:numFmt w:val="decimal"/>
      <w:lvlText w:val="%1.%2.%3.%4.%5.%6.%7.%8"/>
      <w:lvlJc w:val="left"/>
      <w:pPr>
        <w:ind w:left="1800" w:hanging="1800"/>
      </w:pPr>
      <w:rPr>
        <w:rFonts w:hint="default"/>
        <w:sz w:val="24"/>
      </w:rPr>
    </w:lvl>
    <w:lvl w:ilvl="8" w:tentative="0">
      <w:start w:val="1"/>
      <w:numFmt w:val="decimal"/>
      <w:lvlText w:val="%1.%2.%3.%4.%5.%6.%7.%8.%9"/>
      <w:lvlJc w:val="left"/>
      <w:pPr>
        <w:ind w:left="2160" w:hanging="2160"/>
      </w:pPr>
      <w:rPr>
        <w:rFonts w:hint="default"/>
        <w:sz w:val="24"/>
      </w:rPr>
    </w:lvl>
  </w:abstractNum>
  <w:abstractNum w:abstractNumId="27">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multiLevelType w:val="hybridMultilevel"/>
    <w:lvl w:ilvl="0" w:tentative="0">
      <w:start w:val="3"/>
      <w:numFmt w:val="bullet"/>
      <w:lvlText w:val="-"/>
      <w:lvlJc w:val="left"/>
      <w:pPr>
        <w:ind w:left="720" w:hanging="360"/>
      </w:pPr>
      <w:rPr>
        <w:rFonts w:ascii="Aptos" w:cs="Times New Roman" w:eastAsia="Calibri Light" w:hAnsi="Aptos" w:hint="default"/>
        <w:b/>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1">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multiLevelType w:val="hybridMultilevel"/>
    <w:lvl w:ilvl="0" w:tentative="0">
      <w:start w:val="1"/>
      <w:numFmt w:val="bullet"/>
      <w:lvlText w:val="o"/>
      <w:lvlJc w:val="left"/>
      <w:pPr>
        <w:ind w:left="1080" w:hanging="360"/>
      </w:pPr>
      <w:rPr>
        <w:rFonts w:ascii="Courier New" w:cs="Courier New" w:hAnsi="Courier New" w:hint="default"/>
      </w:rPr>
    </w:lvl>
    <w:lvl w:ilvl="1" w:tentative="1">
      <w:start w:val="1"/>
      <w:numFmt w:val="bullet"/>
      <w:lvlText w:val="o"/>
      <w:lvlJc w:val="left"/>
      <w:pPr>
        <w:ind w:left="1800" w:hanging="360"/>
      </w:pPr>
      <w:rPr>
        <w:rFonts w:ascii="Courier New" w:cs="Courier New" w:hAnsi="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cs="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cs="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35">
    <w:multiLevelType w:val="hybridMultilevel"/>
    <w:lvl w:ilvl="0" w:tentative="0">
      <w:start w:val="1"/>
      <w:numFmt w:val="bullet"/>
      <w:lvlText w:val="•"/>
      <w:lvlJc w:val="left"/>
      <w:pPr>
        <w:ind w:left="720" w:hanging="360"/>
      </w:pPr>
      <w:rPr>
        <w:rFonts w:ascii="Arial" w:hAnsi="Aria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6">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0">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multiLevelType w:val="multilevel"/>
    <w:lvl w:ilvl="0" w:tentative="0">
      <w:start w:val="1"/>
      <w:numFmt w:val="bullet"/>
      <w:lvlText w:val=""/>
      <w:lvlJc w:val="left"/>
      <w:pPr>
        <w:tabs>
          <w:tab w:val="num" w:pos="360"/>
        </w:tabs>
        <w:ind w:left="360" w:hanging="360"/>
      </w:pPr>
      <w:rPr>
        <w:rFonts w:ascii="Symbol" w:hAnsi="Symbol" w:hint="default"/>
        <w:sz w:val="20"/>
      </w:rPr>
    </w:lvl>
    <w:lvl w:ilvl="1" w:tentative="0">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multiLevelType w:val="multilevel"/>
    <w:lvl w:ilvl="0" w:tentative="0">
      <w:start w:val="1"/>
      <w:numFmt w:val="bullet"/>
      <w:lvlText w:val=""/>
      <w:lvlJc w:val="left"/>
      <w:pPr>
        <w:tabs>
          <w:tab w:val="num" w:pos="360"/>
        </w:tabs>
        <w:ind w:left="360" w:hanging="360"/>
      </w:pPr>
      <w:rPr>
        <w:rFonts w:ascii="Symbol" w:hAnsi="Symbol" w:hint="default"/>
        <w:sz w:val="20"/>
      </w:rPr>
    </w:lvl>
    <w:lvl w:ilvl="1" w:tentative="0">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77">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2">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9">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1">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0">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multiLevelType w:val="multilevel"/>
    <w:lvl w:ilvl="0" w:tentative="0">
      <w:start w:val="3"/>
      <w:numFmt w:val="decimal"/>
      <w:lvlText w:val="%1"/>
      <w:lvlJc w:val="left"/>
      <w:pPr>
        <w:ind w:left="360" w:hanging="360"/>
      </w:pPr>
      <w:rPr>
        <w:rFonts w:hint="default"/>
      </w:rPr>
    </w:lvl>
    <w:lvl w:ilvl="1" w:tentative="0">
      <w:start w:val="3"/>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96">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0">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2">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7">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0">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multiLevelType w:val="multilevel"/>
    <w:lvl w:ilvl="0" w:tentative="0">
      <w:start w:val="1"/>
      <w:numFmt w:val="bullet"/>
      <w:lvlText w:val=""/>
      <w:lvlJc w:val="left"/>
      <w:pPr>
        <w:tabs>
          <w:tab w:val="num" w:pos="360"/>
        </w:tabs>
        <w:ind w:left="360" w:hanging="360"/>
      </w:pPr>
      <w:rPr>
        <w:rFonts w:ascii="Symbol" w:hAnsi="Symbol" w:hint="default"/>
        <w:sz w:val="20"/>
      </w:rPr>
    </w:lvl>
    <w:lvl w:ilvl="1" w:tentative="0">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3">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4">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multiLevelType w:val="multilevel"/>
    <w:lvl w:ilvl="0" w:tentative="0">
      <w:start w:val="1"/>
      <w:numFmt w:val="bullet"/>
      <w:lvlText w:val=""/>
      <w:lvlJc w:val="left"/>
      <w:pPr>
        <w:tabs>
          <w:tab w:val="num" w:pos="360"/>
        </w:tabs>
        <w:ind w:left="360" w:hanging="360"/>
      </w:pPr>
      <w:rPr>
        <w:rFonts w:ascii="Symbol" w:hAnsi="Symbol" w:hint="default"/>
        <w:sz w:val="20"/>
      </w:rPr>
    </w:lvl>
    <w:lvl w:ilvl="1" w:tentative="0">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9">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0">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multiLevelType w:val="hybridMultilevel"/>
    <w:lvl w:ilvl="0" w:tentative="0">
      <w:numFmt w:val="bullet"/>
      <w:lvlText w:val="•"/>
      <w:lvlJc w:val="left"/>
      <w:pPr>
        <w:ind w:left="720" w:hanging="360"/>
      </w:pPr>
      <w:rPr>
        <w:rFonts w:hint="default"/>
        <w:lang w:val="en-GB" w:bidi="en-GB" w:eastAsia="en-GB"/>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25">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0">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30">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4">
    <w:multiLevelType w:val="hybridMultilevel"/>
    <w:lvl w:ilvl="0" w:tentative="0">
      <w:start w:val="6"/>
      <w:numFmt w:val="bullet"/>
      <w:lvlText w:val="-"/>
      <w:lvlJc w:val="left"/>
      <w:pPr>
        <w:ind w:left="720" w:hanging="360"/>
      </w:pPr>
      <w:rPr>
        <w:rFonts w:ascii="Aptos" w:cstheme="minorBidi" w:eastAsiaTheme="minorEastAsia" w:hAnsi="Apto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35">
    <w:multiLevelType w:val="multilevel"/>
    <w:lvl w:ilvl="0" w:tentative="0">
      <w:start w:val="1"/>
      <w:numFmt w:val="bullet"/>
      <w:lvlText w:val=""/>
      <w:lvlJc w:val="left"/>
      <w:pPr>
        <w:tabs>
          <w:tab w:val="num" w:pos="360"/>
        </w:tabs>
        <w:ind w:left="360" w:hanging="360"/>
      </w:pPr>
      <w:rPr>
        <w:rFonts w:ascii="Symbol" w:hAnsi="Symbol" w:hint="default"/>
        <w:sz w:val="20"/>
      </w:rPr>
    </w:lvl>
    <w:lvl w:ilvl="1" w:tentative="0">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6">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7">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9">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0">
    <w:multiLevelType w:val="multilevel"/>
    <w:lvl w:ilvl="0" w:tentative="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1">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multiLevelType w:val="multilevel"/>
    <w:lvl w:ilvl="0" w:tentative="0">
      <w:start w:val="1"/>
      <w:numFmt w:val="bullet"/>
      <w:lvlText w:val="o"/>
      <w:lvlJc w:val="left"/>
      <w:pPr>
        <w:tabs>
          <w:tab w:val="num" w:pos="720"/>
        </w:tabs>
        <w:ind w:left="720" w:hanging="360"/>
      </w:pPr>
      <w:rPr>
        <w:rFonts w:ascii="Courier New" w:cs="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abstractNum w:abstractNumId="145"/>
  <w:abstractNum w:abstractNumId="146">
    <w:multiLevelType w:val="hybridMultilevel"/>
    <w:lvl w:ilvl="0" w:tentative="0">
      <w:start w:val="1"/>
      <w:numFmt w:val="decimal"/>
      <w:isLgl w:val="off"/>
      <w:suff w:val="tab"/>
      <w:lvlText w:val="%1."/>
      <w:lvlJc w:val="left"/>
      <w:pPr>
        <w:ind w:left="720" w:hanging="360"/>
      </w:pPr>
      <w:rPr/>
    </w:lvl>
    <w:lvl w:ilvl="1" w:tentative="1">
      <w:start w:val="1"/>
      <w:numFmt w:val="lowerLetter"/>
      <w:isLgl w:val="off"/>
      <w:suff w:val="tab"/>
      <w:lvlText w:val="%2."/>
      <w:lvlJc w:val="left"/>
      <w:pPr>
        <w:ind w:left="1440" w:hanging="360"/>
      </w:pPr>
      <w:rPr/>
    </w:lvl>
    <w:lvl w:ilvl="2" w:tentative="1">
      <w:start w:val="1"/>
      <w:numFmt w:val="lowerRoman"/>
      <w:isLgl w:val="off"/>
      <w:suff w:val="tab"/>
      <w:lvlText w:val="%3."/>
      <w:lvlJc w:val="right"/>
      <w:pPr>
        <w:ind w:left="2160" w:hanging="360"/>
      </w:pPr>
      <w:rPr/>
    </w:lvl>
    <w:lvl w:ilvl="3" w:tentative="1">
      <w:start w:val="1"/>
      <w:numFmt w:val="decimal"/>
      <w:isLgl w:val="off"/>
      <w:suff w:val="tab"/>
      <w:lvlText w:val="%4."/>
      <w:lvlJc w:val="left"/>
      <w:pPr>
        <w:ind w:left="2880" w:hanging="360"/>
      </w:pPr>
      <w:rPr/>
    </w:lvl>
    <w:lvl w:ilvl="4" w:tentative="1">
      <w:start w:val="1"/>
      <w:numFmt w:val="lowerLetter"/>
      <w:isLgl w:val="off"/>
      <w:suff w:val="tab"/>
      <w:lvlText w:val="%5."/>
      <w:lvlJc w:val="left"/>
      <w:pPr>
        <w:ind w:left="3600" w:hanging="360"/>
      </w:pPr>
      <w:rPr/>
    </w:lvl>
    <w:lvl w:ilvl="5" w:tentative="1">
      <w:start w:val="1"/>
      <w:numFmt w:val="lowerRoman"/>
      <w:isLgl w:val="off"/>
      <w:suff w:val="tab"/>
      <w:lvlText w:val="%6."/>
      <w:lvlJc w:val="right"/>
      <w:pPr>
        <w:ind w:left="4320" w:hanging="360"/>
      </w:pPr>
      <w:rPr/>
    </w:lvl>
    <w:lvl w:ilvl="6" w:tentative="1">
      <w:start w:val="1"/>
      <w:numFmt w:val="decimal"/>
      <w:isLgl w:val="off"/>
      <w:suff w:val="tab"/>
      <w:lvlText w:val="%7."/>
      <w:lvlJc w:val="left"/>
      <w:pPr>
        <w:ind w:left="5040" w:hanging="360"/>
      </w:pPr>
      <w:rPr/>
    </w:lvl>
    <w:lvl w:ilvl="7" w:tentative="1">
      <w:start w:val="1"/>
      <w:numFmt w:val="lowerLetter"/>
      <w:isLgl w:val="off"/>
      <w:suff w:val="tab"/>
      <w:lvlText w:val="%8."/>
      <w:lvlJc w:val="left"/>
      <w:pPr>
        <w:ind w:left="5760" w:hanging="360"/>
      </w:pPr>
      <w:rPr/>
    </w:lvl>
    <w:lvl w:ilvl="8" w:tentative="1">
      <w:start w:val="1"/>
      <w:numFmt w:val="lowerRoman"/>
      <w:isLgl w:val="off"/>
      <w:suff w:val="tab"/>
      <w:lvlText w:val="%9."/>
      <w:lvlJc w:val="right"/>
      <w:pPr>
        <w:ind w:left="6480" w:hanging="360"/>
      </w:pPr>
      <w:rPr/>
    </w:lvl>
  </w:abstractNum>
  <w:abstractNum w:abstractNumId="147">
    <w:multiLevelType w:val="hybridMultilevel"/>
    <w:lvl w:ilvl="0" w:tentative="0">
      <w:start w:val="1"/>
      <w:numFmt w:val="decimal"/>
      <w:isLgl w:val="off"/>
      <w:suff w:val="tab"/>
      <w:lvlText w:val="%1."/>
      <w:lvlJc w:val="left"/>
      <w:pPr>
        <w:ind w:left="720" w:hanging="360"/>
      </w:pPr>
      <w:r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abstractNum w:abstractNumId="148">
    <w:multiLevelType w:val="hybridMultilevel"/>
    <w:lvl w:ilvl="0" w:tentative="0">
      <w:start w:val="1"/>
      <w:numFmt w:val="decimal"/>
      <w:isLgl w:val="off"/>
      <w:suff w:val="tab"/>
      <w:lvlText w:val="%1."/>
      <w:lvlJc w:val="left"/>
      <w:pPr>
        <w:ind w:left="720" w:hanging="360"/>
      </w:pPr>
      <w:r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abstractNum w:abstractNumId="149">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36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36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360"/>
      </w:pPr>
    </w:lvl>
  </w:abstractNum>
  <w:abstractNum w:abstractNumId="150">
    <w:multiLevelType w:val="hybridMultilevel"/>
    <w:lvl w:ilvl="0" w:tentative="0">
      <w:start w:val="1"/>
      <w:numFmt w:val="decimal"/>
      <w:isLgl w:val="off"/>
      <w:suff w:val="tab"/>
      <w:lvlText w:val="%1."/>
      <w:lvlJc w:val="left"/>
      <w:pPr>
        <w:ind w:left="720" w:hanging="360"/>
      </w:pPr>
      <w:r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abstractNum w:abstractNumId="151">
    <w:multiLevelType w:val="hybridMultilevel"/>
    <w:lvl w:ilvl="0" w:tentative="0">
      <w:start w:val="1"/>
      <w:numFmt w:val="decimal"/>
      <w:isLgl w:val="off"/>
      <w:suff w:val="tab"/>
      <w:lvlText w:val="%1."/>
      <w:lvlJc w:val="left"/>
      <w:pPr>
        <w:ind w:left="720" w:hanging="360"/>
      </w:pPr>
      <w:r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abstractNum w:abstractNumId="152">
    <w:multiLevelType w:val="hybridMultilevel"/>
    <w:lvl w:ilvl="0" w:tentative="0">
      <w:start w:val="1"/>
      <w:numFmt w:val="decimal"/>
      <w:isLgl w:val="off"/>
      <w:suff w:val="tab"/>
      <w:lvlText w:val="%1."/>
      <w:lvlJc w:val="left"/>
      <w:pPr>
        <w:ind w:left="720" w:hanging="360"/>
      </w:pPr>
      <w:r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abstractNum w:abstractNumId="153">
    <w:multiLevelType w:val="hybridMultilevel"/>
    <w:lvl w:ilvl="0" w:tentative="0">
      <w:start w:val="1"/>
      <w:numFmt w:val="decimal"/>
      <w:isLgl w:val="off"/>
      <w:suff w:val="tab"/>
      <w:lvlText w:val="%1."/>
      <w:lvlJc w:val="left"/>
      <w:pPr>
        <w:ind w:left="720" w:hanging="360"/>
      </w:pPr>
      <w:r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abstractNum w:abstractNumId="154">
    <w:multiLevelType w:val="hybridMultilevel"/>
    <w:lvl w:ilvl="0" w:tentative="0">
      <w:start w:val="1"/>
      <w:numFmt w:val="decimal"/>
      <w:isLgl w:val="off"/>
      <w:suff w:val="tab"/>
      <w:lvlText w:val="%1."/>
      <w:lvlJc w:val="left"/>
      <w:pPr>
        <w:ind w:left="720" w:hanging="360"/>
      </w:pPr>
      <w:r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abstractNum w:abstractNumId="155">
    <w:multiLevelType w:val="hybridMultilevel"/>
    <w:lvl w:ilvl="0" w:tentative="0">
      <w:start w:val="1"/>
      <w:numFmt w:val="decimal"/>
      <w:isLgl w:val="off"/>
      <w:suff w:val="tab"/>
      <w:lvlText w:val="%1."/>
      <w:lvlJc w:val="left"/>
      <w:pPr>
        <w:ind w:left="720" w:hanging="360"/>
      </w:pPr>
      <w:r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abstractNum w:abstractNumId="156">
    <w:multiLevelType w:val="hybridMultilevel"/>
    <w:lvl w:ilvl="0" w:tentative="0">
      <w:start w:val="1"/>
      <w:numFmt w:val="decimal"/>
      <w:isLgl w:val="off"/>
      <w:suff w:val="tab"/>
      <w:lvlText w:val="%1."/>
      <w:lvlJc w:val="left"/>
      <w:pPr>
        <w:ind w:left="720" w:hanging="360"/>
      </w:pPr>
      <w:r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abstractNum w:abstractNumId="157">
    <w:multiLevelType w:val="hybridMultilevel"/>
    <w:lvl w:ilvl="0" w:tentative="0">
      <w:start w:val="1"/>
      <w:numFmt w:val="decimal"/>
      <w:isLgl w:val="off"/>
      <w:suff w:val="tab"/>
      <w:lvlText w:val="%1."/>
      <w:lvlJc w:val="left"/>
      <w:pPr>
        <w:ind w:left="720" w:hanging="360"/>
      </w:pPr>
      <w:r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abstractNum w:abstractNumId="158"/>
  <w:abstractNum w:abstractNumId="159"/>
  <w:abstractNum w:abstractNumId="160"/>
  <w:abstractNum w:abstractNumId="161"/>
  <w:abstractNum w:abstractNumId="162"/>
  <w:abstractNum w:abstractNumId="163"/>
  <w:abstractNum w:abstractNumId="164">
    <w:multiLevelType w:val="hybridMultilevel"/>
    <w:lvl w:ilvl="0" w:tentative="0">
      <w:start w:val="1"/>
      <w:numFmt w:val="decimal"/>
      <w:isLgl w:val="off"/>
      <w:suff w:val="tab"/>
      <w:lvlText w:val="%1."/>
      <w:lvlJc w:val="left"/>
      <w:pPr>
        <w:ind w:left="720" w:hanging="360"/>
      </w:pPr>
      <w:r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abstractNum w:abstractNumId="165">
    <w:multiLevelType w:val="hybridMultilevel"/>
    <w:lvl w:ilvl="0" w:tentative="0">
      <w:start w:val="1"/>
      <w:numFmt w:val="decimal"/>
      <w:isLgl w:val="off"/>
      <w:suff w:val="tab"/>
      <w:lvlText w:val="%1."/>
      <w:lvlJc w:val="left"/>
      <w:pPr>
        <w:ind w:left="720" w:hanging="360"/>
      </w:pPr>
      <w:r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abstractNum w:abstractNumId="166"/>
  <w:abstractNum w:abstractNumId="167">
    <w:multiLevelType w:val="hybridMultilevel"/>
    <w:lvl w:ilvl="0" w:tentative="0">
      <w:start w:val="1"/>
      <w:numFmt w:val="decimal"/>
      <w:isLgl w:val="off"/>
      <w:suff w:val="tab"/>
      <w:lvlText w:val="%1."/>
      <w:lvlJc w:val="left"/>
      <w:pPr>
        <w:ind w:left="720" w:hanging="360"/>
      </w:pPr>
      <w:r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num w:numId="1">
    <w:abstractNumId w:val="35"/>
  </w:num>
  <w:num w:numId="2">
    <w:abstractNumId w:val="25"/>
  </w:num>
  <w:num w:numId="3">
    <w:abstractNumId w:val="134"/>
  </w:num>
  <w:num w:numId="4">
    <w:abstractNumId w:val="76"/>
  </w:num>
  <w:num w:numId="5">
    <w:abstractNumId w:val="124"/>
  </w:num>
  <w:num w:numId="6">
    <w:abstractNumId w:val="20"/>
  </w:num>
  <w:num w:numId="7">
    <w:abstractNumId w:val="140"/>
  </w:num>
  <w:num w:numId="8">
    <w:abstractNumId w:val="138"/>
  </w:num>
  <w:num w:numId="9">
    <w:abstractNumId w:val="94"/>
  </w:num>
  <w:num w:numId="10">
    <w:abstractNumId w:val="67"/>
  </w:num>
  <w:num w:numId="11">
    <w:abstractNumId w:val="15"/>
  </w:num>
  <w:num w:numId="12">
    <w:abstractNumId w:val="128"/>
  </w:num>
  <w:num w:numId="13">
    <w:abstractNumId w:val="92"/>
  </w:num>
  <w:num w:numId="14">
    <w:abstractNumId w:val="96"/>
  </w:num>
  <w:num w:numId="15">
    <w:abstractNumId w:val="65"/>
  </w:num>
  <w:num w:numId="16">
    <w:abstractNumId w:val="11"/>
  </w:num>
  <w:num w:numId="17">
    <w:abstractNumId w:val="136"/>
  </w:num>
  <w:num w:numId="18">
    <w:abstractNumId w:val="114"/>
  </w:num>
  <w:num w:numId="19">
    <w:abstractNumId w:val="42"/>
  </w:num>
  <w:num w:numId="20">
    <w:abstractNumId w:val="8"/>
  </w:num>
  <w:num w:numId="21">
    <w:abstractNumId w:val="3"/>
  </w:num>
  <w:num w:numId="22">
    <w:abstractNumId w:val="81"/>
  </w:num>
  <w:num w:numId="23">
    <w:abstractNumId w:val="10"/>
  </w:num>
  <w:num w:numId="24">
    <w:abstractNumId w:val="141"/>
  </w:num>
  <w:num w:numId="25">
    <w:abstractNumId w:val="9"/>
  </w:num>
  <w:num w:numId="26">
    <w:abstractNumId w:val="122"/>
  </w:num>
  <w:num w:numId="27">
    <w:abstractNumId w:val="24"/>
  </w:num>
  <w:num w:numId="28">
    <w:abstractNumId w:val="130"/>
  </w:num>
  <w:num w:numId="29">
    <w:abstractNumId w:val="5"/>
  </w:num>
  <w:num w:numId="30">
    <w:abstractNumId w:val="113"/>
  </w:num>
  <w:num w:numId="31">
    <w:abstractNumId w:val="97"/>
  </w:num>
  <w:num w:numId="32">
    <w:abstractNumId w:val="102"/>
  </w:num>
  <w:num w:numId="33">
    <w:abstractNumId w:val="17"/>
  </w:num>
  <w:num w:numId="34">
    <w:abstractNumId w:val="64"/>
  </w:num>
  <w:num w:numId="35">
    <w:abstractNumId w:val="29"/>
  </w:num>
  <w:num w:numId="36">
    <w:abstractNumId w:val="74"/>
  </w:num>
  <w:num w:numId="37">
    <w:abstractNumId w:val="79"/>
  </w:num>
  <w:num w:numId="38">
    <w:abstractNumId w:val="71"/>
  </w:num>
  <w:num w:numId="39">
    <w:abstractNumId w:val="51"/>
  </w:num>
  <w:num w:numId="40">
    <w:abstractNumId w:val="87"/>
  </w:num>
  <w:num w:numId="41">
    <w:abstractNumId w:val="101"/>
  </w:num>
  <w:num w:numId="42">
    <w:abstractNumId w:val="80"/>
  </w:num>
  <w:num w:numId="43">
    <w:abstractNumId w:val="142"/>
  </w:num>
  <w:num w:numId="44">
    <w:abstractNumId w:val="6"/>
  </w:num>
  <w:num w:numId="45">
    <w:abstractNumId w:val="28"/>
  </w:num>
  <w:num w:numId="46">
    <w:abstractNumId w:val="115"/>
  </w:num>
  <w:num w:numId="47">
    <w:abstractNumId w:val="75"/>
  </w:num>
  <w:num w:numId="48">
    <w:abstractNumId w:val="98"/>
  </w:num>
  <w:num w:numId="49">
    <w:abstractNumId w:val="52"/>
  </w:num>
  <w:num w:numId="50">
    <w:abstractNumId w:val="14"/>
  </w:num>
  <w:num w:numId="51">
    <w:abstractNumId w:val="106"/>
  </w:num>
  <w:num w:numId="52">
    <w:abstractNumId w:val="33"/>
  </w:num>
  <w:num w:numId="53">
    <w:abstractNumId w:val="99"/>
  </w:num>
  <w:num w:numId="54">
    <w:abstractNumId w:val="40"/>
  </w:num>
  <w:num w:numId="55">
    <w:abstractNumId w:val="104"/>
  </w:num>
  <w:num w:numId="56">
    <w:abstractNumId w:val="133"/>
  </w:num>
  <w:num w:numId="57">
    <w:abstractNumId w:val="139"/>
  </w:num>
  <w:num w:numId="58">
    <w:abstractNumId w:val="125"/>
  </w:num>
  <w:num w:numId="59">
    <w:abstractNumId w:val="66"/>
  </w:num>
  <w:num w:numId="60">
    <w:abstractNumId w:val="77"/>
  </w:num>
  <w:num w:numId="61">
    <w:abstractNumId w:val="2"/>
  </w:num>
  <w:num w:numId="62">
    <w:abstractNumId w:val="16"/>
  </w:num>
  <w:num w:numId="63">
    <w:abstractNumId w:val="70"/>
  </w:num>
  <w:num w:numId="64">
    <w:abstractNumId w:val="27"/>
  </w:num>
  <w:num w:numId="65">
    <w:abstractNumId w:val="107"/>
  </w:num>
  <w:num w:numId="66">
    <w:abstractNumId w:val="36"/>
  </w:num>
  <w:num w:numId="67">
    <w:abstractNumId w:val="86"/>
  </w:num>
  <w:num w:numId="68">
    <w:abstractNumId w:val="46"/>
  </w:num>
  <w:num w:numId="69">
    <w:abstractNumId w:val="90"/>
  </w:num>
  <w:num w:numId="70">
    <w:abstractNumId w:val="47"/>
  </w:num>
  <w:num w:numId="71">
    <w:abstractNumId w:val="88"/>
  </w:num>
  <w:num w:numId="72">
    <w:abstractNumId w:val="7"/>
  </w:num>
  <w:num w:numId="73">
    <w:abstractNumId w:val="61"/>
  </w:num>
  <w:num w:numId="74">
    <w:abstractNumId w:val="49"/>
  </w:num>
  <w:num w:numId="75">
    <w:abstractNumId w:val="13"/>
  </w:num>
  <w:num w:numId="76">
    <w:abstractNumId w:val="69"/>
  </w:num>
  <w:num w:numId="77">
    <w:abstractNumId w:val="118"/>
  </w:num>
  <w:num w:numId="78">
    <w:abstractNumId w:val="54"/>
  </w:num>
  <w:num w:numId="79">
    <w:abstractNumId w:val="112"/>
  </w:num>
  <w:num w:numId="80">
    <w:abstractNumId w:val="135"/>
  </w:num>
  <w:num w:numId="81">
    <w:abstractNumId w:val="126"/>
  </w:num>
  <w:num w:numId="82">
    <w:abstractNumId w:val="111"/>
  </w:num>
  <w:num w:numId="83">
    <w:abstractNumId w:val="39"/>
  </w:num>
  <w:num w:numId="84">
    <w:abstractNumId w:val="26"/>
  </w:num>
  <w:num w:numId="85">
    <w:abstractNumId w:val="95"/>
  </w:num>
  <w:num w:numId="86">
    <w:abstractNumId w:val="91"/>
  </w:num>
  <w:num w:numId="87">
    <w:abstractNumId w:val="103"/>
  </w:num>
  <w:num w:numId="88">
    <w:abstractNumId w:val="18"/>
  </w:num>
  <w:num w:numId="89">
    <w:abstractNumId w:val="53"/>
  </w:num>
  <w:num w:numId="90">
    <w:abstractNumId w:val="110"/>
  </w:num>
  <w:num w:numId="91">
    <w:abstractNumId w:val="56"/>
  </w:num>
  <w:num w:numId="92">
    <w:abstractNumId w:val="12"/>
  </w:num>
  <w:num w:numId="93">
    <w:abstractNumId w:val="41"/>
  </w:num>
  <w:num w:numId="94">
    <w:abstractNumId w:val="109"/>
  </w:num>
  <w:num w:numId="95">
    <w:abstractNumId w:val="23"/>
  </w:num>
  <w:num w:numId="96">
    <w:abstractNumId w:val="30"/>
  </w:num>
  <w:num w:numId="97">
    <w:abstractNumId w:val="22"/>
  </w:num>
  <w:num w:numId="98">
    <w:abstractNumId w:val="116"/>
  </w:num>
  <w:num w:numId="99">
    <w:abstractNumId w:val="85"/>
  </w:num>
  <w:num w:numId="100">
    <w:abstractNumId w:val="68"/>
  </w:num>
  <w:num w:numId="101">
    <w:abstractNumId w:val="37"/>
  </w:num>
  <w:num w:numId="102">
    <w:abstractNumId w:val="63"/>
  </w:num>
  <w:num w:numId="103">
    <w:abstractNumId w:val="50"/>
  </w:num>
  <w:num w:numId="104">
    <w:abstractNumId w:val="38"/>
  </w:num>
  <w:num w:numId="105">
    <w:abstractNumId w:val="123"/>
  </w:num>
  <w:num w:numId="106">
    <w:abstractNumId w:val="43"/>
  </w:num>
  <w:num w:numId="107">
    <w:abstractNumId w:val="119"/>
  </w:num>
  <w:num w:numId="108">
    <w:abstractNumId w:val="62"/>
  </w:num>
  <w:num w:numId="109">
    <w:abstractNumId w:val="58"/>
  </w:num>
  <w:num w:numId="110">
    <w:abstractNumId w:val="83"/>
  </w:num>
  <w:num w:numId="111">
    <w:abstractNumId w:val="57"/>
  </w:num>
  <w:num w:numId="112">
    <w:abstractNumId w:val="32"/>
  </w:num>
  <w:num w:numId="113">
    <w:abstractNumId w:val="72"/>
  </w:num>
  <w:num w:numId="114">
    <w:abstractNumId w:val="89"/>
  </w:num>
  <w:num w:numId="115">
    <w:abstractNumId w:val="93"/>
  </w:num>
  <w:num w:numId="116">
    <w:abstractNumId w:val="78"/>
  </w:num>
  <w:num w:numId="117">
    <w:abstractNumId w:val="121"/>
  </w:num>
  <w:num w:numId="118">
    <w:abstractNumId w:val="45"/>
  </w:num>
  <w:num w:numId="119">
    <w:abstractNumId w:val="48"/>
  </w:num>
  <w:num w:numId="120">
    <w:abstractNumId w:val="55"/>
  </w:num>
  <w:num w:numId="121">
    <w:abstractNumId w:val="105"/>
  </w:num>
  <w:num w:numId="122">
    <w:abstractNumId w:val="44"/>
  </w:num>
  <w:num w:numId="123">
    <w:abstractNumId w:val="19"/>
  </w:num>
  <w:num w:numId="124">
    <w:abstractNumId w:val="84"/>
  </w:num>
  <w:num w:numId="125">
    <w:abstractNumId w:val="4"/>
  </w:num>
  <w:num w:numId="126">
    <w:abstractNumId w:val="108"/>
  </w:num>
  <w:num w:numId="127">
    <w:abstractNumId w:val="60"/>
  </w:num>
  <w:num w:numId="128">
    <w:abstractNumId w:val="132"/>
  </w:num>
  <w:num w:numId="129">
    <w:abstractNumId w:val="82"/>
  </w:num>
  <w:num w:numId="130">
    <w:abstractNumId w:val="1"/>
  </w:num>
  <w:num w:numId="131">
    <w:abstractNumId w:val="21"/>
  </w:num>
  <w:num w:numId="132">
    <w:abstractNumId w:val="73"/>
  </w:num>
  <w:num w:numId="133">
    <w:abstractNumId w:val="31"/>
  </w:num>
  <w:num w:numId="134">
    <w:abstractNumId w:val="131"/>
  </w:num>
  <w:num w:numId="135">
    <w:abstractNumId w:val="59"/>
  </w:num>
  <w:num w:numId="136">
    <w:abstractNumId w:val="117"/>
  </w:num>
  <w:num w:numId="137">
    <w:abstractNumId w:val="100"/>
  </w:num>
  <w:num w:numId="138">
    <w:abstractNumId w:val="127"/>
  </w:num>
  <w:num w:numId="139">
    <w:abstractNumId w:val="143"/>
  </w:num>
  <w:num w:numId="140">
    <w:abstractNumId w:val="137"/>
  </w:num>
  <w:num w:numId="141">
    <w:abstractNumId w:val="120"/>
  </w:num>
  <w:num w:numId="142">
    <w:abstractNumId w:val="0"/>
  </w:num>
  <w:num w:numId="143">
    <w:abstractNumId w:val="129"/>
  </w:num>
  <w:num w:numId="144">
    <w:abstractNumId w:val="34"/>
  </w:num>
  <w:num w:numId="145">
    <w:abstractNumId w:val="144"/>
    <w:lvlOverride w:ilvl="0">
      <w:lvl w:ilvl="0" w:tentative="1">
        <w:numFmt w:val="bullet"/>
        <w:suff w:val="tab"/>
        <w:lvlText w:val="·"/>
        <w:rPr/>
      </w:lvl>
    </w:lvlOverride>
  </w:num>
  <w:num w:numId="146">
    <w:abstractNumId w:val="145"/>
    <w:lvlOverride w:ilvl="0">
      <w:lvl w:ilvl="0" w:tentative="1">
        <w:numFmt w:val="bullet"/>
        <w:suff w:val="tab"/>
        <w:lvlText w:val="1."/>
        <w:rPr/>
      </w:lvl>
    </w:lvlOverride>
  </w:num>
  <w:num w:numId="147">
    <w:abstractNumId w:val="146"/>
  </w:num>
  <w:num w:numId="148">
    <w:abstractNumId w:val="147"/>
  </w:num>
  <w:num w:numId="149">
    <w:abstractNumId w:val="148"/>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lvlOverride w:ilvl="0">
      <w:lvl w:ilvl="0" w:tentative="1">
        <w:numFmt w:val="bullet"/>
        <w:suff w:val="tab"/>
        <w:lvlText w:val="1."/>
        <w:rPr/>
      </w:lvl>
    </w:lvlOverride>
  </w:num>
  <w:num w:numId="159">
    <w:abstractNumId w:val="159"/>
    <w:lvlOverride w:ilvl="0">
      <w:lvl w:ilvl="0" w:tentative="1">
        <w:numFmt w:val="bullet"/>
        <w:suff w:val="tab"/>
        <w:lvlText w:val="1."/>
        <w:rPr/>
      </w:lvl>
    </w:lvlOverride>
  </w:num>
  <w:num w:numId="160">
    <w:abstractNumId w:val="160"/>
    <w:lvlOverride w:ilvl="0">
      <w:lvl w:ilvl="0" w:tentative="1">
        <w:numFmt w:val="bullet"/>
        <w:suff w:val="tab"/>
        <w:lvlText w:val="1."/>
        <w:rPr/>
      </w:lvl>
    </w:lvlOverride>
  </w:num>
  <w:num w:numId="161">
    <w:abstractNumId w:val="161"/>
    <w:lvlOverride w:ilvl="0">
      <w:lvl w:ilvl="0" w:tentative="1">
        <w:numFmt w:val="bullet"/>
        <w:suff w:val="tab"/>
        <w:lvlText w:val="·"/>
        <w:rPr/>
      </w:lvl>
    </w:lvlOverride>
  </w:num>
  <w:num w:numId="162">
    <w:abstractNumId w:val="162"/>
    <w:lvlOverride w:ilvl="0">
      <w:lvl w:ilvl="0" w:tentative="1">
        <w:numFmt w:val="bullet"/>
        <w:suff w:val="tab"/>
        <w:lvlText w:val="·"/>
        <w:rPr/>
      </w:lvl>
    </w:lvlOverride>
  </w:num>
  <w:num w:numId="163">
    <w:abstractNumId w:val="163"/>
    <w:lvlOverride w:ilvl="0">
      <w:lvl w:ilvl="0" w:tentative="1">
        <w:numFmt w:val="bullet"/>
        <w:suff w:val="tab"/>
        <w:lvlText w:val="·"/>
        <w:rPr/>
      </w:lvl>
    </w:lvlOverride>
  </w:num>
  <w:num w:numId="164">
    <w:abstractNumId w:val="164"/>
  </w:num>
  <w:num w:numId="165">
    <w:abstractNumId w:val="165"/>
  </w:num>
  <w:num w:numId="166">
    <w:abstractNumId w:val="166"/>
    <w:lvlOverride w:ilvl="0">
      <w:lvl w:ilvl="0" w:tentative="1">
        <w:numFmt w:val="bullet"/>
        <w:suff w:val="tab"/>
        <w:lvlText w:val="·"/>
        <w:rPr/>
      </w:lvl>
    </w:lvlOverride>
  </w:num>
  <w:num w:numId="167">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defaultTabStop w:val="720"/>
  <w:characterSpacingControl w:val="doNotCompress"/>
  <w:hdrShapeDefaults>
    <o:shapedefaults v:ext="edit" spidmax="2050"/>
  </w:hdrShapeDefault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63B4C"/>
    <w:rsid w:val="000D05D8"/>
    <w:rsid w:val="000D0641"/>
    <w:rsid w:val="000D2B00"/>
    <w:rsid w:val="001601E6"/>
    <w:rsid w:val="001C3AF6"/>
    <w:rsid w:val="001D1485"/>
    <w:rsid w:val="001F19A6"/>
    <w:rsid w:val="00211184"/>
    <w:rsid w:val="0021364B"/>
    <w:rsid w:val="0025020C"/>
    <w:rsid w:val="00256951"/>
    <w:rsid w:val="002865F5"/>
    <w:rsid w:val="00292A36"/>
    <w:rsid w:val="002D64A3"/>
    <w:rsid w:val="002F5E53"/>
    <w:rsid w:val="00312A5A"/>
    <w:rsid w:val="003135AD"/>
    <w:rsid w:val="00393F39"/>
    <w:rsid w:val="003A66FD"/>
    <w:rsid w:val="003B1E32"/>
    <w:rsid w:val="004D4021"/>
    <w:rsid w:val="005119DE"/>
    <w:rsid w:val="005446BF"/>
    <w:rsid w:val="0055147E"/>
    <w:rsid w:val="005B3EDE"/>
    <w:rsid w:val="005B6E67"/>
    <w:rsid w:val="005C5E80"/>
    <w:rsid w:val="005D7A1E"/>
    <w:rsid w:val="005E1650"/>
    <w:rsid w:val="00604A87"/>
    <w:rsid w:val="00621776"/>
    <w:rsid w:val="00621872"/>
    <w:rsid w:val="00636D9A"/>
    <w:rsid w:val="006A3F0D"/>
    <w:rsid w:val="006A4515"/>
    <w:rsid w:val="006C78AA"/>
    <w:rsid w:val="006F04D4"/>
    <w:rsid w:val="006F4AB2"/>
    <w:rsid w:val="007063BA"/>
    <w:rsid w:val="00730C3C"/>
    <w:rsid w:val="0073280B"/>
    <w:rsid w:val="00750B5B"/>
    <w:rsid w:val="0077163A"/>
    <w:rsid w:val="00785752"/>
    <w:rsid w:val="007A59C8"/>
    <w:rsid w:val="007A712E"/>
    <w:rsid w:val="007C246B"/>
    <w:rsid w:val="007C685B"/>
    <w:rsid w:val="007F7847"/>
    <w:rsid w:val="00804B94"/>
    <w:rsid w:val="00807B11"/>
    <w:rsid w:val="0082760D"/>
    <w:rsid w:val="00880B2D"/>
    <w:rsid w:val="00883AB0"/>
    <w:rsid w:val="00894108"/>
    <w:rsid w:val="008B1DFA"/>
    <w:rsid w:val="008C38C3"/>
    <w:rsid w:val="008D6F0F"/>
    <w:rsid w:val="008E7B2E"/>
    <w:rsid w:val="00916814"/>
    <w:rsid w:val="00995444"/>
    <w:rsid w:val="009D06C5"/>
    <w:rsid w:val="009D534C"/>
    <w:rsid w:val="009D728C"/>
    <w:rsid w:val="009E5B14"/>
    <w:rsid w:val="00A90A7A"/>
    <w:rsid w:val="00AA437C"/>
    <w:rsid w:val="00AB78F0"/>
    <w:rsid w:val="00B01396"/>
    <w:rsid w:val="00B2418B"/>
    <w:rsid w:val="00B26973"/>
    <w:rsid w:val="00B575E2"/>
    <w:rsid w:val="00B7073C"/>
    <w:rsid w:val="00B858A1"/>
    <w:rsid w:val="00BB65AC"/>
    <w:rsid w:val="00BD2909"/>
    <w:rsid w:val="00C17A49"/>
    <w:rsid w:val="00C91479"/>
    <w:rsid w:val="00CB3AF6"/>
    <w:rsid w:val="00CB3C13"/>
    <w:rsid w:val="00CE3FD1"/>
    <w:rsid w:val="00CE620E"/>
    <w:rsid w:val="00CF1ED5"/>
    <w:rsid w:val="00D13A82"/>
    <w:rsid w:val="00D13DB7"/>
    <w:rsid w:val="00DB71AC"/>
    <w:rsid w:val="00DC00D1"/>
    <w:rsid w:val="00DD02A4"/>
    <w:rsid w:val="00DE1A02"/>
    <w:rsid w:val="00E05C6C"/>
    <w:rsid w:val="00E157E1"/>
    <w:rsid w:val="00E2182C"/>
    <w:rsid w:val="00E325CF"/>
    <w:rsid w:val="00E40B0D"/>
    <w:rsid w:val="00E71420"/>
    <w:rsid w:val="00E94DA0"/>
    <w:rsid w:val="00EA5CC3"/>
    <w:rsid w:val="00EF6341"/>
    <w:rsid w:val="00F0560A"/>
    <w:rsid w:val="00F158D7"/>
    <w:rsid w:val="00F20EE5"/>
    <w:rsid w:val="00F44833"/>
    <w:rsid w:val="00F544B0"/>
    <w:rsid w:val="00F67C87"/>
    <w:rsid w:val="00F84C23"/>
    <w:rsid w:val="00FD3DE0"/>
    <w:rsid w:val="00FD7729"/>
    <w:rsid w:val="00FD7C22"/>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lang w:val="en-GB" w:bidi="ar-SA" w:eastAsia="zh-CN"/>
        <w14:ligatures w14:val="standardContextual"/>
      </w:rPr>
    </w:rPrDefault>
    <w:pPrDefault>
      <w:pPr>
        <w:spacing w:after="160" w:line="259" w:lineRule="auto"/>
      </w:pPr>
    </w:pPrDefault>
  </w:docDefaults>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FollowedHyperlink">
    <w:name w:val="FollowedHyperlink"/>
    <w:basedOn w:val="DefaultParagraphFont"/>
    <w:uiPriority w:val="99"/>
    <w:semiHidden w:val="on"/>
    <w:unhideWhenUsed w:val="on"/>
    <w:rPr>
      <w:color w:val="954f72" w:themeColor="followed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pPr>
      <w:spacing w:line="360" w:lineRule="auto"/>
      <w:jc w:val="both"/>
    </w:pPr>
    <w:rPr>
      <w:rFonts w:ascii="Aptos" w:hAnsi="Aptos"/>
    </w:rPr>
  </w:style>
  <w:style w:type="paragraph" w:styleId="Heading1">
    <w:name w:val="Heading 1"/>
    <w:basedOn w:val="Normal"/>
    <w:link w:val="Heading1Char"/>
    <w:uiPriority w:val="1"/>
    <w:qFormat w:val="on"/>
    <w:pPr>
      <w:widowControl w:val="off"/>
      <w:spacing w:after="0" w:line="240" w:lineRule="auto"/>
      <w:ind w:left="220"/>
      <w:jc w:val="left"/>
    </w:pPr>
    <w:rPr>
      <w:rFonts w:ascii="Arial" w:cs="Calibri Light" w:eastAsia="Calibri Light" w:hAnsi="Arial"/>
      <w:b/>
      <w:sz w:val="32"/>
      <w:szCs w:val="32"/>
      <w:lang w:bidi="en-GB" w:eastAsia="en-GB"/>
    </w:rPr>
  </w:style>
  <w:style w:type="paragraph" w:styleId="Heading2">
    <w:name w:val="Heading 2"/>
    <w:basedOn w:val="Normal"/>
    <w:next w:val="Normal"/>
    <w:link w:val="Heading2Char"/>
    <w:uiPriority w:val="9"/>
    <w:unhideWhenUsed w:val="on"/>
    <w:qFormat w:val="on"/>
    <w:pPr>
      <w:keepNext w:val="on"/>
      <w:keepLines w:val="on"/>
      <w:spacing w:before="40" w:after="0"/>
    </w:pPr>
    <w:rPr>
      <w:rFonts w:cstheme="majorBidi" w:eastAsiaTheme="majorEastAsia"/>
      <w:color w:val="2f5395" w:themeColor="accent1" w:themeShade="bf"/>
      <w:sz w:val="24"/>
      <w:szCs w:val="26"/>
    </w:rPr>
  </w:style>
  <w:style w:type="paragraph" w:styleId="Heading3">
    <w:name w:val="Heading 3"/>
    <w:basedOn w:val="Normal"/>
    <w:next w:val="Normal"/>
    <w:link w:val="Heading3Char"/>
    <w:uiPriority w:val="9"/>
    <w:semiHidden w:val="on"/>
    <w:unhideWhenUsed w:val="on"/>
    <w:qFormat w:val="on"/>
    <w:pPr>
      <w:keepNext w:val="on"/>
      <w:keepLines w:val="on"/>
      <w:spacing w:before="40" w:after="0"/>
    </w:pPr>
    <w:rPr>
      <w:rFonts w:asciiTheme="majorHAnsi" w:cstheme="majorBidi" w:eastAsiaTheme="majorEastAsia" w:hAnsiTheme="majorHAnsi"/>
      <w:color w:val="1f3763" w:themeColor="accent1" w:themeShade="7f"/>
      <w:sz w:val="24"/>
      <w:szCs w:val="24"/>
    </w:rPr>
  </w:style>
  <w:style w:type="paragraph" w:styleId="Heading4">
    <w:name w:val="Heading 4"/>
    <w:basedOn w:val="Normal"/>
    <w:next w:val="Normal"/>
    <w:link w:val="Heading4Char"/>
    <w:uiPriority w:val="9"/>
    <w:semiHidden w:val="on"/>
    <w:unhideWhenUsed w:val="on"/>
    <w:qFormat w:val="on"/>
    <w:pPr>
      <w:keepNext w:val="on"/>
      <w:keepLines w:val="on"/>
      <w:spacing w:before="40" w:after="0"/>
    </w:pPr>
    <w:rPr>
      <w:rFonts w:asciiTheme="majorHAnsi" w:cstheme="majorBidi" w:eastAsiaTheme="majorEastAsia" w:hAnsiTheme="majorHAnsi"/>
      <w:i/>
      <w:iCs/>
      <w:color w:val="2f5395" w:themeColor="accent1" w:themeShade="bf"/>
    </w:rPr>
  </w:style>
  <w:style w:type="character" w:default="1" w:styleId="DefaultParagraphFont">
    <w:name w:val="Default Paragraph Font"/>
    <w:uiPriority w:val="1"/>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BodyText">
    <w:name w:val="Body Text"/>
    <w:basedOn w:val="Normal"/>
    <w:link w:val="BodyTextChar"/>
    <w:uiPriority w:val="1"/>
    <w:unhideWhenUsed w:val="on"/>
    <w:qFormat w:val="on"/>
    <w:pPr>
      <w:widowControl w:val="off"/>
      <w:spacing w:after="0" w:line="240" w:lineRule="auto"/>
      <w:jc w:val="left"/>
    </w:pPr>
    <w:rPr>
      <w:rFonts w:ascii="Arial" w:cs="Calibri Light" w:eastAsia="Calibri Light" w:hAnsi="Arial"/>
      <w:lang w:bidi="en-GB" w:eastAsia="en-GB"/>
    </w:rPr>
  </w:style>
  <w:style w:type="character" w:customStyle="1" w:styleId="BodyTextChar">
    <w:name w:val="Body Text Char"/>
    <w:basedOn w:val="DefaultParagraphFont"/>
    <w:link w:val="BodyText"/>
    <w:uiPriority w:val="1"/>
    <w:rPr>
      <w:rFonts w:ascii="Arial" w:cs="Calibri Light" w:eastAsia="Calibri Light" w:hAnsi="Arial"/>
      <w:lang w:bidi="en-GB" w:eastAsia="en-GB"/>
    </w:rPr>
  </w:style>
  <w:style w:type="character" w:customStyle="1" w:styleId="Heading1Char">
    <w:name w:val="Heading 1 Char"/>
    <w:basedOn w:val="DefaultParagraphFont"/>
    <w:link w:val="Heading1"/>
    <w:uiPriority w:val="1"/>
    <w:rPr>
      <w:rFonts w:ascii="Arial" w:cs="Calibri Light" w:eastAsia="Calibri Light" w:hAnsi="Arial"/>
      <w:b/>
      <w:sz w:val="32"/>
      <w:szCs w:val="32"/>
      <w:lang w:bidi="en-GB" w:eastAsia="en-GB"/>
    </w:rPr>
  </w:style>
  <w:style w:type="table" w:styleId="TableGrid">
    <w:name w:val="Table Grid"/>
    <w:basedOn w:val="NormalTable"/>
    <w:uiPriority w:val="59"/>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val="on"/>
    <w:pPr>
      <w:spacing w:before="100" w:after="100" w:line="240" w:lineRule="auto"/>
      <w:jc w:val="left"/>
    </w:pPr>
    <w:rPr>
      <w:rFonts w:ascii="Times New Roman" w:cs="Times New Roman" w:eastAsia="Times New Roman" w:hAnsi="Times New Roman"/>
      <w:sz w:val="24"/>
      <w:szCs w:val="24"/>
      <w:lang w:eastAsia="en-GB"/>
    </w:rPr>
  </w:style>
  <w:style w:type="paragraph" w:styleId="ListParagraph">
    <w:name w:val="List Paragraph"/>
    <w:basedOn w:val="Normal"/>
    <w:uiPriority w:val="34"/>
    <w:qFormat w:val="on"/>
    <w:pPr>
      <w:widowControl w:val="off"/>
      <w:spacing w:after="0" w:line="240" w:lineRule="auto"/>
      <w:ind w:left="940" w:hanging="360"/>
      <w:jc w:val="left"/>
    </w:pPr>
    <w:rPr>
      <w:rFonts w:ascii="Calibri Light" w:cs="Calibri Light" w:eastAsia="Calibri Light" w:hAnsi="Calibri Light"/>
      <w:lang w:bidi="en-GB" w:eastAsia="en-GB"/>
    </w:rPr>
  </w:style>
  <w:style w:type="character" w:customStyle="1" w:styleId="Heading2Char">
    <w:name w:val="Heading 2 Char"/>
    <w:basedOn w:val="DefaultParagraphFont"/>
    <w:link w:val="Heading2"/>
    <w:uiPriority w:val="9"/>
    <w:rPr>
      <w:rFonts w:ascii="Aptos" w:cstheme="majorBidi" w:eastAsiaTheme="majorEastAsia" w:hAnsi="Aptos"/>
      <w:color w:val="2f5395" w:themeColor="accent1" w:themeShade="bf"/>
      <w:sz w:val="24"/>
      <w:szCs w:val="26"/>
    </w:rPr>
  </w:style>
  <w:style w:type="paragraph" w:styleId="Header">
    <w:name w:val="Header"/>
    <w:basedOn w:val="Normal"/>
    <w:link w:val="HeaderChar"/>
    <w:uiPriority w:val="99"/>
    <w:unhideWhenUsed w:val="on"/>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Aptos" w:hAnsi="Aptos"/>
    </w:rPr>
  </w:style>
  <w:style w:type="paragraph" w:styleId="Footer">
    <w:name w:val="Footer"/>
    <w:basedOn w:val="Normal"/>
    <w:link w:val="FooterChar"/>
    <w:uiPriority w:val="99"/>
    <w:unhideWhenUsed w:val="on"/>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Aptos" w:hAnsi="Aptos"/>
    </w:rPr>
  </w:style>
  <w:style w:type="character" w:styleId="Hyperlink">
    <w:name w:val="Hyperlink"/>
    <w:basedOn w:val="DefaultParagraphFont"/>
    <w:uiPriority w:val="99"/>
    <w:unhideWhenUsed w:val="on"/>
    <w:rPr>
      <w:color w:val="0000ff"/>
      <w:u w:val="single"/>
    </w:rPr>
  </w:style>
  <w:style w:type="character" w:styleId="UnresolvedMention">
    <w:name w:val="Unresolved Mention"/>
    <w:basedOn w:val="DefaultParagraphFont"/>
    <w:uiPriority w:val="99"/>
    <w:semiHidden w:val="on"/>
    <w:unhideWhenUsed w:val="on"/>
    <w:rPr>
      <w:color w:val="605e5c"/>
      <w:shd w:val="clear" w:color="auto" w:fill="e1dfdd"/>
    </w:rPr>
  </w:style>
  <w:style w:type="paragraph" w:customStyle="1" w:styleId="Paragraph">
    <w:name w:val="Paragraph"/>
    <w:basedOn w:val="Normal"/>
    <w:uiPriority w:val="99"/>
    <w:pPr>
      <w:spacing w:before="100" w:after="100" w:line="240" w:lineRule="auto"/>
      <w:jc w:val="left"/>
    </w:pPr>
    <w:rPr>
      <w:rFonts w:ascii="Times New Roman" w:cs="Times New Roman" w:eastAsia="Times New Roman" w:hAnsi="Times New Roman"/>
      <w:sz w:val="24"/>
      <w:szCs w:val="24"/>
    </w:rPr>
  </w:style>
  <w:style w:type="character" w:customStyle="1" w:styleId="Normaltextrun">
    <w:name w:val="Normaltextrun"/>
    <w:basedOn w:val="DefaultParagraphFont"/>
    <w:uiPriority w:val="99"/>
  </w:style>
  <w:style w:type="character" w:customStyle="1" w:styleId="Eop">
    <w:name w:val="Eop"/>
    <w:basedOn w:val="DefaultParagraphFont"/>
    <w:uiPriority w:val="99"/>
  </w:style>
  <w:style w:type="character" w:customStyle="1" w:styleId="Heading4Char">
    <w:name w:val="Heading 4 Char"/>
    <w:basedOn w:val="DefaultParagraphFont"/>
    <w:link w:val="Heading4"/>
    <w:uiPriority w:val="9"/>
    <w:semiHidden w:val="on"/>
    <w:rPr>
      <w:rFonts w:asciiTheme="majorHAnsi" w:cstheme="majorBidi" w:eastAsiaTheme="majorEastAsia" w:hAnsiTheme="majorHAnsi"/>
      <w:i/>
      <w:iCs/>
      <w:color w:val="2f5395" w:themeColor="accent1" w:themeShade="bf"/>
    </w:rPr>
  </w:style>
  <w:style w:type="character" w:styleId="Strong">
    <w:name w:val="Strong"/>
    <w:basedOn w:val="DefaultParagraphFont"/>
    <w:uiPriority w:val="22"/>
    <w:qFormat w:val="on"/>
    <w:rPr>
      <w:b/>
      <w:bCs/>
    </w:rPr>
  </w:style>
  <w:style w:type="character" w:customStyle="1" w:styleId="Heading3Char">
    <w:name w:val="Heading 3 Char"/>
    <w:basedOn w:val="DefaultParagraphFont"/>
    <w:link w:val="Heading3"/>
    <w:uiPriority w:val="9"/>
    <w:semiHidden w:val="on"/>
    <w:rPr>
      <w:rFonts w:asciiTheme="majorHAnsi" w:cstheme="majorBidi" w:eastAsiaTheme="majorEastAsia" w:hAnsiTheme="majorHAnsi"/>
      <w:color w:val="1f3763" w:themeColor="accent1" w:themeShade="7f"/>
      <w:sz w:val="24"/>
      <w:szCs w:val="24"/>
    </w:rPr>
  </w:style>
  <w:style w:type="paragraph" w:styleId="TOCHeading">
    <w:name w:val="TOC Heading"/>
    <w:basedOn w:val="Heading1"/>
    <w:next w:val="Normal"/>
    <w:uiPriority w:val="39"/>
    <w:unhideWhenUsed w:val="on"/>
    <w:qFormat w:val="on"/>
    <w:pPr/>
    <w:rPr>
      <w:b w:val="off"/>
      <w:bCs w:val="off"/>
      <w:sz w:val="32"/>
      <w:szCs w:val="32"/>
    </w:rPr>
  </w:style>
  <w:style w:type="paragraph" w:styleId="Toc1">
    <w:name w:val="Toc 1"/>
    <w:basedOn w:val="Normal"/>
    <w:next w:val="Normal"/>
    <w:uiPriority w:val="39"/>
    <w:unhideWhenUsed w:val="on"/>
    <w:pPr>
      <w:spacing w:after="100"/>
    </w:pPr>
  </w:style>
  <w:style w:type="paragraph" w:styleId="Toc2">
    <w:name w:val="Toc 2"/>
    <w:basedOn w:val="Normal"/>
    <w:next w:val="Normal"/>
    <w:uiPriority w:val="39"/>
    <w:unhideWhenUsed w:val="on"/>
    <w:pPr>
      <w:spacing w:after="100"/>
      <w:ind w:left="220"/>
    </w:pPr>
  </w:style>
  <w:style w:type="paragraph" w:styleId="Toc3">
    <w:name w:val="Toc 3"/>
    <w:basedOn w:val="Normal"/>
    <w:next w:val="Normal"/>
    <w:uiPriority w:val="39"/>
    <w:unhideWhenUsed w:val="on"/>
    <w:pPr>
      <w:spacing w:after="100"/>
      <w:ind w:left="440"/>
    </w:pPr>
  </w:style>
  <w:style w:type="paragraph" w:styleId="Toc4">
    <w:name w:val="Toc 4"/>
    <w:basedOn w:val="Normal"/>
    <w:next w:val="Normal"/>
    <w:uiPriority w:val="39"/>
    <w:unhideWhenUsed w:val="on"/>
    <w:pPr>
      <w:spacing w:after="100"/>
      <w:ind w:left="660"/>
    </w:pPr>
  </w:style>
  <w:style w:type="paragraph" w:styleId="Toc5">
    <w:name w:val="Toc 5"/>
    <w:basedOn w:val="Normal"/>
    <w:next w:val="Normal"/>
    <w:uiPriority w:val="39"/>
    <w:unhideWhenUsed w:val="on"/>
    <w:pPr>
      <w:spacing w:after="100"/>
      <w:ind w:left="880"/>
    </w:pPr>
  </w:style>
  <w:style w:type="paragraph" w:styleId="Toc6">
    <w:name w:val="Toc 6"/>
    <w:basedOn w:val="Normal"/>
    <w:next w:val="Normal"/>
    <w:uiPriority w:val="39"/>
    <w:unhideWhenUsed w:val="on"/>
    <w:pPr>
      <w:spacing w:after="100"/>
      <w:ind w:left="1100"/>
    </w:pPr>
  </w:style>
  <w:style w:type="paragraph" w:styleId="Toc7">
    <w:name w:val="Toc 7"/>
    <w:basedOn w:val="Normal"/>
    <w:next w:val="Normal"/>
    <w:uiPriority w:val="39"/>
    <w:unhideWhenUsed w:val="on"/>
    <w:pPr>
      <w:spacing w:after="100"/>
      <w:ind w:left="1320"/>
    </w:pPr>
  </w:style>
  <w:style w:type="paragraph" w:styleId="Toc8">
    <w:name w:val="Toc 8"/>
    <w:basedOn w:val="Normal"/>
    <w:next w:val="Normal"/>
    <w:uiPriority w:val="39"/>
    <w:unhideWhenUsed w:val="on"/>
    <w:pPr>
      <w:spacing w:after="100"/>
      <w:ind w:left="1540"/>
    </w:pPr>
  </w:style>
  <w:style w:type="paragraph" w:styleId="Toc9">
    <w:name w:val="Toc 9"/>
    <w:basedOn w:val="Normal"/>
    <w:next w:val="Normal"/>
    <w:uiPriority w:val="39"/>
    <w:unhideWhenUsed w:val="on"/>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2" Type="http://schemas.openxmlformats.org/officeDocument/2006/relationships/fontTable" Target="fontTable.xml"/><Relationship Id="rId13" Type="http://schemas.openxmlformats.org/officeDocument/2006/relationships/theme" Target="theme/theme1.xml"/><Relationship Id="rId18" Type="http://schemas.openxmlformats.org/officeDocument/2006/relationships/image" Target="media/image2.png"/><Relationship Id="rId19" Type="http://schemas.openxmlformats.org/officeDocument/2006/relationships/footer" Target="footer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hyperlink" Target="https://www.uwtsd.ac.uk/media/uwtsd-website/content-assets/documents/library-and-learning-resources/Harvard-en_v.1.3-(V6).pdf" TargetMode="External"/><Relationship Id="rId11" Type="http://schemas.openxmlformats.org/officeDocument/2006/relationships/hyperlink" Target="https://www.citethemrightonline.com/category-list?docid=CTRHarvard" TargetMode="Externa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4095</Words>
  <Characters>23342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Harries</dc:creator>
  <cp:lastModifiedBy>CHIZOMA Awoyemi</cp:lastModifiedBy>
</cp:coreProperties>
</file>