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B1AFD" w14:textId="77777777" w:rsidR="001E60F1" w:rsidRDefault="001E60F1">
      <w:pPr>
        <w:spacing w:after="160" w:line="259" w:lineRule="auto"/>
        <w:jc w:val="left"/>
      </w:pPr>
      <w:bookmarkStart w:id="0" w:name="_Hlk212309489"/>
      <w:r>
        <w:rPr>
          <w:noProof/>
          <w14:ligatures w14:val="standardContextual"/>
        </w:rPr>
        <w:drawing>
          <wp:inline distT="0" distB="0" distL="0" distR="0" wp14:anchorId="6DF40A9E" wp14:editId="4648499B">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23D3C0F" w14:textId="77777777" w:rsidR="001E60F1" w:rsidRPr="001E60F1" w:rsidRDefault="001E60F1" w:rsidP="001E60F1">
      <w:pPr>
        <w:spacing w:after="160" w:line="259" w:lineRule="auto"/>
        <w:jc w:val="center"/>
        <w:rPr>
          <w:b/>
          <w:sz w:val="48"/>
          <w:szCs w:val="48"/>
        </w:rPr>
      </w:pPr>
      <w:r w:rsidRPr="001E60F1">
        <w:rPr>
          <w:b/>
          <w:sz w:val="48"/>
          <w:szCs w:val="48"/>
        </w:rPr>
        <w:t>BSc Health and Social Care</w:t>
      </w:r>
    </w:p>
    <w:p w14:paraId="454C8B1B" w14:textId="77777777" w:rsidR="001E60F1" w:rsidRPr="001E60F1" w:rsidRDefault="001E60F1" w:rsidP="001E60F1">
      <w:pPr>
        <w:spacing w:after="160" w:line="259" w:lineRule="auto"/>
        <w:jc w:val="center"/>
        <w:rPr>
          <w:b/>
          <w:sz w:val="48"/>
          <w:szCs w:val="48"/>
        </w:rPr>
      </w:pPr>
      <w:r w:rsidRPr="001E60F1">
        <w:rPr>
          <w:b/>
          <w:sz w:val="48"/>
          <w:szCs w:val="48"/>
        </w:rPr>
        <w:t>Principles of Health and Social Care Practice</w:t>
      </w:r>
    </w:p>
    <w:p w14:paraId="5C972AB5" w14:textId="77777777" w:rsidR="001E60F1" w:rsidRPr="001E60F1" w:rsidRDefault="001E60F1" w:rsidP="001E60F1">
      <w:pPr>
        <w:spacing w:after="160" w:line="259" w:lineRule="auto"/>
        <w:jc w:val="center"/>
        <w:rPr>
          <w:b/>
          <w:sz w:val="48"/>
          <w:szCs w:val="48"/>
        </w:rPr>
      </w:pPr>
      <w:r w:rsidRPr="001E60F1">
        <w:rPr>
          <w:b/>
          <w:sz w:val="48"/>
          <w:szCs w:val="48"/>
        </w:rPr>
        <w:t>BMHP5016</w:t>
      </w:r>
    </w:p>
    <w:p w14:paraId="0BCC76D3" w14:textId="77777777" w:rsidR="001E60F1" w:rsidRPr="001E60F1" w:rsidRDefault="001E60F1" w:rsidP="001E60F1">
      <w:pPr>
        <w:spacing w:after="160" w:line="259" w:lineRule="auto"/>
        <w:jc w:val="center"/>
        <w:rPr>
          <w:b/>
          <w:sz w:val="48"/>
          <w:szCs w:val="48"/>
        </w:rPr>
      </w:pPr>
    </w:p>
    <w:p w14:paraId="4DE48055" w14:textId="77777777" w:rsidR="001E60F1" w:rsidRPr="001E60F1" w:rsidRDefault="001E60F1" w:rsidP="001E60F1">
      <w:pPr>
        <w:spacing w:after="160" w:line="259" w:lineRule="auto"/>
        <w:jc w:val="center"/>
        <w:rPr>
          <w:b/>
          <w:sz w:val="48"/>
          <w:szCs w:val="48"/>
        </w:rPr>
      </w:pPr>
    </w:p>
    <w:p w14:paraId="178BC011" w14:textId="77777777" w:rsidR="001E60F1" w:rsidRPr="001E60F1" w:rsidRDefault="001E60F1" w:rsidP="001E60F1">
      <w:pPr>
        <w:spacing w:after="160" w:line="259" w:lineRule="auto"/>
        <w:jc w:val="center"/>
        <w:rPr>
          <w:b/>
          <w:sz w:val="48"/>
          <w:szCs w:val="48"/>
        </w:rPr>
      </w:pPr>
      <w:r w:rsidRPr="001E60F1">
        <w:rPr>
          <w:b/>
          <w:sz w:val="48"/>
          <w:szCs w:val="48"/>
        </w:rPr>
        <w:t>Component 1</w:t>
      </w:r>
    </w:p>
    <w:p w14:paraId="24093032" w14:textId="20E0FF84" w:rsidR="001E60F1" w:rsidRPr="001E60F1" w:rsidRDefault="001E60F1" w:rsidP="001E60F1">
      <w:pPr>
        <w:spacing w:after="160" w:line="259" w:lineRule="auto"/>
        <w:jc w:val="center"/>
        <w:rPr>
          <w:b/>
          <w:sz w:val="48"/>
          <w:szCs w:val="48"/>
        </w:rPr>
      </w:pPr>
      <w:r w:rsidRPr="001E60F1">
        <w:rPr>
          <w:b/>
          <w:sz w:val="48"/>
          <w:szCs w:val="48"/>
        </w:rPr>
        <w:t>Written Assignment</w:t>
      </w:r>
    </w:p>
    <w:p w14:paraId="546AC21F" w14:textId="77777777" w:rsidR="001E60F1" w:rsidRPr="001E60F1" w:rsidRDefault="001E60F1" w:rsidP="001E60F1">
      <w:pPr>
        <w:spacing w:after="160" w:line="259" w:lineRule="auto"/>
        <w:jc w:val="center"/>
        <w:rPr>
          <w:b/>
          <w:bCs/>
          <w:sz w:val="48"/>
          <w:szCs w:val="48"/>
        </w:rPr>
      </w:pPr>
      <w:r w:rsidRPr="001E60F1">
        <w:rPr>
          <w:b/>
          <w:sz w:val="48"/>
          <w:szCs w:val="48"/>
        </w:rPr>
        <w:t>(</w:t>
      </w:r>
      <w:r w:rsidRPr="001E60F1">
        <w:rPr>
          <w:b/>
          <w:bCs/>
          <w:sz w:val="48"/>
          <w:szCs w:val="48"/>
        </w:rPr>
        <w:t>Reflective Report)</w:t>
      </w:r>
    </w:p>
    <w:bookmarkEnd w:id="0"/>
    <w:p w14:paraId="5FA2D401" w14:textId="77777777" w:rsidR="001E60F1" w:rsidRPr="001E60F1" w:rsidRDefault="001E60F1" w:rsidP="001E60F1">
      <w:pPr>
        <w:spacing w:after="160" w:line="259" w:lineRule="auto"/>
        <w:jc w:val="center"/>
        <w:rPr>
          <w:b/>
          <w:bCs/>
          <w:sz w:val="48"/>
          <w:szCs w:val="48"/>
        </w:rPr>
      </w:pPr>
    </w:p>
    <w:p w14:paraId="59464CBD" w14:textId="77777777" w:rsidR="001E60F1" w:rsidRPr="001E60F1" w:rsidRDefault="001E60F1" w:rsidP="001E60F1">
      <w:pPr>
        <w:spacing w:after="160" w:line="259" w:lineRule="auto"/>
        <w:jc w:val="center"/>
        <w:rPr>
          <w:b/>
          <w:bCs/>
          <w:sz w:val="48"/>
          <w:szCs w:val="48"/>
        </w:rPr>
      </w:pPr>
    </w:p>
    <w:p w14:paraId="69B34E19" w14:textId="77777777" w:rsidR="001E60F1" w:rsidRPr="001E60F1" w:rsidRDefault="001E60F1" w:rsidP="001E60F1">
      <w:pPr>
        <w:spacing w:after="160" w:line="259" w:lineRule="auto"/>
        <w:jc w:val="center"/>
        <w:rPr>
          <w:b/>
          <w:bCs/>
          <w:sz w:val="48"/>
          <w:szCs w:val="48"/>
        </w:rPr>
      </w:pPr>
    </w:p>
    <w:p w14:paraId="587EAAE4" w14:textId="7DFBDEBB" w:rsidR="001E60F1" w:rsidRPr="001E60F1" w:rsidRDefault="001E60F1" w:rsidP="001E60F1">
      <w:pPr>
        <w:spacing w:after="160" w:line="259" w:lineRule="auto"/>
        <w:jc w:val="center"/>
        <w:rPr>
          <w:b/>
          <w:bCs/>
          <w:sz w:val="48"/>
          <w:szCs w:val="48"/>
        </w:rPr>
      </w:pPr>
      <w:bookmarkStart w:id="1" w:name="_Hlk212309507"/>
      <w:r w:rsidRPr="001E60F1">
        <w:rPr>
          <w:b/>
          <w:bCs/>
          <w:sz w:val="48"/>
          <w:szCs w:val="48"/>
        </w:rPr>
        <w:t>Student ID:</w:t>
      </w:r>
      <w:r w:rsidR="008C59C4">
        <w:rPr>
          <w:b/>
          <w:bCs/>
          <w:sz w:val="48"/>
          <w:szCs w:val="48"/>
        </w:rPr>
        <w:t xml:space="preserve"> </w:t>
      </w:r>
      <w:r w:rsidR="00D712E3">
        <w:rPr>
          <w:b/>
          <w:bCs/>
          <w:sz w:val="48"/>
          <w:szCs w:val="48"/>
        </w:rPr>
        <w:t>240</w:t>
      </w:r>
      <w:r w:rsidR="008C59C4">
        <w:rPr>
          <w:b/>
          <w:bCs/>
          <w:sz w:val="48"/>
          <w:szCs w:val="48"/>
        </w:rPr>
        <w:t>9582</w:t>
      </w:r>
    </w:p>
    <w:p w14:paraId="5564C72A" w14:textId="4B02FA2C" w:rsidR="001E60F1" w:rsidRPr="001E60F1" w:rsidRDefault="001E60F1" w:rsidP="001E60F1">
      <w:pPr>
        <w:spacing w:after="160" w:line="259" w:lineRule="auto"/>
        <w:jc w:val="center"/>
        <w:rPr>
          <w:b/>
          <w:bCs/>
          <w:sz w:val="48"/>
          <w:szCs w:val="48"/>
        </w:rPr>
      </w:pPr>
      <w:r w:rsidRPr="001E60F1">
        <w:rPr>
          <w:b/>
          <w:bCs/>
          <w:sz w:val="48"/>
          <w:szCs w:val="48"/>
        </w:rPr>
        <w:t>Student Name:</w:t>
      </w:r>
      <w:r w:rsidR="008C59C4">
        <w:rPr>
          <w:b/>
          <w:bCs/>
          <w:sz w:val="48"/>
          <w:szCs w:val="48"/>
        </w:rPr>
        <w:t xml:space="preserve"> Alisa Ciure</w:t>
      </w:r>
    </w:p>
    <w:p w14:paraId="523DF9DC" w14:textId="15A8ABF9" w:rsidR="0073258E" w:rsidRPr="001E60F1" w:rsidRDefault="001E60F1" w:rsidP="001E60F1">
      <w:pPr>
        <w:spacing w:after="160" w:line="259" w:lineRule="auto"/>
        <w:jc w:val="center"/>
        <w:rPr>
          <w:b/>
          <w:bCs/>
        </w:rPr>
      </w:pPr>
      <w:r w:rsidRPr="001E60F1">
        <w:rPr>
          <w:b/>
          <w:bCs/>
          <w:sz w:val="48"/>
          <w:szCs w:val="48"/>
        </w:rPr>
        <w:t>Date</w:t>
      </w:r>
      <w:bookmarkEnd w:id="1"/>
      <w:r w:rsidR="008C59C4">
        <w:rPr>
          <w:b/>
          <w:bCs/>
          <w:sz w:val="48"/>
          <w:szCs w:val="48"/>
        </w:rPr>
        <w:t>: 27</w:t>
      </w:r>
      <w:r w:rsidR="00A46E3A">
        <w:rPr>
          <w:b/>
          <w:bCs/>
          <w:sz w:val="48"/>
          <w:szCs w:val="48"/>
        </w:rPr>
        <w:t>/10/2025</w:t>
      </w:r>
      <w:r w:rsidR="0073258E">
        <w:br w:type="page"/>
      </w:r>
    </w:p>
    <w:sdt>
      <w:sdtPr>
        <w:rPr>
          <w:rFonts w:ascii="Times New Roman" w:eastAsiaTheme="minorHAnsi" w:hAnsi="Times New Roman" w:cstheme="minorBidi"/>
          <w:color w:val="000000" w:themeColor="text1"/>
          <w:sz w:val="24"/>
          <w:szCs w:val="22"/>
          <w:lang w:val="en-GB" w:bidi="ar-SA"/>
        </w:rPr>
        <w:id w:val="-644124267"/>
        <w:docPartObj>
          <w:docPartGallery w:val="Table of Contents"/>
          <w:docPartUnique/>
        </w:docPartObj>
      </w:sdtPr>
      <w:sdtEndPr>
        <w:rPr>
          <w:b/>
          <w:bCs/>
        </w:rPr>
      </w:sdtEndPr>
      <w:sdtContent>
        <w:p w14:paraId="599EAA75" w14:textId="3C54D58B" w:rsidR="00DB478D" w:rsidRPr="00DB478D" w:rsidRDefault="00DB478D">
          <w:pPr>
            <w:pStyle w:val="TOCHeading"/>
            <w:rPr>
              <w:rFonts w:asciiTheme="majorBidi" w:hAnsiTheme="majorBidi"/>
              <w:b/>
              <w:bCs/>
              <w:color w:val="000000" w:themeColor="text1"/>
            </w:rPr>
          </w:pPr>
          <w:r w:rsidRPr="00DB478D">
            <w:rPr>
              <w:rFonts w:asciiTheme="majorBidi" w:hAnsiTheme="majorBidi"/>
              <w:b/>
              <w:bCs/>
              <w:color w:val="000000" w:themeColor="text1"/>
              <w:lang w:val="en-GB"/>
            </w:rPr>
            <w:t>Table of Contents</w:t>
          </w:r>
          <w:r w:rsidR="00E20392">
            <w:rPr>
              <w:rFonts w:asciiTheme="majorBidi" w:hAnsiTheme="majorBidi"/>
              <w:b/>
              <w:bCs/>
              <w:color w:val="000000" w:themeColor="text1"/>
              <w:lang w:val="en-GB"/>
            </w:rPr>
            <w:t xml:space="preserve"> </w:t>
          </w:r>
        </w:p>
        <w:p w14:paraId="7A8145F2" w14:textId="2CE17867" w:rsidR="00DB478D" w:rsidRDefault="00DB478D">
          <w:pPr>
            <w:pStyle w:val="TOC1"/>
            <w:tabs>
              <w:tab w:val="right" w:leader="dot" w:pos="9016"/>
            </w:tabs>
            <w:rPr>
              <w:noProof/>
            </w:rPr>
          </w:pPr>
          <w:r>
            <w:fldChar w:fldCharType="begin"/>
          </w:r>
          <w:r>
            <w:instrText xml:space="preserve"> TOC \o "1-3" \h \z \u </w:instrText>
          </w:r>
          <w:r>
            <w:fldChar w:fldCharType="separate"/>
          </w:r>
          <w:hyperlink w:anchor="_Toc212308955" w:history="1">
            <w:r w:rsidRPr="00C35303">
              <w:rPr>
                <w:rStyle w:val="Hyperlink"/>
                <w:noProof/>
              </w:rPr>
              <w:t>Introduction</w:t>
            </w:r>
            <w:r>
              <w:rPr>
                <w:noProof/>
                <w:webHidden/>
              </w:rPr>
              <w:tab/>
            </w:r>
            <w:r>
              <w:rPr>
                <w:noProof/>
                <w:webHidden/>
              </w:rPr>
              <w:fldChar w:fldCharType="begin"/>
            </w:r>
            <w:r>
              <w:rPr>
                <w:noProof/>
                <w:webHidden/>
              </w:rPr>
              <w:instrText xml:space="preserve"> PAGEREF _Toc212308955 \h </w:instrText>
            </w:r>
            <w:r>
              <w:rPr>
                <w:noProof/>
                <w:webHidden/>
              </w:rPr>
            </w:r>
            <w:r>
              <w:rPr>
                <w:noProof/>
                <w:webHidden/>
              </w:rPr>
              <w:fldChar w:fldCharType="separate"/>
            </w:r>
            <w:r>
              <w:rPr>
                <w:noProof/>
                <w:webHidden/>
              </w:rPr>
              <w:t>3</w:t>
            </w:r>
            <w:r>
              <w:rPr>
                <w:noProof/>
                <w:webHidden/>
              </w:rPr>
              <w:fldChar w:fldCharType="end"/>
            </w:r>
          </w:hyperlink>
        </w:p>
        <w:p w14:paraId="4C655C13" w14:textId="24B8303F" w:rsidR="00DB478D" w:rsidRDefault="00D16DB4">
          <w:pPr>
            <w:pStyle w:val="TOC1"/>
            <w:tabs>
              <w:tab w:val="right" w:leader="dot" w:pos="9016"/>
            </w:tabs>
            <w:rPr>
              <w:noProof/>
            </w:rPr>
          </w:pPr>
          <w:hyperlink w:anchor="_Toc212308956" w:history="1">
            <w:r>
              <w:rPr>
                <w:rStyle w:val="Hyperlink"/>
                <w:noProof/>
              </w:rPr>
              <w:t>Task 1: Reflection on the Importance of Principle</w:t>
            </w:r>
            <w:r>
              <w:rPr>
                <w:rStyle w:val="Hyperlink"/>
                <w:noProof/>
              </w:rPr>
              <w:tab/>
              <w:t>3</w:t>
            </w:r>
          </w:hyperlink>
        </w:p>
        <w:p w14:paraId="678A29AE" w14:textId="69BC750A" w:rsidR="00DB478D" w:rsidRDefault="00DB478D">
          <w:pPr>
            <w:pStyle w:val="TOC1"/>
            <w:tabs>
              <w:tab w:val="right" w:leader="dot" w:pos="9016"/>
            </w:tabs>
            <w:rPr>
              <w:noProof/>
            </w:rPr>
          </w:pPr>
          <w:hyperlink w:anchor="_Toc212308957" w:history="1">
            <w:r w:rsidRPr="00C35303">
              <w:rPr>
                <w:rStyle w:val="Hyperlink"/>
                <w:noProof/>
              </w:rPr>
              <w:t>Task 2: Practical Examples of Concepts in Practice</w:t>
            </w:r>
            <w:r>
              <w:rPr>
                <w:noProof/>
                <w:webHidden/>
              </w:rPr>
              <w:tab/>
            </w:r>
            <w:r>
              <w:rPr>
                <w:noProof/>
                <w:webHidden/>
              </w:rPr>
              <w:fldChar w:fldCharType="begin"/>
            </w:r>
            <w:r>
              <w:rPr>
                <w:noProof/>
                <w:webHidden/>
              </w:rPr>
              <w:instrText xml:space="preserve"> PAGEREF _Toc212308957 \h </w:instrText>
            </w:r>
            <w:r>
              <w:rPr>
                <w:noProof/>
                <w:webHidden/>
              </w:rPr>
            </w:r>
            <w:r>
              <w:rPr>
                <w:noProof/>
                <w:webHidden/>
              </w:rPr>
              <w:fldChar w:fldCharType="separate"/>
            </w:r>
            <w:r>
              <w:rPr>
                <w:noProof/>
                <w:webHidden/>
              </w:rPr>
              <w:t>4</w:t>
            </w:r>
            <w:r>
              <w:rPr>
                <w:noProof/>
                <w:webHidden/>
              </w:rPr>
              <w:fldChar w:fldCharType="end"/>
            </w:r>
          </w:hyperlink>
        </w:p>
        <w:p w14:paraId="3A6DDDD0" w14:textId="0553E992" w:rsidR="00DB478D" w:rsidRDefault="00DB478D">
          <w:pPr>
            <w:pStyle w:val="TOC1"/>
            <w:tabs>
              <w:tab w:val="right" w:leader="dot" w:pos="9016"/>
            </w:tabs>
            <w:rPr>
              <w:noProof/>
            </w:rPr>
          </w:pPr>
          <w:hyperlink w:anchor="_Toc212308958" w:history="1">
            <w:r w:rsidRPr="00C35303">
              <w:rPr>
                <w:rStyle w:val="Hyperlink"/>
                <w:noProof/>
              </w:rPr>
              <w:t>Task 3: Self-Reflection as a Health and Social Care Professional</w:t>
            </w:r>
            <w:r>
              <w:rPr>
                <w:noProof/>
                <w:webHidden/>
              </w:rPr>
              <w:tab/>
            </w:r>
            <w:r>
              <w:rPr>
                <w:noProof/>
                <w:webHidden/>
              </w:rPr>
              <w:fldChar w:fldCharType="begin"/>
            </w:r>
            <w:r>
              <w:rPr>
                <w:noProof/>
                <w:webHidden/>
              </w:rPr>
              <w:instrText xml:space="preserve"> PAGEREF _Toc212308958 \h </w:instrText>
            </w:r>
            <w:r>
              <w:rPr>
                <w:noProof/>
                <w:webHidden/>
              </w:rPr>
            </w:r>
            <w:r>
              <w:rPr>
                <w:noProof/>
                <w:webHidden/>
              </w:rPr>
              <w:fldChar w:fldCharType="separate"/>
            </w:r>
            <w:r>
              <w:rPr>
                <w:noProof/>
                <w:webHidden/>
              </w:rPr>
              <w:t>6</w:t>
            </w:r>
            <w:r>
              <w:rPr>
                <w:noProof/>
                <w:webHidden/>
              </w:rPr>
              <w:fldChar w:fldCharType="end"/>
            </w:r>
          </w:hyperlink>
        </w:p>
        <w:p w14:paraId="23E35A18" w14:textId="0FB7E3D6" w:rsidR="00DB478D" w:rsidRDefault="00DB478D">
          <w:pPr>
            <w:pStyle w:val="TOC1"/>
            <w:tabs>
              <w:tab w:val="right" w:leader="dot" w:pos="9016"/>
            </w:tabs>
            <w:rPr>
              <w:noProof/>
            </w:rPr>
          </w:pPr>
          <w:hyperlink w:anchor="_Toc212308959" w:history="1">
            <w:r w:rsidRPr="00C35303">
              <w:rPr>
                <w:rStyle w:val="Hyperlink"/>
                <w:noProof/>
              </w:rPr>
              <w:t>Conclusion</w:t>
            </w:r>
            <w:r>
              <w:rPr>
                <w:noProof/>
                <w:webHidden/>
              </w:rPr>
              <w:tab/>
            </w:r>
            <w:r>
              <w:rPr>
                <w:noProof/>
                <w:webHidden/>
              </w:rPr>
              <w:fldChar w:fldCharType="begin"/>
            </w:r>
            <w:r>
              <w:rPr>
                <w:noProof/>
                <w:webHidden/>
              </w:rPr>
              <w:instrText xml:space="preserve"> PAGEREF _Toc212308959 \h </w:instrText>
            </w:r>
            <w:r>
              <w:rPr>
                <w:noProof/>
                <w:webHidden/>
              </w:rPr>
            </w:r>
            <w:r>
              <w:rPr>
                <w:noProof/>
                <w:webHidden/>
              </w:rPr>
              <w:fldChar w:fldCharType="separate"/>
            </w:r>
            <w:r>
              <w:rPr>
                <w:noProof/>
                <w:webHidden/>
              </w:rPr>
              <w:t>10</w:t>
            </w:r>
            <w:r>
              <w:rPr>
                <w:noProof/>
                <w:webHidden/>
              </w:rPr>
              <w:fldChar w:fldCharType="end"/>
            </w:r>
          </w:hyperlink>
        </w:p>
        <w:p w14:paraId="640402EA" w14:textId="1A0FD9AB" w:rsidR="00DB478D" w:rsidRDefault="00DB478D">
          <w:pPr>
            <w:pStyle w:val="TOC1"/>
            <w:tabs>
              <w:tab w:val="right" w:leader="dot" w:pos="9016"/>
            </w:tabs>
            <w:rPr>
              <w:noProof/>
            </w:rPr>
          </w:pPr>
          <w:hyperlink w:anchor="_Toc212308960" w:history="1">
            <w:r w:rsidRPr="00C35303">
              <w:rPr>
                <w:rStyle w:val="Hyperlink"/>
                <w:noProof/>
              </w:rPr>
              <w:t>References</w:t>
            </w:r>
            <w:r>
              <w:rPr>
                <w:noProof/>
                <w:webHidden/>
              </w:rPr>
              <w:tab/>
            </w:r>
            <w:r>
              <w:rPr>
                <w:noProof/>
                <w:webHidden/>
              </w:rPr>
              <w:fldChar w:fldCharType="begin"/>
            </w:r>
            <w:r>
              <w:rPr>
                <w:noProof/>
                <w:webHidden/>
              </w:rPr>
              <w:instrText xml:space="preserve"> PAGEREF _Toc212308960 \h </w:instrText>
            </w:r>
            <w:r>
              <w:rPr>
                <w:noProof/>
                <w:webHidden/>
              </w:rPr>
            </w:r>
            <w:r>
              <w:rPr>
                <w:noProof/>
                <w:webHidden/>
              </w:rPr>
              <w:fldChar w:fldCharType="separate"/>
            </w:r>
            <w:r>
              <w:rPr>
                <w:noProof/>
                <w:webHidden/>
              </w:rPr>
              <w:t>11</w:t>
            </w:r>
            <w:r>
              <w:rPr>
                <w:noProof/>
                <w:webHidden/>
              </w:rPr>
              <w:fldChar w:fldCharType="end"/>
            </w:r>
          </w:hyperlink>
        </w:p>
        <w:p w14:paraId="36FE3D25" w14:textId="6D1E3ABA" w:rsidR="00DB478D" w:rsidRDefault="00DB478D">
          <w:r>
            <w:rPr>
              <w:b/>
              <w:bCs/>
            </w:rPr>
            <w:fldChar w:fldCharType="end"/>
          </w:r>
        </w:p>
      </w:sdtContent>
    </w:sdt>
    <w:p w14:paraId="2A711064" w14:textId="77777777" w:rsidR="00DB478D" w:rsidRDefault="00DB478D">
      <w:pPr>
        <w:spacing w:after="160" w:line="259" w:lineRule="auto"/>
        <w:jc w:val="left"/>
        <w:rPr>
          <w:b/>
          <w:bCs/>
          <w:lang w:val="en-US"/>
        </w:rPr>
      </w:pPr>
      <w:r>
        <w:rPr>
          <w:b/>
          <w:bCs/>
          <w:lang w:val="en-US"/>
        </w:rPr>
        <w:br w:type="page"/>
      </w:r>
    </w:p>
    <w:p w14:paraId="61D65389" w14:textId="77777777" w:rsidR="00305CEB" w:rsidRPr="00305CEB" w:rsidRDefault="00305CEB" w:rsidP="00305CEB">
      <w:pPr>
        <w:pStyle w:val="Heading1"/>
      </w:pPr>
      <w:bookmarkStart w:id="2" w:name="_Toc212308960"/>
      <w:r w:rsidRPr="00305CEB">
        <w:lastRenderedPageBreak/>
        <w:t>Introduction</w:t>
      </w:r>
    </w:p>
    <w:p w14:paraId="764F8934" w14:textId="0A500B12" w:rsidR="00305CEB" w:rsidRPr="00305CEB" w:rsidRDefault="00A92878" w:rsidP="00305CEB">
      <w:pPr>
        <w:rPr>
          <w:lang w:val="en-US"/>
        </w:rPr>
      </w:pPr>
      <w:r>
        <w:t xml:space="preserve">The United Kingdom has a complicated ethical and practical background of offering high-quality, compassionate, and effective support based on the principles of health and social care. Three basic values to be critically reflected </w:t>
      </w:r>
      <w:r w:rsidR="00C10BCE">
        <w:t xml:space="preserve">on </w:t>
      </w:r>
      <w:r>
        <w:t xml:space="preserve">in this report will include person-centred care, partnership working and ethics. This is to determine their theoretical applicability, how they can be used in a real-world scenario in the UK and have a significant self-reflection in the future and how they will be relevant to my future professional practice. In order to validate the discussion, the report will be based on relevant theories, such as the hierarchy of needs, and the relevant legislation, such as the Care Act 2014 (Care Act 2025) and the Health and Care Act 2022. Task 2 will involve the processing of these principles in practice using a case study of </w:t>
      </w:r>
      <w:r w:rsidR="00C10BCE">
        <w:t>Mrs</w:t>
      </w:r>
      <w:r>
        <w:t xml:space="preserve"> C, a widow who had a progressive life-limiting condition. A personal development plan will ultimately complete the reflection and detail how these principles will be applied towards making me a valuable and considerate health and social care practitioner</w:t>
      </w:r>
      <w:r w:rsidR="00305CEB" w:rsidRPr="00305CEB">
        <w:rPr>
          <w:lang w:val="en-US"/>
        </w:rPr>
        <w:t>.</w:t>
      </w:r>
    </w:p>
    <w:p w14:paraId="644F994F" w14:textId="77777777" w:rsidR="00305CEB" w:rsidRPr="00305CEB" w:rsidRDefault="00305CEB" w:rsidP="00305CEB">
      <w:pPr>
        <w:pStyle w:val="Heading1"/>
      </w:pPr>
      <w:r w:rsidRPr="00305CEB">
        <w:t>Task 1: Reflection on the Importance of Principles</w:t>
      </w:r>
    </w:p>
    <w:p w14:paraId="550DE2CF" w14:textId="51BF774F" w:rsidR="00A92878" w:rsidRDefault="00A92878" w:rsidP="00A92878">
      <w:r>
        <w:t xml:space="preserve">Person-centred care (PCC), partnership working, and ethics are not independent concepts, but the three are interconnected, and all three must ensure the respect of the ideal care delivery in the UK, its cooperation, and the presence of the moral dimension of the given care. They are connected with the quality, safety, and effectiveness of care, </w:t>
      </w:r>
      <w:r w:rsidR="00C10BCE">
        <w:t>which</w:t>
      </w:r>
      <w:r>
        <w:t xml:space="preserve"> is why they directly affect people, professionals, and the whole system.</w:t>
      </w:r>
    </w:p>
    <w:p w14:paraId="10C304CE" w14:textId="7B8D4916" w:rsidR="00A92878" w:rsidRDefault="00A92878" w:rsidP="00A92878">
      <w:r>
        <w:t>One of the approaches is person-centred care</w:t>
      </w:r>
      <w:r w:rsidR="00C10BCE">
        <w:t>,</w:t>
      </w:r>
      <w:r>
        <w:t xml:space="preserve"> where the person is treated as an active participant </w:t>
      </w:r>
      <w:r w:rsidR="00C10BCE">
        <w:t>in</w:t>
      </w:r>
      <w:r>
        <w:t xml:space="preserve"> their treatment. It is premised on the fact that care must be tailored according to individual needs, values, preferences, and situations (Ekman, Ebrahimi and Olaya Contreras, 2021). This is not a case of a standardised and </w:t>
      </w:r>
      <w:r w:rsidR="00C10BCE">
        <w:t>one-size-fits-all</w:t>
      </w:r>
      <w:r>
        <w:t xml:space="preserve"> model but one that respects the autonomy and dignity of the individual. The benefits are great; one </w:t>
      </w:r>
      <w:r w:rsidR="00C10BCE">
        <w:t>study</w:t>
      </w:r>
      <w:r>
        <w:t xml:space="preserve"> indicates that PCC leads to </w:t>
      </w:r>
      <w:r w:rsidR="00C10BCE">
        <w:t>an</w:t>
      </w:r>
      <w:r>
        <w:t xml:space="preserve"> elevated rate of patient satisfaction, </w:t>
      </w:r>
      <w:r w:rsidR="00C10BCE">
        <w:t>an</w:t>
      </w:r>
      <w:r>
        <w:t xml:space="preserve"> increase </w:t>
      </w:r>
      <w:r w:rsidR="00C10BCE">
        <w:t>in</w:t>
      </w:r>
      <w:r>
        <w:t xml:space="preserve"> compliance </w:t>
      </w:r>
      <w:r w:rsidR="00C10BCE">
        <w:t>with</w:t>
      </w:r>
      <w:r>
        <w:t xml:space="preserve"> the treatment, and </w:t>
      </w:r>
      <w:r w:rsidR="00C10BCE">
        <w:t xml:space="preserve">improved </w:t>
      </w:r>
      <w:r>
        <w:t xml:space="preserve">health outcomes (Canais and Nunes, 2024). To illustrate the point, in a PCC model using the Hierarchy of Needs (2019) by Maslow, it will ensure that the professional will address the lower levels of physiological and safety needs of a person (i.e., pain management, safe housing) first and then focus on the more complex psychological ones, such as self-esteem growth or the creation of social connections. The very notion of well-being is </w:t>
      </w:r>
      <w:r w:rsidR="00C10BCE">
        <w:t>institutionalised</w:t>
      </w:r>
      <w:r>
        <w:t xml:space="preserve"> </w:t>
      </w:r>
      <w:r>
        <w:lastRenderedPageBreak/>
        <w:t>in the Care Act 2014 (Care Act 2025)</w:t>
      </w:r>
      <w:r w:rsidR="00C10BCE">
        <w:t>,</w:t>
      </w:r>
      <w:r>
        <w:t xml:space="preserve"> </w:t>
      </w:r>
      <w:r w:rsidR="00C10BCE">
        <w:t>which</w:t>
      </w:r>
      <w:r>
        <w:t xml:space="preserve"> legally </w:t>
      </w:r>
      <w:r w:rsidR="00C10BCE">
        <w:t>provides</w:t>
      </w:r>
      <w:r>
        <w:t xml:space="preserve"> the notion of a holistic perspective and </w:t>
      </w:r>
      <w:r w:rsidR="00C10BCE">
        <w:t>demands</w:t>
      </w:r>
      <w:r>
        <w:t xml:space="preserve"> personal involvement in the process of outlining the care and support.</w:t>
      </w:r>
    </w:p>
    <w:p w14:paraId="249C1201" w14:textId="164DCC0B" w:rsidR="00A92878" w:rsidRDefault="00A92878" w:rsidP="00A92878">
      <w:r>
        <w:t>Partnership working is the collaborative labour of various agencies, professionals, and service users that offers integrated care. The world of complex health and social needs cannot be inhabited by single organisations. Action-based teamwork breaks down silos that are present in the profession, pools in skills and resources, and provides a clean care pathway to people (Aveyard, 2023). The introduction of the Integrated Care Systems (ICSs) as stipulated by the Health and Care Act (2022) can be considered a good example of the operationalisation of this principle on the system level. Such benefits are fewer readmissions in the hospital, improved resource utilisation, and a less fragmented experience by the service user. However, it can be prevented by other problems such as IT systems incompatibility, professional cultural disparities, and financial constraints (The King’s Fund, 2021).</w:t>
      </w:r>
    </w:p>
    <w:p w14:paraId="126B6890" w14:textId="129BE8F1" w:rsidR="00A92878" w:rsidRDefault="00A92878" w:rsidP="00A92878">
      <w:r>
        <w:t xml:space="preserve">Ethics will provide a </w:t>
      </w:r>
      <w:r w:rsidR="00C10BCE">
        <w:t>decision-making</w:t>
      </w:r>
      <w:r>
        <w:t xml:space="preserve"> tool </w:t>
      </w:r>
      <w:r w:rsidR="00C10BCE">
        <w:t>for</w:t>
      </w:r>
      <w:r>
        <w:t xml:space="preserve"> health and social care. </w:t>
      </w:r>
      <w:r w:rsidR="00C10BCE">
        <w:t>Four principles apply</w:t>
      </w:r>
      <w:r>
        <w:t xml:space="preserve"> to biomedical ethics, i.e., autonomy, beneficence, non-maleficence, and justice, which may serve as a decent instrument to apply in a complex situation (Beauchamp and Childress, 2019). The other principle of PCC is autonomy, which is the right of an individual to make his or her own decisions. Beneficence (doing good) and non-maleficence (avoiding harm) are the motivations of clinical interventions and protective procedures. Justice ensures equitable distribution of resources and non-discriminatory treatment</w:t>
      </w:r>
      <w:r w:rsidR="00C10BCE">
        <w:t>,</w:t>
      </w:r>
      <w:r>
        <w:t xml:space="preserve"> which has been reinforced by the Equality Act (2010) (Lui and Lamb, 2018). The rules and regulations of professional bodies, including the Health and Care Professions Council (Fovargue and Neal, 2021)</w:t>
      </w:r>
      <w:r w:rsidR="00C10BCE">
        <w:t>,</w:t>
      </w:r>
      <w:r>
        <w:t xml:space="preserve"> entrench the occurrence of these values, and thus, professionals are liable </w:t>
      </w:r>
      <w:r w:rsidR="00C10BCE">
        <w:t>for</w:t>
      </w:r>
      <w:r>
        <w:t xml:space="preserve"> their activities.</w:t>
      </w:r>
    </w:p>
    <w:p w14:paraId="0789CF75" w14:textId="317126FE" w:rsidR="00305CEB" w:rsidRPr="00305CEB" w:rsidRDefault="00A92878" w:rsidP="00A92878">
      <w:pPr>
        <w:rPr>
          <w:lang w:val="en-US"/>
        </w:rPr>
      </w:pPr>
      <w:r>
        <w:t xml:space="preserve">These three principles are </w:t>
      </w:r>
      <w:r w:rsidR="00C10BCE">
        <w:t>complementary</w:t>
      </w:r>
      <w:r>
        <w:t xml:space="preserve"> to one another. The person-centred care assists in defining what and who is care, partnership working defines how, and ethics defines why</w:t>
      </w:r>
      <w:r w:rsidR="00C10BCE">
        <w:t>,</w:t>
      </w:r>
      <w:r>
        <w:t xml:space="preserve"> so that whatever is done should be firmly based on a solid moral foundation. The two play a crucial role in promoting </w:t>
      </w:r>
      <w:r w:rsidR="00C10BCE">
        <w:t xml:space="preserve">the </w:t>
      </w:r>
      <w:r>
        <w:t>quality and integrity of the UK health and social care system</w:t>
      </w:r>
      <w:r w:rsidR="00305CEB" w:rsidRPr="00305CEB">
        <w:rPr>
          <w:lang w:val="en-US"/>
        </w:rPr>
        <w:t>.</w:t>
      </w:r>
    </w:p>
    <w:p w14:paraId="4CE87366" w14:textId="77777777" w:rsidR="00305CEB" w:rsidRPr="00305CEB" w:rsidRDefault="00305CEB" w:rsidP="00305CEB">
      <w:pPr>
        <w:pStyle w:val="Heading1"/>
      </w:pPr>
      <w:r w:rsidRPr="00305CEB">
        <w:t>Task 2: Practical Examples of Concepts in Practice</w:t>
      </w:r>
    </w:p>
    <w:p w14:paraId="0C9FFD3B" w14:textId="2B5621B5" w:rsidR="00305CEB" w:rsidRPr="00305CEB" w:rsidRDefault="00A81B00" w:rsidP="00305CEB">
      <w:pPr>
        <w:rPr>
          <w:lang w:val="en-US"/>
        </w:rPr>
      </w:pPr>
      <w:r>
        <w:t xml:space="preserve">In the case of </w:t>
      </w:r>
      <w:r w:rsidR="00C10BCE">
        <w:t>Mrs</w:t>
      </w:r>
      <w:r>
        <w:t xml:space="preserve"> C, who is a widow with progressive COPD and terminal cancer, a very powerful and real-life example of the operationalisation of the key tenets of health and social care as found in the UK system in the provision of truly holistic and dignified end-of-life care is presented</w:t>
      </w:r>
      <w:r w:rsidR="00305CEB" w:rsidRPr="00305CEB">
        <w:rPr>
          <w:lang w:val="en-US"/>
        </w:rPr>
        <w:t>.</w:t>
      </w:r>
    </w:p>
    <w:p w14:paraId="70C2667F" w14:textId="45C871C3" w:rsidR="00305CEB" w:rsidRPr="00305CEB" w:rsidRDefault="00305CEB" w:rsidP="00305CEB">
      <w:pPr>
        <w:rPr>
          <w:lang w:val="en-US"/>
        </w:rPr>
      </w:pPr>
      <w:r w:rsidRPr="00305CEB">
        <w:rPr>
          <w:b/>
          <w:bCs/>
          <w:lang w:val="en-US"/>
        </w:rPr>
        <w:lastRenderedPageBreak/>
        <w:t>Application of Person-Centred Care</w:t>
      </w:r>
    </w:p>
    <w:p w14:paraId="6CE2FA77" w14:textId="7BEA223E" w:rsidR="00305CEB" w:rsidRPr="00305CEB" w:rsidRDefault="00C10BCE" w:rsidP="00305CEB">
      <w:pPr>
        <w:rPr>
          <w:lang w:val="en-US"/>
        </w:rPr>
      </w:pPr>
      <w:r>
        <w:t>Mrs</w:t>
      </w:r>
      <w:r w:rsidR="00A81B00">
        <w:t xml:space="preserve"> </w:t>
      </w:r>
      <w:r>
        <w:t>C's</w:t>
      </w:r>
      <w:r w:rsidR="00A81B00">
        <w:t xml:space="preserve"> experience represents a person-centred paradigm of care. The method was not delimited by her diagnoses only, but rather by what matters most to her. Her care plan was made to meet her as a holistic person</w:t>
      </w:r>
      <w:r>
        <w:t>,</w:t>
      </w:r>
      <w:r w:rsidR="00A81B00">
        <w:t xml:space="preserve"> as her physical, psychological, emotional, social, and spiritual needs were holistically assessed. This is absolutely in line with the essence of PCC, which focuses on individualised care and recognition of a patient of their strengths and priorities (Ekman, Ebrahimi and Olaya Contreras, 2021). Indicatively, aiding her to create a will and talk about the funeral arrangements directly deal with psychological and spiritual health, which issues of self-actualisation and esteem in </w:t>
      </w:r>
      <w:r>
        <w:t>Maslow's</w:t>
      </w:r>
      <w:r w:rsidR="00A81B00">
        <w:t xml:space="preserve"> hierarchy (Maslow, 2019) are essential to the sense of peace and closure. The instance of having one use a Personal Health Budget (PHB) to hire a trusted neighbour instead of an unknown agency carer is a radical instance of care being developed around her views of dignity, control, and social connectedness</w:t>
      </w:r>
      <w:r w:rsidR="00305CEB" w:rsidRPr="00305CEB">
        <w:rPr>
          <w:lang w:val="en-US"/>
        </w:rPr>
        <w:t>.</w:t>
      </w:r>
    </w:p>
    <w:p w14:paraId="5AAF8976" w14:textId="77777777" w:rsidR="00305CEB" w:rsidRPr="00305CEB" w:rsidRDefault="00305CEB" w:rsidP="00305CEB">
      <w:pPr>
        <w:rPr>
          <w:lang w:val="en-US"/>
        </w:rPr>
      </w:pPr>
      <w:r w:rsidRPr="00305CEB">
        <w:rPr>
          <w:b/>
          <w:bCs/>
          <w:lang w:val="en-US"/>
        </w:rPr>
        <w:t>Application of Partnership Working</w:t>
      </w:r>
    </w:p>
    <w:p w14:paraId="1B3952CE" w14:textId="0C17CD29" w:rsidR="00305CEB" w:rsidRPr="00305CEB" w:rsidRDefault="00A81B00" w:rsidP="00305CEB">
      <w:pPr>
        <w:rPr>
          <w:lang w:val="en-US"/>
        </w:rPr>
      </w:pPr>
      <w:r>
        <w:t xml:space="preserve">The care that </w:t>
      </w:r>
      <w:r w:rsidR="00C10BCE">
        <w:t>Mrs</w:t>
      </w:r>
      <w:r>
        <w:t xml:space="preserve"> C needed was an expansive and smooth collaboration in various fields. The main team members included her GP, community nurses, hospital specialists (respiratory, oncology, palliative care), social prescribers and the ambulance service. Such multi-disciplinary teamwork was critical in developing and distributing her own care and support plan, making sure that all the providers were in line with her will. The mention of a social prescribing program was useful since it collaborated clinical services with surrounding resources (volunteers, lunch clubs, and technology training) to overcome her social isolation. This unified model is the direct reflection of the objectives of the Health and Care Act (2022)</w:t>
      </w:r>
      <w:r w:rsidR="00C10BCE">
        <w:t>,</w:t>
      </w:r>
      <w:r>
        <w:t xml:space="preserve"> where the boundaries between health, social care, and the voluntary sector are eliminated to offer a wrap-around model of support to sustain her at home (The King’s Fund, 2021)</w:t>
      </w:r>
      <w:r w:rsidR="00305CEB" w:rsidRPr="00305CEB">
        <w:rPr>
          <w:lang w:val="en-US"/>
        </w:rPr>
        <w:t>.</w:t>
      </w:r>
    </w:p>
    <w:p w14:paraId="012A61A3" w14:textId="77777777" w:rsidR="00305CEB" w:rsidRPr="00305CEB" w:rsidRDefault="00305CEB" w:rsidP="00305CEB">
      <w:pPr>
        <w:rPr>
          <w:lang w:val="en-US"/>
        </w:rPr>
      </w:pPr>
      <w:r w:rsidRPr="00305CEB">
        <w:rPr>
          <w:b/>
          <w:bCs/>
          <w:lang w:val="en-US"/>
        </w:rPr>
        <w:t>Application of Ethics</w:t>
      </w:r>
    </w:p>
    <w:p w14:paraId="65B7E53E" w14:textId="1B5BF783" w:rsidR="00A81B00" w:rsidRDefault="00C10BCE" w:rsidP="00A81B00">
      <w:r>
        <w:t>Mrs</w:t>
      </w:r>
      <w:r w:rsidR="00A81B00">
        <w:t xml:space="preserve"> C was approached with a great ethical framework in every aspect of her care. Her independence was strictly followed by collective choice on matters of paramount importance, including both palliative treatment choice and resuscitation choice. This supports the legal and ethical norms of informed consent. Beneficence (doing good) was evidenced with the proactive management of the symptoms and through </w:t>
      </w:r>
      <w:r>
        <w:t xml:space="preserve">the </w:t>
      </w:r>
      <w:r w:rsidR="00A81B00">
        <w:t>rallying of services to enhance her quality of life. Non-maleficence (</w:t>
      </w:r>
      <w:r>
        <w:t>not harm</w:t>
      </w:r>
      <w:r w:rsidR="00A81B00">
        <w:t xml:space="preserve">) was also taken into account through attentive discussion of </w:t>
      </w:r>
      <w:r w:rsidR="00A81B00">
        <w:lastRenderedPageBreak/>
        <w:t>the burdens and benefits of the interventions</w:t>
      </w:r>
      <w:r>
        <w:t>,</w:t>
      </w:r>
      <w:r w:rsidR="00A81B00">
        <w:t xml:space="preserve"> i.e. hospital admissions to avoid unwarranted distress. Lastly, there is the aspect of fairness in accessing resources such as a PHB and social prescribing</w:t>
      </w:r>
      <w:r>
        <w:t>,</w:t>
      </w:r>
      <w:r w:rsidR="00A81B00">
        <w:t xml:space="preserve"> which allowed her to obtain care in accordance with her unique needs and situations, which is encouraged by the Care Act 2014 (Care Act 2025) and the Equality Act 2010 (Lui and Lamb, 2018).</w:t>
      </w:r>
    </w:p>
    <w:p w14:paraId="0B7575EE" w14:textId="5B60FD70" w:rsidR="00305CEB" w:rsidRPr="00305CEB" w:rsidRDefault="00A81B00" w:rsidP="00A81B00">
      <w:pPr>
        <w:rPr>
          <w:lang w:val="en-US"/>
        </w:rPr>
      </w:pPr>
      <w:r>
        <w:t xml:space="preserve">The case of </w:t>
      </w:r>
      <w:r w:rsidR="00C10BCE">
        <w:t>Mrs</w:t>
      </w:r>
      <w:r>
        <w:t xml:space="preserve"> C shows that when PCC, partnership working</w:t>
      </w:r>
      <w:r w:rsidR="00C10BCE">
        <w:t>,</w:t>
      </w:r>
      <w:r>
        <w:t xml:space="preserve"> and ethics are used synergistically, they enable people with </w:t>
      </w:r>
      <w:r w:rsidR="00C10BCE">
        <w:t>life-limiting</w:t>
      </w:r>
      <w:r>
        <w:t xml:space="preserve"> conditions to have control, dignity</w:t>
      </w:r>
      <w:r w:rsidR="00C10BCE">
        <w:t>,</w:t>
      </w:r>
      <w:r>
        <w:t xml:space="preserve"> and </w:t>
      </w:r>
      <w:r w:rsidR="00C10BCE">
        <w:t xml:space="preserve">a </w:t>
      </w:r>
      <w:r>
        <w:t>high quality of life in their own definitions</w:t>
      </w:r>
      <w:r w:rsidR="00C10BCE">
        <w:t>,</w:t>
      </w:r>
      <w:r>
        <w:t xml:space="preserve"> as well as ensure that there is a more efficient and humane </w:t>
      </w:r>
      <w:r w:rsidR="00C10BCE">
        <w:t>utilisation</w:t>
      </w:r>
      <w:r>
        <w:t xml:space="preserve"> of the system resources</w:t>
      </w:r>
      <w:r w:rsidR="00305CEB" w:rsidRPr="00305CEB">
        <w:rPr>
          <w:lang w:val="en-US"/>
        </w:rPr>
        <w:t>.</w:t>
      </w:r>
    </w:p>
    <w:p w14:paraId="3439D306" w14:textId="77777777" w:rsidR="00305CEB" w:rsidRPr="00305CEB" w:rsidRDefault="00305CEB" w:rsidP="00305CEB">
      <w:pPr>
        <w:pStyle w:val="Heading1"/>
      </w:pPr>
      <w:r w:rsidRPr="00305CEB">
        <w:t>Task 3: Self-Reflection as a Health and Social Care Professional</w:t>
      </w:r>
    </w:p>
    <w:p w14:paraId="2961636D" w14:textId="162A532C" w:rsidR="00305CEB" w:rsidRPr="00305CEB" w:rsidRDefault="00A81B00" w:rsidP="00305CEB">
      <w:pPr>
        <w:rPr>
          <w:lang w:val="en-US"/>
        </w:rPr>
      </w:pPr>
      <w:r>
        <w:t xml:space="preserve">To complete this assignment, I will resort to the first-person reflection on the way the concepts of person-centred care, collaborative working, and ethics will influence my practice in the future. I will structure this reflection </w:t>
      </w:r>
      <w:r w:rsidR="00C10BCE">
        <w:t>based on</w:t>
      </w:r>
      <w:r>
        <w:t xml:space="preserve"> the ERA cycle (Experience, Reflection, Action), which is the model that assists in learning powerfully about the actual and anticipated experience (Johns, 2025)</w:t>
      </w:r>
      <w:r w:rsidR="00305CEB" w:rsidRPr="00305CEB">
        <w:rPr>
          <w:lang w:val="en-US"/>
        </w:rPr>
        <w:t>.</w:t>
      </w:r>
    </w:p>
    <w:p w14:paraId="183002B3" w14:textId="49AA629A" w:rsidR="00305CEB" w:rsidRPr="00305CEB" w:rsidRDefault="00305CEB" w:rsidP="00305CEB">
      <w:pPr>
        <w:rPr>
          <w:lang w:val="en-US"/>
        </w:rPr>
      </w:pPr>
      <w:r w:rsidRPr="00305CEB">
        <w:rPr>
          <w:b/>
          <w:bCs/>
          <w:lang w:val="en-US"/>
        </w:rPr>
        <w:t>Experience</w:t>
      </w:r>
      <w:r w:rsidRPr="00305CEB">
        <w:rPr>
          <w:lang w:val="en-US"/>
        </w:rPr>
        <w:br/>
      </w:r>
      <w:r w:rsidR="00A81B00">
        <w:t xml:space="preserve">Though I still have no hands-on experience in the field yet, my perception has been shaped both through the studies that I have obtained both at school and through the case studies that were reviewed during this module such as the one of Mrs. C. One of the common scenarios that I can imagine myself in is taking care of a person, whom I will call David, who has recently received a diagnosis of a progressive neurological disorder. He is grappling with the fact that he has lost his independence and is reluctant to </w:t>
      </w:r>
      <w:r w:rsidR="00C10BCE">
        <w:t>utilise</w:t>
      </w:r>
      <w:r w:rsidR="00A81B00">
        <w:t xml:space="preserve"> the services of support since he believes it will deprive him </w:t>
      </w:r>
      <w:r w:rsidR="00C10BCE">
        <w:t xml:space="preserve">of </w:t>
      </w:r>
      <w:r w:rsidR="00A81B00">
        <w:t xml:space="preserve">his independence. It would be my responsibility to </w:t>
      </w:r>
      <w:r w:rsidR="00C10BCE">
        <w:t>help</w:t>
      </w:r>
      <w:r w:rsidR="00A81B00">
        <w:t xml:space="preserve"> him cope with his new life</w:t>
      </w:r>
      <w:r w:rsidRPr="00305CEB">
        <w:rPr>
          <w:lang w:val="en-US"/>
        </w:rPr>
        <w:t>.</w:t>
      </w:r>
    </w:p>
    <w:p w14:paraId="15138092" w14:textId="509B3326" w:rsidR="00A81B00" w:rsidRDefault="00305CEB" w:rsidP="00A81B00">
      <w:r w:rsidRPr="00305CEB">
        <w:rPr>
          <w:b/>
          <w:bCs/>
          <w:lang w:val="en-US"/>
        </w:rPr>
        <w:t>Reflection</w:t>
      </w:r>
      <w:r w:rsidRPr="00305CEB">
        <w:rPr>
          <w:lang w:val="en-US"/>
        </w:rPr>
        <w:br/>
      </w:r>
      <w:r w:rsidR="00A81B00">
        <w:t xml:space="preserve">In light of this scenario, I may first want to get David hooked into practical services so that he is alright. Nevertheless, having learned the story of </w:t>
      </w:r>
      <w:r w:rsidR="00C10BCE">
        <w:t>Mrs</w:t>
      </w:r>
      <w:r w:rsidR="00A81B00">
        <w:t xml:space="preserve"> C, I </w:t>
      </w:r>
      <w:r w:rsidR="00C10BCE">
        <w:t>realised</w:t>
      </w:r>
      <w:r w:rsidR="00A81B00">
        <w:t xml:space="preserve"> that such </w:t>
      </w:r>
      <w:r w:rsidR="00C10BCE">
        <w:t xml:space="preserve">a </w:t>
      </w:r>
      <w:r w:rsidR="00A81B00">
        <w:t xml:space="preserve">clinical, problem-focused approach might </w:t>
      </w:r>
      <w:r w:rsidR="00C10BCE">
        <w:t>not seem</w:t>
      </w:r>
      <w:r w:rsidR="00A81B00">
        <w:t xml:space="preserve"> very concerned about his emotional distress. I ought to initially seek to know what he is afraid of and what independence is to him. What are his </w:t>
      </w:r>
      <w:r w:rsidR="00A81B00">
        <w:lastRenderedPageBreak/>
        <w:t>core values? What does he find meaningful in his life? It is a person-centred approach that focuses outside the diagnosis but on the person (Ekman, Ebrahimi and Olaya Contreras, 2021).</w:t>
      </w:r>
    </w:p>
    <w:p w14:paraId="28381ABC" w14:textId="3DF04E08" w:rsidR="00A81B00" w:rsidRDefault="00A81B00" w:rsidP="00A81B00">
      <w:r>
        <w:t xml:space="preserve">In relation to partnership working, I understand that I would have to work with a variety of partners to effectively support David, and these partners may include not only clinical professionals, such as his neurologist and an occupational therapist, but </w:t>
      </w:r>
      <w:r w:rsidR="00C10BCE">
        <w:t xml:space="preserve">also </w:t>
      </w:r>
      <w:r>
        <w:t>community-based support, including local charities that can offer support to the patient, as well as his family. One of my reflections is that this may be my weakness: the lack of experience in mediating these relationships and communicating with a potentially unwilling person and a complex system of services.</w:t>
      </w:r>
    </w:p>
    <w:p w14:paraId="36440B12" w14:textId="08A8EC14" w:rsidR="00305CEB" w:rsidRPr="00305CEB" w:rsidRDefault="00A81B00" w:rsidP="00A81B00">
      <w:pPr>
        <w:rPr>
          <w:lang w:val="en-US"/>
        </w:rPr>
      </w:pPr>
      <w:r>
        <w:t xml:space="preserve">The moral dilemma in this case is obvious: beneficence (to guarantee his safety and support) and autonomy (to follow the right of his choices that I might consider hazardous) are in conflict. At the </w:t>
      </w:r>
      <w:r w:rsidR="00C10BCE">
        <w:t>centre</w:t>
      </w:r>
      <w:r>
        <w:t xml:space="preserve"> of this is the Mental Capacity Act 2005 (Harding, 2018), where I must assume that David has capacity and his decisions should be upheld, despite them being risky to some degree. My task is to assist his decision-making ability through </w:t>
      </w:r>
      <w:r w:rsidR="00C10BCE">
        <w:t>presenting</w:t>
      </w:r>
      <w:r>
        <w:t xml:space="preserve"> information and exploring innovative solutions, such as the ones provided in the PHB of </w:t>
      </w:r>
      <w:r w:rsidR="00C10BCE">
        <w:t>Mrs</w:t>
      </w:r>
      <w:r>
        <w:t xml:space="preserve"> C, that would meet his values</w:t>
      </w:r>
      <w:r w:rsidR="00305CEB" w:rsidRPr="00305CEB">
        <w:rPr>
          <w:lang w:val="en-US"/>
        </w:rPr>
        <w:t>.</w:t>
      </w:r>
    </w:p>
    <w:p w14:paraId="6B69751F" w14:textId="77777777" w:rsidR="00305CEB" w:rsidRPr="00305CEB" w:rsidRDefault="00305CEB" w:rsidP="00305CEB">
      <w:pPr>
        <w:rPr>
          <w:lang w:val="en-US"/>
        </w:rPr>
      </w:pPr>
      <w:r w:rsidRPr="00305CEB">
        <w:rPr>
          <w:lang w:val="en-US"/>
        </w:rPr>
        <w:t>This reflection has highlighted several of my current strengths and areas for development, which are summarised in the table below.</w:t>
      </w:r>
    </w:p>
    <w:p w14:paraId="47BF2052" w14:textId="77777777" w:rsidR="00305CEB" w:rsidRPr="00305CEB" w:rsidRDefault="00305CEB" w:rsidP="00305CEB">
      <w:pPr>
        <w:rPr>
          <w:lang w:val="en-US"/>
        </w:rPr>
      </w:pPr>
      <w:r w:rsidRPr="00305CEB">
        <w:rPr>
          <w:b/>
          <w:bCs/>
          <w:lang w:val="en-US"/>
        </w:rPr>
        <w:t>Table 1: Self-Reflection on Skills and Development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59"/>
        <w:gridCol w:w="3146"/>
        <w:gridCol w:w="3911"/>
      </w:tblGrid>
      <w:tr w:rsidR="00305CEB" w:rsidRPr="00305CEB" w14:paraId="3203EADF" w14:textId="77777777" w:rsidTr="00305CEB">
        <w:trPr>
          <w:tblHeader/>
        </w:trPr>
        <w:tc>
          <w:tcPr>
            <w:tcW w:w="0" w:type="auto"/>
            <w:shd w:val="clear" w:color="auto" w:fill="A6A6A6" w:themeFill="background1" w:themeFillShade="A6"/>
            <w:tcMar>
              <w:top w:w="150" w:type="dxa"/>
              <w:left w:w="0" w:type="dxa"/>
              <w:bottom w:w="150" w:type="dxa"/>
              <w:right w:w="240" w:type="dxa"/>
            </w:tcMar>
            <w:vAlign w:val="center"/>
            <w:hideMark/>
          </w:tcPr>
          <w:p w14:paraId="0A47BF96" w14:textId="77777777" w:rsidR="00305CEB" w:rsidRPr="00305CEB" w:rsidRDefault="00305CEB" w:rsidP="00305CEB">
            <w:pPr>
              <w:jc w:val="center"/>
              <w:rPr>
                <w:lang w:val="en-US"/>
              </w:rPr>
            </w:pPr>
            <w:r w:rsidRPr="00305CEB">
              <w:rPr>
                <w:b/>
                <w:bCs/>
                <w:lang w:val="en-US"/>
              </w:rPr>
              <w:t>Aspect of Practice</w:t>
            </w:r>
          </w:p>
        </w:tc>
        <w:tc>
          <w:tcPr>
            <w:tcW w:w="0" w:type="auto"/>
            <w:shd w:val="clear" w:color="auto" w:fill="A6A6A6" w:themeFill="background1" w:themeFillShade="A6"/>
            <w:tcMar>
              <w:top w:w="150" w:type="dxa"/>
              <w:left w:w="240" w:type="dxa"/>
              <w:bottom w:w="150" w:type="dxa"/>
              <w:right w:w="240" w:type="dxa"/>
            </w:tcMar>
            <w:vAlign w:val="center"/>
            <w:hideMark/>
          </w:tcPr>
          <w:p w14:paraId="7D8D9024" w14:textId="77777777" w:rsidR="00305CEB" w:rsidRPr="00305CEB" w:rsidRDefault="00305CEB" w:rsidP="00305CEB">
            <w:pPr>
              <w:jc w:val="center"/>
              <w:rPr>
                <w:lang w:val="en-US"/>
              </w:rPr>
            </w:pPr>
            <w:r w:rsidRPr="00305CEB">
              <w:rPr>
                <w:b/>
                <w:bCs/>
                <w:lang w:val="en-US"/>
              </w:rPr>
              <w:t>Current Strengths</w:t>
            </w:r>
          </w:p>
        </w:tc>
        <w:tc>
          <w:tcPr>
            <w:tcW w:w="0" w:type="auto"/>
            <w:shd w:val="clear" w:color="auto" w:fill="A6A6A6" w:themeFill="background1" w:themeFillShade="A6"/>
            <w:tcMar>
              <w:top w:w="150" w:type="dxa"/>
              <w:left w:w="240" w:type="dxa"/>
              <w:bottom w:w="150" w:type="dxa"/>
              <w:right w:w="240" w:type="dxa"/>
            </w:tcMar>
            <w:vAlign w:val="center"/>
            <w:hideMark/>
          </w:tcPr>
          <w:p w14:paraId="3ADFAD30" w14:textId="77777777" w:rsidR="00305CEB" w:rsidRPr="00305CEB" w:rsidRDefault="00305CEB" w:rsidP="00305CEB">
            <w:pPr>
              <w:jc w:val="center"/>
              <w:rPr>
                <w:lang w:val="en-US"/>
              </w:rPr>
            </w:pPr>
            <w:r w:rsidRPr="00305CEB">
              <w:rPr>
                <w:b/>
                <w:bCs/>
                <w:lang w:val="en-US"/>
              </w:rPr>
              <w:t>Areas for Improvement</w:t>
            </w:r>
          </w:p>
        </w:tc>
      </w:tr>
      <w:tr w:rsidR="00305CEB" w:rsidRPr="00305CEB" w14:paraId="22044623" w14:textId="77777777" w:rsidTr="00305CEB">
        <w:tc>
          <w:tcPr>
            <w:tcW w:w="0" w:type="auto"/>
            <w:tcMar>
              <w:top w:w="150" w:type="dxa"/>
              <w:left w:w="0" w:type="dxa"/>
              <w:bottom w:w="150" w:type="dxa"/>
              <w:right w:w="240" w:type="dxa"/>
            </w:tcMar>
            <w:vAlign w:val="center"/>
            <w:hideMark/>
          </w:tcPr>
          <w:p w14:paraId="5B563E15" w14:textId="77777777" w:rsidR="00305CEB" w:rsidRPr="00305CEB" w:rsidRDefault="00305CEB" w:rsidP="00305CEB">
            <w:pPr>
              <w:rPr>
                <w:lang w:val="en-US"/>
              </w:rPr>
            </w:pPr>
            <w:r w:rsidRPr="00305CEB">
              <w:rPr>
                <w:b/>
                <w:bCs/>
                <w:lang w:val="en-US"/>
              </w:rPr>
              <w:t>Person-Centred Care</w:t>
            </w:r>
          </w:p>
        </w:tc>
        <w:tc>
          <w:tcPr>
            <w:tcW w:w="0" w:type="auto"/>
            <w:tcMar>
              <w:top w:w="150" w:type="dxa"/>
              <w:left w:w="240" w:type="dxa"/>
              <w:bottom w:w="150" w:type="dxa"/>
              <w:right w:w="240" w:type="dxa"/>
            </w:tcMar>
            <w:vAlign w:val="center"/>
            <w:hideMark/>
          </w:tcPr>
          <w:p w14:paraId="16989A00" w14:textId="77777777" w:rsidR="00305CEB" w:rsidRPr="00305CEB" w:rsidRDefault="00305CEB" w:rsidP="00305CEB">
            <w:pPr>
              <w:rPr>
                <w:lang w:val="en-US"/>
              </w:rPr>
            </w:pPr>
            <w:r w:rsidRPr="00305CEB">
              <w:rPr>
                <w:lang w:val="en-US"/>
              </w:rPr>
              <w:t>Strong theoretical understanding of PCC models and the importance of empathy, dignity, and respect.</w:t>
            </w:r>
          </w:p>
        </w:tc>
        <w:tc>
          <w:tcPr>
            <w:tcW w:w="0" w:type="auto"/>
            <w:tcMar>
              <w:top w:w="150" w:type="dxa"/>
              <w:left w:w="240" w:type="dxa"/>
              <w:bottom w:w="150" w:type="dxa"/>
              <w:right w:w="0" w:type="dxa"/>
            </w:tcMar>
            <w:vAlign w:val="center"/>
            <w:hideMark/>
          </w:tcPr>
          <w:p w14:paraId="7758BAD4" w14:textId="326768B0" w:rsidR="00305CEB" w:rsidRPr="00305CEB" w:rsidRDefault="00305CEB" w:rsidP="00305CEB">
            <w:pPr>
              <w:rPr>
                <w:lang w:val="en-US"/>
              </w:rPr>
            </w:pPr>
            <w:r w:rsidRPr="00305CEB">
              <w:rPr>
                <w:lang w:val="en-US"/>
              </w:rPr>
              <w:t xml:space="preserve">Developing </w:t>
            </w:r>
            <w:r w:rsidR="00A81B00">
              <w:rPr>
                <w:lang w:val="en-US"/>
              </w:rPr>
              <w:t>skills</w:t>
            </w:r>
            <w:r w:rsidRPr="00305CEB">
              <w:rPr>
                <w:lang w:val="en-US"/>
              </w:rPr>
              <w:t xml:space="preserve"> in facilitating difficult conversations about future care planning and eliciting "what matters most" to individuals facing progressive conditions.</w:t>
            </w:r>
          </w:p>
        </w:tc>
      </w:tr>
      <w:tr w:rsidR="00305CEB" w:rsidRPr="00305CEB" w14:paraId="04038B7E" w14:textId="77777777" w:rsidTr="00305CEB">
        <w:tc>
          <w:tcPr>
            <w:tcW w:w="0" w:type="auto"/>
            <w:tcMar>
              <w:top w:w="150" w:type="dxa"/>
              <w:left w:w="0" w:type="dxa"/>
              <w:bottom w:w="150" w:type="dxa"/>
              <w:right w:w="240" w:type="dxa"/>
            </w:tcMar>
            <w:vAlign w:val="center"/>
            <w:hideMark/>
          </w:tcPr>
          <w:p w14:paraId="19036E94" w14:textId="77777777" w:rsidR="00305CEB" w:rsidRPr="00305CEB" w:rsidRDefault="00305CEB" w:rsidP="00305CEB">
            <w:pPr>
              <w:rPr>
                <w:lang w:val="en-US"/>
              </w:rPr>
            </w:pPr>
            <w:r w:rsidRPr="00305CEB">
              <w:rPr>
                <w:b/>
                <w:bCs/>
                <w:lang w:val="en-US"/>
              </w:rPr>
              <w:lastRenderedPageBreak/>
              <w:t>Partnership Working</w:t>
            </w:r>
          </w:p>
        </w:tc>
        <w:tc>
          <w:tcPr>
            <w:tcW w:w="0" w:type="auto"/>
            <w:tcMar>
              <w:top w:w="150" w:type="dxa"/>
              <w:left w:w="240" w:type="dxa"/>
              <w:bottom w:w="150" w:type="dxa"/>
              <w:right w:w="240" w:type="dxa"/>
            </w:tcMar>
            <w:vAlign w:val="center"/>
            <w:hideMark/>
          </w:tcPr>
          <w:p w14:paraId="33B5F0A5" w14:textId="77777777" w:rsidR="00305CEB" w:rsidRPr="00305CEB" w:rsidRDefault="00305CEB" w:rsidP="00305CEB">
            <w:pPr>
              <w:rPr>
                <w:lang w:val="en-US"/>
              </w:rPr>
            </w:pPr>
            <w:r w:rsidRPr="00305CEB">
              <w:rPr>
                <w:lang w:val="en-US"/>
              </w:rPr>
              <w:t>Understanding of the structure of ICSs and the different roles within a multi-disciplinary team.</w:t>
            </w:r>
          </w:p>
        </w:tc>
        <w:tc>
          <w:tcPr>
            <w:tcW w:w="0" w:type="auto"/>
            <w:tcMar>
              <w:top w:w="150" w:type="dxa"/>
              <w:left w:w="240" w:type="dxa"/>
              <w:bottom w:w="150" w:type="dxa"/>
              <w:right w:w="0" w:type="dxa"/>
            </w:tcMar>
            <w:vAlign w:val="center"/>
            <w:hideMark/>
          </w:tcPr>
          <w:p w14:paraId="65DDAB5A" w14:textId="77777777" w:rsidR="00305CEB" w:rsidRPr="00305CEB" w:rsidRDefault="00305CEB" w:rsidP="00305CEB">
            <w:pPr>
              <w:rPr>
                <w:lang w:val="en-US"/>
              </w:rPr>
            </w:pPr>
            <w:r w:rsidRPr="00305CEB">
              <w:rPr>
                <w:lang w:val="en-US"/>
              </w:rPr>
              <w:t>Gaining practical experience in acting as a coordinator or link worker between clinical teams, social care, and community/voluntary services.</w:t>
            </w:r>
          </w:p>
        </w:tc>
      </w:tr>
      <w:tr w:rsidR="00305CEB" w:rsidRPr="00305CEB" w14:paraId="2F27E1AA" w14:textId="77777777" w:rsidTr="00305CEB">
        <w:tc>
          <w:tcPr>
            <w:tcW w:w="0" w:type="auto"/>
            <w:tcMar>
              <w:top w:w="150" w:type="dxa"/>
              <w:left w:w="0" w:type="dxa"/>
              <w:bottom w:w="150" w:type="dxa"/>
              <w:right w:w="240" w:type="dxa"/>
            </w:tcMar>
            <w:vAlign w:val="center"/>
            <w:hideMark/>
          </w:tcPr>
          <w:p w14:paraId="170B148D" w14:textId="77777777" w:rsidR="00305CEB" w:rsidRPr="00305CEB" w:rsidRDefault="00305CEB" w:rsidP="00305CEB">
            <w:pPr>
              <w:rPr>
                <w:lang w:val="en-US"/>
              </w:rPr>
            </w:pPr>
            <w:r w:rsidRPr="00305CEB">
              <w:rPr>
                <w:b/>
                <w:bCs/>
                <w:lang w:val="en-US"/>
              </w:rPr>
              <w:t>Ethical Practice</w:t>
            </w:r>
          </w:p>
        </w:tc>
        <w:tc>
          <w:tcPr>
            <w:tcW w:w="0" w:type="auto"/>
            <w:tcMar>
              <w:top w:w="150" w:type="dxa"/>
              <w:left w:w="240" w:type="dxa"/>
              <w:bottom w:w="150" w:type="dxa"/>
              <w:right w:w="240" w:type="dxa"/>
            </w:tcMar>
            <w:vAlign w:val="center"/>
            <w:hideMark/>
          </w:tcPr>
          <w:p w14:paraId="1F202C68" w14:textId="77777777" w:rsidR="00305CEB" w:rsidRPr="00305CEB" w:rsidRDefault="00305CEB" w:rsidP="00305CEB">
            <w:pPr>
              <w:rPr>
                <w:lang w:val="en-US"/>
              </w:rPr>
            </w:pPr>
            <w:r w:rsidRPr="00305CEB">
              <w:rPr>
                <w:lang w:val="en-US"/>
              </w:rPr>
              <w:t>Good knowledge of the four ethical principles and key legislation like the MCA (2005) and Care Act 2014 (Care Act 2025).</w:t>
            </w:r>
          </w:p>
        </w:tc>
        <w:tc>
          <w:tcPr>
            <w:tcW w:w="0" w:type="auto"/>
            <w:tcMar>
              <w:top w:w="150" w:type="dxa"/>
              <w:left w:w="240" w:type="dxa"/>
              <w:bottom w:w="150" w:type="dxa"/>
              <w:right w:w="0" w:type="dxa"/>
            </w:tcMar>
            <w:vAlign w:val="center"/>
            <w:hideMark/>
          </w:tcPr>
          <w:p w14:paraId="30545AB0" w14:textId="77777777" w:rsidR="00305CEB" w:rsidRPr="00305CEB" w:rsidRDefault="00305CEB" w:rsidP="00305CEB">
            <w:pPr>
              <w:rPr>
                <w:lang w:val="en-US"/>
              </w:rPr>
            </w:pPr>
            <w:r w:rsidRPr="00305CEB">
              <w:rPr>
                <w:lang w:val="en-US"/>
              </w:rPr>
              <w:t>Building confidence in applying ethical frameworks to navigate tensions between risk and autonomy in practice, especially in palliative and end-of-life contexts.</w:t>
            </w:r>
          </w:p>
        </w:tc>
      </w:tr>
      <w:tr w:rsidR="00305CEB" w:rsidRPr="00305CEB" w14:paraId="35574A6D" w14:textId="77777777" w:rsidTr="00305CEB">
        <w:tc>
          <w:tcPr>
            <w:tcW w:w="0" w:type="auto"/>
            <w:tcMar>
              <w:top w:w="150" w:type="dxa"/>
              <w:left w:w="0" w:type="dxa"/>
              <w:bottom w:w="150" w:type="dxa"/>
              <w:right w:w="240" w:type="dxa"/>
            </w:tcMar>
            <w:vAlign w:val="center"/>
            <w:hideMark/>
          </w:tcPr>
          <w:p w14:paraId="2808F46D" w14:textId="77777777" w:rsidR="00305CEB" w:rsidRPr="00305CEB" w:rsidRDefault="00305CEB" w:rsidP="00305CEB">
            <w:pPr>
              <w:rPr>
                <w:lang w:val="en-US"/>
              </w:rPr>
            </w:pPr>
            <w:r w:rsidRPr="00305CEB">
              <w:rPr>
                <w:b/>
                <w:bCs/>
                <w:lang w:val="en-US"/>
              </w:rPr>
              <w:t>Communication</w:t>
            </w:r>
          </w:p>
        </w:tc>
        <w:tc>
          <w:tcPr>
            <w:tcW w:w="0" w:type="auto"/>
            <w:tcMar>
              <w:top w:w="150" w:type="dxa"/>
              <w:left w:w="240" w:type="dxa"/>
              <w:bottom w:w="150" w:type="dxa"/>
              <w:right w:w="240" w:type="dxa"/>
            </w:tcMar>
            <w:vAlign w:val="center"/>
            <w:hideMark/>
          </w:tcPr>
          <w:p w14:paraId="7A95BFE1" w14:textId="77777777" w:rsidR="00305CEB" w:rsidRPr="00305CEB" w:rsidRDefault="00305CEB" w:rsidP="00305CEB">
            <w:pPr>
              <w:rPr>
                <w:lang w:val="en-US"/>
              </w:rPr>
            </w:pPr>
            <w:r w:rsidRPr="00305CEB">
              <w:rPr>
                <w:lang w:val="en-US"/>
              </w:rPr>
              <w:t>Ability to communicate clearly and academically.</w:t>
            </w:r>
          </w:p>
        </w:tc>
        <w:tc>
          <w:tcPr>
            <w:tcW w:w="0" w:type="auto"/>
            <w:tcMar>
              <w:top w:w="150" w:type="dxa"/>
              <w:left w:w="240" w:type="dxa"/>
              <w:bottom w:w="150" w:type="dxa"/>
              <w:right w:w="0" w:type="dxa"/>
            </w:tcMar>
            <w:vAlign w:val="center"/>
            <w:hideMark/>
          </w:tcPr>
          <w:p w14:paraId="5DEF031D" w14:textId="77777777" w:rsidR="00305CEB" w:rsidRPr="00305CEB" w:rsidRDefault="00305CEB" w:rsidP="00305CEB">
            <w:pPr>
              <w:rPr>
                <w:lang w:val="en-US"/>
              </w:rPr>
            </w:pPr>
            <w:r w:rsidRPr="00305CEB">
              <w:rPr>
                <w:lang w:val="en-US"/>
              </w:rPr>
              <w:t>Developing skills in sensitive, compassionate communication around prognosis, death, and dying, and in advocating for a person's wishes within a large team.</w:t>
            </w:r>
          </w:p>
        </w:tc>
      </w:tr>
    </w:tbl>
    <w:p w14:paraId="70CEF7BC" w14:textId="28ACBAEF" w:rsidR="00305CEB" w:rsidRPr="00305CEB" w:rsidRDefault="00305CEB" w:rsidP="00305CEB">
      <w:pPr>
        <w:rPr>
          <w:lang w:val="en-US"/>
        </w:rPr>
      </w:pPr>
      <w:r w:rsidRPr="00305CEB">
        <w:rPr>
          <w:b/>
          <w:bCs/>
          <w:lang w:val="en-US"/>
        </w:rPr>
        <w:t>Action</w:t>
      </w:r>
      <w:r w:rsidRPr="00305CEB">
        <w:rPr>
          <w:lang w:val="en-US"/>
        </w:rPr>
        <w:br/>
      </w:r>
      <w:r w:rsidR="00A81B00">
        <w:t>This reflection has enabled me to form a clear roadmap on how I would work on myself and my career to enhance my expertise in these key aspects</w:t>
      </w:r>
      <w:r w:rsidRPr="00305CEB">
        <w:rPr>
          <w:lang w:val="en-US"/>
        </w:rPr>
        <w:t>.</w:t>
      </w:r>
    </w:p>
    <w:p w14:paraId="4F02D3B8" w14:textId="67BD02C5" w:rsidR="00305CEB" w:rsidRPr="00305CEB" w:rsidRDefault="00305CEB" w:rsidP="00305CEB">
      <w:pPr>
        <w:numPr>
          <w:ilvl w:val="0"/>
          <w:numId w:val="2"/>
        </w:numPr>
        <w:rPr>
          <w:lang w:val="en-US"/>
        </w:rPr>
      </w:pPr>
      <w:r w:rsidRPr="00305CEB">
        <w:rPr>
          <w:b/>
          <w:bCs/>
          <w:lang w:val="en-US"/>
        </w:rPr>
        <w:t>To deepen my person-centred practice,</w:t>
      </w:r>
      <w:r w:rsidRPr="00305CEB">
        <w:rPr>
          <w:lang w:val="en-US"/>
        </w:rPr>
        <w:t> </w:t>
      </w:r>
      <w:r w:rsidR="00A81B00">
        <w:t>I will volunteer in hospices or other charities such as Marie Curie or Age UK. It will offer firsthand experience in assisting individuals with life-limiting conditions and allow me to train active listening and learn how to speak about the preferences of care with discretion</w:t>
      </w:r>
      <w:r w:rsidRPr="00305CEB">
        <w:rPr>
          <w:lang w:val="en-US"/>
        </w:rPr>
        <w:t>.</w:t>
      </w:r>
    </w:p>
    <w:p w14:paraId="3A810D64" w14:textId="0A065830" w:rsidR="00305CEB" w:rsidRPr="00305CEB" w:rsidRDefault="00305CEB" w:rsidP="00305CEB">
      <w:pPr>
        <w:numPr>
          <w:ilvl w:val="0"/>
          <w:numId w:val="2"/>
        </w:numPr>
        <w:rPr>
          <w:lang w:val="en-US"/>
        </w:rPr>
      </w:pPr>
      <w:r w:rsidRPr="00305CEB">
        <w:rPr>
          <w:b/>
          <w:bCs/>
          <w:lang w:val="en-US"/>
        </w:rPr>
        <w:t>To build my competence in partnership working,</w:t>
      </w:r>
      <w:r w:rsidRPr="00305CEB">
        <w:rPr>
          <w:lang w:val="en-US"/>
        </w:rPr>
        <w:t> </w:t>
      </w:r>
      <w:r w:rsidR="00A81B00">
        <w:t>I will approach the development of my competence in partnership working by actively attending interprofessional learning (IPL) events throughout my degree. I am also going to ask to shadow a professional</w:t>
      </w:r>
      <w:r w:rsidR="00C10BCE">
        <w:t>,</w:t>
      </w:r>
      <w:r w:rsidR="00A81B00">
        <w:t xml:space="preserve"> like a Palliative Care Coordinator or a Social Prescriber</w:t>
      </w:r>
      <w:r w:rsidR="00C10BCE">
        <w:t>,</w:t>
      </w:r>
      <w:r w:rsidR="00A81B00">
        <w:t xml:space="preserve"> to see how he or she navigates and incorporates various services into the life of a patient</w:t>
      </w:r>
      <w:r w:rsidRPr="00305CEB">
        <w:rPr>
          <w:lang w:val="en-US"/>
        </w:rPr>
        <w:t>.</w:t>
      </w:r>
    </w:p>
    <w:p w14:paraId="03EB7D1D" w14:textId="6359623E" w:rsidR="00305CEB" w:rsidRPr="00305CEB" w:rsidRDefault="00305CEB" w:rsidP="00305CEB">
      <w:pPr>
        <w:numPr>
          <w:ilvl w:val="0"/>
          <w:numId w:val="2"/>
        </w:numPr>
        <w:rPr>
          <w:lang w:val="en-US"/>
        </w:rPr>
      </w:pPr>
      <w:r w:rsidRPr="00305CEB">
        <w:rPr>
          <w:b/>
          <w:bCs/>
          <w:lang w:val="en-US"/>
        </w:rPr>
        <w:lastRenderedPageBreak/>
        <w:t>To strengthen my ethical decision-making,</w:t>
      </w:r>
      <w:r w:rsidRPr="00305CEB">
        <w:rPr>
          <w:lang w:val="en-US"/>
        </w:rPr>
        <w:t> </w:t>
      </w:r>
      <w:r w:rsidR="00A81B00">
        <w:t xml:space="preserve">I will develop my own ethics portfolio in which I will use the four concepts of ethics to make my reasoning on the dilemma through the analysis of case studies related to end-of-life care and progressive conditions. I will also join the student membership of the HCPC to </w:t>
      </w:r>
      <w:r w:rsidR="00C10BCE">
        <w:t xml:space="preserve">be </w:t>
      </w:r>
      <w:r w:rsidR="00A81B00">
        <w:t>abreast with their standards of conduct (Fovargue and Neal, 2021)</w:t>
      </w:r>
      <w:r w:rsidRPr="00305CEB">
        <w:rPr>
          <w:lang w:val="en-US"/>
        </w:rPr>
        <w:t>.</w:t>
      </w:r>
    </w:p>
    <w:p w14:paraId="7C2B7575" w14:textId="0D090C18" w:rsidR="00305CEB" w:rsidRPr="00305CEB" w:rsidRDefault="00305CEB" w:rsidP="00305CEB">
      <w:pPr>
        <w:numPr>
          <w:ilvl w:val="0"/>
          <w:numId w:val="2"/>
        </w:numPr>
        <w:rPr>
          <w:lang w:val="en-US"/>
        </w:rPr>
      </w:pPr>
      <w:r w:rsidRPr="00305CEB">
        <w:rPr>
          <w:b/>
          <w:bCs/>
          <w:lang w:val="en-US"/>
        </w:rPr>
        <w:t>For continuous professional development,</w:t>
      </w:r>
      <w:r w:rsidRPr="00305CEB">
        <w:rPr>
          <w:lang w:val="en-US"/>
        </w:rPr>
        <w:t> </w:t>
      </w:r>
      <w:r w:rsidR="00A81B00">
        <w:t>I will keep a reflective journal in which the models</w:t>
      </w:r>
      <w:r w:rsidR="00C10BCE">
        <w:t>,</w:t>
      </w:r>
      <w:r w:rsidR="00A81B00">
        <w:t xml:space="preserve"> such as ERA (Johns, 2025)</w:t>
      </w:r>
      <w:r w:rsidR="00C10BCE">
        <w:t>,</w:t>
      </w:r>
      <w:r w:rsidR="00A81B00">
        <w:t xml:space="preserve"> will enable me to critically reflect on my experiences. On qualification, I will welcome </w:t>
      </w:r>
      <w:r w:rsidR="00C10BCE">
        <w:t>being</w:t>
      </w:r>
      <w:r w:rsidR="00A81B00">
        <w:t xml:space="preserve"> actively supervised and mentored by a senior professional in the specialisation of palliative or long-term condition care to help direct my reflective practice and professional development</w:t>
      </w:r>
      <w:r w:rsidRPr="00305CEB">
        <w:rPr>
          <w:lang w:val="en-US"/>
        </w:rPr>
        <w:t>.</w:t>
      </w:r>
    </w:p>
    <w:p w14:paraId="2A4604FD" w14:textId="6D290467" w:rsidR="00305CEB" w:rsidRPr="00305CEB" w:rsidRDefault="00C10BCE" w:rsidP="00305CEB">
      <w:pPr>
        <w:rPr>
          <w:lang w:val="en-US"/>
        </w:rPr>
      </w:pPr>
      <w:r>
        <w:t>I hope</w:t>
      </w:r>
      <w:r w:rsidR="00A81B00">
        <w:t xml:space="preserve"> that by taking these practical steps I will be able to acquire the knowledge, skills and reflection ability needed to become a competent, caring and ethical practitioner with full dedication to the underlying principles that facilitate high-quality, </w:t>
      </w:r>
      <w:r>
        <w:t>person-centred</w:t>
      </w:r>
      <w:r w:rsidR="00A81B00">
        <w:t xml:space="preserve"> care needs at every stage of life</w:t>
      </w:r>
      <w:r w:rsidR="00305CEB" w:rsidRPr="00305CEB">
        <w:rPr>
          <w:lang w:val="en-US"/>
        </w:rPr>
        <w:t>.</w:t>
      </w:r>
    </w:p>
    <w:p w14:paraId="1A16CC2E" w14:textId="77777777" w:rsidR="00305CEB" w:rsidRDefault="00305CEB">
      <w:pPr>
        <w:spacing w:after="160" w:line="259" w:lineRule="auto"/>
        <w:jc w:val="left"/>
        <w:rPr>
          <w:lang w:val="en-US"/>
        </w:rPr>
      </w:pPr>
      <w:r>
        <w:rPr>
          <w:lang w:val="en-US"/>
        </w:rPr>
        <w:br w:type="page"/>
      </w:r>
    </w:p>
    <w:p w14:paraId="5FB3BDE0" w14:textId="52FB9F30" w:rsidR="00305CEB" w:rsidRPr="00305CEB" w:rsidRDefault="00305CEB" w:rsidP="00305CEB">
      <w:pPr>
        <w:pStyle w:val="Heading1"/>
      </w:pPr>
      <w:r w:rsidRPr="00305CEB">
        <w:lastRenderedPageBreak/>
        <w:t>Conclusion</w:t>
      </w:r>
    </w:p>
    <w:p w14:paraId="0D88175D" w14:textId="3EDE576A" w:rsidR="00305CEB" w:rsidRPr="00305CEB" w:rsidRDefault="00A81B00" w:rsidP="00305CEB">
      <w:pPr>
        <w:rPr>
          <w:lang w:val="en-US"/>
        </w:rPr>
      </w:pPr>
      <w:r>
        <w:rPr>
          <w:lang w:val="en-US"/>
        </w:rPr>
        <w:t>In Conclusion</w:t>
      </w:r>
      <w:r w:rsidRPr="00A81B00">
        <w:rPr>
          <w:lang w:val="en-US"/>
        </w:rPr>
        <w:t>, this reflective report has demonstrated that person-centred care, partnership working</w:t>
      </w:r>
      <w:r>
        <w:rPr>
          <w:lang w:val="en-US"/>
        </w:rPr>
        <w:t>,</w:t>
      </w:r>
      <w:r w:rsidRPr="00A81B00">
        <w:rPr>
          <w:lang w:val="en-US"/>
        </w:rPr>
        <w:t xml:space="preserve"> and ethics are not abstract concepts but the main core pillars of an effective health and social care </w:t>
      </w:r>
      <w:r>
        <w:rPr>
          <w:lang w:val="en-US"/>
        </w:rPr>
        <w:t>practice</w:t>
      </w:r>
      <w:r w:rsidRPr="00A81B00">
        <w:rPr>
          <w:lang w:val="en-US"/>
        </w:rPr>
        <w:t>, which are interrelated. Theoretically discussing all these</w:t>
      </w:r>
      <w:r>
        <w:rPr>
          <w:lang w:val="en-US"/>
        </w:rPr>
        <w:t>,</w:t>
      </w:r>
      <w:r w:rsidRPr="00A81B00">
        <w:rPr>
          <w:lang w:val="en-US"/>
        </w:rPr>
        <w:t xml:space="preserve"> then practically applying them to the </w:t>
      </w:r>
      <w:r>
        <w:rPr>
          <w:lang w:val="en-US"/>
        </w:rPr>
        <w:t>story</w:t>
      </w:r>
      <w:r w:rsidRPr="00A81B00">
        <w:rPr>
          <w:lang w:val="en-US"/>
        </w:rPr>
        <w:t xml:space="preserve"> of </w:t>
      </w:r>
      <w:r>
        <w:rPr>
          <w:lang w:val="en-US"/>
        </w:rPr>
        <w:t>Mrs</w:t>
      </w:r>
      <w:r w:rsidRPr="00A81B00">
        <w:rPr>
          <w:lang w:val="en-US"/>
        </w:rPr>
        <w:t xml:space="preserve"> C and analysing them critically, one can see the principles as </w:t>
      </w:r>
      <w:r w:rsidR="00C10BCE">
        <w:rPr>
          <w:lang w:val="en-US"/>
        </w:rPr>
        <w:t>essential</w:t>
      </w:r>
      <w:r w:rsidRPr="00A81B00">
        <w:rPr>
          <w:lang w:val="en-US"/>
        </w:rPr>
        <w:t xml:space="preserve"> to the care which is respectful, coordinated, and morally based. They enable experts to empower individuals, work together, and handle situations that are complicated. This reflection has proved priceless in determining the strengths that I have, as well as developing a concrete roadmap of how to achieve future development. I will continue to hold onto the knowledge that continuous self-assessment of these values is at the core of providing safe, efficient, and caring care and my personal development as a professional committed to making a positive change in the lives of those under my care.</w:t>
      </w:r>
      <w:r w:rsidR="00615534">
        <w:rPr>
          <w:lang w:val="en-US"/>
        </w:rPr>
        <w:t xml:space="preserve"> </w:t>
      </w:r>
      <w:r w:rsidR="0059037D">
        <w:rPr>
          <w:lang w:val="en-US"/>
        </w:rPr>
        <w:t xml:space="preserve"> </w:t>
      </w:r>
    </w:p>
    <w:p w14:paraId="6298B7DB" w14:textId="77777777" w:rsidR="00305CEB" w:rsidRDefault="00305CEB" w:rsidP="00305CEB">
      <w:pPr>
        <w:rPr>
          <w:rFonts w:eastAsiaTheme="majorEastAsia" w:cstheme="majorBidi"/>
          <w:sz w:val="36"/>
          <w:szCs w:val="32"/>
          <w:lang w:val="en-IN"/>
        </w:rPr>
      </w:pPr>
      <w:r>
        <w:br w:type="page"/>
      </w:r>
    </w:p>
    <w:p w14:paraId="24D3086F" w14:textId="0812CE12" w:rsidR="00DB478D" w:rsidRPr="0073258E" w:rsidRDefault="00DB478D" w:rsidP="00DB478D">
      <w:pPr>
        <w:pStyle w:val="Heading1"/>
      </w:pPr>
      <w:r>
        <w:lastRenderedPageBreak/>
        <w:t>References</w:t>
      </w:r>
      <w:bookmarkEnd w:id="2"/>
      <w:r w:rsidR="007B25BC">
        <w:t xml:space="preserve"> </w:t>
      </w:r>
    </w:p>
    <w:p w14:paraId="6325D735" w14:textId="77ED98FB" w:rsidR="0095222D" w:rsidRPr="005777A4" w:rsidRDefault="0095222D" w:rsidP="005777A4">
      <w:pPr>
        <w:rPr>
          <w:lang w:val="en-US"/>
        </w:rPr>
      </w:pPr>
      <w:r w:rsidRPr="005D4A33">
        <w:t xml:space="preserve">Aveyard, H. </w:t>
      </w:r>
      <w:r>
        <w:t>(</w:t>
      </w:r>
      <w:r w:rsidRPr="005D4A33">
        <w:t>2023</w:t>
      </w:r>
      <w:r>
        <w:t>)</w:t>
      </w:r>
      <w:r w:rsidRPr="005D4A33">
        <w:t>. Ebook: Doing a Literature Review in Health and Social Care: A Practical Guide 5e.</w:t>
      </w:r>
    </w:p>
    <w:p w14:paraId="3DBDEC03" w14:textId="02D74D48" w:rsidR="0095222D" w:rsidRPr="005777A4" w:rsidRDefault="0095222D" w:rsidP="005777A4">
      <w:pPr>
        <w:rPr>
          <w:lang w:val="en-US"/>
        </w:rPr>
      </w:pPr>
      <w:r w:rsidRPr="002050E2">
        <w:t xml:space="preserve">Beauchamp, T. and Childress, J. </w:t>
      </w:r>
      <w:r>
        <w:t>(</w:t>
      </w:r>
      <w:r w:rsidRPr="002050E2">
        <w:t>2019</w:t>
      </w:r>
      <w:r>
        <w:t>)</w:t>
      </w:r>
      <w:r w:rsidRPr="002050E2">
        <w:t>. Principles of biomedical ethics: marking its fortieth anniversary. </w:t>
      </w:r>
      <w:r w:rsidRPr="002050E2">
        <w:rPr>
          <w:i/>
          <w:iCs/>
        </w:rPr>
        <w:t>The American journal of bioethics</w:t>
      </w:r>
      <w:r w:rsidRPr="002050E2">
        <w:t>, </w:t>
      </w:r>
      <w:r w:rsidRPr="002050E2">
        <w:rPr>
          <w:i/>
          <w:iCs/>
        </w:rPr>
        <w:t>19</w:t>
      </w:r>
      <w:r w:rsidRPr="002050E2">
        <w:t>(11), pp.9-12.</w:t>
      </w:r>
      <w:r w:rsidRPr="005777A4">
        <w:rPr>
          <w:lang w:val="en-US"/>
        </w:rPr>
        <w:t>.</w:t>
      </w:r>
    </w:p>
    <w:p w14:paraId="3A140E2D" w14:textId="3C8AD8E9" w:rsidR="0095222D" w:rsidRPr="005777A4" w:rsidRDefault="0095222D" w:rsidP="005777A4">
      <w:pPr>
        <w:rPr>
          <w:lang w:val="en-US"/>
        </w:rPr>
      </w:pPr>
      <w:r w:rsidRPr="002050E2">
        <w:t xml:space="preserve">Canais, E. and Nunes, L. </w:t>
      </w:r>
      <w:r>
        <w:t>(</w:t>
      </w:r>
      <w:r w:rsidRPr="002050E2">
        <w:t>2024</w:t>
      </w:r>
      <w:r>
        <w:t>)</w:t>
      </w:r>
      <w:r w:rsidRPr="002050E2">
        <w:t xml:space="preserve">. People with multiple long-term health problems: </w:t>
      </w:r>
      <w:r>
        <w:t>personalised</w:t>
      </w:r>
      <w:r w:rsidRPr="002050E2">
        <w:t xml:space="preserve"> care planning. </w:t>
      </w:r>
      <w:r w:rsidRPr="002050E2">
        <w:rPr>
          <w:i/>
          <w:iCs/>
        </w:rPr>
        <w:t>Portuguese Journal of Public Health</w:t>
      </w:r>
      <w:r w:rsidRPr="002050E2">
        <w:t>, </w:t>
      </w:r>
      <w:r w:rsidRPr="002050E2">
        <w:rPr>
          <w:i/>
          <w:iCs/>
        </w:rPr>
        <w:t>42</w:t>
      </w:r>
      <w:r w:rsidRPr="002050E2">
        <w:t>(1), pp.63-73.</w:t>
      </w:r>
      <w:r w:rsidRPr="005777A4">
        <w:rPr>
          <w:lang w:val="en-US"/>
        </w:rPr>
        <w:t>.</w:t>
      </w:r>
    </w:p>
    <w:p w14:paraId="2E709B15" w14:textId="77777777" w:rsidR="0095222D" w:rsidRPr="002050E2" w:rsidRDefault="0095222D" w:rsidP="002050E2">
      <w:pPr>
        <w:rPr>
          <w:lang w:val="en-US"/>
        </w:rPr>
      </w:pPr>
      <w:bookmarkStart w:id="3" w:name="_Hlk212311747"/>
      <w:r w:rsidRPr="002050E2">
        <w:rPr>
          <w:lang w:val="en-US"/>
        </w:rPr>
        <w:t>Care Act (2025)</w:t>
      </w:r>
      <w:r>
        <w:rPr>
          <w:lang w:val="en-US"/>
        </w:rPr>
        <w:t>,</w:t>
      </w:r>
      <w:r w:rsidRPr="002050E2">
        <w:rPr>
          <w:lang w:val="en-US"/>
        </w:rPr>
        <w:t xml:space="preserve"> </w:t>
      </w:r>
      <w:r w:rsidRPr="002050E2">
        <w:rPr>
          <w:i/>
          <w:iCs/>
          <w:lang w:val="en-US"/>
        </w:rPr>
        <w:t xml:space="preserve">Care </w:t>
      </w:r>
      <w:r>
        <w:rPr>
          <w:i/>
          <w:iCs/>
          <w:lang w:val="en-US"/>
        </w:rPr>
        <w:t>Act</w:t>
      </w:r>
      <w:r w:rsidRPr="002050E2">
        <w:rPr>
          <w:i/>
          <w:iCs/>
          <w:lang w:val="en-US"/>
        </w:rPr>
        <w:t xml:space="preserve"> 2014</w:t>
      </w:r>
      <w:r w:rsidRPr="002050E2">
        <w:rPr>
          <w:lang w:val="en-US"/>
        </w:rPr>
        <w:t xml:space="preserve">, </w:t>
      </w:r>
      <w:r w:rsidRPr="002050E2">
        <w:rPr>
          <w:i/>
          <w:iCs/>
          <w:lang w:val="en-US"/>
        </w:rPr>
        <w:t>GOV.UK</w:t>
      </w:r>
      <w:r w:rsidRPr="002050E2">
        <w:rPr>
          <w:lang w:val="en-US"/>
        </w:rPr>
        <w:t>. Available at: https://www.gov.uk/government/publications/care-act-2014-part-1-factsheets/care-act-factsheets (Accessed: 25 October 2025)</w:t>
      </w:r>
      <w:bookmarkEnd w:id="3"/>
      <w:r w:rsidRPr="002050E2">
        <w:rPr>
          <w:lang w:val="en-US"/>
        </w:rPr>
        <w:t xml:space="preserve">. </w:t>
      </w:r>
    </w:p>
    <w:p w14:paraId="30FA3A17" w14:textId="77777777" w:rsidR="0095222D" w:rsidRPr="005777A4" w:rsidRDefault="0095222D" w:rsidP="005777A4">
      <w:pPr>
        <w:rPr>
          <w:lang w:val="en-US"/>
        </w:rPr>
      </w:pPr>
      <w:r w:rsidRPr="003C6F82">
        <w:t xml:space="preserve">Ekman, I., Ebrahimi, Z. and Olaya Contreras, P. </w:t>
      </w:r>
      <w:r>
        <w:t>(</w:t>
      </w:r>
      <w:r w:rsidRPr="003C6F82">
        <w:t>2021</w:t>
      </w:r>
      <w:r>
        <w:t>)</w:t>
      </w:r>
      <w:r w:rsidRPr="003C6F82">
        <w:t>. Person-centred care: looking back, looking forward. </w:t>
      </w:r>
      <w:r w:rsidRPr="003C6F82">
        <w:rPr>
          <w:i/>
          <w:iCs/>
        </w:rPr>
        <w:t>European journal of cardiovascular nursing</w:t>
      </w:r>
      <w:r w:rsidRPr="003C6F82">
        <w:t>, </w:t>
      </w:r>
      <w:r w:rsidRPr="003C6F82">
        <w:rPr>
          <w:i/>
          <w:iCs/>
        </w:rPr>
        <w:t>20</w:t>
      </w:r>
      <w:r w:rsidRPr="003C6F82">
        <w:t>(2), pp.93-95.</w:t>
      </w:r>
      <w:r w:rsidRPr="005777A4">
        <w:rPr>
          <w:lang w:val="en-US"/>
        </w:rPr>
        <w:t>.</w:t>
      </w:r>
    </w:p>
    <w:p w14:paraId="0A934672" w14:textId="2B2C6A8B" w:rsidR="0095222D" w:rsidRPr="005777A4" w:rsidRDefault="0095222D" w:rsidP="005777A4">
      <w:pPr>
        <w:rPr>
          <w:lang w:val="en-US"/>
        </w:rPr>
      </w:pPr>
      <w:r w:rsidRPr="005D4A33">
        <w:t xml:space="preserve">Fovargue, S. and Neal, M. </w:t>
      </w:r>
      <w:r>
        <w:t>(</w:t>
      </w:r>
      <w:r w:rsidRPr="005D4A33">
        <w:t>2021</w:t>
      </w:r>
      <w:r>
        <w:t>)</w:t>
      </w:r>
      <w:r w:rsidRPr="005D4A33">
        <w:t>. Pharmacists' perception of ethical conflict and professional guidance in light of the revised General Pharmaceutical Council Standards of Conduct, Ethics and Performance.</w:t>
      </w:r>
    </w:p>
    <w:p w14:paraId="4F023ED5" w14:textId="77777777" w:rsidR="0095222D" w:rsidRPr="005777A4" w:rsidRDefault="0095222D" w:rsidP="005777A4">
      <w:pPr>
        <w:rPr>
          <w:lang w:val="en-US"/>
        </w:rPr>
      </w:pPr>
      <w:r w:rsidRPr="000C4F68">
        <w:t xml:space="preserve">Harding, R. </w:t>
      </w:r>
      <w:r>
        <w:t>(</w:t>
      </w:r>
      <w:r w:rsidRPr="000C4F68">
        <w:t>2018</w:t>
      </w:r>
      <w:r>
        <w:t>)</w:t>
      </w:r>
      <w:r w:rsidRPr="000C4F68">
        <w:t>. Mental Capacity Act 2005. In </w:t>
      </w:r>
      <w:r w:rsidRPr="000C4F68">
        <w:rPr>
          <w:i/>
          <w:iCs/>
        </w:rPr>
        <w:t>Women's Legal Landmarks: Celebrating the history of women and law in the UK and Ireland</w:t>
      </w:r>
      <w:r w:rsidRPr="000C4F68">
        <w:t> (pp. 533-538). Hart Publishing.</w:t>
      </w:r>
    </w:p>
    <w:p w14:paraId="24314CCB" w14:textId="77777777" w:rsidR="0095222D" w:rsidRPr="005777A4" w:rsidRDefault="0095222D" w:rsidP="005777A4">
      <w:pPr>
        <w:rPr>
          <w:lang w:val="en-US"/>
        </w:rPr>
      </w:pPr>
      <w:r w:rsidRPr="005D4A33">
        <w:rPr>
          <w:lang w:val="en-US"/>
        </w:rPr>
        <w:t xml:space="preserve">Health and Care Act (2022) </w:t>
      </w:r>
      <w:r w:rsidRPr="005D4A33">
        <w:rPr>
          <w:i/>
          <w:iCs/>
          <w:lang w:val="en-US"/>
        </w:rPr>
        <w:t>Health and Care Act 2022</w:t>
      </w:r>
      <w:r w:rsidRPr="005D4A33">
        <w:rPr>
          <w:lang w:val="en-US"/>
        </w:rPr>
        <w:t xml:space="preserve">, </w:t>
      </w:r>
      <w:r w:rsidRPr="005D4A33">
        <w:rPr>
          <w:i/>
          <w:iCs/>
          <w:lang w:val="en-US"/>
        </w:rPr>
        <w:t>GOV.UK</w:t>
      </w:r>
      <w:r w:rsidRPr="005D4A33">
        <w:rPr>
          <w:lang w:val="en-US"/>
        </w:rPr>
        <w:t xml:space="preserve">. Available at: https://www.gov.uk/government/collections/health-and-care-act-2022 (Accessed: 25 October 2025). </w:t>
      </w:r>
    </w:p>
    <w:p w14:paraId="125BD24E" w14:textId="5BAA05E8" w:rsidR="0095222D" w:rsidRPr="005777A4" w:rsidRDefault="0095222D" w:rsidP="005777A4">
      <w:pPr>
        <w:rPr>
          <w:lang w:val="en-US"/>
        </w:rPr>
      </w:pPr>
      <w:r w:rsidRPr="007102C6">
        <w:t xml:space="preserve">Johns, C. </w:t>
      </w:r>
      <w:r>
        <w:t>(</w:t>
      </w:r>
      <w:r w:rsidRPr="007102C6">
        <w:t>2025</w:t>
      </w:r>
      <w:r>
        <w:t>)</w:t>
      </w:r>
      <w:r w:rsidRPr="007102C6">
        <w:t>. </w:t>
      </w:r>
      <w:r w:rsidRPr="007102C6">
        <w:rPr>
          <w:i/>
          <w:iCs/>
        </w:rPr>
        <w:t>Becoming a reflective practitioner</w:t>
      </w:r>
      <w:r w:rsidRPr="007102C6">
        <w:t>. John Wiley &amp; Sons.</w:t>
      </w:r>
      <w:r w:rsidRPr="005777A4">
        <w:rPr>
          <w:lang w:val="en-US"/>
        </w:rPr>
        <w:t>.</w:t>
      </w:r>
    </w:p>
    <w:p w14:paraId="679FA38B" w14:textId="77777777" w:rsidR="0095222D" w:rsidRPr="00DB7B44" w:rsidRDefault="0095222D" w:rsidP="002050E2">
      <w:pPr>
        <w:rPr>
          <w:lang w:val="en-US"/>
        </w:rPr>
      </w:pPr>
      <w:r w:rsidRPr="00FA196C">
        <w:t xml:space="preserve">Lui, A. and Lamb, G.W. </w:t>
      </w:r>
      <w:r>
        <w:t>(</w:t>
      </w:r>
      <w:r w:rsidRPr="00FA196C">
        <w:t>2018</w:t>
      </w:r>
      <w:r>
        <w:t>)</w:t>
      </w:r>
      <w:r w:rsidRPr="00FA196C">
        <w:t>. Artificial intelligence and augmented intelligence collaboration: regaining trust and confidence in the financial sector. </w:t>
      </w:r>
      <w:r w:rsidRPr="00FA196C">
        <w:rPr>
          <w:i/>
          <w:iCs/>
        </w:rPr>
        <w:t>Information &amp; Communications Technology Law</w:t>
      </w:r>
      <w:r w:rsidRPr="00FA196C">
        <w:t>, </w:t>
      </w:r>
      <w:r w:rsidRPr="00FA196C">
        <w:rPr>
          <w:i/>
          <w:iCs/>
        </w:rPr>
        <w:t>27</w:t>
      </w:r>
      <w:r w:rsidRPr="00FA196C">
        <w:t>(3), pp.267-283.</w:t>
      </w:r>
    </w:p>
    <w:p w14:paraId="725207F3" w14:textId="63617F57" w:rsidR="0095222D" w:rsidRPr="005777A4" w:rsidRDefault="0095222D" w:rsidP="005777A4">
      <w:pPr>
        <w:rPr>
          <w:lang w:val="en-US"/>
        </w:rPr>
      </w:pPr>
      <w:r w:rsidRPr="003C6F82">
        <w:t xml:space="preserve">Maslow, A.H. </w:t>
      </w:r>
      <w:r>
        <w:t>(</w:t>
      </w:r>
      <w:r w:rsidRPr="003C6F82">
        <w:t>2019</w:t>
      </w:r>
      <w:r>
        <w:t>)</w:t>
      </w:r>
      <w:r w:rsidRPr="003C6F82">
        <w:t>. </w:t>
      </w:r>
      <w:r w:rsidRPr="003C6F82">
        <w:rPr>
          <w:i/>
          <w:iCs/>
        </w:rPr>
        <w:t>A theory of human motivation</w:t>
      </w:r>
      <w:r w:rsidRPr="003C6F82">
        <w:t>. General Press.</w:t>
      </w:r>
    </w:p>
    <w:p w14:paraId="5007EA2A" w14:textId="77777777" w:rsidR="0095222D" w:rsidRPr="005777A4" w:rsidRDefault="0095222D" w:rsidP="005777A4">
      <w:pPr>
        <w:rPr>
          <w:lang w:val="en-US"/>
        </w:rPr>
      </w:pPr>
      <w:r w:rsidRPr="003C6F82">
        <w:t>Retief, M. and Letšosa, R., 2018. Models of disability: A brief overview. </w:t>
      </w:r>
      <w:r w:rsidRPr="003C6F82">
        <w:rPr>
          <w:i/>
          <w:iCs/>
        </w:rPr>
        <w:t>HTS Teologiese Studies/Theological Studies</w:t>
      </w:r>
      <w:r w:rsidRPr="003C6F82">
        <w:t>, </w:t>
      </w:r>
      <w:r w:rsidRPr="003C6F82">
        <w:rPr>
          <w:i/>
          <w:iCs/>
        </w:rPr>
        <w:t>74</w:t>
      </w:r>
      <w:r w:rsidRPr="003C6F82">
        <w:t>(1).</w:t>
      </w:r>
      <w:r w:rsidRPr="005777A4">
        <w:rPr>
          <w:lang w:val="en-US"/>
        </w:rPr>
        <w:t>.</w:t>
      </w:r>
    </w:p>
    <w:p w14:paraId="5AAF34E2" w14:textId="77777777" w:rsidR="0095222D" w:rsidRPr="005777A4" w:rsidRDefault="0095222D" w:rsidP="005777A4">
      <w:pPr>
        <w:rPr>
          <w:lang w:val="en-US"/>
        </w:rPr>
      </w:pPr>
      <w:r w:rsidRPr="005777A4">
        <w:rPr>
          <w:lang w:val="en-US"/>
        </w:rPr>
        <w:lastRenderedPageBreak/>
        <w:t>The King's Fund (2021). </w:t>
      </w:r>
      <w:r w:rsidRPr="005777A4">
        <w:rPr>
          <w:i/>
          <w:iCs/>
          <w:lang w:val="en-US"/>
        </w:rPr>
        <w:t>Integrated care systems explained: making sense of the new health and care landscape</w:t>
      </w:r>
      <w:r w:rsidRPr="005777A4">
        <w:rPr>
          <w:lang w:val="en-US"/>
        </w:rPr>
        <w:t>. Available at: </w:t>
      </w:r>
      <w:hyperlink r:id="rId10" w:tgtFrame="_blank" w:history="1">
        <w:r w:rsidRPr="005777A4">
          <w:rPr>
            <w:rStyle w:val="Hyperlink"/>
            <w:lang w:val="en-US"/>
          </w:rPr>
          <w:t>https://www.kingsfund.org.uk/publications/integrated-care-systems-explained</w:t>
        </w:r>
      </w:hyperlink>
      <w:r w:rsidRPr="005777A4">
        <w:rPr>
          <w:lang w:val="en-US"/>
        </w:rPr>
        <w:t> (Accessed: 10 October 2025).</w:t>
      </w:r>
    </w:p>
    <w:p w14:paraId="0CBFF816" w14:textId="77777777" w:rsidR="00AD70A6" w:rsidRPr="0073258E" w:rsidRDefault="00AD70A6">
      <w:pPr>
        <w:rPr>
          <w:lang w:val="en-US"/>
        </w:rPr>
      </w:pPr>
    </w:p>
    <w:sectPr w:rsidR="00AD70A6" w:rsidRPr="0073258E" w:rsidSect="004F600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002D1" w14:textId="77777777" w:rsidR="00843216" w:rsidRDefault="00843216" w:rsidP="00B33C78">
      <w:pPr>
        <w:spacing w:after="0" w:line="240" w:lineRule="auto"/>
      </w:pPr>
      <w:r>
        <w:separator/>
      </w:r>
    </w:p>
  </w:endnote>
  <w:endnote w:type="continuationSeparator" w:id="0">
    <w:p w14:paraId="5DEBB4F1" w14:textId="77777777" w:rsidR="00843216" w:rsidRDefault="00843216" w:rsidP="00B33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9210161"/>
      <w:docPartObj>
        <w:docPartGallery w:val="Page Numbers (Bottom of Page)"/>
        <w:docPartUnique/>
      </w:docPartObj>
    </w:sdtPr>
    <w:sdtEndPr>
      <w:rPr>
        <w:noProof/>
      </w:rPr>
    </w:sdtEndPr>
    <w:sdtContent>
      <w:p w14:paraId="6397C30C" w14:textId="067E2614" w:rsidR="00B33C78" w:rsidRDefault="00B33C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0B803B" w14:textId="77777777" w:rsidR="00B33C78" w:rsidRDefault="00B33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2EBC4" w14:textId="77777777" w:rsidR="00843216" w:rsidRDefault="00843216" w:rsidP="00B33C78">
      <w:pPr>
        <w:spacing w:after="0" w:line="240" w:lineRule="auto"/>
      </w:pPr>
      <w:r>
        <w:separator/>
      </w:r>
    </w:p>
  </w:footnote>
  <w:footnote w:type="continuationSeparator" w:id="0">
    <w:p w14:paraId="5B49DE39" w14:textId="77777777" w:rsidR="00843216" w:rsidRDefault="00843216" w:rsidP="00B33C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6630C"/>
    <w:multiLevelType w:val="multilevel"/>
    <w:tmpl w:val="36443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114B8C"/>
    <w:multiLevelType w:val="multilevel"/>
    <w:tmpl w:val="18B41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8998700">
    <w:abstractNumId w:val="0"/>
  </w:num>
  <w:num w:numId="2" w16cid:durableId="487865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58E"/>
    <w:rsid w:val="00015856"/>
    <w:rsid w:val="000277AE"/>
    <w:rsid w:val="00030CD6"/>
    <w:rsid w:val="00035372"/>
    <w:rsid w:val="00056292"/>
    <w:rsid w:val="00091804"/>
    <w:rsid w:val="000D3DE5"/>
    <w:rsid w:val="000D53F7"/>
    <w:rsid w:val="00103001"/>
    <w:rsid w:val="00154CE6"/>
    <w:rsid w:val="00166918"/>
    <w:rsid w:val="001C476E"/>
    <w:rsid w:val="001E290F"/>
    <w:rsid w:val="001E60F1"/>
    <w:rsid w:val="001F1167"/>
    <w:rsid w:val="001F1B13"/>
    <w:rsid w:val="001F1D2C"/>
    <w:rsid w:val="002050E2"/>
    <w:rsid w:val="00225792"/>
    <w:rsid w:val="00243ED5"/>
    <w:rsid w:val="002563FE"/>
    <w:rsid w:val="002D411F"/>
    <w:rsid w:val="002D7055"/>
    <w:rsid w:val="002E1FF9"/>
    <w:rsid w:val="002E5865"/>
    <w:rsid w:val="002F7C7F"/>
    <w:rsid w:val="00305CEB"/>
    <w:rsid w:val="00337F9E"/>
    <w:rsid w:val="00393932"/>
    <w:rsid w:val="003C6F82"/>
    <w:rsid w:val="00425DF3"/>
    <w:rsid w:val="0042620C"/>
    <w:rsid w:val="0043220E"/>
    <w:rsid w:val="004346A2"/>
    <w:rsid w:val="00435508"/>
    <w:rsid w:val="0046124B"/>
    <w:rsid w:val="00466C33"/>
    <w:rsid w:val="00476775"/>
    <w:rsid w:val="0049221B"/>
    <w:rsid w:val="004D2024"/>
    <w:rsid w:val="004D3A34"/>
    <w:rsid w:val="004F600B"/>
    <w:rsid w:val="005777A4"/>
    <w:rsid w:val="0059037D"/>
    <w:rsid w:val="005D47FE"/>
    <w:rsid w:val="005D4A33"/>
    <w:rsid w:val="005D548A"/>
    <w:rsid w:val="005E5DF6"/>
    <w:rsid w:val="005E77EA"/>
    <w:rsid w:val="005F4AE2"/>
    <w:rsid w:val="006038ED"/>
    <w:rsid w:val="00615534"/>
    <w:rsid w:val="00661E9F"/>
    <w:rsid w:val="00664571"/>
    <w:rsid w:val="00671713"/>
    <w:rsid w:val="00682108"/>
    <w:rsid w:val="0069665D"/>
    <w:rsid w:val="006C5708"/>
    <w:rsid w:val="006D2B9F"/>
    <w:rsid w:val="006E7C63"/>
    <w:rsid w:val="007102C6"/>
    <w:rsid w:val="0073258E"/>
    <w:rsid w:val="007529E4"/>
    <w:rsid w:val="00756791"/>
    <w:rsid w:val="007626AA"/>
    <w:rsid w:val="00782FDA"/>
    <w:rsid w:val="007A476E"/>
    <w:rsid w:val="007B25BC"/>
    <w:rsid w:val="007E0D79"/>
    <w:rsid w:val="007E51D8"/>
    <w:rsid w:val="007F6C7D"/>
    <w:rsid w:val="00843216"/>
    <w:rsid w:val="00854339"/>
    <w:rsid w:val="008867A1"/>
    <w:rsid w:val="008C59C4"/>
    <w:rsid w:val="008D1441"/>
    <w:rsid w:val="008D468F"/>
    <w:rsid w:val="008E2525"/>
    <w:rsid w:val="00922B62"/>
    <w:rsid w:val="009267E2"/>
    <w:rsid w:val="00930EF2"/>
    <w:rsid w:val="00943D6A"/>
    <w:rsid w:val="00946C87"/>
    <w:rsid w:val="0095222D"/>
    <w:rsid w:val="009716B3"/>
    <w:rsid w:val="00971CF7"/>
    <w:rsid w:val="00975DF2"/>
    <w:rsid w:val="009776DD"/>
    <w:rsid w:val="0099479D"/>
    <w:rsid w:val="009B67AF"/>
    <w:rsid w:val="00A03AB3"/>
    <w:rsid w:val="00A46E3A"/>
    <w:rsid w:val="00A56D71"/>
    <w:rsid w:val="00A81B00"/>
    <w:rsid w:val="00A92878"/>
    <w:rsid w:val="00A9560E"/>
    <w:rsid w:val="00AB7E4F"/>
    <w:rsid w:val="00AC687E"/>
    <w:rsid w:val="00AD48A4"/>
    <w:rsid w:val="00AD70A6"/>
    <w:rsid w:val="00AE6BC9"/>
    <w:rsid w:val="00B11D2D"/>
    <w:rsid w:val="00B33C78"/>
    <w:rsid w:val="00B4269A"/>
    <w:rsid w:val="00B502A8"/>
    <w:rsid w:val="00B62F0B"/>
    <w:rsid w:val="00B72ABA"/>
    <w:rsid w:val="00B76A8D"/>
    <w:rsid w:val="00B92E00"/>
    <w:rsid w:val="00BA1FDF"/>
    <w:rsid w:val="00BB3841"/>
    <w:rsid w:val="00BD1C36"/>
    <w:rsid w:val="00BE2FCB"/>
    <w:rsid w:val="00BF4858"/>
    <w:rsid w:val="00C10BCE"/>
    <w:rsid w:val="00C302BF"/>
    <w:rsid w:val="00C63DD2"/>
    <w:rsid w:val="00C72DB1"/>
    <w:rsid w:val="00C93E69"/>
    <w:rsid w:val="00CB5B2F"/>
    <w:rsid w:val="00CD1E59"/>
    <w:rsid w:val="00CE2DE5"/>
    <w:rsid w:val="00D0052D"/>
    <w:rsid w:val="00D06968"/>
    <w:rsid w:val="00D11952"/>
    <w:rsid w:val="00D11DA5"/>
    <w:rsid w:val="00D16DB4"/>
    <w:rsid w:val="00D26575"/>
    <w:rsid w:val="00D415C6"/>
    <w:rsid w:val="00D512F0"/>
    <w:rsid w:val="00D62EC4"/>
    <w:rsid w:val="00D712E3"/>
    <w:rsid w:val="00DB478D"/>
    <w:rsid w:val="00DD7313"/>
    <w:rsid w:val="00DE3FFB"/>
    <w:rsid w:val="00E20392"/>
    <w:rsid w:val="00E24B28"/>
    <w:rsid w:val="00E353C8"/>
    <w:rsid w:val="00E927D8"/>
    <w:rsid w:val="00E93A21"/>
    <w:rsid w:val="00E94539"/>
    <w:rsid w:val="00EC13F8"/>
    <w:rsid w:val="00EC76AA"/>
    <w:rsid w:val="00ED1F62"/>
    <w:rsid w:val="00EF3B38"/>
    <w:rsid w:val="00F01FBA"/>
    <w:rsid w:val="00F04874"/>
    <w:rsid w:val="00F1325E"/>
    <w:rsid w:val="00F34E4F"/>
    <w:rsid w:val="00F51659"/>
    <w:rsid w:val="00F65FB4"/>
    <w:rsid w:val="00F74783"/>
    <w:rsid w:val="00FC059A"/>
    <w:rsid w:val="00FD4CE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DE9D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C63"/>
    <w:pPr>
      <w:spacing w:after="200" w:line="360" w:lineRule="auto"/>
      <w:jc w:val="both"/>
    </w:pPr>
    <w:rPr>
      <w:rFonts w:ascii="Times New Roman" w:hAnsi="Times New Roman"/>
      <w:color w:val="000000" w:themeColor="text1"/>
      <w:sz w:val="24"/>
      <w:lang w:val="en-GB"/>
      <w14:ligatures w14:val="none"/>
    </w:rPr>
  </w:style>
  <w:style w:type="paragraph" w:styleId="Heading1">
    <w:name w:val="heading 1"/>
    <w:basedOn w:val="Normal"/>
    <w:next w:val="Normal"/>
    <w:link w:val="Heading1Char"/>
    <w:autoRedefine/>
    <w:uiPriority w:val="9"/>
    <w:qFormat/>
    <w:rsid w:val="00F34E4F"/>
    <w:pPr>
      <w:keepNext/>
      <w:keepLines/>
      <w:spacing w:before="240" w:after="0"/>
      <w:outlineLvl w:val="0"/>
    </w:pPr>
    <w:rPr>
      <w:rFonts w:eastAsiaTheme="majorEastAsia" w:cstheme="majorBidi"/>
      <w:b/>
      <w:sz w:val="36"/>
      <w:szCs w:val="32"/>
      <w:lang w:val="en-IN"/>
    </w:rPr>
  </w:style>
  <w:style w:type="paragraph" w:styleId="Heading2">
    <w:name w:val="heading 2"/>
    <w:basedOn w:val="Normal"/>
    <w:next w:val="Normal"/>
    <w:link w:val="Heading2Char"/>
    <w:autoRedefine/>
    <w:uiPriority w:val="9"/>
    <w:unhideWhenUsed/>
    <w:qFormat/>
    <w:rsid w:val="00F34E4F"/>
    <w:pPr>
      <w:keepNext/>
      <w:keepLines/>
      <w:spacing w:before="40" w:after="0"/>
      <w:outlineLvl w:val="1"/>
    </w:pPr>
    <w:rPr>
      <w:rFonts w:eastAsiaTheme="majorEastAsia" w:cstheme="majorBidi"/>
      <w:b/>
      <w:kern w:val="2"/>
      <w:sz w:val="32"/>
      <w:szCs w:val="26"/>
      <w:lang w:val="en-IN"/>
      <w14:ligatures w14:val="standardContextual"/>
    </w:rPr>
  </w:style>
  <w:style w:type="paragraph" w:styleId="Heading3">
    <w:name w:val="heading 3"/>
    <w:basedOn w:val="Normal"/>
    <w:next w:val="Normal"/>
    <w:link w:val="Heading3Char"/>
    <w:uiPriority w:val="9"/>
    <w:unhideWhenUsed/>
    <w:qFormat/>
    <w:rsid w:val="00B72ABA"/>
    <w:pPr>
      <w:keepNext/>
      <w:keepLines/>
      <w:suppressAutoHyphens/>
      <w:autoSpaceDN w:val="0"/>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73258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3258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3258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3258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3258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3258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E4F"/>
    <w:rPr>
      <w:rFonts w:ascii="Times New Roman" w:eastAsiaTheme="majorEastAsia" w:hAnsi="Times New Roman" w:cstheme="majorBidi"/>
      <w:b/>
      <w:color w:val="000000" w:themeColor="text1"/>
      <w:sz w:val="36"/>
      <w:szCs w:val="32"/>
      <w:lang w:val="en-IN"/>
      <w14:ligatures w14:val="none"/>
    </w:rPr>
  </w:style>
  <w:style w:type="character" w:customStyle="1" w:styleId="Heading2Char">
    <w:name w:val="Heading 2 Char"/>
    <w:basedOn w:val="DefaultParagraphFont"/>
    <w:link w:val="Heading2"/>
    <w:uiPriority w:val="9"/>
    <w:rsid w:val="00F34E4F"/>
    <w:rPr>
      <w:rFonts w:ascii="Times New Roman" w:eastAsiaTheme="majorEastAsia" w:hAnsi="Times New Roman" w:cstheme="majorBidi"/>
      <w:b/>
      <w:color w:val="000000" w:themeColor="text1"/>
      <w:kern w:val="2"/>
      <w:sz w:val="32"/>
      <w:szCs w:val="26"/>
      <w:lang w:val="en-IN"/>
    </w:rPr>
  </w:style>
  <w:style w:type="character" w:customStyle="1" w:styleId="Heading3Char">
    <w:name w:val="Heading 3 Char"/>
    <w:basedOn w:val="DefaultParagraphFont"/>
    <w:link w:val="Heading3"/>
    <w:uiPriority w:val="9"/>
    <w:rsid w:val="00B72ABA"/>
    <w:rPr>
      <w:rFonts w:ascii="Times New Roman" w:eastAsiaTheme="majorEastAsia" w:hAnsi="Times New Roman" w:cstheme="majorBidi"/>
      <w:b/>
      <w:color w:val="000000" w:themeColor="text1"/>
      <w:kern w:val="0"/>
      <w:sz w:val="24"/>
      <w:szCs w:val="24"/>
      <w:lang w:val="en-GB"/>
    </w:rPr>
  </w:style>
  <w:style w:type="character" w:customStyle="1" w:styleId="Heading4Char">
    <w:name w:val="Heading 4 Char"/>
    <w:basedOn w:val="DefaultParagraphFont"/>
    <w:link w:val="Heading4"/>
    <w:uiPriority w:val="9"/>
    <w:semiHidden/>
    <w:rsid w:val="0073258E"/>
    <w:rPr>
      <w:rFonts w:eastAsiaTheme="majorEastAsia" w:cstheme="majorBidi"/>
      <w:i/>
      <w:iCs/>
      <w:color w:val="2F5496" w:themeColor="accent1" w:themeShade="BF"/>
      <w:sz w:val="24"/>
      <w:lang w:val="en-GB"/>
      <w14:ligatures w14:val="none"/>
    </w:rPr>
  </w:style>
  <w:style w:type="character" w:customStyle="1" w:styleId="Heading5Char">
    <w:name w:val="Heading 5 Char"/>
    <w:basedOn w:val="DefaultParagraphFont"/>
    <w:link w:val="Heading5"/>
    <w:uiPriority w:val="9"/>
    <w:semiHidden/>
    <w:rsid w:val="0073258E"/>
    <w:rPr>
      <w:rFonts w:eastAsiaTheme="majorEastAsia" w:cstheme="majorBidi"/>
      <w:color w:val="2F5496" w:themeColor="accent1" w:themeShade="BF"/>
      <w:sz w:val="24"/>
      <w:lang w:val="en-GB"/>
      <w14:ligatures w14:val="none"/>
    </w:rPr>
  </w:style>
  <w:style w:type="character" w:customStyle="1" w:styleId="Heading6Char">
    <w:name w:val="Heading 6 Char"/>
    <w:basedOn w:val="DefaultParagraphFont"/>
    <w:link w:val="Heading6"/>
    <w:uiPriority w:val="9"/>
    <w:semiHidden/>
    <w:rsid w:val="0073258E"/>
    <w:rPr>
      <w:rFonts w:eastAsiaTheme="majorEastAsia" w:cstheme="majorBidi"/>
      <w:i/>
      <w:iCs/>
      <w:color w:val="595959" w:themeColor="text1" w:themeTint="A6"/>
      <w:sz w:val="24"/>
      <w:lang w:val="en-GB"/>
      <w14:ligatures w14:val="none"/>
    </w:rPr>
  </w:style>
  <w:style w:type="character" w:customStyle="1" w:styleId="Heading7Char">
    <w:name w:val="Heading 7 Char"/>
    <w:basedOn w:val="DefaultParagraphFont"/>
    <w:link w:val="Heading7"/>
    <w:uiPriority w:val="9"/>
    <w:semiHidden/>
    <w:rsid w:val="0073258E"/>
    <w:rPr>
      <w:rFonts w:eastAsiaTheme="majorEastAsia" w:cstheme="majorBidi"/>
      <w:color w:val="595959" w:themeColor="text1" w:themeTint="A6"/>
      <w:sz w:val="24"/>
      <w:lang w:val="en-GB"/>
      <w14:ligatures w14:val="none"/>
    </w:rPr>
  </w:style>
  <w:style w:type="character" w:customStyle="1" w:styleId="Heading8Char">
    <w:name w:val="Heading 8 Char"/>
    <w:basedOn w:val="DefaultParagraphFont"/>
    <w:link w:val="Heading8"/>
    <w:uiPriority w:val="9"/>
    <w:semiHidden/>
    <w:rsid w:val="0073258E"/>
    <w:rPr>
      <w:rFonts w:eastAsiaTheme="majorEastAsia" w:cstheme="majorBidi"/>
      <w:i/>
      <w:iCs/>
      <w:color w:val="272727" w:themeColor="text1" w:themeTint="D8"/>
      <w:sz w:val="24"/>
      <w:lang w:val="en-GB"/>
      <w14:ligatures w14:val="none"/>
    </w:rPr>
  </w:style>
  <w:style w:type="character" w:customStyle="1" w:styleId="Heading9Char">
    <w:name w:val="Heading 9 Char"/>
    <w:basedOn w:val="DefaultParagraphFont"/>
    <w:link w:val="Heading9"/>
    <w:uiPriority w:val="9"/>
    <w:semiHidden/>
    <w:rsid w:val="0073258E"/>
    <w:rPr>
      <w:rFonts w:eastAsiaTheme="majorEastAsia" w:cstheme="majorBidi"/>
      <w:color w:val="272727" w:themeColor="text1" w:themeTint="D8"/>
      <w:sz w:val="24"/>
      <w:lang w:val="en-GB"/>
      <w14:ligatures w14:val="none"/>
    </w:rPr>
  </w:style>
  <w:style w:type="paragraph" w:styleId="Title">
    <w:name w:val="Title"/>
    <w:basedOn w:val="Normal"/>
    <w:next w:val="Normal"/>
    <w:link w:val="TitleChar"/>
    <w:uiPriority w:val="10"/>
    <w:qFormat/>
    <w:rsid w:val="0073258E"/>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73258E"/>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73258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258E"/>
    <w:rPr>
      <w:rFonts w:eastAsiaTheme="majorEastAsia" w:cstheme="majorBidi"/>
      <w:color w:val="595959" w:themeColor="text1" w:themeTint="A6"/>
      <w:spacing w:val="15"/>
      <w:sz w:val="28"/>
      <w:szCs w:val="28"/>
      <w:lang w:val="en-GB"/>
      <w14:ligatures w14:val="none"/>
    </w:rPr>
  </w:style>
  <w:style w:type="paragraph" w:styleId="Quote">
    <w:name w:val="Quote"/>
    <w:basedOn w:val="Normal"/>
    <w:next w:val="Normal"/>
    <w:link w:val="QuoteChar"/>
    <w:uiPriority w:val="29"/>
    <w:qFormat/>
    <w:rsid w:val="0073258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3258E"/>
    <w:rPr>
      <w:rFonts w:ascii="Times New Roman" w:hAnsi="Times New Roman"/>
      <w:i/>
      <w:iCs/>
      <w:color w:val="404040" w:themeColor="text1" w:themeTint="BF"/>
      <w:sz w:val="24"/>
      <w:lang w:val="en-GB"/>
      <w14:ligatures w14:val="none"/>
    </w:rPr>
  </w:style>
  <w:style w:type="paragraph" w:styleId="ListParagraph">
    <w:name w:val="List Paragraph"/>
    <w:basedOn w:val="Normal"/>
    <w:uiPriority w:val="34"/>
    <w:qFormat/>
    <w:rsid w:val="0073258E"/>
    <w:pPr>
      <w:ind w:left="720"/>
      <w:contextualSpacing/>
    </w:pPr>
  </w:style>
  <w:style w:type="character" w:styleId="IntenseEmphasis">
    <w:name w:val="Intense Emphasis"/>
    <w:basedOn w:val="DefaultParagraphFont"/>
    <w:uiPriority w:val="21"/>
    <w:qFormat/>
    <w:rsid w:val="0073258E"/>
    <w:rPr>
      <w:i/>
      <w:iCs/>
      <w:color w:val="2F5496" w:themeColor="accent1" w:themeShade="BF"/>
    </w:rPr>
  </w:style>
  <w:style w:type="paragraph" w:styleId="IntenseQuote">
    <w:name w:val="Intense Quote"/>
    <w:basedOn w:val="Normal"/>
    <w:next w:val="Normal"/>
    <w:link w:val="IntenseQuoteChar"/>
    <w:uiPriority w:val="30"/>
    <w:qFormat/>
    <w:rsid w:val="007325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258E"/>
    <w:rPr>
      <w:rFonts w:ascii="Times New Roman" w:hAnsi="Times New Roman"/>
      <w:i/>
      <w:iCs/>
      <w:color w:val="2F5496" w:themeColor="accent1" w:themeShade="BF"/>
      <w:sz w:val="24"/>
      <w:lang w:val="en-GB"/>
      <w14:ligatures w14:val="none"/>
    </w:rPr>
  </w:style>
  <w:style w:type="character" w:styleId="IntenseReference">
    <w:name w:val="Intense Reference"/>
    <w:basedOn w:val="DefaultParagraphFont"/>
    <w:uiPriority w:val="32"/>
    <w:qFormat/>
    <w:rsid w:val="0073258E"/>
    <w:rPr>
      <w:b/>
      <w:bCs/>
      <w:smallCaps/>
      <w:color w:val="2F5496" w:themeColor="accent1" w:themeShade="BF"/>
      <w:spacing w:val="5"/>
    </w:rPr>
  </w:style>
  <w:style w:type="paragraph" w:styleId="TOCHeading">
    <w:name w:val="TOC Heading"/>
    <w:basedOn w:val="Heading1"/>
    <w:next w:val="Normal"/>
    <w:uiPriority w:val="39"/>
    <w:unhideWhenUsed/>
    <w:qFormat/>
    <w:rsid w:val="00DB478D"/>
    <w:pPr>
      <w:spacing w:line="259" w:lineRule="auto"/>
      <w:jc w:val="left"/>
      <w:outlineLvl w:val="9"/>
    </w:pPr>
    <w:rPr>
      <w:rFonts w:asciiTheme="majorHAnsi" w:hAnsiTheme="majorHAnsi"/>
      <w:b w:val="0"/>
      <w:color w:val="2F5496" w:themeColor="accent1" w:themeShade="BF"/>
      <w:sz w:val="32"/>
      <w:lang w:val="en-US" w:bidi="hi-IN"/>
    </w:rPr>
  </w:style>
  <w:style w:type="paragraph" w:styleId="TOC1">
    <w:name w:val="toc 1"/>
    <w:basedOn w:val="Normal"/>
    <w:next w:val="Normal"/>
    <w:autoRedefine/>
    <w:uiPriority w:val="39"/>
    <w:unhideWhenUsed/>
    <w:rsid w:val="00DB478D"/>
    <w:pPr>
      <w:spacing w:after="100"/>
    </w:pPr>
  </w:style>
  <w:style w:type="character" w:styleId="Hyperlink">
    <w:name w:val="Hyperlink"/>
    <w:basedOn w:val="DefaultParagraphFont"/>
    <w:uiPriority w:val="99"/>
    <w:unhideWhenUsed/>
    <w:rsid w:val="00DB478D"/>
    <w:rPr>
      <w:color w:val="0563C1" w:themeColor="hyperlink"/>
      <w:u w:val="single"/>
    </w:rPr>
  </w:style>
  <w:style w:type="character" w:styleId="UnresolvedMention">
    <w:name w:val="Unresolved Mention"/>
    <w:basedOn w:val="DefaultParagraphFont"/>
    <w:uiPriority w:val="99"/>
    <w:semiHidden/>
    <w:unhideWhenUsed/>
    <w:rsid w:val="005777A4"/>
    <w:rPr>
      <w:color w:val="605E5C"/>
      <w:shd w:val="clear" w:color="auto" w:fill="E1DFDD"/>
    </w:rPr>
  </w:style>
  <w:style w:type="paragraph" w:styleId="Header">
    <w:name w:val="header"/>
    <w:basedOn w:val="Normal"/>
    <w:link w:val="HeaderChar"/>
    <w:uiPriority w:val="99"/>
    <w:unhideWhenUsed/>
    <w:rsid w:val="00B33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C78"/>
    <w:rPr>
      <w:rFonts w:ascii="Times New Roman" w:hAnsi="Times New Roman"/>
      <w:color w:val="000000" w:themeColor="text1"/>
      <w:sz w:val="24"/>
      <w:lang w:val="en-GB"/>
      <w14:ligatures w14:val="none"/>
    </w:rPr>
  </w:style>
  <w:style w:type="paragraph" w:styleId="Footer">
    <w:name w:val="footer"/>
    <w:basedOn w:val="Normal"/>
    <w:link w:val="FooterChar"/>
    <w:uiPriority w:val="99"/>
    <w:unhideWhenUsed/>
    <w:rsid w:val="00B33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3C78"/>
    <w:rPr>
      <w:rFonts w:ascii="Times New Roman" w:hAnsi="Times New Roman"/>
      <w:color w:val="000000" w:themeColor="text1"/>
      <w:sz w:val="24"/>
      <w:lang w:val="en-GB"/>
      <w14:ligatures w14:val="none"/>
    </w:rPr>
  </w:style>
  <w:style w:type="character" w:styleId="FollowedHyperlink">
    <w:name w:val="FollowedHyperlink"/>
    <w:basedOn w:val="DefaultParagraphFont"/>
    <w:uiPriority w:val="99"/>
    <w:semiHidden/>
    <w:unhideWhenUsed/>
    <w:rsid w:val="003C6F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kingsfund.org.uk/publications/integrated-care-systems-explained"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1FB15-BB2D-4B3A-A3C9-79935BCDD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2798</Words>
  <Characters>15953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2025-10-26T08:48:00Z</dcterms:created>
  <dcterms:modified xsi:type="dcterms:W3CDTF">2025-10-27T12:30:00Z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fdf4f8dc-534d-4332-bddd-4c1f3eaed0d0</vt:lpwstr>
  </property>
</Properties>
</file>