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92C37E" w14:textId="77777777" w:rsidR="000204E1" w:rsidRPr="000204E1" w:rsidRDefault="006000B6" w:rsidP="006000B6">
      <w:pPr>
        <w:pStyle w:val="NormalWeb"/>
        <w:spacing w:before="116" w:beforeAutospacing="0" w:after="0" w:afterAutospacing="0"/>
        <w:ind w:left="432" w:hanging="432"/>
        <w:rPr>
          <w:rFonts w:eastAsia="+mn-ea"/>
          <w:b/>
          <w:bCs/>
          <w:color w:val="000000"/>
          <w:kern w:val="24"/>
        </w:rPr>
      </w:pPr>
      <w:r w:rsidRPr="000204E1">
        <w:rPr>
          <w:rFonts w:eastAsia="+mn-ea"/>
          <w:b/>
          <w:bCs/>
          <w:color w:val="000000"/>
          <w:kern w:val="24"/>
        </w:rPr>
        <w:tab/>
      </w:r>
      <w:r w:rsidR="000204E1" w:rsidRPr="000204E1">
        <w:rPr>
          <w:rFonts w:eastAsia="+mn-ea"/>
          <w:b/>
          <w:bCs/>
          <w:color w:val="000000"/>
          <w:kern w:val="24"/>
        </w:rPr>
        <w:t>BMHP5017: Children and Young People’s Health, Wellbeing and Resilience.</w:t>
      </w:r>
    </w:p>
    <w:p w14:paraId="72F68B6D" w14:textId="4D6290AA" w:rsidR="006000B6" w:rsidRPr="006000B6" w:rsidRDefault="000204E1" w:rsidP="006000B6">
      <w:pPr>
        <w:pStyle w:val="NormalWeb"/>
        <w:spacing w:before="116" w:beforeAutospacing="0" w:after="0" w:afterAutospacing="0"/>
        <w:ind w:left="432" w:hanging="432"/>
        <w:rPr>
          <w:rFonts w:eastAsia="+mn-ea"/>
          <w:b/>
          <w:bCs/>
          <w:color w:val="000000"/>
          <w:kern w:val="24"/>
        </w:rPr>
      </w:pPr>
      <w:r>
        <w:rPr>
          <w:rFonts w:eastAsia="+mn-ea"/>
          <w:color w:val="000000"/>
          <w:kern w:val="24"/>
        </w:rPr>
        <w:tab/>
      </w:r>
      <w:r w:rsidR="006000B6" w:rsidRPr="006000B6">
        <w:rPr>
          <w:rFonts w:eastAsia="+mn-ea"/>
          <w:b/>
          <w:bCs/>
          <w:color w:val="000000"/>
          <w:kern w:val="24"/>
        </w:rPr>
        <w:t>Useful references</w:t>
      </w:r>
    </w:p>
    <w:p w14:paraId="7433459B" w14:textId="06D2320E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>
        <w:rPr>
          <w:rFonts w:eastAsia="+mn-ea"/>
          <w:color w:val="000000"/>
          <w:kern w:val="24"/>
        </w:rPr>
        <w:tab/>
      </w:r>
      <w:r w:rsidRPr="006000B6">
        <w:rPr>
          <w:rFonts w:eastAsia="+mn-ea"/>
          <w:color w:val="000000"/>
          <w:kern w:val="24"/>
        </w:rPr>
        <w:t xml:space="preserve">Abraham, </w:t>
      </w:r>
      <w:proofErr w:type="gramStart"/>
      <w:r w:rsidRPr="006000B6">
        <w:rPr>
          <w:rFonts w:eastAsia="+mn-ea"/>
          <w:color w:val="000000"/>
          <w:kern w:val="24"/>
        </w:rPr>
        <w:t>C</w:t>
      </w:r>
      <w:r>
        <w:rPr>
          <w:rFonts w:eastAsia="+mn-ea"/>
          <w:color w:val="000000"/>
          <w:kern w:val="24"/>
        </w:rPr>
        <w:t>.</w:t>
      </w:r>
      <w:r w:rsidRPr="006000B6">
        <w:rPr>
          <w:rFonts w:eastAsia="+mn-ea"/>
          <w:color w:val="000000"/>
          <w:kern w:val="24"/>
        </w:rPr>
        <w:t xml:space="preserve"> ,</w:t>
      </w:r>
      <w:proofErr w:type="gram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Southby</w:t>
      </w:r>
      <w:proofErr w:type="spellEnd"/>
      <w:r w:rsidRPr="006000B6">
        <w:rPr>
          <w:rFonts w:eastAsia="+mn-ea"/>
          <w:color w:val="000000"/>
          <w:kern w:val="24"/>
        </w:rPr>
        <w:t xml:space="preserve">, L., </w:t>
      </w:r>
      <w:proofErr w:type="spellStart"/>
      <w:r w:rsidRPr="006000B6">
        <w:rPr>
          <w:rFonts w:eastAsia="+mn-ea"/>
          <w:color w:val="000000"/>
          <w:kern w:val="24"/>
        </w:rPr>
        <w:t>Quandte</w:t>
      </w:r>
      <w:proofErr w:type="spellEnd"/>
      <w:r w:rsidRPr="006000B6">
        <w:rPr>
          <w:rFonts w:eastAsia="+mn-ea"/>
          <w:color w:val="000000"/>
          <w:kern w:val="24"/>
        </w:rPr>
        <w:t xml:space="preserve">, S, </w:t>
      </w:r>
      <w:proofErr w:type="spellStart"/>
      <w:r w:rsidRPr="006000B6">
        <w:rPr>
          <w:rFonts w:eastAsia="+mn-ea"/>
          <w:color w:val="000000"/>
          <w:kern w:val="24"/>
        </w:rPr>
        <w:t>Krahe</w:t>
      </w:r>
      <w:proofErr w:type="spellEnd"/>
      <w:r w:rsidRPr="006000B6">
        <w:rPr>
          <w:rFonts w:eastAsia="+mn-ea"/>
          <w:color w:val="000000"/>
          <w:kern w:val="24"/>
        </w:rPr>
        <w:t xml:space="preserve">, B. and van der </w:t>
      </w:r>
      <w:proofErr w:type="spellStart"/>
      <w:r w:rsidRPr="006000B6">
        <w:rPr>
          <w:rFonts w:eastAsia="+mn-ea"/>
          <w:color w:val="000000"/>
          <w:kern w:val="24"/>
        </w:rPr>
        <w:t>Sluijs</w:t>
      </w:r>
      <w:proofErr w:type="spellEnd"/>
      <w:r w:rsidRPr="006000B6">
        <w:rPr>
          <w:rFonts w:eastAsia="+mn-ea"/>
          <w:color w:val="000000"/>
          <w:kern w:val="24"/>
        </w:rPr>
        <w:t xml:space="preserve">, W.  (2007). ‘What’s in a leaflet? Identifying research-based persuasive messages in European alcohol-education leaflets’, </w:t>
      </w:r>
      <w:r w:rsidRPr="006000B6">
        <w:rPr>
          <w:rFonts w:eastAsia="+mn-ea"/>
          <w:i/>
          <w:iCs/>
          <w:color w:val="000000"/>
          <w:kern w:val="24"/>
        </w:rPr>
        <w:t>Psychology and Health</w:t>
      </w:r>
      <w:r w:rsidRPr="006000B6">
        <w:rPr>
          <w:rFonts w:eastAsia="+mn-ea"/>
          <w:color w:val="000000"/>
          <w:kern w:val="24"/>
        </w:rPr>
        <w:t xml:space="preserve">, 22(1), pp. 31– 60.  </w:t>
      </w:r>
    </w:p>
    <w:p w14:paraId="6E0252B4" w14:textId="5FE952BA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 Acheson, D.  (1998).  </w:t>
      </w:r>
      <w:r w:rsidRPr="006000B6">
        <w:rPr>
          <w:rFonts w:eastAsia="+mn-ea"/>
          <w:i/>
          <w:iCs/>
          <w:color w:val="000000"/>
          <w:kern w:val="24"/>
        </w:rPr>
        <w:t>Independent Inquiry into Inequalities in Health Report</w:t>
      </w:r>
      <w:r w:rsidRPr="006000B6">
        <w:rPr>
          <w:rFonts w:eastAsia="+mn-ea"/>
          <w:color w:val="000000"/>
          <w:kern w:val="24"/>
        </w:rPr>
        <w:t xml:space="preserve">.  London: The Stationery Office.  Available at: </w:t>
      </w:r>
      <w:hyperlink r:id="rId6" w:history="1">
        <w:r w:rsidRPr="006000B6">
          <w:rPr>
            <w:rStyle w:val="Hyperlink"/>
            <w:rFonts w:eastAsia="+mn-ea"/>
            <w:color w:val="000000"/>
            <w:kern w:val="24"/>
          </w:rPr>
          <w:t>https://assets.publishing.service.gov.uk/government/uploads/system/uploads/attachment_data/file/265503/ih.pdf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6"/>
          <w:vertAlign w:val="superscript"/>
        </w:rPr>
        <w:t>nd</w:t>
      </w:r>
      <w:proofErr w:type="spellEnd"/>
      <w:r w:rsidR="00323C3A">
        <w:rPr>
          <w:rFonts w:eastAsia="+mn-ea"/>
          <w:color w:val="000000"/>
          <w:kern w:val="24"/>
        </w:rPr>
        <w:t xml:space="preserve"> </w:t>
      </w:r>
      <w:r w:rsidRPr="006000B6">
        <w:rPr>
          <w:rFonts w:eastAsia="+mn-ea"/>
          <w:color w:val="000000"/>
          <w:kern w:val="24"/>
        </w:rPr>
        <w:t xml:space="preserve">October, 2020).   </w:t>
      </w:r>
    </w:p>
    <w:p w14:paraId="6A2BA5EB" w14:textId="2833E4DE" w:rsidR="006000B6" w:rsidRPr="00323C3A" w:rsidRDefault="006000B6" w:rsidP="006000B6">
      <w:pPr>
        <w:pStyle w:val="NormalWeb"/>
        <w:spacing w:before="116" w:beforeAutospacing="0" w:after="0" w:afterAutospacing="0"/>
        <w:ind w:left="432" w:hanging="432"/>
        <w:rPr>
          <w:rFonts w:eastAsia="+mn-ea"/>
          <w:color w:val="000000"/>
          <w:kern w:val="24"/>
        </w:rPr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Ajzen</w:t>
      </w:r>
      <w:proofErr w:type="spellEnd"/>
      <w:r w:rsidRPr="006000B6">
        <w:rPr>
          <w:rFonts w:eastAsia="+mn-ea"/>
          <w:color w:val="000000"/>
          <w:kern w:val="24"/>
        </w:rPr>
        <w:t xml:space="preserve">, I. and Fishbein, M.  (1970).  ‘The prediction of </w:t>
      </w:r>
      <w:proofErr w:type="spellStart"/>
      <w:r w:rsidRPr="006000B6">
        <w:rPr>
          <w:rFonts w:eastAsia="+mn-ea"/>
          <w:color w:val="000000"/>
          <w:kern w:val="24"/>
        </w:rPr>
        <w:t>behavior</w:t>
      </w:r>
      <w:proofErr w:type="spellEnd"/>
      <w:r w:rsidRPr="006000B6">
        <w:rPr>
          <w:rFonts w:eastAsia="+mn-ea"/>
          <w:color w:val="000000"/>
          <w:kern w:val="24"/>
        </w:rPr>
        <w:t xml:space="preserve"> from attitudinal and normative variables’,</w:t>
      </w:r>
      <w:r w:rsidRPr="006000B6">
        <w:rPr>
          <w:rFonts w:eastAsia="+mn-ea"/>
          <w:i/>
          <w:iCs/>
          <w:color w:val="000000"/>
          <w:kern w:val="24"/>
        </w:rPr>
        <w:t xml:space="preserve"> Journal of Experimental Social Psycholog</w:t>
      </w:r>
      <w:r w:rsidRPr="006000B6">
        <w:rPr>
          <w:rFonts w:eastAsia="+mn-ea"/>
          <w:color w:val="000000"/>
          <w:kern w:val="24"/>
        </w:rPr>
        <w:t xml:space="preserve">y’, 6 (4), pp. 466 – 487.  </w:t>
      </w:r>
    </w:p>
    <w:p w14:paraId="2789232E" w14:textId="4E7DA18F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Ajzen</w:t>
      </w:r>
      <w:proofErr w:type="spellEnd"/>
      <w:r w:rsidRPr="006000B6">
        <w:rPr>
          <w:rFonts w:eastAsia="+mn-ea"/>
          <w:color w:val="000000"/>
          <w:kern w:val="24"/>
        </w:rPr>
        <w:t xml:space="preserve">, I. and Fishbein, M.  (1980).   </w:t>
      </w:r>
      <w:r w:rsidRPr="006000B6">
        <w:rPr>
          <w:rFonts w:eastAsia="+mn-ea"/>
          <w:i/>
          <w:iCs/>
          <w:color w:val="000000"/>
          <w:kern w:val="24"/>
        </w:rPr>
        <w:t>Understanding Attitudes and Predicting Social</w:t>
      </w:r>
      <w:r w:rsidR="00323C3A">
        <w:rPr>
          <w:rFonts w:eastAsia="+mn-ea"/>
          <w:i/>
          <w:iCs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i/>
          <w:iCs/>
          <w:color w:val="000000"/>
          <w:kern w:val="24"/>
        </w:rPr>
        <w:t>Behavior</w:t>
      </w:r>
      <w:proofErr w:type="spellEnd"/>
      <w:r w:rsidRPr="006000B6">
        <w:rPr>
          <w:rFonts w:eastAsia="+mn-ea"/>
          <w:color w:val="000000"/>
          <w:kern w:val="24"/>
        </w:rPr>
        <w:t xml:space="preserve">.  London: Pearson.  </w:t>
      </w:r>
    </w:p>
    <w:p w14:paraId="3875920E" w14:textId="77777777" w:rsidR="00323C3A" w:rsidRDefault="006000B6" w:rsidP="00323C3A">
      <w:pPr>
        <w:pStyle w:val="NormalWeb"/>
        <w:spacing w:before="0" w:beforeAutospacing="0" w:after="0" w:afterAutospacing="0"/>
        <w:ind w:left="432" w:hanging="432"/>
        <w:rPr>
          <w:rFonts w:eastAsia="+mn-ea"/>
          <w:color w:val="000000"/>
          <w:kern w:val="24"/>
        </w:rPr>
      </w:pPr>
      <w:r w:rsidRPr="006000B6">
        <w:rPr>
          <w:rFonts w:eastAsia="+mn-ea"/>
          <w:color w:val="000000"/>
          <w:kern w:val="24"/>
        </w:rPr>
        <w:t xml:space="preserve">  </w:t>
      </w:r>
      <w:r w:rsidRPr="006000B6">
        <w:rPr>
          <w:rFonts w:eastAsia="+mn-ea"/>
          <w:color w:val="000000"/>
          <w:kern w:val="24"/>
        </w:rPr>
        <w:tab/>
      </w:r>
    </w:p>
    <w:p w14:paraId="53176A63" w14:textId="1170FF53" w:rsidR="006000B6" w:rsidRPr="00323C3A" w:rsidRDefault="00323C3A" w:rsidP="00323C3A">
      <w:pPr>
        <w:pStyle w:val="NormalWeb"/>
        <w:spacing w:before="0" w:beforeAutospacing="0" w:after="0" w:afterAutospacing="0"/>
        <w:ind w:left="432" w:hanging="432"/>
        <w:rPr>
          <w:rFonts w:eastAsia="+mn-ea"/>
          <w:color w:val="000000"/>
          <w:kern w:val="24"/>
        </w:rPr>
      </w:pPr>
      <w:r>
        <w:rPr>
          <w:rFonts w:eastAsia="+mn-ea"/>
          <w:color w:val="000000"/>
          <w:kern w:val="24"/>
        </w:rPr>
        <w:tab/>
      </w:r>
      <w:r w:rsidR="006000B6" w:rsidRPr="006000B6">
        <w:rPr>
          <w:rFonts w:eastAsia="+mn-ea"/>
          <w:color w:val="000000"/>
          <w:kern w:val="24"/>
        </w:rPr>
        <w:t>Annandale, E. and Field, D.  (2007).  ‘Social patterns in health and disease’, in Taylor, S.</w:t>
      </w:r>
      <w:r>
        <w:rPr>
          <w:rFonts w:eastAsia="+mn-ea"/>
          <w:color w:val="000000"/>
          <w:kern w:val="24"/>
        </w:rPr>
        <w:t xml:space="preserve"> </w:t>
      </w:r>
      <w:r w:rsidR="006000B6" w:rsidRPr="006000B6">
        <w:rPr>
          <w:rFonts w:eastAsia="+mn-ea"/>
          <w:color w:val="000000"/>
          <w:kern w:val="24"/>
        </w:rPr>
        <w:t xml:space="preserve">and Field, D.  (Eds.).  </w:t>
      </w:r>
      <w:r w:rsidR="006000B6" w:rsidRPr="006000B6">
        <w:rPr>
          <w:rFonts w:eastAsia="+mn-ea"/>
          <w:i/>
          <w:iCs/>
          <w:color w:val="000000"/>
          <w:kern w:val="24"/>
        </w:rPr>
        <w:t xml:space="preserve">Sociology of Health and Health Care.  </w:t>
      </w:r>
      <w:r w:rsidR="006000B6" w:rsidRPr="006000B6">
        <w:rPr>
          <w:rFonts w:eastAsia="+mn-ea"/>
          <w:color w:val="000000"/>
          <w:kern w:val="24"/>
        </w:rPr>
        <w:t>(4</w:t>
      </w:r>
      <w:proofErr w:type="spellStart"/>
      <w:r w:rsidR="006000B6" w:rsidRPr="006000B6">
        <w:rPr>
          <w:rFonts w:eastAsia="+mn-ea"/>
          <w:color w:val="000000"/>
          <w:kern w:val="24"/>
          <w:position w:val="6"/>
          <w:vertAlign w:val="superscript"/>
        </w:rPr>
        <w:t>th</w:t>
      </w:r>
      <w:proofErr w:type="spellEnd"/>
      <w:r w:rsidR="006000B6" w:rsidRPr="006000B6">
        <w:rPr>
          <w:rFonts w:eastAsia="+mn-ea"/>
          <w:color w:val="000000"/>
          <w:kern w:val="24"/>
        </w:rPr>
        <w:t xml:space="preserve"> </w:t>
      </w:r>
      <w:proofErr w:type="spellStart"/>
      <w:r w:rsidR="006000B6" w:rsidRPr="006000B6">
        <w:rPr>
          <w:rFonts w:eastAsia="+mn-ea"/>
          <w:color w:val="000000"/>
          <w:kern w:val="24"/>
        </w:rPr>
        <w:t>edn</w:t>
      </w:r>
      <w:proofErr w:type="spellEnd"/>
      <w:r w:rsidR="006000B6" w:rsidRPr="006000B6">
        <w:rPr>
          <w:rFonts w:eastAsia="+mn-ea"/>
          <w:color w:val="000000"/>
          <w:kern w:val="24"/>
        </w:rPr>
        <w:t xml:space="preserve">.).  Oxford: Blackwell, pp. 45 – 68.  </w:t>
      </w:r>
    </w:p>
    <w:p w14:paraId="4459272A" w14:textId="10E65876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Becker, M.  (1974).  ‘The Health Belief Model and personal health behaviour’, </w:t>
      </w:r>
      <w:r w:rsidRPr="00323C3A">
        <w:rPr>
          <w:rFonts w:eastAsia="+mn-ea"/>
          <w:i/>
          <w:iCs/>
          <w:color w:val="000000"/>
          <w:kern w:val="24"/>
        </w:rPr>
        <w:t>Health Education Monographs</w:t>
      </w:r>
      <w:r w:rsidRPr="006000B6">
        <w:rPr>
          <w:rFonts w:eastAsia="+mn-ea"/>
          <w:color w:val="000000"/>
          <w:kern w:val="24"/>
        </w:rPr>
        <w:t>, 2 (4), pp. 324 – 473</w:t>
      </w:r>
      <w:r w:rsidR="00323C3A">
        <w:rPr>
          <w:rFonts w:eastAsia="+mn-ea"/>
          <w:color w:val="000000"/>
          <w:kern w:val="24"/>
        </w:rPr>
        <w:t>.</w:t>
      </w:r>
      <w:r w:rsidRPr="006000B6">
        <w:rPr>
          <w:rFonts w:eastAsia="+mn-ea"/>
          <w:color w:val="000000"/>
          <w:kern w:val="24"/>
        </w:rPr>
        <w:t xml:space="preserve">  </w:t>
      </w:r>
    </w:p>
    <w:p w14:paraId="2B404FE0" w14:textId="5A164119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Benyamini</w:t>
      </w:r>
      <w:proofErr w:type="spellEnd"/>
      <w:r w:rsidRPr="006000B6">
        <w:rPr>
          <w:rFonts w:eastAsia="+mn-ea"/>
          <w:color w:val="000000"/>
          <w:kern w:val="24"/>
        </w:rPr>
        <w:t>, Y.  (2014).  ‘Health and Illness Perceptions’, in Friedman, H.S. (Ed.).</w:t>
      </w:r>
      <w:r w:rsidRPr="006000B6">
        <w:rPr>
          <w:rFonts w:eastAsia="+mn-ea"/>
          <w:i/>
          <w:iCs/>
          <w:color w:val="000000"/>
          <w:kern w:val="24"/>
        </w:rPr>
        <w:t xml:space="preserve">  The Oxford Handbook of Health Psychology.  </w:t>
      </w:r>
      <w:r w:rsidRPr="006000B6">
        <w:rPr>
          <w:rFonts w:eastAsia="+mn-ea"/>
          <w:color w:val="000000"/>
          <w:kern w:val="24"/>
        </w:rPr>
        <w:t>Oxford: Oxford University Press</w:t>
      </w:r>
      <w:r w:rsidR="00323C3A">
        <w:rPr>
          <w:rFonts w:eastAsia="+mn-ea"/>
          <w:color w:val="000000"/>
          <w:kern w:val="24"/>
        </w:rPr>
        <w:t>.</w:t>
      </w:r>
    </w:p>
    <w:p w14:paraId="5D450124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Bertholet</w:t>
      </w:r>
      <w:proofErr w:type="spellEnd"/>
      <w:r w:rsidRPr="006000B6">
        <w:rPr>
          <w:rFonts w:eastAsia="+mn-ea"/>
          <w:color w:val="000000"/>
          <w:kern w:val="24"/>
        </w:rPr>
        <w:t xml:space="preserve">, N., Cheng, D.M., </w:t>
      </w:r>
      <w:proofErr w:type="spellStart"/>
      <w:r w:rsidRPr="006000B6">
        <w:rPr>
          <w:rFonts w:eastAsia="+mn-ea"/>
          <w:color w:val="000000"/>
          <w:kern w:val="24"/>
        </w:rPr>
        <w:t>Palfai</w:t>
      </w:r>
      <w:proofErr w:type="spellEnd"/>
      <w:r w:rsidRPr="006000B6">
        <w:rPr>
          <w:rFonts w:eastAsia="+mn-ea"/>
          <w:color w:val="000000"/>
          <w:kern w:val="24"/>
        </w:rPr>
        <w:t xml:space="preserve">, T.P., </w:t>
      </w:r>
      <w:proofErr w:type="spellStart"/>
      <w:r w:rsidRPr="006000B6">
        <w:rPr>
          <w:rFonts w:eastAsia="+mn-ea"/>
          <w:color w:val="000000"/>
          <w:kern w:val="24"/>
        </w:rPr>
        <w:t>Samet</w:t>
      </w:r>
      <w:proofErr w:type="spellEnd"/>
      <w:r w:rsidRPr="006000B6">
        <w:rPr>
          <w:rFonts w:eastAsia="+mn-ea"/>
          <w:color w:val="000000"/>
          <w:kern w:val="24"/>
        </w:rPr>
        <w:t xml:space="preserve">, J. H. and </w:t>
      </w:r>
      <w:proofErr w:type="spellStart"/>
      <w:r w:rsidRPr="006000B6">
        <w:rPr>
          <w:rFonts w:eastAsia="+mn-ea"/>
          <w:color w:val="000000"/>
          <w:kern w:val="24"/>
        </w:rPr>
        <w:t>Saitz</w:t>
      </w:r>
      <w:proofErr w:type="spellEnd"/>
      <w:r w:rsidRPr="006000B6">
        <w:rPr>
          <w:rFonts w:eastAsia="+mn-ea"/>
          <w:color w:val="000000"/>
          <w:kern w:val="24"/>
        </w:rPr>
        <w:t xml:space="preserve">, R.  (2009).  ‘Does readiness to change predict subsequent alcohol consumption in medical inpatients with unhealthy alcohol use?’, </w:t>
      </w:r>
      <w:r w:rsidRPr="006000B6">
        <w:rPr>
          <w:rFonts w:eastAsia="+mn-ea"/>
          <w:i/>
          <w:iCs/>
          <w:color w:val="000000"/>
          <w:kern w:val="24"/>
        </w:rPr>
        <w:t xml:space="preserve">Addictive </w:t>
      </w:r>
      <w:proofErr w:type="spellStart"/>
      <w:r w:rsidRPr="006000B6">
        <w:rPr>
          <w:rFonts w:eastAsia="+mn-ea"/>
          <w:i/>
          <w:iCs/>
          <w:color w:val="000000"/>
          <w:kern w:val="24"/>
        </w:rPr>
        <w:t>Behaviors</w:t>
      </w:r>
      <w:proofErr w:type="spellEnd"/>
      <w:r w:rsidRPr="006000B6">
        <w:rPr>
          <w:rFonts w:eastAsia="+mn-ea"/>
          <w:color w:val="000000"/>
          <w:kern w:val="24"/>
        </w:rPr>
        <w:t xml:space="preserve">, 34 (8), pp. 66 – 640.   </w:t>
      </w:r>
    </w:p>
    <w:p w14:paraId="3B49A7D5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Blaxter</w:t>
      </w:r>
      <w:proofErr w:type="spellEnd"/>
      <w:r w:rsidRPr="006000B6">
        <w:rPr>
          <w:rFonts w:eastAsia="+mn-ea"/>
          <w:color w:val="000000"/>
          <w:kern w:val="24"/>
        </w:rPr>
        <w:t xml:space="preserve">, M.  (2010). </w:t>
      </w:r>
      <w:r w:rsidRPr="006000B6">
        <w:rPr>
          <w:rFonts w:eastAsia="+mn-ea"/>
          <w:i/>
          <w:iCs/>
          <w:color w:val="000000"/>
          <w:kern w:val="24"/>
        </w:rPr>
        <w:t>Health</w:t>
      </w:r>
      <w:r w:rsidRPr="006000B6">
        <w:rPr>
          <w:rFonts w:eastAsia="+mn-ea"/>
          <w:color w:val="000000"/>
          <w:kern w:val="24"/>
        </w:rPr>
        <w:t>.  (2</w:t>
      </w:r>
      <w:proofErr w:type="spellStart"/>
      <w:r w:rsidRPr="006000B6">
        <w:rPr>
          <w:rFonts w:eastAsia="+mn-ea"/>
          <w:color w:val="000000"/>
          <w:kern w:val="24"/>
          <w:position w:val="6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>.).  Cambridge: Polity Press.</w:t>
      </w:r>
    </w:p>
    <w:p w14:paraId="13B8637C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Boudreau, F. and Godin, G.  (2009). ‘Understanding physical activity intentions among French Canadians with type 2 diabetes: an extension of </w:t>
      </w:r>
      <w:proofErr w:type="spellStart"/>
      <w:r w:rsidRPr="006000B6">
        <w:rPr>
          <w:rFonts w:eastAsia="+mn-ea"/>
          <w:color w:val="000000"/>
          <w:kern w:val="24"/>
        </w:rPr>
        <w:t>Ajzen's</w:t>
      </w:r>
      <w:proofErr w:type="spellEnd"/>
      <w:r w:rsidRPr="006000B6">
        <w:rPr>
          <w:rFonts w:eastAsia="+mn-ea"/>
          <w:color w:val="000000"/>
          <w:kern w:val="24"/>
        </w:rPr>
        <w:t xml:space="preserve"> theory of planned behaviour’, </w:t>
      </w:r>
      <w:r w:rsidRPr="006000B6">
        <w:rPr>
          <w:rFonts w:eastAsia="+mn-ea"/>
          <w:i/>
          <w:iCs/>
          <w:color w:val="000000"/>
          <w:kern w:val="24"/>
        </w:rPr>
        <w:t xml:space="preserve">International Journal of </w:t>
      </w:r>
      <w:proofErr w:type="spellStart"/>
      <w:r w:rsidRPr="006000B6">
        <w:rPr>
          <w:rFonts w:eastAsia="+mn-ea"/>
          <w:i/>
          <w:iCs/>
          <w:color w:val="000000"/>
          <w:kern w:val="24"/>
        </w:rPr>
        <w:t>Behavioral</w:t>
      </w:r>
      <w:proofErr w:type="spellEnd"/>
      <w:r w:rsidRPr="006000B6">
        <w:rPr>
          <w:rFonts w:eastAsia="+mn-ea"/>
          <w:i/>
          <w:iCs/>
          <w:color w:val="000000"/>
          <w:kern w:val="24"/>
        </w:rPr>
        <w:t xml:space="preserve"> Nutrition and Physical Activity</w:t>
      </w:r>
      <w:r w:rsidRPr="006000B6">
        <w:rPr>
          <w:rFonts w:eastAsia="+mn-ea"/>
          <w:color w:val="000000"/>
          <w:kern w:val="24"/>
        </w:rPr>
        <w:t xml:space="preserve">, 6, pp. 35 – 45.  </w:t>
      </w:r>
    </w:p>
    <w:p w14:paraId="23CD3C01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Cooke, R. and French, D.P.  (2008). ‘How well do the theory of reasoned action and theory of planned behaviour </w:t>
      </w:r>
      <w:proofErr w:type="gramStart"/>
      <w:r w:rsidRPr="006000B6">
        <w:rPr>
          <w:rFonts w:eastAsia="+mn-ea"/>
          <w:color w:val="000000"/>
          <w:kern w:val="24"/>
        </w:rPr>
        <w:t>predict</w:t>
      </w:r>
      <w:proofErr w:type="gramEnd"/>
      <w:r w:rsidRPr="006000B6">
        <w:rPr>
          <w:rFonts w:eastAsia="+mn-ea"/>
          <w:color w:val="000000"/>
          <w:kern w:val="24"/>
        </w:rPr>
        <w:t xml:space="preserve"> intentions and attendance at screening programmes? A meta-analysis’, </w:t>
      </w:r>
      <w:r w:rsidRPr="006000B6">
        <w:rPr>
          <w:rFonts w:eastAsia="+mn-ea"/>
          <w:i/>
          <w:iCs/>
          <w:color w:val="000000"/>
          <w:kern w:val="24"/>
        </w:rPr>
        <w:t>Psychology and Health</w:t>
      </w:r>
      <w:r w:rsidRPr="006000B6">
        <w:rPr>
          <w:rFonts w:eastAsia="+mn-ea"/>
          <w:color w:val="000000"/>
          <w:kern w:val="24"/>
        </w:rPr>
        <w:t xml:space="preserve">, 23(7) 745 – 765.  </w:t>
      </w:r>
    </w:p>
    <w:p w14:paraId="1383AF6F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Coulson, B. and Hallam, B.  (2011).  ‘The individual in society’, in Barnard, A.  (Ed.). </w:t>
      </w:r>
      <w:r w:rsidRPr="006000B6">
        <w:rPr>
          <w:rFonts w:eastAsia="+mn-ea"/>
          <w:i/>
          <w:iCs/>
          <w:color w:val="000000"/>
          <w:kern w:val="24"/>
        </w:rPr>
        <w:t xml:space="preserve"> Key Themes in Health and Social Care: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a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Companion to Learning.  </w:t>
      </w:r>
      <w:r w:rsidRPr="006000B6">
        <w:rPr>
          <w:rFonts w:eastAsia="+mn-ea"/>
          <w:color w:val="000000"/>
          <w:kern w:val="24"/>
        </w:rPr>
        <w:t xml:space="preserve">London: Routledge, pp. 34 – 49.  </w:t>
      </w:r>
    </w:p>
    <w:p w14:paraId="3DEDEA39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Dahlgren, G. and Whitehead, M.  (2006). </w:t>
      </w:r>
      <w:r w:rsidRPr="006000B6">
        <w:rPr>
          <w:rFonts w:eastAsia="+mn-ea"/>
          <w:i/>
          <w:iCs/>
          <w:color w:val="000000"/>
          <w:kern w:val="24"/>
        </w:rPr>
        <w:t xml:space="preserve">European strategies for tackling social inequities in health: Levelling up Part 2. </w:t>
      </w:r>
      <w:r w:rsidRPr="006000B6">
        <w:rPr>
          <w:rFonts w:eastAsia="+mn-ea"/>
          <w:color w:val="000000"/>
          <w:kern w:val="24"/>
        </w:rPr>
        <w:t>Copenhagen: World Health Organization Regional Office for Europe</w:t>
      </w:r>
      <w:r w:rsidRPr="006000B6">
        <w:rPr>
          <w:rFonts w:eastAsia="+mn-ea"/>
          <w:i/>
          <w:iCs/>
          <w:color w:val="000000"/>
          <w:kern w:val="24"/>
        </w:rPr>
        <w:t xml:space="preserve">.  </w:t>
      </w:r>
      <w:r w:rsidRPr="006000B6">
        <w:rPr>
          <w:rFonts w:eastAsia="+mn-ea"/>
          <w:color w:val="000000"/>
          <w:kern w:val="24"/>
        </w:rPr>
        <w:t xml:space="preserve">Available at: </w:t>
      </w:r>
      <w:hyperlink r:id="rId7" w:history="1">
        <w:r w:rsidRPr="006000B6">
          <w:rPr>
            <w:rStyle w:val="Hyperlink"/>
            <w:rFonts w:eastAsia="+mn-ea"/>
            <w:color w:val="000000"/>
            <w:kern w:val="24"/>
          </w:rPr>
          <w:t>https://www.euro.who.int/__data/assets/pdf_file/0018/103824/E89384.pdf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6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2020).   </w:t>
      </w:r>
    </w:p>
    <w:p w14:paraId="6B3F6FAF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Department of Health and Social Security (DHSS).  1980.   </w:t>
      </w:r>
      <w:r w:rsidRPr="006000B6">
        <w:rPr>
          <w:rFonts w:eastAsia="+mn-ea"/>
          <w:i/>
          <w:iCs/>
          <w:color w:val="000000"/>
          <w:kern w:val="24"/>
        </w:rPr>
        <w:t>Inequalities in health: report of a research working group</w:t>
      </w:r>
      <w:r w:rsidRPr="006000B6">
        <w:rPr>
          <w:rFonts w:eastAsia="+mn-ea"/>
          <w:color w:val="000000"/>
          <w:kern w:val="24"/>
        </w:rPr>
        <w:t>.  London: HMSO.</w:t>
      </w:r>
    </w:p>
    <w:p w14:paraId="7BAC8AC0" w14:textId="113A3985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lastRenderedPageBreak/>
        <w:tab/>
        <w:t xml:space="preserve">DiClemente, C.C., Prochaska, J. O., Fairhurst, S.K., </w:t>
      </w:r>
      <w:proofErr w:type="spellStart"/>
      <w:r w:rsidRPr="006000B6">
        <w:rPr>
          <w:rFonts w:eastAsia="+mn-ea"/>
          <w:color w:val="000000"/>
          <w:kern w:val="24"/>
        </w:rPr>
        <w:t>Velicer</w:t>
      </w:r>
      <w:proofErr w:type="spellEnd"/>
      <w:r w:rsidRPr="006000B6">
        <w:rPr>
          <w:rFonts w:eastAsia="+mn-ea"/>
          <w:color w:val="000000"/>
          <w:kern w:val="24"/>
        </w:rPr>
        <w:t>, W.F., Velasquez, M.M. and Rossi, J.S.  (1991). ‘The Process of Smoking Cessation: An Analysis of</w:t>
      </w:r>
      <w:r w:rsidR="00323C3A">
        <w:rPr>
          <w:rFonts w:eastAsia="+mn-ea"/>
          <w:color w:val="000000"/>
          <w:kern w:val="24"/>
        </w:rPr>
        <w:t xml:space="preserve"> </w:t>
      </w:r>
      <w:r w:rsidRPr="006000B6">
        <w:rPr>
          <w:rFonts w:eastAsia="+mn-ea"/>
          <w:color w:val="000000"/>
          <w:kern w:val="24"/>
        </w:rPr>
        <w:t xml:space="preserve">Precontemplation, Contemplation, and Preparation Stages of Change’, </w:t>
      </w:r>
      <w:r w:rsidRPr="006000B6">
        <w:rPr>
          <w:rFonts w:eastAsia="+mn-ea"/>
          <w:i/>
          <w:iCs/>
          <w:color w:val="000000"/>
          <w:kern w:val="24"/>
        </w:rPr>
        <w:t>Journal of Consulting and Clinical Psychology</w:t>
      </w:r>
      <w:r w:rsidRPr="006000B6">
        <w:rPr>
          <w:rFonts w:eastAsia="+mn-ea"/>
          <w:color w:val="000000"/>
          <w:kern w:val="24"/>
        </w:rPr>
        <w:t xml:space="preserve">, 59, (2), pp. 295 – 304.  </w:t>
      </w:r>
    </w:p>
    <w:p w14:paraId="2553E375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 xml:space="preserve"> </w:t>
      </w:r>
      <w:r w:rsidRPr="006000B6">
        <w:rPr>
          <w:rFonts w:eastAsia="+mn-ea"/>
          <w:color w:val="000000"/>
          <w:kern w:val="24"/>
        </w:rPr>
        <w:tab/>
        <w:t xml:space="preserve">Earle, S.  (2007).  ‘Exploring Health’, in Earle, S., Lloyd, C.E., </w:t>
      </w:r>
      <w:proofErr w:type="spellStart"/>
      <w:r w:rsidRPr="006000B6">
        <w:rPr>
          <w:rFonts w:eastAsia="+mn-ea"/>
          <w:color w:val="000000"/>
          <w:kern w:val="24"/>
        </w:rPr>
        <w:t>Sidell</w:t>
      </w:r>
      <w:proofErr w:type="spellEnd"/>
      <w:r w:rsidRPr="006000B6">
        <w:rPr>
          <w:rFonts w:eastAsia="+mn-ea"/>
          <w:color w:val="000000"/>
          <w:kern w:val="24"/>
        </w:rPr>
        <w:t xml:space="preserve">, M. and </w:t>
      </w:r>
      <w:proofErr w:type="spellStart"/>
      <w:r w:rsidRPr="006000B6">
        <w:rPr>
          <w:rFonts w:eastAsia="+mn-ea"/>
          <w:color w:val="000000"/>
          <w:kern w:val="24"/>
        </w:rPr>
        <w:t>Spurr</w:t>
      </w:r>
      <w:proofErr w:type="spellEnd"/>
      <w:r w:rsidRPr="006000B6">
        <w:rPr>
          <w:rFonts w:eastAsia="+mn-ea"/>
          <w:color w:val="000000"/>
          <w:kern w:val="24"/>
        </w:rPr>
        <w:t xml:space="preserve">, S.  (Eds.).  </w:t>
      </w:r>
      <w:r w:rsidRPr="006000B6">
        <w:rPr>
          <w:rFonts w:eastAsia="+mn-ea"/>
          <w:i/>
          <w:iCs/>
          <w:color w:val="000000"/>
          <w:kern w:val="24"/>
        </w:rPr>
        <w:t xml:space="preserve">Theory and research in promoting public health.  </w:t>
      </w:r>
      <w:r w:rsidRPr="006000B6">
        <w:rPr>
          <w:rFonts w:eastAsia="+mn-ea"/>
          <w:color w:val="000000"/>
          <w:kern w:val="24"/>
        </w:rPr>
        <w:t xml:space="preserve">London: Sage/Open University Press, pp. 37 – 61. </w:t>
      </w:r>
    </w:p>
    <w:p w14:paraId="1E49D526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Earle, S. and O’Donnell, T.  (2007).  The factors that influence health, in Earle, S., Lloyd, C.E., </w:t>
      </w:r>
      <w:proofErr w:type="spellStart"/>
      <w:r w:rsidRPr="006000B6">
        <w:rPr>
          <w:rFonts w:eastAsia="+mn-ea"/>
          <w:color w:val="000000"/>
          <w:kern w:val="24"/>
        </w:rPr>
        <w:t>Sidell</w:t>
      </w:r>
      <w:proofErr w:type="spellEnd"/>
      <w:r w:rsidRPr="006000B6">
        <w:rPr>
          <w:rFonts w:eastAsia="+mn-ea"/>
          <w:color w:val="000000"/>
          <w:kern w:val="24"/>
        </w:rPr>
        <w:t xml:space="preserve">, M. and </w:t>
      </w:r>
      <w:proofErr w:type="spellStart"/>
      <w:r w:rsidRPr="006000B6">
        <w:rPr>
          <w:rFonts w:eastAsia="+mn-ea"/>
          <w:color w:val="000000"/>
          <w:kern w:val="24"/>
        </w:rPr>
        <w:t>Spurr</w:t>
      </w:r>
      <w:proofErr w:type="spellEnd"/>
      <w:r w:rsidRPr="006000B6">
        <w:rPr>
          <w:rFonts w:eastAsia="+mn-ea"/>
          <w:color w:val="000000"/>
          <w:kern w:val="24"/>
        </w:rPr>
        <w:t xml:space="preserve">, S.  (Eds.).  </w:t>
      </w:r>
      <w:r w:rsidRPr="006000B6">
        <w:rPr>
          <w:rFonts w:eastAsia="+mn-ea"/>
          <w:i/>
          <w:iCs/>
          <w:color w:val="000000"/>
          <w:kern w:val="24"/>
        </w:rPr>
        <w:t xml:space="preserve">Theory and research in promoting public health.  </w:t>
      </w:r>
      <w:r w:rsidRPr="006000B6">
        <w:rPr>
          <w:rFonts w:eastAsia="+mn-ea"/>
          <w:color w:val="000000"/>
          <w:kern w:val="24"/>
        </w:rPr>
        <w:t xml:space="preserve">London: Sage/Open University Press, pp. 67 – 100. </w:t>
      </w:r>
    </w:p>
    <w:p w14:paraId="1182DDE3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Engel, G. L.  (1977).  ‘The Need for a New Medical Model: </w:t>
      </w:r>
      <w:proofErr w:type="gramStart"/>
      <w:r w:rsidRPr="006000B6">
        <w:rPr>
          <w:rFonts w:eastAsia="+mn-ea"/>
          <w:color w:val="000000"/>
          <w:kern w:val="24"/>
        </w:rPr>
        <w:t>a</w:t>
      </w:r>
      <w:proofErr w:type="gramEnd"/>
      <w:r w:rsidRPr="006000B6">
        <w:rPr>
          <w:rFonts w:eastAsia="+mn-ea"/>
          <w:color w:val="000000"/>
          <w:kern w:val="24"/>
        </w:rPr>
        <w:t xml:space="preserve"> Challenge for Biomedicine’,</w:t>
      </w:r>
      <w:r w:rsidRPr="006000B6">
        <w:rPr>
          <w:rFonts w:eastAsia="+mn-ea"/>
          <w:i/>
          <w:iCs/>
          <w:color w:val="000000"/>
          <w:kern w:val="24"/>
        </w:rPr>
        <w:t xml:space="preserve"> Journal of Interprofessional Care</w:t>
      </w:r>
      <w:r w:rsidRPr="006000B6">
        <w:rPr>
          <w:rFonts w:eastAsia="+mn-ea"/>
          <w:color w:val="000000"/>
          <w:kern w:val="24"/>
        </w:rPr>
        <w:t>, 4 (1), pp. 37 – 53.</w:t>
      </w:r>
    </w:p>
    <w:p w14:paraId="64870117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Foucault, M.  (2003).  </w:t>
      </w:r>
      <w:r w:rsidRPr="006000B6">
        <w:rPr>
          <w:rFonts w:eastAsia="+mn-ea"/>
          <w:i/>
          <w:iCs/>
          <w:color w:val="000000"/>
          <w:kern w:val="24"/>
        </w:rPr>
        <w:t xml:space="preserve">The Birth of the Clinic.   </w:t>
      </w:r>
      <w:r w:rsidRPr="006000B6">
        <w:rPr>
          <w:rFonts w:eastAsia="+mn-ea"/>
          <w:color w:val="000000"/>
          <w:kern w:val="24"/>
        </w:rPr>
        <w:t xml:space="preserve">Abingdon: Routledge. </w:t>
      </w:r>
    </w:p>
    <w:p w14:paraId="2A41AEF7" w14:textId="5B108315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  <w:rPr>
          <w:rFonts w:eastAsia="+mn-ea"/>
          <w:color w:val="000000"/>
          <w:kern w:val="24"/>
        </w:rPr>
      </w:pPr>
      <w:r w:rsidRPr="006000B6">
        <w:rPr>
          <w:rFonts w:eastAsia="+mn-ea"/>
          <w:color w:val="000000"/>
          <w:kern w:val="24"/>
        </w:rPr>
        <w:tab/>
        <w:t xml:space="preserve">Giddens, A. and Sutton, P. W.  (2017).  </w:t>
      </w:r>
      <w:r w:rsidRPr="006000B6">
        <w:rPr>
          <w:rFonts w:eastAsia="+mn-ea"/>
          <w:i/>
          <w:iCs/>
          <w:color w:val="000000"/>
          <w:kern w:val="24"/>
        </w:rPr>
        <w:t xml:space="preserve">Sociology.  </w:t>
      </w:r>
      <w:r w:rsidRPr="006000B6">
        <w:rPr>
          <w:rFonts w:eastAsia="+mn-ea"/>
          <w:color w:val="000000"/>
          <w:kern w:val="24"/>
        </w:rPr>
        <w:t>(8</w:t>
      </w:r>
      <w:proofErr w:type="spellStart"/>
      <w:r w:rsidRPr="006000B6">
        <w:rPr>
          <w:rFonts w:eastAsia="+mn-ea"/>
          <w:color w:val="000000"/>
          <w:kern w:val="24"/>
          <w:position w:val="6"/>
          <w:vertAlign w:val="superscript"/>
        </w:rPr>
        <w:t>th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>.).  London: Polity Press.</w:t>
      </w:r>
    </w:p>
    <w:p w14:paraId="54F7865E" w14:textId="6B1F5A2A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Gorin</w:t>
      </w:r>
      <w:proofErr w:type="spellEnd"/>
      <w:r w:rsidRPr="006000B6">
        <w:rPr>
          <w:rFonts w:eastAsia="+mn-ea"/>
          <w:color w:val="000000"/>
          <w:kern w:val="24"/>
        </w:rPr>
        <w:t>, S. S. and Heck, J.E.  (2005).  ‘Cancer screening among Latino subgroups in the United States’,</w:t>
      </w:r>
      <w:r w:rsidRPr="006000B6">
        <w:rPr>
          <w:rFonts w:eastAsia="+mn-ea"/>
          <w:color w:val="000000"/>
          <w:kern w:val="24"/>
          <w:lang w:val="it-IT"/>
        </w:rPr>
        <w:t xml:space="preserve"> </w:t>
      </w:r>
      <w:r w:rsidRPr="006000B6">
        <w:rPr>
          <w:rFonts w:eastAsia="+mn-ea"/>
          <w:i/>
          <w:iCs/>
          <w:color w:val="000000"/>
          <w:kern w:val="24"/>
          <w:lang w:val="it-IT"/>
        </w:rPr>
        <w:t>Preventive Medicine</w:t>
      </w:r>
      <w:r w:rsidRPr="006000B6">
        <w:rPr>
          <w:rFonts w:eastAsia="+mn-ea"/>
          <w:color w:val="000000"/>
          <w:kern w:val="24"/>
          <w:lang w:val="it-IT"/>
        </w:rPr>
        <w:t xml:space="preserve">, 40, pp. 515 – 526. </w:t>
      </w:r>
      <w:r w:rsidRPr="006000B6">
        <w:rPr>
          <w:rFonts w:eastAsia="+mn-ea"/>
          <w:color w:val="000000"/>
          <w:kern w:val="24"/>
        </w:rPr>
        <w:t xml:space="preserve"> </w:t>
      </w:r>
    </w:p>
    <w:p w14:paraId="36EAB704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Gredig</w:t>
      </w:r>
      <w:proofErr w:type="spellEnd"/>
      <w:r w:rsidRPr="006000B6">
        <w:rPr>
          <w:rFonts w:eastAsia="+mn-ea"/>
          <w:color w:val="000000"/>
          <w:kern w:val="24"/>
        </w:rPr>
        <w:t xml:space="preserve">, D., </w:t>
      </w:r>
      <w:proofErr w:type="spellStart"/>
      <w:r w:rsidRPr="006000B6">
        <w:rPr>
          <w:rFonts w:eastAsia="+mn-ea"/>
          <w:color w:val="000000"/>
          <w:kern w:val="24"/>
        </w:rPr>
        <w:t>Nideroest</w:t>
      </w:r>
      <w:proofErr w:type="spellEnd"/>
      <w:r w:rsidRPr="006000B6">
        <w:rPr>
          <w:rFonts w:eastAsia="+mn-ea"/>
          <w:color w:val="000000"/>
          <w:kern w:val="24"/>
        </w:rPr>
        <w:t xml:space="preserve">, S. and </w:t>
      </w:r>
      <w:proofErr w:type="spellStart"/>
      <w:r w:rsidRPr="006000B6">
        <w:rPr>
          <w:rFonts w:eastAsia="+mn-ea"/>
          <w:color w:val="000000"/>
          <w:kern w:val="24"/>
        </w:rPr>
        <w:t>Parpan</w:t>
      </w:r>
      <w:proofErr w:type="spellEnd"/>
      <w:r w:rsidRPr="006000B6">
        <w:rPr>
          <w:rFonts w:eastAsia="+mn-ea"/>
          <w:color w:val="000000"/>
          <w:kern w:val="24"/>
        </w:rPr>
        <w:t xml:space="preserve">-Blaser, A.  (2006). ‘HIV-protection through condom use: Testing the theory of planned behaviour in a community sample of heterosexual men in a high-income country’, </w:t>
      </w:r>
      <w:r w:rsidRPr="006000B6">
        <w:rPr>
          <w:rFonts w:eastAsia="+mn-ea"/>
          <w:i/>
          <w:iCs/>
          <w:color w:val="000000"/>
          <w:kern w:val="24"/>
        </w:rPr>
        <w:t>Psychology and Health</w:t>
      </w:r>
      <w:r w:rsidRPr="006000B6">
        <w:rPr>
          <w:rFonts w:eastAsia="+mn-ea"/>
          <w:color w:val="000000"/>
          <w:kern w:val="24"/>
        </w:rPr>
        <w:t xml:space="preserve">, 21(5), pp. 541 – 555.  </w:t>
      </w:r>
    </w:p>
    <w:p w14:paraId="657BD963" w14:textId="57921D19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Hallam, B.  (2011).  ‘Health and Health Care in Britain’, in Barnard, A.  (Ed.).  </w:t>
      </w:r>
      <w:r w:rsidRPr="006000B6">
        <w:rPr>
          <w:rFonts w:eastAsia="+mn-ea"/>
          <w:i/>
          <w:iCs/>
          <w:color w:val="000000"/>
          <w:kern w:val="24"/>
        </w:rPr>
        <w:t>Key Themes in Health and Social Care:</w:t>
      </w:r>
      <w:r w:rsidR="00323C3A">
        <w:rPr>
          <w:rFonts w:eastAsia="+mn-ea"/>
          <w:i/>
          <w:iCs/>
          <w:color w:val="000000"/>
          <w:kern w:val="24"/>
        </w:rPr>
        <w:t xml:space="preserve">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a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Companion to Learning.  </w:t>
      </w:r>
      <w:r w:rsidRPr="006000B6">
        <w:rPr>
          <w:rFonts w:eastAsia="+mn-ea"/>
          <w:color w:val="000000"/>
          <w:kern w:val="24"/>
        </w:rPr>
        <w:t xml:space="preserve">London: Routledge, pp. 90 – 105.  </w:t>
      </w:r>
    </w:p>
    <w:p w14:paraId="5B4F8900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i/>
          <w:iCs/>
          <w:color w:val="000000"/>
          <w:kern w:val="24"/>
        </w:rPr>
        <w:tab/>
      </w:r>
      <w:r w:rsidRPr="006000B6">
        <w:rPr>
          <w:rFonts w:eastAsia="+mn-ea"/>
          <w:color w:val="000000"/>
          <w:kern w:val="24"/>
        </w:rPr>
        <w:t xml:space="preserve">Housman, J. and Dorman, S. (2005).  ‘The Alameda County Study: </w:t>
      </w:r>
      <w:proofErr w:type="gramStart"/>
      <w:r w:rsidRPr="006000B6">
        <w:rPr>
          <w:rFonts w:eastAsia="+mn-ea"/>
          <w:color w:val="000000"/>
          <w:kern w:val="24"/>
        </w:rPr>
        <w:t>a</w:t>
      </w:r>
      <w:proofErr w:type="gramEnd"/>
      <w:r w:rsidRPr="006000B6">
        <w:rPr>
          <w:rFonts w:eastAsia="+mn-ea"/>
          <w:color w:val="000000"/>
          <w:kern w:val="24"/>
        </w:rPr>
        <w:t xml:space="preserve"> Systematic, Chronological Review’, </w:t>
      </w:r>
      <w:r w:rsidRPr="006000B6">
        <w:rPr>
          <w:rFonts w:eastAsia="+mn-ea"/>
          <w:i/>
          <w:iCs/>
          <w:color w:val="000000"/>
          <w:kern w:val="24"/>
        </w:rPr>
        <w:t>American Journal of Health Education</w:t>
      </w:r>
      <w:r w:rsidRPr="006000B6">
        <w:rPr>
          <w:rFonts w:eastAsia="+mn-ea"/>
          <w:color w:val="000000"/>
          <w:kern w:val="24"/>
        </w:rPr>
        <w:t xml:space="preserve">, 36 (5), pp. 302 – 308.  </w:t>
      </w:r>
    </w:p>
    <w:p w14:paraId="15479D45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Hughner</w:t>
      </w:r>
      <w:proofErr w:type="spellEnd"/>
      <w:r w:rsidRPr="006000B6">
        <w:rPr>
          <w:rFonts w:eastAsia="+mn-ea"/>
          <w:color w:val="000000"/>
          <w:kern w:val="24"/>
        </w:rPr>
        <w:t xml:space="preserve">, R.S. and Klein, S.S.  (2004).  Views of health in the lay sector: a compilation and review of how individuals think about health’, </w:t>
      </w:r>
      <w:r w:rsidRPr="006000B6">
        <w:rPr>
          <w:rFonts w:eastAsia="+mn-ea"/>
          <w:i/>
          <w:iCs/>
          <w:color w:val="000000"/>
          <w:kern w:val="24"/>
        </w:rPr>
        <w:t xml:space="preserve">Health: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an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Interdisciplinary Journal for the Social Study of Health, Illness and Medicine, </w:t>
      </w:r>
      <w:r w:rsidRPr="006000B6">
        <w:rPr>
          <w:rFonts w:eastAsia="+mn-ea"/>
          <w:color w:val="000000"/>
          <w:kern w:val="24"/>
        </w:rPr>
        <w:t xml:space="preserve">8 (4), pp. 395 – 422.  </w:t>
      </w:r>
      <w:r w:rsidRPr="006000B6">
        <w:rPr>
          <w:rFonts w:eastAsia="+mn-ea"/>
          <w:i/>
          <w:iCs/>
          <w:color w:val="000000"/>
          <w:kern w:val="24"/>
        </w:rPr>
        <w:t xml:space="preserve"> </w:t>
      </w:r>
      <w:r w:rsidRPr="006000B6">
        <w:rPr>
          <w:rFonts w:eastAsia="+mn-ea"/>
          <w:color w:val="000000"/>
          <w:kern w:val="24"/>
        </w:rPr>
        <w:t xml:space="preserve"> </w:t>
      </w:r>
    </w:p>
    <w:p w14:paraId="7769127D" w14:textId="24954C48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Johanssen</w:t>
      </w:r>
      <w:proofErr w:type="spellEnd"/>
      <w:r w:rsidRPr="006000B6">
        <w:rPr>
          <w:rFonts w:eastAsia="+mn-ea"/>
          <w:color w:val="000000"/>
          <w:kern w:val="24"/>
        </w:rPr>
        <w:t xml:space="preserve">, H., </w:t>
      </w:r>
      <w:proofErr w:type="spellStart"/>
      <w:r w:rsidRPr="006000B6">
        <w:rPr>
          <w:rFonts w:eastAsia="+mn-ea"/>
          <w:color w:val="000000"/>
          <w:kern w:val="24"/>
        </w:rPr>
        <w:t>Weinehall</w:t>
      </w:r>
      <w:proofErr w:type="spellEnd"/>
      <w:r w:rsidRPr="006000B6">
        <w:rPr>
          <w:rFonts w:eastAsia="+mn-ea"/>
          <w:color w:val="000000"/>
          <w:kern w:val="24"/>
        </w:rPr>
        <w:t xml:space="preserve">, I. and </w:t>
      </w:r>
      <w:proofErr w:type="spellStart"/>
      <w:r w:rsidRPr="006000B6">
        <w:rPr>
          <w:rFonts w:eastAsia="+mn-ea"/>
          <w:color w:val="000000"/>
          <w:kern w:val="24"/>
        </w:rPr>
        <w:t>Emmelin</w:t>
      </w:r>
      <w:proofErr w:type="spellEnd"/>
      <w:r w:rsidRPr="006000B6">
        <w:rPr>
          <w:rFonts w:eastAsia="+mn-ea"/>
          <w:color w:val="000000"/>
          <w:kern w:val="24"/>
        </w:rPr>
        <w:t xml:space="preserve">, M.  (2009).  ‘“It depends on what you mean”: a qualitative study of Swedish health professionals’ views on health and health promotion’, </w:t>
      </w:r>
      <w:r w:rsidRPr="006000B6">
        <w:rPr>
          <w:rFonts w:eastAsia="+mn-ea"/>
          <w:i/>
          <w:iCs/>
          <w:color w:val="000000"/>
          <w:kern w:val="24"/>
        </w:rPr>
        <w:t>BMC Health Service</w:t>
      </w:r>
      <w:r w:rsidR="000204E1">
        <w:rPr>
          <w:rFonts w:eastAsia="+mn-ea"/>
          <w:i/>
          <w:iCs/>
          <w:color w:val="000000"/>
          <w:kern w:val="24"/>
        </w:rPr>
        <w:t>s</w:t>
      </w:r>
      <w:r w:rsidRPr="006000B6">
        <w:rPr>
          <w:rFonts w:eastAsia="+mn-ea"/>
          <w:i/>
          <w:iCs/>
          <w:color w:val="000000"/>
          <w:kern w:val="24"/>
        </w:rPr>
        <w:t xml:space="preserve"> Research</w:t>
      </w:r>
      <w:r w:rsidRPr="006000B6">
        <w:rPr>
          <w:rFonts w:eastAsia="+mn-ea"/>
          <w:color w:val="000000"/>
          <w:kern w:val="24"/>
        </w:rPr>
        <w:t xml:space="preserve">, 9 (91).     </w:t>
      </w:r>
    </w:p>
    <w:p w14:paraId="14F74EFB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Kelman</w:t>
      </w:r>
      <w:proofErr w:type="spellEnd"/>
      <w:r w:rsidRPr="006000B6">
        <w:rPr>
          <w:rFonts w:eastAsia="+mn-ea"/>
          <w:color w:val="000000"/>
          <w:kern w:val="24"/>
        </w:rPr>
        <w:t xml:space="preserve">, S.  (1975).  ‘The social nature of the definition problem in health’, </w:t>
      </w:r>
      <w:r w:rsidRPr="006000B6">
        <w:rPr>
          <w:rFonts w:eastAsia="+mn-ea"/>
          <w:i/>
          <w:iCs/>
          <w:color w:val="000000"/>
          <w:kern w:val="24"/>
        </w:rPr>
        <w:t>International Journal of Health Services</w:t>
      </w:r>
      <w:r w:rsidRPr="006000B6">
        <w:rPr>
          <w:rFonts w:eastAsia="+mn-ea"/>
          <w:color w:val="000000"/>
          <w:kern w:val="24"/>
        </w:rPr>
        <w:t xml:space="preserve">, 5 (4), pp. 625 – 642.  </w:t>
      </w:r>
    </w:p>
    <w:p w14:paraId="6E9DB98A" w14:textId="72851F5C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Lalonde, M. A. (1974).  </w:t>
      </w:r>
      <w:r w:rsidRPr="006000B6">
        <w:rPr>
          <w:rFonts w:eastAsia="+mn-ea"/>
          <w:i/>
          <w:iCs/>
          <w:color w:val="000000"/>
          <w:kern w:val="24"/>
        </w:rPr>
        <w:t>A New Perspective on the Health of Canadians</w:t>
      </w:r>
      <w:r w:rsidRPr="006000B6">
        <w:rPr>
          <w:rFonts w:eastAsia="+mn-ea"/>
          <w:color w:val="000000"/>
          <w:kern w:val="24"/>
        </w:rPr>
        <w:t xml:space="preserve">. Ottawa: Canada Department of National Health and Welfare.  Available at: </w:t>
      </w:r>
      <w:hyperlink r:id="rId8" w:history="1">
        <w:r w:rsidR="00323C3A" w:rsidRPr="003E0A70">
          <w:rPr>
            <w:rStyle w:val="Hyperlink"/>
            <w:rFonts w:eastAsia="+mn-ea"/>
            <w:kern w:val="24"/>
          </w:rPr>
          <w:t>https://www.phacaspc.gc.ca/ph-sp/pdf/perspect-eng.pdf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2020).  </w:t>
      </w:r>
    </w:p>
    <w:p w14:paraId="33E3D27A" w14:textId="1B602E4B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Marmot, M., Allen, J., Goldblatt, P., Boyce, T, </w:t>
      </w:r>
      <w:proofErr w:type="spellStart"/>
      <w:r w:rsidRPr="006000B6">
        <w:rPr>
          <w:rFonts w:eastAsia="+mn-ea"/>
          <w:color w:val="000000"/>
          <w:kern w:val="24"/>
        </w:rPr>
        <w:t>McNeish</w:t>
      </w:r>
      <w:proofErr w:type="spellEnd"/>
      <w:r w:rsidRPr="006000B6">
        <w:rPr>
          <w:rFonts w:eastAsia="+mn-ea"/>
          <w:color w:val="000000"/>
          <w:kern w:val="24"/>
        </w:rPr>
        <w:t xml:space="preserve">, D., Grady, M., Geddes, I.  (2010).  </w:t>
      </w:r>
      <w:r w:rsidRPr="006000B6">
        <w:rPr>
          <w:rFonts w:eastAsia="+mn-ea"/>
          <w:i/>
          <w:iCs/>
          <w:color w:val="000000"/>
          <w:kern w:val="24"/>
        </w:rPr>
        <w:t xml:space="preserve">Fair Society, Healthy Lives: The Marmot Review. Strategic review of health inequalities in England post-2010.   </w:t>
      </w:r>
      <w:r w:rsidRPr="006000B6">
        <w:rPr>
          <w:rFonts w:eastAsia="+mn-ea"/>
          <w:color w:val="000000"/>
          <w:kern w:val="24"/>
        </w:rPr>
        <w:t xml:space="preserve">London: </w:t>
      </w:r>
      <w:proofErr w:type="gramStart"/>
      <w:r w:rsidRPr="006000B6">
        <w:rPr>
          <w:rFonts w:eastAsia="+mn-ea"/>
          <w:color w:val="000000"/>
          <w:kern w:val="24"/>
        </w:rPr>
        <w:t>the</w:t>
      </w:r>
      <w:proofErr w:type="gramEnd"/>
      <w:r w:rsidRPr="006000B6">
        <w:rPr>
          <w:rFonts w:eastAsia="+mn-ea"/>
          <w:color w:val="000000"/>
          <w:kern w:val="24"/>
        </w:rPr>
        <w:t xml:space="preserve"> Marmot Review, London.  Available at: </w:t>
      </w:r>
      <w:hyperlink r:id="rId9" w:history="1">
        <w:r w:rsidRPr="006000B6">
          <w:rPr>
            <w:rStyle w:val="Hyperlink"/>
            <w:rFonts w:eastAsia="+mn-ea"/>
            <w:color w:val="000000"/>
            <w:kern w:val="24"/>
          </w:rPr>
          <w:t>http://www.instituteofhealthequity.org/resources-reports/fair-society-healthy-lives-the-marmot-review/fair-society-healthy-lives-full-report-pdf.pdf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2020).   </w:t>
      </w:r>
    </w:p>
    <w:p w14:paraId="460E692A" w14:textId="53DCAC31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lastRenderedPageBreak/>
        <w:tab/>
        <w:t xml:space="preserve">Marmot, M., Allen, J., Boyce, T., Goldblatt, P.  and Morrison, J.  (2020). </w:t>
      </w:r>
      <w:r w:rsidRPr="006000B6">
        <w:rPr>
          <w:rFonts w:eastAsia="+mn-ea"/>
          <w:i/>
          <w:iCs/>
          <w:color w:val="000000"/>
          <w:kern w:val="24"/>
        </w:rPr>
        <w:t xml:space="preserve">Health Equity in England: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the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Marmot Review 10 Years on</w:t>
      </w:r>
      <w:r w:rsidRPr="006000B6">
        <w:rPr>
          <w:rFonts w:eastAsia="+mn-ea"/>
          <w:color w:val="000000"/>
          <w:kern w:val="24"/>
        </w:rPr>
        <w:t xml:space="preserve">.  London: Institute of Health Equity.  Available at: </w:t>
      </w:r>
      <w:hyperlink r:id="rId10" w:history="1">
        <w:r w:rsidRPr="006000B6">
          <w:rPr>
            <w:rStyle w:val="Hyperlink"/>
            <w:rFonts w:eastAsia="+mn-ea"/>
            <w:color w:val="000000"/>
            <w:kern w:val="24"/>
          </w:rPr>
          <w:t>https://www.health.org.uk/sites/default/files/upload/publications/2020/Health%20Equity%20in%20England_The%20Marmot%20Review%2010%20Years%20On_full%20report.pdf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  </w:t>
      </w:r>
    </w:p>
    <w:p w14:paraId="31E537BE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McClenahan</w:t>
      </w:r>
      <w:proofErr w:type="spellEnd"/>
      <w:r w:rsidRPr="006000B6">
        <w:rPr>
          <w:rFonts w:eastAsia="+mn-ea"/>
          <w:color w:val="000000"/>
          <w:kern w:val="24"/>
        </w:rPr>
        <w:t xml:space="preserve">, C., Shevlin, M., Adamson, G., Bennett, C. and O’Neill, B.  (2007).  </w:t>
      </w:r>
      <w:r w:rsidRPr="006000B6">
        <w:rPr>
          <w:rFonts w:eastAsia="+mn-ea"/>
          <w:i/>
          <w:iCs/>
          <w:color w:val="000000"/>
          <w:kern w:val="24"/>
        </w:rPr>
        <w:t>Health Education Research</w:t>
      </w:r>
      <w:r w:rsidRPr="006000B6">
        <w:rPr>
          <w:rFonts w:eastAsia="+mn-ea"/>
          <w:color w:val="000000"/>
          <w:kern w:val="24"/>
        </w:rPr>
        <w:t xml:space="preserve">, </w:t>
      </w:r>
      <w:r w:rsidRPr="006000B6">
        <w:rPr>
          <w:rFonts w:eastAsia="+mn-ea"/>
          <w:color w:val="000000"/>
          <w:kern w:val="24"/>
          <w:lang w:val="pt-BR"/>
        </w:rPr>
        <w:t xml:space="preserve">22 (2), pp. 272 – 284.  </w:t>
      </w:r>
    </w:p>
    <w:p w14:paraId="41983270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McKay, L.  (2000).  </w:t>
      </w:r>
      <w:r w:rsidRPr="006000B6">
        <w:rPr>
          <w:rFonts w:eastAsia="+mn-ea"/>
          <w:i/>
          <w:iCs/>
          <w:color w:val="000000"/>
          <w:kern w:val="24"/>
        </w:rPr>
        <w:t xml:space="preserve">Making the Lalonde Report.  Background paper. </w:t>
      </w:r>
      <w:r w:rsidRPr="006000B6">
        <w:rPr>
          <w:rFonts w:eastAsia="+mn-ea"/>
          <w:color w:val="000000"/>
          <w:kern w:val="24"/>
        </w:rPr>
        <w:t xml:space="preserve">Ottawa: Canadian Policy Research Networks.  Available at: </w:t>
      </w:r>
      <w:hyperlink r:id="rId11" w:history="1">
        <w:r w:rsidRPr="006000B6">
          <w:rPr>
            <w:rStyle w:val="Hyperlink"/>
            <w:rFonts w:eastAsia="+mn-ea"/>
            <w:color w:val="000000"/>
            <w:kern w:val="24"/>
          </w:rPr>
          <w:t>https://epe.lac-bac.gc.ca/100/200/300/cdn_policy_research_net/making_lalonde/bmlr_e.pdf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2020).   </w:t>
      </w:r>
    </w:p>
    <w:p w14:paraId="06D3D84B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McKeown, T. (1979).  </w:t>
      </w:r>
      <w:r w:rsidRPr="006000B6">
        <w:rPr>
          <w:rFonts w:eastAsia="+mn-ea"/>
          <w:i/>
          <w:iCs/>
          <w:color w:val="000000"/>
          <w:kern w:val="24"/>
        </w:rPr>
        <w:t>The role of medicine: dream, mirage or nemesis</w:t>
      </w:r>
      <w:r w:rsidRPr="006000B6">
        <w:rPr>
          <w:rFonts w:eastAsia="+mn-ea"/>
          <w:color w:val="000000"/>
          <w:kern w:val="24"/>
        </w:rPr>
        <w:t>.  (2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 xml:space="preserve">.).  Oxford: Blackwell Scientific.   </w:t>
      </w:r>
    </w:p>
    <w:p w14:paraId="081D746A" w14:textId="53C6AF70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>McKeown T., Record, R. G. and Turner R. D.  (1975).  ‘An interpretation of the decline of mortality in England and Wales during the twentieth century</w:t>
      </w:r>
      <w:proofErr w:type="gramStart"/>
      <w:r w:rsidRPr="006000B6">
        <w:rPr>
          <w:rFonts w:eastAsia="+mn-ea"/>
          <w:color w:val="000000"/>
          <w:kern w:val="24"/>
        </w:rPr>
        <w:t xml:space="preserve">’,  </w:t>
      </w:r>
      <w:r w:rsidRPr="006000B6">
        <w:rPr>
          <w:rFonts w:eastAsia="+mn-ea"/>
          <w:i/>
          <w:iCs/>
          <w:color w:val="000000"/>
          <w:kern w:val="24"/>
        </w:rPr>
        <w:t>Population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Studies</w:t>
      </w:r>
      <w:r w:rsidRPr="006000B6">
        <w:rPr>
          <w:rFonts w:eastAsia="+mn-ea"/>
          <w:color w:val="000000"/>
          <w:kern w:val="24"/>
        </w:rPr>
        <w:t>, 29 (3), pp. 391–422.</w:t>
      </w:r>
    </w:p>
    <w:p w14:paraId="6D07BEB4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Mouratidi</w:t>
      </w:r>
      <w:proofErr w:type="spellEnd"/>
      <w:r w:rsidRPr="006000B6">
        <w:rPr>
          <w:rFonts w:eastAsia="+mn-ea"/>
          <w:color w:val="000000"/>
          <w:kern w:val="24"/>
        </w:rPr>
        <w:t xml:space="preserve">, P., </w:t>
      </w:r>
      <w:proofErr w:type="spellStart"/>
      <w:r w:rsidRPr="006000B6">
        <w:rPr>
          <w:rFonts w:eastAsia="+mn-ea"/>
          <w:color w:val="000000"/>
          <w:kern w:val="24"/>
        </w:rPr>
        <w:t>Bonoti</w:t>
      </w:r>
      <w:proofErr w:type="spellEnd"/>
      <w:r w:rsidRPr="006000B6">
        <w:rPr>
          <w:rFonts w:eastAsia="+mn-ea"/>
          <w:color w:val="000000"/>
          <w:kern w:val="24"/>
        </w:rPr>
        <w:t xml:space="preserve">, F., </w:t>
      </w:r>
      <w:proofErr w:type="spellStart"/>
      <w:r w:rsidRPr="006000B6">
        <w:rPr>
          <w:rFonts w:eastAsia="+mn-ea"/>
          <w:color w:val="000000"/>
          <w:kern w:val="24"/>
        </w:rPr>
        <w:t>Leondari</w:t>
      </w:r>
      <w:proofErr w:type="spellEnd"/>
      <w:r w:rsidRPr="006000B6">
        <w:rPr>
          <w:rFonts w:eastAsia="+mn-ea"/>
          <w:color w:val="000000"/>
          <w:kern w:val="24"/>
        </w:rPr>
        <w:t xml:space="preserve">, A.  (2015).  ‘Children’s Perceptions of illness and health: an analysis of drawings’, </w:t>
      </w:r>
      <w:r w:rsidRPr="006000B6">
        <w:rPr>
          <w:rFonts w:eastAsia="+mn-ea"/>
          <w:i/>
          <w:iCs/>
          <w:color w:val="000000"/>
          <w:kern w:val="24"/>
        </w:rPr>
        <w:t>Health Education Journal</w:t>
      </w:r>
      <w:r w:rsidRPr="006000B6">
        <w:rPr>
          <w:rFonts w:eastAsia="+mn-ea"/>
          <w:color w:val="000000"/>
          <w:kern w:val="24"/>
        </w:rPr>
        <w:t xml:space="preserve">, 75 (4), pp. 434 – 447  </w:t>
      </w:r>
    </w:p>
    <w:p w14:paraId="5D2BE212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Napier, A.D., </w:t>
      </w:r>
      <w:proofErr w:type="spellStart"/>
      <w:r w:rsidRPr="006000B6">
        <w:rPr>
          <w:rFonts w:eastAsia="+mn-ea"/>
          <w:color w:val="000000"/>
          <w:kern w:val="24"/>
        </w:rPr>
        <w:t>Ancarno</w:t>
      </w:r>
      <w:proofErr w:type="spellEnd"/>
      <w:r w:rsidRPr="006000B6">
        <w:rPr>
          <w:rFonts w:eastAsia="+mn-ea"/>
          <w:color w:val="000000"/>
          <w:kern w:val="24"/>
        </w:rPr>
        <w:t xml:space="preserve">, C., Butler, B., (2014) ‘Culture and Health’, </w:t>
      </w:r>
      <w:r w:rsidRPr="006000B6">
        <w:rPr>
          <w:rFonts w:eastAsia="+mn-ea"/>
          <w:i/>
          <w:iCs/>
          <w:color w:val="000000"/>
          <w:kern w:val="24"/>
        </w:rPr>
        <w:t>The Lancet</w:t>
      </w:r>
      <w:r w:rsidRPr="006000B6">
        <w:rPr>
          <w:rFonts w:eastAsia="+mn-ea"/>
          <w:color w:val="000000"/>
          <w:kern w:val="24"/>
        </w:rPr>
        <w:t xml:space="preserve">, 384 (9954) </w:t>
      </w:r>
    </w:p>
    <w:p w14:paraId="778CAEEB" w14:textId="46DD6B96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  <w:rPr>
          <w:rFonts w:eastAsia="+mn-ea"/>
          <w:color w:val="000000"/>
          <w:kern w:val="24"/>
        </w:rPr>
      </w:pPr>
      <w:r w:rsidRPr="006000B6">
        <w:rPr>
          <w:rFonts w:eastAsia="+mn-ea"/>
          <w:color w:val="000000"/>
          <w:kern w:val="24"/>
        </w:rPr>
        <w:tab/>
        <w:t>Napier, A.D.  (2017)</w:t>
      </w:r>
      <w:r w:rsidR="00323C3A">
        <w:rPr>
          <w:rFonts w:eastAsia="+mn-ea"/>
          <w:color w:val="000000"/>
          <w:kern w:val="24"/>
        </w:rPr>
        <w:t xml:space="preserve">.  </w:t>
      </w:r>
      <w:r w:rsidRPr="006000B6">
        <w:rPr>
          <w:rFonts w:eastAsia="+mn-ea"/>
          <w:i/>
          <w:iCs/>
          <w:color w:val="000000"/>
          <w:kern w:val="24"/>
        </w:rPr>
        <w:t xml:space="preserve">Culture matters: using a cultural contexts of health approach to enhance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policy-making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>.  Cultural Contexts of Health and Well-being.  Policy brief, no. 1</w:t>
      </w:r>
      <w:r w:rsidRPr="006000B6">
        <w:rPr>
          <w:rFonts w:eastAsia="+mn-ea"/>
          <w:color w:val="000000"/>
          <w:kern w:val="24"/>
        </w:rPr>
        <w:t xml:space="preserve">.  Copenhagen: World Health Organization Regional Office for Europe. </w:t>
      </w:r>
    </w:p>
    <w:p w14:paraId="0BBF2CF4" w14:textId="384C866C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>Norman, P. and Brain, K.  (2005).  ‘An application of an extended health belief model to the prediction of breast self-examination among women with a family history of breast cancer’,</w:t>
      </w:r>
      <w:r w:rsidRPr="006000B6">
        <w:rPr>
          <w:rFonts w:eastAsia="+mn-ea"/>
          <w:i/>
          <w:iCs/>
          <w:color w:val="000000"/>
          <w:kern w:val="24"/>
        </w:rPr>
        <w:t xml:space="preserve"> British Journal of Health Psychology</w:t>
      </w:r>
      <w:r w:rsidRPr="006000B6">
        <w:rPr>
          <w:rFonts w:eastAsia="+mn-ea"/>
          <w:color w:val="000000"/>
          <w:kern w:val="24"/>
        </w:rPr>
        <w:t xml:space="preserve">, 10, pp. 1–16.  </w:t>
      </w:r>
    </w:p>
    <w:p w14:paraId="402C4177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>O’Donnell, M. (1988). ‘Definition of Health Promotion: Part III: Expanding the Definition’, </w:t>
      </w:r>
      <w:r w:rsidRPr="006000B6">
        <w:rPr>
          <w:rFonts w:eastAsia="+mn-ea"/>
          <w:i/>
          <w:iCs/>
          <w:color w:val="000000"/>
          <w:kern w:val="24"/>
        </w:rPr>
        <w:t>American Journal of Health Promotion</w:t>
      </w:r>
      <w:r w:rsidRPr="006000B6">
        <w:rPr>
          <w:rFonts w:eastAsia="+mn-ea"/>
          <w:color w:val="000000"/>
          <w:kern w:val="24"/>
        </w:rPr>
        <w:t xml:space="preserve">. Vol. 3 (3), p. 5. </w:t>
      </w:r>
    </w:p>
    <w:p w14:paraId="7CD84E3D" w14:textId="3775411E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Prochaska, J. O. and DiClemente, C.C.  (1983). ‘Stages and Processes of Self-Change of Smoking:  Toward </w:t>
      </w:r>
      <w:proofErr w:type="gramStart"/>
      <w:r w:rsidRPr="006000B6">
        <w:rPr>
          <w:rFonts w:eastAsia="+mn-ea"/>
          <w:color w:val="000000"/>
          <w:kern w:val="24"/>
        </w:rPr>
        <w:t>An</w:t>
      </w:r>
      <w:proofErr w:type="gramEnd"/>
      <w:r w:rsidRPr="006000B6">
        <w:rPr>
          <w:rFonts w:eastAsia="+mn-ea"/>
          <w:color w:val="000000"/>
          <w:kern w:val="24"/>
        </w:rPr>
        <w:t xml:space="preserve"> Integrative Model of Change’, </w:t>
      </w:r>
      <w:r w:rsidRPr="006000B6">
        <w:rPr>
          <w:rFonts w:eastAsia="+mn-ea"/>
          <w:i/>
          <w:iCs/>
          <w:color w:val="000000"/>
          <w:kern w:val="24"/>
        </w:rPr>
        <w:t>Journal of Consulting and Clinical Psychology</w:t>
      </w:r>
      <w:r w:rsidRPr="006000B6">
        <w:rPr>
          <w:rFonts w:eastAsia="+mn-ea"/>
          <w:color w:val="000000"/>
          <w:kern w:val="24"/>
        </w:rPr>
        <w:t xml:space="preserve">, 51 (3), pp. 390 – 395.  </w:t>
      </w:r>
    </w:p>
    <w:p w14:paraId="113E7C77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 xml:space="preserve">  </w:t>
      </w:r>
      <w:r w:rsidRPr="006000B6">
        <w:rPr>
          <w:rFonts w:eastAsia="+mn-ea"/>
          <w:color w:val="000000"/>
          <w:kern w:val="24"/>
        </w:rPr>
        <w:tab/>
        <w:t xml:space="preserve">Reiter, P.L., Brewer, N.T., Gottlieb, S.L, McCree, A-L., Smith, J. S.  (2009). ‘Parents’ health beliefs and HPV vaccination of their adolescent daughters’, </w:t>
      </w:r>
      <w:r w:rsidRPr="006000B6">
        <w:rPr>
          <w:rFonts w:eastAsia="+mn-ea"/>
          <w:i/>
          <w:iCs/>
          <w:color w:val="000000"/>
          <w:kern w:val="24"/>
        </w:rPr>
        <w:t>Social Science and Medicin</w:t>
      </w:r>
      <w:r w:rsidRPr="006000B6">
        <w:rPr>
          <w:rFonts w:eastAsia="+mn-ea"/>
          <w:color w:val="000000"/>
          <w:kern w:val="24"/>
        </w:rPr>
        <w:t xml:space="preserve">e, 69, pp. 475 – 480.  </w:t>
      </w:r>
    </w:p>
    <w:p w14:paraId="25398FEA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Renz, A.N.P.J. and Newton, J. T.  (2009).  ‘Changing the </w:t>
      </w:r>
      <w:proofErr w:type="spellStart"/>
      <w:r w:rsidRPr="006000B6">
        <w:rPr>
          <w:rFonts w:eastAsia="+mn-ea"/>
          <w:color w:val="000000"/>
          <w:kern w:val="24"/>
        </w:rPr>
        <w:t>behavior</w:t>
      </w:r>
      <w:proofErr w:type="spellEnd"/>
      <w:r w:rsidRPr="006000B6">
        <w:rPr>
          <w:rFonts w:eastAsia="+mn-ea"/>
          <w:color w:val="000000"/>
          <w:kern w:val="24"/>
        </w:rPr>
        <w:t xml:space="preserve"> of patients with periodontitis’, </w:t>
      </w:r>
      <w:r w:rsidRPr="00323C3A">
        <w:rPr>
          <w:rFonts w:eastAsia="+mn-ea"/>
          <w:i/>
          <w:iCs/>
          <w:color w:val="000000"/>
          <w:kern w:val="24"/>
        </w:rPr>
        <w:t>Periodontology 2000</w:t>
      </w:r>
      <w:r w:rsidRPr="006000B6">
        <w:rPr>
          <w:rFonts w:eastAsia="+mn-ea"/>
          <w:color w:val="000000"/>
          <w:kern w:val="24"/>
        </w:rPr>
        <w:t xml:space="preserve">, 51, pp. 252–268. </w:t>
      </w:r>
    </w:p>
    <w:p w14:paraId="2C52BDB4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Rise, J., Kovac, V., Kraft, P.  and Moan, S.  (2008). ‘Predicting the intention to </w:t>
      </w:r>
      <w:proofErr w:type="gramStart"/>
      <w:r w:rsidRPr="006000B6">
        <w:rPr>
          <w:rFonts w:eastAsia="+mn-ea"/>
          <w:color w:val="000000"/>
          <w:kern w:val="24"/>
        </w:rPr>
        <w:t>quit</w:t>
      </w:r>
      <w:proofErr w:type="gramEnd"/>
      <w:r w:rsidRPr="006000B6">
        <w:rPr>
          <w:rFonts w:eastAsia="+mn-ea"/>
          <w:color w:val="000000"/>
          <w:kern w:val="24"/>
        </w:rPr>
        <w:t xml:space="preserve"> smoking and quitting behaviour: Extending the theory of planned behaviour’, </w:t>
      </w:r>
      <w:r w:rsidRPr="006000B6">
        <w:rPr>
          <w:rFonts w:eastAsia="+mn-ea"/>
          <w:i/>
          <w:iCs/>
          <w:color w:val="000000"/>
          <w:kern w:val="24"/>
        </w:rPr>
        <w:t>British Journal of Health Psychology</w:t>
      </w:r>
      <w:r w:rsidRPr="006000B6">
        <w:rPr>
          <w:rFonts w:eastAsia="+mn-ea"/>
          <w:color w:val="000000"/>
          <w:kern w:val="24"/>
        </w:rPr>
        <w:t>, 13 (2), pp. 291 – 310.</w:t>
      </w:r>
    </w:p>
    <w:p w14:paraId="7D4476FB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Rodham, K.  (2019).  </w:t>
      </w:r>
      <w:r w:rsidRPr="006000B6">
        <w:rPr>
          <w:rFonts w:eastAsia="+mn-ea"/>
          <w:i/>
          <w:iCs/>
          <w:color w:val="000000"/>
          <w:kern w:val="24"/>
        </w:rPr>
        <w:t xml:space="preserve">Health Psychology </w:t>
      </w:r>
      <w:r w:rsidRPr="006000B6">
        <w:rPr>
          <w:rFonts w:eastAsia="+mn-ea"/>
          <w:color w:val="000000"/>
          <w:kern w:val="24"/>
        </w:rPr>
        <w:t>(2</w:t>
      </w:r>
      <w:proofErr w:type="spellStart"/>
      <w:r w:rsidRPr="006000B6">
        <w:rPr>
          <w:rFonts w:eastAsia="+mn-ea"/>
          <w:color w:val="000000"/>
          <w:kern w:val="24"/>
          <w:position w:val="8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 xml:space="preserve">.).  London: Red Globe Press.   </w:t>
      </w:r>
    </w:p>
    <w:p w14:paraId="46957E28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lastRenderedPageBreak/>
        <w:tab/>
        <w:t xml:space="preserve">Scriven, A. (2017).  </w:t>
      </w:r>
      <w:proofErr w:type="spellStart"/>
      <w:r w:rsidRPr="006000B6">
        <w:rPr>
          <w:rFonts w:eastAsia="+mn-ea"/>
          <w:i/>
          <w:iCs/>
          <w:color w:val="000000"/>
          <w:kern w:val="24"/>
        </w:rPr>
        <w:t>Ewles</w:t>
      </w:r>
      <w:proofErr w:type="spellEnd"/>
      <w:r w:rsidRPr="006000B6">
        <w:rPr>
          <w:rFonts w:eastAsia="+mn-ea"/>
          <w:i/>
          <w:iCs/>
          <w:color w:val="000000"/>
          <w:kern w:val="24"/>
        </w:rPr>
        <w:t xml:space="preserve"> and </w:t>
      </w:r>
      <w:proofErr w:type="spellStart"/>
      <w:r w:rsidRPr="006000B6">
        <w:rPr>
          <w:rFonts w:eastAsia="+mn-ea"/>
          <w:i/>
          <w:iCs/>
          <w:color w:val="000000"/>
          <w:kern w:val="24"/>
        </w:rPr>
        <w:t>Simnett’s</w:t>
      </w:r>
      <w:proofErr w:type="spellEnd"/>
      <w:r w:rsidRPr="006000B6">
        <w:rPr>
          <w:rFonts w:eastAsia="+mn-ea"/>
          <w:i/>
          <w:iCs/>
          <w:color w:val="000000"/>
          <w:kern w:val="24"/>
        </w:rPr>
        <w:t xml:space="preserve"> Promoting Health: </w:t>
      </w:r>
      <w:proofErr w:type="gramStart"/>
      <w:r w:rsidRPr="006000B6">
        <w:rPr>
          <w:rFonts w:eastAsia="+mn-ea"/>
          <w:i/>
          <w:iCs/>
          <w:color w:val="000000"/>
          <w:kern w:val="24"/>
        </w:rPr>
        <w:t>a</w:t>
      </w:r>
      <w:proofErr w:type="gramEnd"/>
      <w:r w:rsidRPr="006000B6">
        <w:rPr>
          <w:rFonts w:eastAsia="+mn-ea"/>
          <w:i/>
          <w:iCs/>
          <w:color w:val="000000"/>
          <w:kern w:val="24"/>
        </w:rPr>
        <w:t xml:space="preserve"> Practical Guide.  </w:t>
      </w:r>
      <w:r w:rsidRPr="006000B6">
        <w:rPr>
          <w:rFonts w:eastAsia="+mn-ea"/>
          <w:color w:val="000000"/>
          <w:kern w:val="24"/>
        </w:rPr>
        <w:t>(7</w:t>
      </w:r>
      <w:proofErr w:type="spellStart"/>
      <w:r w:rsidRPr="006000B6">
        <w:rPr>
          <w:rFonts w:eastAsia="+mn-ea"/>
          <w:color w:val="000000"/>
          <w:kern w:val="24"/>
          <w:position w:val="8"/>
          <w:vertAlign w:val="superscript"/>
        </w:rPr>
        <w:t>th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>.).  London: Elsevier.</w:t>
      </w:r>
    </w:p>
    <w:p w14:paraId="7015B1D9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Sharifirad</w:t>
      </w:r>
      <w:proofErr w:type="spellEnd"/>
      <w:r w:rsidRPr="006000B6">
        <w:rPr>
          <w:rFonts w:eastAsia="+mn-ea"/>
          <w:color w:val="000000"/>
          <w:kern w:val="24"/>
        </w:rPr>
        <w:t xml:space="preserve">, G., </w:t>
      </w:r>
      <w:proofErr w:type="spellStart"/>
      <w:r w:rsidRPr="006000B6">
        <w:rPr>
          <w:rFonts w:eastAsia="+mn-ea"/>
          <w:color w:val="000000"/>
          <w:kern w:val="24"/>
        </w:rPr>
        <w:t>Entezari</w:t>
      </w:r>
      <w:proofErr w:type="spellEnd"/>
      <w:r w:rsidRPr="006000B6">
        <w:rPr>
          <w:rFonts w:eastAsia="+mn-ea"/>
          <w:color w:val="000000"/>
          <w:kern w:val="24"/>
        </w:rPr>
        <w:t xml:space="preserve">, M.H., Kamran, A. and </w:t>
      </w:r>
      <w:proofErr w:type="spellStart"/>
      <w:r w:rsidRPr="006000B6">
        <w:rPr>
          <w:rFonts w:eastAsia="+mn-ea"/>
          <w:color w:val="000000"/>
          <w:kern w:val="24"/>
        </w:rPr>
        <w:t>Azadbhahkt</w:t>
      </w:r>
      <w:proofErr w:type="spellEnd"/>
      <w:r w:rsidRPr="006000B6">
        <w:rPr>
          <w:rFonts w:eastAsia="+mn-ea"/>
          <w:color w:val="000000"/>
          <w:kern w:val="24"/>
        </w:rPr>
        <w:t xml:space="preserve">, L.  (2009).  ‘The effectiveness of nutritional education on the knowledge of diabetic patients using the health belief model’, </w:t>
      </w:r>
      <w:r w:rsidRPr="006000B6">
        <w:rPr>
          <w:rFonts w:eastAsia="+mn-ea"/>
          <w:i/>
          <w:iCs/>
          <w:color w:val="000000"/>
          <w:kern w:val="24"/>
        </w:rPr>
        <w:t>Journal of Research in Medical Sciences</w:t>
      </w:r>
      <w:r w:rsidRPr="006000B6">
        <w:rPr>
          <w:rFonts w:eastAsia="+mn-ea"/>
          <w:color w:val="000000"/>
          <w:kern w:val="24"/>
        </w:rPr>
        <w:t xml:space="preserve">, 14 (1), pp. 1 – 6.  </w:t>
      </w:r>
    </w:p>
    <w:p w14:paraId="0B54D290" w14:textId="77777777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</w:r>
      <w:proofErr w:type="spellStart"/>
      <w:r w:rsidRPr="006000B6">
        <w:rPr>
          <w:rFonts w:eastAsia="+mn-ea"/>
          <w:color w:val="000000"/>
          <w:kern w:val="24"/>
        </w:rPr>
        <w:t>Siru</w:t>
      </w:r>
      <w:proofErr w:type="spellEnd"/>
      <w:r w:rsidRPr="006000B6">
        <w:rPr>
          <w:rFonts w:eastAsia="+mn-ea"/>
          <w:color w:val="000000"/>
          <w:kern w:val="24"/>
        </w:rPr>
        <w:t xml:space="preserve">, R., Hulse, K. and Tait, R. J.  (2009).  ‘Assessing motivation to quit smoking in people with mental illness: a review’, </w:t>
      </w:r>
      <w:r w:rsidRPr="006000B6">
        <w:rPr>
          <w:rFonts w:eastAsia="+mn-ea"/>
          <w:i/>
          <w:iCs/>
          <w:color w:val="000000"/>
          <w:kern w:val="24"/>
        </w:rPr>
        <w:t xml:space="preserve">Addiction, </w:t>
      </w:r>
      <w:r w:rsidRPr="006000B6">
        <w:rPr>
          <w:rFonts w:eastAsia="+mn-ea"/>
          <w:color w:val="000000"/>
          <w:kern w:val="24"/>
        </w:rPr>
        <w:t xml:space="preserve">104 (5), pp. 719 – 733.  </w:t>
      </w:r>
    </w:p>
    <w:p w14:paraId="1A854E94" w14:textId="3FEE1432" w:rsidR="000204E1" w:rsidRDefault="006000B6" w:rsidP="000204E1">
      <w:pPr>
        <w:pStyle w:val="NormalWeb"/>
        <w:spacing w:before="116" w:beforeAutospacing="0" w:after="0" w:afterAutospacing="0"/>
        <w:ind w:left="432" w:hanging="432"/>
        <w:rPr>
          <w:rFonts w:eastAsia="+mn-ea"/>
          <w:color w:val="000000"/>
          <w:kern w:val="24"/>
        </w:rPr>
      </w:pPr>
      <w:r w:rsidRPr="006000B6">
        <w:rPr>
          <w:rFonts w:eastAsia="+mn-ea"/>
          <w:color w:val="000000"/>
          <w:kern w:val="24"/>
        </w:rPr>
        <w:tab/>
        <w:t xml:space="preserve">Smith, B.J., Tang, K.C. and </w:t>
      </w:r>
      <w:proofErr w:type="spellStart"/>
      <w:r w:rsidRPr="006000B6">
        <w:rPr>
          <w:rFonts w:eastAsia="+mn-ea"/>
          <w:color w:val="000000"/>
          <w:kern w:val="24"/>
        </w:rPr>
        <w:t>Nutbeam</w:t>
      </w:r>
      <w:proofErr w:type="spellEnd"/>
      <w:r w:rsidRPr="006000B6">
        <w:rPr>
          <w:rFonts w:eastAsia="+mn-ea"/>
          <w:color w:val="000000"/>
          <w:kern w:val="24"/>
        </w:rPr>
        <w:t xml:space="preserve">, D.  (2006).  ‘WHO health promotion glossary: new terms’, </w:t>
      </w:r>
      <w:r w:rsidRPr="006000B6">
        <w:rPr>
          <w:rFonts w:eastAsia="+mn-ea"/>
          <w:i/>
          <w:iCs/>
          <w:color w:val="000000"/>
          <w:kern w:val="24"/>
        </w:rPr>
        <w:t xml:space="preserve">Health Promotion International Advance Access.  </w:t>
      </w:r>
      <w:r w:rsidRPr="006000B6">
        <w:rPr>
          <w:rFonts w:eastAsia="+mn-ea"/>
          <w:color w:val="000000"/>
          <w:kern w:val="24"/>
        </w:rPr>
        <w:t xml:space="preserve">Oxford: Oxford University Press.  Available at: </w:t>
      </w:r>
      <w:hyperlink r:id="rId12" w:history="1">
        <w:r w:rsidRPr="006000B6">
          <w:rPr>
            <w:rStyle w:val="Hyperlink"/>
            <w:rFonts w:eastAsia="+mn-ea"/>
            <w:color w:val="000000"/>
            <w:kern w:val="24"/>
          </w:rPr>
          <w:t>https://www.who.int/healthpromotion/about/HP%20Glossay%20in%20HPI.pdf?ua=1</w:t>
        </w:r>
      </w:hyperlink>
      <w:r w:rsidRPr="006000B6">
        <w:rPr>
          <w:rFonts w:eastAsia="+mn-ea"/>
          <w:color w:val="000000"/>
          <w:kern w:val="24"/>
        </w:rPr>
        <w:t xml:space="preserve">  (Accessed: 22</w:t>
      </w:r>
      <w:proofErr w:type="spellStart"/>
      <w:r w:rsidRPr="006000B6">
        <w:rPr>
          <w:rFonts w:eastAsia="+mn-ea"/>
          <w:color w:val="000000"/>
          <w:kern w:val="24"/>
          <w:position w:val="8"/>
          <w:vertAlign w:val="superscript"/>
        </w:rPr>
        <w:t>nd</w:t>
      </w:r>
      <w:proofErr w:type="spellEnd"/>
      <w:r w:rsidRPr="006000B6">
        <w:rPr>
          <w:rFonts w:eastAsia="+mn-ea"/>
          <w:color w:val="000000"/>
          <w:kern w:val="24"/>
        </w:rPr>
        <w:t xml:space="preserve"> October, 2020).</w:t>
      </w:r>
    </w:p>
    <w:p w14:paraId="03C9C432" w14:textId="07245704" w:rsidR="006000B6" w:rsidRPr="000204E1" w:rsidRDefault="000204E1" w:rsidP="000204E1">
      <w:pPr>
        <w:pStyle w:val="NormalWeb"/>
        <w:spacing w:before="116" w:beforeAutospacing="0" w:after="0" w:afterAutospacing="0"/>
        <w:ind w:left="432" w:hanging="432"/>
        <w:rPr>
          <w:rFonts w:eastAsia="+mn-ea"/>
          <w:color w:val="000000"/>
          <w:kern w:val="24"/>
        </w:rPr>
      </w:pPr>
      <w:r>
        <w:rPr>
          <w:rFonts w:eastAsia="+mn-ea"/>
          <w:color w:val="000000"/>
          <w:kern w:val="24"/>
        </w:rPr>
        <w:tab/>
        <w:t>T</w:t>
      </w:r>
      <w:r w:rsidR="006000B6" w:rsidRPr="006000B6">
        <w:rPr>
          <w:rFonts w:eastAsia="+mn-ea"/>
          <w:color w:val="000000"/>
          <w:kern w:val="24"/>
        </w:rPr>
        <w:t>aylor, S.  (2007).  ‘Approaches to Health, Illness and Health Care’, in Taylor, S. and</w:t>
      </w:r>
      <w:r>
        <w:rPr>
          <w:rFonts w:eastAsia="+mn-ea"/>
          <w:color w:val="000000"/>
          <w:kern w:val="24"/>
        </w:rPr>
        <w:t xml:space="preserve"> </w:t>
      </w:r>
      <w:bookmarkStart w:id="0" w:name="_GoBack"/>
      <w:bookmarkEnd w:id="0"/>
      <w:r w:rsidR="006000B6" w:rsidRPr="006000B6">
        <w:rPr>
          <w:rFonts w:eastAsia="+mn-ea"/>
          <w:color w:val="000000"/>
          <w:kern w:val="24"/>
        </w:rPr>
        <w:t xml:space="preserve">Field, D.  (Eds.).  </w:t>
      </w:r>
      <w:r w:rsidR="006000B6" w:rsidRPr="006000B6">
        <w:rPr>
          <w:rFonts w:eastAsia="+mn-ea"/>
          <w:i/>
          <w:iCs/>
          <w:color w:val="000000"/>
          <w:kern w:val="24"/>
        </w:rPr>
        <w:t>Sociology of Health and Health Care</w:t>
      </w:r>
      <w:r w:rsidR="006000B6" w:rsidRPr="006000B6">
        <w:rPr>
          <w:rFonts w:eastAsia="+mn-ea"/>
          <w:color w:val="000000"/>
          <w:kern w:val="24"/>
        </w:rPr>
        <w:t>.</w:t>
      </w:r>
      <w:r>
        <w:rPr>
          <w:rFonts w:eastAsia="+mn-ea"/>
          <w:color w:val="000000"/>
          <w:kern w:val="24"/>
        </w:rPr>
        <w:t xml:space="preserve"> </w:t>
      </w:r>
      <w:r w:rsidR="006000B6" w:rsidRPr="006000B6">
        <w:rPr>
          <w:rFonts w:eastAsia="+mn-ea"/>
          <w:color w:val="000000"/>
          <w:kern w:val="24"/>
        </w:rPr>
        <w:t>(4</w:t>
      </w:r>
      <w:proofErr w:type="spellStart"/>
      <w:r w:rsidR="006000B6" w:rsidRPr="006000B6">
        <w:rPr>
          <w:rFonts w:eastAsia="+mn-ea"/>
          <w:color w:val="000000"/>
          <w:kern w:val="24"/>
          <w:position w:val="8"/>
          <w:vertAlign w:val="superscript"/>
        </w:rPr>
        <w:t>th</w:t>
      </w:r>
      <w:proofErr w:type="spellEnd"/>
      <w:r w:rsidR="006000B6" w:rsidRPr="006000B6">
        <w:rPr>
          <w:rFonts w:eastAsia="+mn-ea"/>
          <w:color w:val="000000"/>
          <w:kern w:val="24"/>
        </w:rPr>
        <w:t xml:space="preserve"> </w:t>
      </w:r>
      <w:proofErr w:type="spellStart"/>
      <w:r w:rsidR="006000B6" w:rsidRPr="006000B6">
        <w:rPr>
          <w:rFonts w:eastAsia="+mn-ea"/>
          <w:color w:val="000000"/>
          <w:kern w:val="24"/>
        </w:rPr>
        <w:t>edn</w:t>
      </w:r>
      <w:proofErr w:type="spellEnd"/>
      <w:r w:rsidR="006000B6" w:rsidRPr="006000B6">
        <w:rPr>
          <w:rFonts w:eastAsia="+mn-ea"/>
          <w:color w:val="000000"/>
          <w:kern w:val="24"/>
        </w:rPr>
        <w:t xml:space="preserve">.).  Oxford: Blackwell, pp. 25 – 44.  </w:t>
      </w:r>
    </w:p>
    <w:p w14:paraId="3F400329" w14:textId="59D2441B" w:rsidR="006000B6" w:rsidRPr="006000B6" w:rsidRDefault="006000B6" w:rsidP="006000B6">
      <w:pPr>
        <w:pStyle w:val="NormalWeb"/>
        <w:spacing w:before="116" w:beforeAutospacing="0" w:after="0" w:afterAutospacing="0"/>
        <w:ind w:left="432" w:hanging="432"/>
      </w:pPr>
      <w:r w:rsidRPr="006000B6">
        <w:rPr>
          <w:rFonts w:eastAsia="+mn-ea"/>
          <w:color w:val="000000"/>
          <w:kern w:val="24"/>
        </w:rPr>
        <w:tab/>
        <w:t xml:space="preserve">Travis, J.W. and Ryan, R. S.  (2004).  </w:t>
      </w:r>
      <w:r w:rsidRPr="006000B6">
        <w:rPr>
          <w:rFonts w:eastAsia="+mn-ea"/>
          <w:i/>
          <w:iCs/>
          <w:color w:val="000000"/>
          <w:kern w:val="24"/>
        </w:rPr>
        <w:t xml:space="preserve">The Wellness Book </w:t>
      </w:r>
      <w:r w:rsidRPr="006000B6">
        <w:rPr>
          <w:rFonts w:eastAsia="+mn-ea"/>
          <w:color w:val="000000"/>
          <w:kern w:val="24"/>
        </w:rPr>
        <w:t>(3</w:t>
      </w:r>
      <w:proofErr w:type="spellStart"/>
      <w:r w:rsidRPr="006000B6">
        <w:rPr>
          <w:rFonts w:eastAsia="+mn-ea"/>
          <w:color w:val="000000"/>
          <w:kern w:val="24"/>
          <w:position w:val="7"/>
          <w:vertAlign w:val="superscript"/>
        </w:rPr>
        <w:t>rd</w:t>
      </w:r>
      <w:proofErr w:type="spellEnd"/>
      <w:r w:rsidRPr="006000B6">
        <w:rPr>
          <w:rFonts w:eastAsia="+mn-ea"/>
          <w:color w:val="000000"/>
          <w:kern w:val="24"/>
        </w:rPr>
        <w:t xml:space="preserve"> </w:t>
      </w:r>
      <w:proofErr w:type="spellStart"/>
      <w:r w:rsidRPr="006000B6">
        <w:rPr>
          <w:rFonts w:eastAsia="+mn-ea"/>
          <w:color w:val="000000"/>
          <w:kern w:val="24"/>
        </w:rPr>
        <w:t>edn</w:t>
      </w:r>
      <w:proofErr w:type="spellEnd"/>
      <w:r w:rsidRPr="006000B6">
        <w:rPr>
          <w:rFonts w:eastAsia="+mn-ea"/>
          <w:color w:val="000000"/>
          <w:kern w:val="24"/>
        </w:rPr>
        <w:t>.).  Berkeley Calif: Enfield/Celestial Arts.</w:t>
      </w:r>
    </w:p>
    <w:p w14:paraId="15C610DE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Tung, W-C., Farmer, S., Ding, K., Tung, W-K. and Hsu, C-H.  (2009).  ‘Stages of condom use and decisional balance among college students’,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International Nursing Review, 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56 (3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),  pp.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346 – 353.    </w:t>
      </w:r>
    </w:p>
    <w:p w14:paraId="6A81C75F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Whitehead, M.  (1987).  </w:t>
      </w:r>
      <w:r w:rsidRPr="00323C3A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The Health Divide: Inequalities in Health in the 1980s.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 London: Health Education Council.  </w:t>
      </w:r>
    </w:p>
    <w:p w14:paraId="0FCA8698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Wilkinson R.  and Pickett K.  (2009). 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The Spirit Level: Why More Equal Societies Almost Always Do Better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. London: Penguin.</w:t>
      </w:r>
    </w:p>
    <w:p w14:paraId="679A2B17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 Wills, J. and Earle, S.  (2007).  ‘Theoretical perspectives on promoting public health’, in Earle, S., Lloyd, C.E., 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Sidell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M. and 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Spurr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S.  (Eds.). 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Theory and Research in Promoting Public Health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.  London: Sage/Open University Press, pp. 129 – 161. </w:t>
      </w:r>
    </w:p>
    <w:p w14:paraId="20740233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Wong, C.L. and Mullan, B.A.  (2009).  ‘Predicting breakfast consumption: An application of the theory of planned behaviour and the investigation of past behaviour and executive function’,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British Journal of Health Psychology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14 (3), pp. 489 – 504.     </w:t>
      </w:r>
    </w:p>
    <w:p w14:paraId="1D852723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 xml:space="preserve">World Health Organization (1981).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Global Strategy for Health for All by the Year 2000.  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Geneva: WHO.  Available at: </w:t>
      </w:r>
      <w:hyperlink r:id="rId13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https://iris.wpro.who.int/bitstream/handle/10665.1/6967/WPR_RC032_GlobalStrategy_1981_en.pdf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(Accessed: 22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nd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</w:t>
      </w:r>
    </w:p>
    <w:p w14:paraId="183B1D91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>WHO (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1986).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</w:t>
      </w:r>
      <w:proofErr w:type="spellStart"/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Ottowa</w:t>
      </w:r>
      <w:proofErr w:type="spellEnd"/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 Charter for Health Promotion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.  Geneva: WHO.  Available at: </w:t>
      </w:r>
      <w:hyperlink r:id="rId14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https://www.euro.who.int/__data/assets/pdf_file/0004/129532/Ottawa_Charter.pdf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(Accessed: 22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nd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  </w:t>
      </w:r>
    </w:p>
    <w:p w14:paraId="2EEA11D4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>WHO (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2020).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Basic Documents. 49</w:t>
      </w:r>
      <w:proofErr w:type="spellStart"/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position w:val="7"/>
          <w:sz w:val="24"/>
          <w:szCs w:val="24"/>
          <w:vertAlign w:val="superscript"/>
          <w:lang w:eastAsia="en-GB"/>
        </w:rPr>
        <w:t>th</w:t>
      </w:r>
      <w:proofErr w:type="spellEnd"/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 </w:t>
      </w:r>
      <w:proofErr w:type="spellStart"/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edn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.  Geneva: WHO.  Available at: </w:t>
      </w:r>
      <w:hyperlink r:id="rId15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https://apps.who.int/gb/bd/pdf_files/BD_49th-en.pdf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(Accessed: 21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st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  </w:t>
      </w:r>
    </w:p>
    <w:p w14:paraId="64BAB6CC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>WHO (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2005).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The Bangkok Charter for Health Promotion in a Globalized World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.  Geneva: WHO.  Available at: </w:t>
      </w:r>
      <w:hyperlink r:id="rId16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https://www.who.int/healthpromotion/conferences/6gchp/hpr_050829_%20BCHP.pdf?ua=1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 (Accessed: 22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nd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</w:t>
      </w:r>
    </w:p>
    <w:p w14:paraId="6A03A692" w14:textId="77777777" w:rsidR="006000B6" w:rsidRPr="006000B6" w:rsidRDefault="006000B6" w:rsidP="006000B6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>WHO (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2016).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Shanghai Declaration on promoting health in the 2030 Agenda for Sustainable Development.  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Geneva: WHO.  Available at: </w:t>
      </w:r>
      <w:hyperlink r:id="rId17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https://www.who.int/healthpromotion/conferences/9gchp/shanghai-declaration.pdf?ua=1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(Accessed: 22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nd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  </w:t>
      </w:r>
    </w:p>
    <w:p w14:paraId="315FB004" w14:textId="77777777" w:rsidR="00323C3A" w:rsidRDefault="006000B6" w:rsidP="00323C3A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ab/>
        <w:t>WHO (</w:t>
      </w:r>
      <w:proofErr w:type="gramStart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2018).</w:t>
      </w:r>
      <w:proofErr w:type="gram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 </w:t>
      </w:r>
      <w:r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Promoting Health: Guide to national implementation of the Shanghai Declaration.  </w:t>
      </w:r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Geneva: WHO.  Available at: </w:t>
      </w:r>
      <w:hyperlink r:id="rId18" w:history="1">
        <w:r w:rsidRPr="006000B6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file:///C:/Users/bus-db2/Downloads/WHO-NMH-PND-18.2-eng%20(1).pdf</w:t>
        </w:r>
      </w:hyperlink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(Accessed: 22</w:t>
      </w:r>
      <w:proofErr w:type="spellStart"/>
      <w:r w:rsidRPr="006000B6">
        <w:rPr>
          <w:rFonts w:ascii="Times New Roman" w:eastAsia="+mn-ea" w:hAnsi="Times New Roman" w:cs="Times New Roman"/>
          <w:color w:val="000000"/>
          <w:kern w:val="24"/>
          <w:position w:val="7"/>
          <w:sz w:val="24"/>
          <w:szCs w:val="24"/>
          <w:vertAlign w:val="superscript"/>
          <w:lang w:eastAsia="en-GB"/>
        </w:rPr>
        <w:t>nd</w:t>
      </w:r>
      <w:proofErr w:type="spellEnd"/>
      <w:r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October, 2020).</w:t>
      </w:r>
    </w:p>
    <w:p w14:paraId="34E20AE1" w14:textId="26EB2C50" w:rsidR="006000B6" w:rsidRPr="00323C3A" w:rsidRDefault="00323C3A" w:rsidP="00323C3A">
      <w:pPr>
        <w:spacing w:before="116" w:after="0" w:line="240" w:lineRule="auto"/>
        <w:ind w:left="432" w:hanging="43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proofErr w:type="spellStart"/>
      <w:r w:rsidR="006000B6"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Wyer</w:t>
      </w:r>
      <w:proofErr w:type="spellEnd"/>
      <w:r w:rsidR="006000B6"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S.J., </w:t>
      </w:r>
      <w:proofErr w:type="spellStart"/>
      <w:r w:rsidR="006000B6"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Earll</w:t>
      </w:r>
      <w:proofErr w:type="spellEnd"/>
      <w:r w:rsidR="006000B6"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L., Joseph, S., Harrison, J., Giles, M. and Johnston, M.  (2001).  ‘Increasing attendance at a cardiac rehabilitation programme: an intervention study using the Theory of Planned Behaviour’, </w:t>
      </w:r>
      <w:r w:rsidR="006000B6" w:rsidRPr="006000B6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Coronary Health Care,</w:t>
      </w:r>
      <w:r w:rsidR="006000B6" w:rsidRPr="006000B6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5(3), pp. 154 – 159</w:t>
      </w:r>
    </w:p>
    <w:sectPr w:rsidR="006000B6" w:rsidRPr="00323C3A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BC361A" w14:textId="77777777" w:rsidR="00EA0AD8" w:rsidRDefault="00EA0AD8" w:rsidP="000204E1">
      <w:pPr>
        <w:spacing w:after="0" w:line="240" w:lineRule="auto"/>
      </w:pPr>
      <w:r>
        <w:separator/>
      </w:r>
    </w:p>
  </w:endnote>
  <w:endnote w:type="continuationSeparator" w:id="0">
    <w:p w14:paraId="7B97C14A" w14:textId="77777777" w:rsidR="00EA0AD8" w:rsidRDefault="00EA0AD8" w:rsidP="000204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357179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E80496" w14:textId="2A50C994" w:rsidR="000204E1" w:rsidRDefault="000204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A56588" w14:textId="77777777" w:rsidR="000204E1" w:rsidRDefault="000204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CEC79A" w14:textId="77777777" w:rsidR="00EA0AD8" w:rsidRDefault="00EA0AD8" w:rsidP="000204E1">
      <w:pPr>
        <w:spacing w:after="0" w:line="240" w:lineRule="auto"/>
      </w:pPr>
      <w:r>
        <w:separator/>
      </w:r>
    </w:p>
  </w:footnote>
  <w:footnote w:type="continuationSeparator" w:id="0">
    <w:p w14:paraId="4EB7A1B9" w14:textId="77777777" w:rsidR="00EA0AD8" w:rsidRDefault="00EA0AD8" w:rsidP="000204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00B6"/>
    <w:rsid w:val="000204E1"/>
    <w:rsid w:val="00323C3A"/>
    <w:rsid w:val="006000B6"/>
    <w:rsid w:val="00EA0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6B7AF"/>
  <w15:chartTrackingRefBased/>
  <w15:docId w15:val="{68B5E0CD-6B0D-49A7-8CA5-1ECBFEACC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000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000B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0B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204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04E1"/>
  </w:style>
  <w:style w:type="paragraph" w:styleId="Footer">
    <w:name w:val="footer"/>
    <w:basedOn w:val="Normal"/>
    <w:link w:val="FooterChar"/>
    <w:uiPriority w:val="99"/>
    <w:unhideWhenUsed/>
    <w:rsid w:val="000204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04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41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9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4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hacaspc.gc.ca/ph-sp/pdf/perspect-eng.pdf" TargetMode="External"/><Relationship Id="rId13" Type="http://schemas.openxmlformats.org/officeDocument/2006/relationships/hyperlink" Target="https://iris.wpro.who.int/bitstream/handle/10665.1/6967/WPR_RC032_GlobalStrategy_1981_en.pdf" TargetMode="External"/><Relationship Id="rId18" Type="http://schemas.openxmlformats.org/officeDocument/2006/relationships/hyperlink" Target="file:///C:\Users\bus-db2\Downloads\WHO-NMH-PND-18.2-eng%20(1)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euro.who.int/__data/assets/pdf_file/0018/103824/E89384.pdf" TargetMode="External"/><Relationship Id="rId12" Type="http://schemas.openxmlformats.org/officeDocument/2006/relationships/hyperlink" Target="https://www.who.int/healthpromotion/about/HP%20Glossay%20in%20HPI.pdf?ua=1" TargetMode="External"/><Relationship Id="rId17" Type="http://schemas.openxmlformats.org/officeDocument/2006/relationships/hyperlink" Target="https://www.who.int/healthpromotion/conferences/9gchp/shanghai-declaration.pdf?ua=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who.int/healthpromotion/conferences/6gchp/hpr_050829_%20BCHP.pdf?ua=1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265503/ih.pdf" TargetMode="External"/><Relationship Id="rId11" Type="http://schemas.openxmlformats.org/officeDocument/2006/relationships/hyperlink" Target="https://epe.lac-bac.gc.ca/100/200/300/cdn_policy_research_net/making_lalonde/bmlr_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pps.who.int/gb/bd/pdf_files/BD_49th-en.pdf" TargetMode="External"/><Relationship Id="rId10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://www.instituteofhealthequity.org/resources-reports/fair-society-healthy-lives-the-marmot-review/fair-society-healthy-lives-full-report-pdf.pdf" TargetMode="External"/><Relationship Id="rId14" Type="http://schemas.openxmlformats.org/officeDocument/2006/relationships/hyperlink" Target="https://www.euro.who.int/__data/assets/pdf_file/0004/129532/Ottawa_Chart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2053</Words>
  <Characters>11705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5</cp:revision>
  <dcterms:created xsi:type="dcterms:W3CDTF">2020-10-30T15:05:00Z</dcterms:created>
  <dcterms:modified xsi:type="dcterms:W3CDTF">2020-10-30T17:24:00Z</dcterms:modified>
</cp:coreProperties>
</file>