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D1BA874" w14:textId="77777777" w:rsidR="001F7B07" w:rsidRDefault="001F7B07" w:rsidP="00685132"/>
    <w:p w14:paraId="485CF7F9" w14:textId="445560D7" w:rsidR="0045654C" w:rsidRPr="00685132" w:rsidRDefault="00B56958" w:rsidP="00685132">
      <w:r>
        <w:t>This extract</w:t>
      </w:r>
      <w:r w:rsidR="00B568BC">
        <w:t xml:space="preserve"> of the Iliad</w:t>
      </w:r>
      <w:r>
        <w:t xml:space="preserve"> was </w:t>
      </w:r>
      <w:r w:rsidR="00872191">
        <w:t>translated</w:t>
      </w:r>
      <w:r>
        <w:t xml:space="preserve"> by </w:t>
      </w:r>
      <w:r w:rsidRPr="00B56958">
        <w:t>Augustus Taber Murray</w:t>
      </w:r>
      <w:r>
        <w:t xml:space="preserve">, a professor at Stanford </w:t>
      </w:r>
      <w:r w:rsidR="00685132">
        <w:t xml:space="preserve">University </w:t>
      </w:r>
      <w:r w:rsidR="00685132" w:rsidRPr="00B56958">
        <w:t>in</w:t>
      </w:r>
      <w:r>
        <w:t xml:space="preserve"> the early 19</w:t>
      </w:r>
      <w:r w:rsidRPr="00B56958">
        <w:rPr>
          <w:vertAlign w:val="superscript"/>
        </w:rPr>
        <w:t>th</w:t>
      </w:r>
      <w:r>
        <w:t xml:space="preserve"> Century</w:t>
      </w:r>
      <w:r w:rsidR="00685132">
        <w:t xml:space="preserve"> </w:t>
      </w:r>
      <w:r w:rsidR="00685132" w:rsidRPr="00744998">
        <w:t>(</w:t>
      </w:r>
      <w:r w:rsidR="00F27A31">
        <w:t xml:space="preserve">Homer, </w:t>
      </w:r>
      <w:r w:rsidR="00F27A31" w:rsidRPr="00BE6B71">
        <w:rPr>
          <w:i/>
          <w:iCs/>
        </w:rPr>
        <w:t>Odyssey</w:t>
      </w:r>
      <w:r w:rsidR="00F27A31">
        <w:t xml:space="preserve"> 1</w:t>
      </w:r>
      <w:r w:rsidR="00BE6B71">
        <w:t xml:space="preserve">, </w:t>
      </w:r>
      <w:r w:rsidR="00F27A31">
        <w:t>VII</w:t>
      </w:r>
      <w:r w:rsidR="00685132" w:rsidRPr="00685132">
        <w:t>)</w:t>
      </w:r>
      <w:r w:rsidR="000A12ED">
        <w:t xml:space="preserve">. </w:t>
      </w:r>
      <w:r w:rsidR="00BE6B71">
        <w:t>Because of the translator’s background,</w:t>
      </w:r>
      <w:r w:rsidR="00106C62">
        <w:t xml:space="preserve"> the </w:t>
      </w:r>
      <w:r w:rsidR="00A646FD">
        <w:t>stylistic choices made in this extract w</w:t>
      </w:r>
      <w:r w:rsidR="00BE6B71">
        <w:t>ere</w:t>
      </w:r>
      <w:r w:rsidR="00A646FD">
        <w:t xml:space="preserve"> directly influenced by the expectations of both </w:t>
      </w:r>
      <w:r w:rsidR="00B47500">
        <w:t>the time period</w:t>
      </w:r>
      <w:r w:rsidR="00BE6B71">
        <w:t xml:space="preserve"> and its </w:t>
      </w:r>
      <w:r w:rsidR="00B47500">
        <w:t xml:space="preserve">academic preferences. </w:t>
      </w:r>
      <w:r w:rsidR="00D36FC7">
        <w:t xml:space="preserve">The translation was written in a way that </w:t>
      </w:r>
      <w:r w:rsidR="00A40990">
        <w:t>was meant to be read alongside the original Greek text</w:t>
      </w:r>
      <w:r w:rsidR="001E71A9">
        <w:t xml:space="preserve"> </w:t>
      </w:r>
      <w:r w:rsidR="00F27A31">
        <w:t>(</w:t>
      </w:r>
      <w:r w:rsidR="00BE6B71">
        <w:t xml:space="preserve">Homer, </w:t>
      </w:r>
      <w:r w:rsidR="00BE6B71" w:rsidRPr="00BE6B71">
        <w:rPr>
          <w:i/>
          <w:iCs/>
        </w:rPr>
        <w:t>Iliad</w:t>
      </w:r>
      <w:r w:rsidR="007C07D4">
        <w:rPr>
          <w:i/>
          <w:iCs/>
        </w:rPr>
        <w:t>, p420-421</w:t>
      </w:r>
      <w:r w:rsidR="00F27A31">
        <w:t>)</w:t>
      </w:r>
      <w:r w:rsidR="00BE6B71">
        <w:t xml:space="preserve">. </w:t>
      </w:r>
      <w:r w:rsidR="00BE69C5">
        <w:t xml:space="preserve">Accounting </w:t>
      </w:r>
      <w:r w:rsidR="00E73BF1">
        <w:t>for both of these points</w:t>
      </w:r>
      <w:r w:rsidR="00BE6B71">
        <w:t>,</w:t>
      </w:r>
      <w:r w:rsidR="00E73BF1">
        <w:t xml:space="preserve"> the particular</w:t>
      </w:r>
      <w:r w:rsidR="00BE6B71">
        <w:t>l</w:t>
      </w:r>
      <w:r w:rsidR="00E73BF1">
        <w:t xml:space="preserve">y archaic </w:t>
      </w:r>
      <w:r w:rsidR="007C2BCC">
        <w:t>style of writing is not so out of place as it may be in a more modern translation of the</w:t>
      </w:r>
      <w:r w:rsidR="007C2BCC" w:rsidRPr="00BE6B71">
        <w:rPr>
          <w:i/>
          <w:iCs/>
        </w:rPr>
        <w:t xml:space="preserve"> Iliad</w:t>
      </w:r>
      <w:r w:rsidR="005E44FE">
        <w:t xml:space="preserve">, </w:t>
      </w:r>
      <w:r w:rsidR="00265646">
        <w:t>as</w:t>
      </w:r>
      <w:r w:rsidR="00335625">
        <w:t xml:space="preserve"> </w:t>
      </w:r>
      <w:r w:rsidR="005E44FE">
        <w:t>can be seen</w:t>
      </w:r>
      <w:r w:rsidR="00265646">
        <w:t xml:space="preserve"> </w:t>
      </w:r>
      <w:r w:rsidR="006B649A">
        <w:t xml:space="preserve">in </w:t>
      </w:r>
      <w:r w:rsidR="00265646">
        <w:t xml:space="preserve">the translation of </w:t>
      </w:r>
      <w:r w:rsidR="005E44FE">
        <w:t>t</w:t>
      </w:r>
      <w:r w:rsidR="00691B62">
        <w:t xml:space="preserve">he </w:t>
      </w:r>
      <w:r w:rsidR="00691B62" w:rsidRPr="005E44FE">
        <w:rPr>
          <w:i/>
          <w:iCs/>
        </w:rPr>
        <w:t>Iliad</w:t>
      </w:r>
      <w:r w:rsidR="00335625">
        <w:t xml:space="preserve"> by</w:t>
      </w:r>
      <w:r w:rsidR="00691B62">
        <w:t xml:space="preserve"> </w:t>
      </w:r>
      <w:r w:rsidR="00265646">
        <w:t>E.</w:t>
      </w:r>
      <w:r w:rsidR="00336CDB">
        <w:t xml:space="preserve"> </w:t>
      </w:r>
      <w:r w:rsidR="00265646">
        <w:t>V.</w:t>
      </w:r>
      <w:r w:rsidR="00336CDB">
        <w:t xml:space="preserve"> </w:t>
      </w:r>
      <w:r w:rsidR="00265646">
        <w:t>Rie</w:t>
      </w:r>
      <w:r w:rsidR="00336CDB">
        <w:t>u</w:t>
      </w:r>
      <w:r w:rsidR="005E44FE">
        <w:t xml:space="preserve"> (</w:t>
      </w:r>
      <w:r w:rsidR="00336CDB">
        <w:t>2003</w:t>
      </w:r>
      <w:r w:rsidR="005E44FE">
        <w:t>)</w:t>
      </w:r>
      <w:r w:rsidR="00D061A2">
        <w:t xml:space="preserve">. </w:t>
      </w:r>
      <w:r w:rsidR="005E25AE">
        <w:t xml:space="preserve">The development of the more archaic style of writing designed to be read alongside the original Greek </w:t>
      </w:r>
      <w:r w:rsidR="005E5BE2">
        <w:t>was likely to</w:t>
      </w:r>
      <w:r w:rsidR="00C376DF">
        <w:t xml:space="preserve"> remain loyal</w:t>
      </w:r>
      <w:r w:rsidR="005E44FE">
        <w:t>l</w:t>
      </w:r>
      <w:r w:rsidR="00C376DF">
        <w:t>y to the original text</w:t>
      </w:r>
      <w:r w:rsidR="005355E0">
        <w:t xml:space="preserve">, disregarding </w:t>
      </w:r>
      <w:r w:rsidR="00571BB7">
        <w:t xml:space="preserve">any issues with accessibility to the wider audience which </w:t>
      </w:r>
      <w:r w:rsidR="0041200B">
        <w:t xml:space="preserve">would be common in the time period the translation was produces as well as the setting in which the translation took place. Considering that Murray was a </w:t>
      </w:r>
      <w:r w:rsidR="0061445D">
        <w:t>professor</w:t>
      </w:r>
      <w:r w:rsidR="000926EE">
        <w:t xml:space="preserve"> for Stanford </w:t>
      </w:r>
      <w:r w:rsidR="002E3483">
        <w:t>University</w:t>
      </w:r>
      <w:r w:rsidR="0061445D">
        <w:t xml:space="preserve"> specialising in Greek it seems probable that the translation written was for use within a</w:t>
      </w:r>
      <w:r w:rsidR="00B164B4">
        <w:t>n academic aspect</w:t>
      </w:r>
      <w:r w:rsidR="002E3483">
        <w:t xml:space="preserve">. </w:t>
      </w:r>
      <w:r w:rsidR="0045654C">
        <w:t xml:space="preserve">The translation itself details the </w:t>
      </w:r>
      <w:r w:rsidR="00E469CE">
        <w:t xml:space="preserve">Burial of Hector </w:t>
      </w:r>
      <w:r w:rsidR="00DE2799">
        <w:t xml:space="preserve">who </w:t>
      </w:r>
      <w:r w:rsidR="0086542A">
        <w:t xml:space="preserve">led Trojans </w:t>
      </w:r>
      <w:r w:rsidR="002766FC">
        <w:t xml:space="preserve">soldiers in defending </w:t>
      </w:r>
      <w:r w:rsidR="00881D83">
        <w:t xml:space="preserve">Troy </w:t>
      </w:r>
      <w:r w:rsidR="0086542A">
        <w:t>before being struck do</w:t>
      </w:r>
      <w:r w:rsidR="005D512A">
        <w:t>wn</w:t>
      </w:r>
      <w:r w:rsidR="0086542A">
        <w:t xml:space="preserve"> by Achilles</w:t>
      </w:r>
      <w:r w:rsidR="00881D83">
        <w:t xml:space="preserve"> who was part of the attacking force. </w:t>
      </w:r>
      <w:r w:rsidR="005B19EA">
        <w:t xml:space="preserve"> The translation depicts a variety of key themes, </w:t>
      </w:r>
      <w:r w:rsidR="002D1911">
        <w:t>exploring the</w:t>
      </w:r>
      <w:r w:rsidR="00D96909">
        <w:t xml:space="preserve"> burial itself, ritualistic aspects of the burial, </w:t>
      </w:r>
      <w:r w:rsidR="002D1911">
        <w:t xml:space="preserve">the mourning of Hector and depicts various social aspects </w:t>
      </w:r>
      <w:r w:rsidR="00A47241">
        <w:t xml:space="preserve">regarding the burial of such a </w:t>
      </w:r>
      <w:r w:rsidR="00A5213B">
        <w:t>well-known</w:t>
      </w:r>
      <w:r w:rsidR="00A47241">
        <w:t xml:space="preserve"> figure. </w:t>
      </w:r>
    </w:p>
    <w:p w14:paraId="49D483DA" w14:textId="4205EF7F" w:rsidR="001231FF" w:rsidRDefault="0039578D">
      <w:r>
        <w:t>The first part of the extract</w:t>
      </w:r>
      <w:r w:rsidR="008D44ED">
        <w:t xml:space="preserve"> immediately details the social mourning which takes place </w:t>
      </w:r>
      <w:r w:rsidR="000D110D">
        <w:t>after Hectors death</w:t>
      </w:r>
      <w:r w:rsidR="00544DC3">
        <w:t>. The phras</w:t>
      </w:r>
      <w:r w:rsidR="00915553">
        <w:t>ing</w:t>
      </w:r>
      <w:r w:rsidR="00544DC3">
        <w:t xml:space="preserve"> of ‘countless throng</w:t>
      </w:r>
      <w:r w:rsidR="00915553">
        <w:t xml:space="preserve">’ suggests the social impact that this figure had on the population and that </w:t>
      </w:r>
      <w:r w:rsidR="00E46313">
        <w:t>this figure was impor</w:t>
      </w:r>
      <w:r w:rsidR="00FD4D59">
        <w:t>tant in the society depicte</w:t>
      </w:r>
      <w:r w:rsidR="00C37120">
        <w:t xml:space="preserve">d in the extract. </w:t>
      </w:r>
      <w:r w:rsidR="00F806B1">
        <w:t xml:space="preserve">Next detailed </w:t>
      </w:r>
      <w:r w:rsidR="00441313">
        <w:t>i</w:t>
      </w:r>
      <w:r w:rsidR="00656B08">
        <w:t xml:space="preserve">n the </w:t>
      </w:r>
      <w:r w:rsidR="00171419">
        <w:t xml:space="preserve">text is the introduction of the fact that this is a period after a battle in which </w:t>
      </w:r>
      <w:r w:rsidR="00741D87">
        <w:t xml:space="preserve">a temporary truce </w:t>
      </w:r>
      <w:r w:rsidR="00171419">
        <w:t>has been gra</w:t>
      </w:r>
      <w:r w:rsidR="00741D87">
        <w:t>n</w:t>
      </w:r>
      <w:r w:rsidR="00171419">
        <w:t xml:space="preserve">ted by Achilles, who is part of the Greek forces and the </w:t>
      </w:r>
      <w:r w:rsidR="00590314">
        <w:t>one that killed Hector. Whether this is outside the norm to the time period or a</w:t>
      </w:r>
      <w:r w:rsidR="00912EC9">
        <w:t xml:space="preserve"> regular part of re</w:t>
      </w:r>
      <w:r w:rsidR="00E42F40">
        <w:t>st</w:t>
      </w:r>
      <w:r w:rsidR="00912EC9">
        <w:t xml:space="preserve"> during warfare to pay respect to the dead, or at least </w:t>
      </w:r>
      <w:r w:rsidR="00E42F40">
        <w:t xml:space="preserve">important figures among armies, is unclear. </w:t>
      </w:r>
      <w:r w:rsidR="00412F06">
        <w:t xml:space="preserve">Regardless </w:t>
      </w:r>
      <w:r w:rsidR="00386113">
        <w:t>the period in which rest is given is</w:t>
      </w:r>
      <w:r w:rsidR="00741D87">
        <w:t xml:space="preserve"> </w:t>
      </w:r>
      <w:r w:rsidR="005E44FE">
        <w:t>twelve</w:t>
      </w:r>
      <w:r w:rsidR="00741D87">
        <w:t xml:space="preserve"> </w:t>
      </w:r>
      <w:r w:rsidR="00F02270">
        <w:t>days, time</w:t>
      </w:r>
      <w:r w:rsidR="00F1255F">
        <w:t xml:space="preserve"> enough to gather a large amount of wood for a massive funeral pyre which represents the </w:t>
      </w:r>
      <w:r w:rsidR="00F02270">
        <w:t>importance of Hector to the Trojans and possibly a certain amount of respect given to Troy by the Greeks. This suggests that the mourning and burial period is a respected ritual aspect within th</w:t>
      </w:r>
      <w:r w:rsidR="001F7B07">
        <w:t xml:space="preserve">is </w:t>
      </w:r>
      <w:r w:rsidR="00F02270">
        <w:t xml:space="preserve">time period and </w:t>
      </w:r>
      <w:r w:rsidR="009649A8">
        <w:t>honoured by both peoples</w:t>
      </w:r>
      <w:r w:rsidR="001F7B07">
        <w:t xml:space="preserve"> to a certain extent even during wartime. </w:t>
      </w:r>
    </w:p>
    <w:p w14:paraId="6D78F683" w14:textId="025C74E5" w:rsidR="003E6E5E" w:rsidRDefault="001231FF" w:rsidP="008F715E">
      <w:r>
        <w:t xml:space="preserve">The burning of Hector on </w:t>
      </w:r>
      <w:r w:rsidR="00A41D44">
        <w:t xml:space="preserve">a pyre is a fascinating part of the text as it stands in contrast to usual </w:t>
      </w:r>
      <w:r w:rsidR="00195527" w:rsidRPr="00195527">
        <w:t>contemporary 8th century Greek practice</w:t>
      </w:r>
      <w:r w:rsidR="00C0019C">
        <w:t xml:space="preserve"> </w:t>
      </w:r>
      <w:r w:rsidR="00C0019C" w:rsidRPr="00C0019C">
        <w:t>(Kourkoulakos</w:t>
      </w:r>
      <w:r w:rsidR="00C0019C">
        <w:t>, 2</w:t>
      </w:r>
      <w:r w:rsidR="00FD2FB3">
        <w:t>023</w:t>
      </w:r>
      <w:r w:rsidR="00872191">
        <w:t xml:space="preserve">, </w:t>
      </w:r>
      <w:r w:rsidR="00872191" w:rsidRPr="00DC6613">
        <w:t>p.238</w:t>
      </w:r>
      <w:r w:rsidR="00C0019C" w:rsidRPr="00C0019C">
        <w:t>)</w:t>
      </w:r>
      <w:r w:rsidR="00FD2FB3">
        <w:t xml:space="preserve">. </w:t>
      </w:r>
      <w:r w:rsidR="00530D54">
        <w:t xml:space="preserve">Some Scholars consider this evidence of the fictitious </w:t>
      </w:r>
      <w:r w:rsidR="00D1755D">
        <w:t xml:space="preserve">work </w:t>
      </w:r>
      <w:r w:rsidR="00CB7F06">
        <w:t xml:space="preserve">of Homer and other consider </w:t>
      </w:r>
      <w:r w:rsidR="007A2E95">
        <w:t xml:space="preserve">the Homeric style of burial </w:t>
      </w:r>
      <w:r w:rsidR="00CB7F06">
        <w:t>a simple</w:t>
      </w:r>
      <w:r w:rsidR="00F15513">
        <w:t xml:space="preserve"> result of </w:t>
      </w:r>
      <w:r w:rsidR="007A2E95">
        <w:t xml:space="preserve">centuries of oral </w:t>
      </w:r>
      <w:r w:rsidR="003953C9">
        <w:t>tradition</w:t>
      </w:r>
      <w:r w:rsidR="004A059C">
        <w:t xml:space="preserve"> (</w:t>
      </w:r>
      <w:r w:rsidR="004A059C" w:rsidRPr="005E44FE">
        <w:rPr>
          <w:i/>
          <w:iCs/>
        </w:rPr>
        <w:t>ibid</w:t>
      </w:r>
      <w:r w:rsidR="005E44FE">
        <w:t>. p.</w:t>
      </w:r>
      <w:r w:rsidR="007C07D4">
        <w:t>239)</w:t>
      </w:r>
      <w:r w:rsidR="004A059C">
        <w:t>.</w:t>
      </w:r>
      <w:r w:rsidR="00476DAC">
        <w:t xml:space="preserve"> </w:t>
      </w:r>
      <w:r w:rsidR="00146DD3">
        <w:t>The pyre itself, with wood being collected for 9 days</w:t>
      </w:r>
      <w:r w:rsidR="003B17FE">
        <w:t xml:space="preserve">, </w:t>
      </w:r>
      <w:r w:rsidR="00146DD3">
        <w:t>represents how people of importance</w:t>
      </w:r>
      <w:r w:rsidR="004F75A7">
        <w:t xml:space="preserve"> deaths were treated. Whether the particularities of this is restricted to a heroic death or death is combat is unclear especially with lack of evidence for other similar burials like this within the expected time period. </w:t>
      </w:r>
      <w:r w:rsidR="005033BE">
        <w:t>The text depicts that the pyre was left to burn for several days then extinguished with wine. Several points come to mind when considering this. The</w:t>
      </w:r>
      <w:r w:rsidR="00DE56AE">
        <w:t xml:space="preserve"> first being that</w:t>
      </w:r>
      <w:r w:rsidR="005033BE">
        <w:t xml:space="preserve"> act of </w:t>
      </w:r>
      <w:r w:rsidR="009861C9">
        <w:t xml:space="preserve">pouring wine on the remains seems similar to the act of libation </w:t>
      </w:r>
      <w:r w:rsidR="00DE56AE">
        <w:t xml:space="preserve">despite it said being used to </w:t>
      </w:r>
      <w:r w:rsidR="00DC2091">
        <w:t xml:space="preserve">extinguish the flames. Secondly the use of wine seems to further the extracts </w:t>
      </w:r>
      <w:r w:rsidR="005133A9">
        <w:t xml:space="preserve">evidence of power that Hector held in life. This point is evidenced by the fact that despite this being a period of rest they are still in a period of </w:t>
      </w:r>
      <w:r w:rsidR="00381DB3">
        <w:t>war,</w:t>
      </w:r>
      <w:r w:rsidR="005133A9">
        <w:t xml:space="preserve"> and the Trojan people have been </w:t>
      </w:r>
      <w:r w:rsidR="00381DB3">
        <w:t>besieged by the Greeks for ten years</w:t>
      </w:r>
      <w:r w:rsidR="008F715E">
        <w:t xml:space="preserve"> </w:t>
      </w:r>
      <w:r w:rsidR="008F715E" w:rsidRPr="008F715E">
        <w:t>(Donnellan</w:t>
      </w:r>
      <w:r w:rsidR="008F715E">
        <w:t>, 2019</w:t>
      </w:r>
      <w:r w:rsidR="008F715E" w:rsidRPr="008F715E">
        <w:t>)</w:t>
      </w:r>
      <w:r w:rsidR="008F715E">
        <w:t>.</w:t>
      </w:r>
      <w:r w:rsidR="00F705D3">
        <w:t xml:space="preserve"> </w:t>
      </w:r>
    </w:p>
    <w:p w14:paraId="379A1C81" w14:textId="5BD3C64C" w:rsidR="008A71F8" w:rsidRDefault="00A90FDB" w:rsidP="00EE3179">
      <w:r>
        <w:t>After the extinguishing of the fires the bones were collected</w:t>
      </w:r>
      <w:r w:rsidR="008A6640">
        <w:t xml:space="preserve">, buried and covered with ‘close-set stones’, this at least seems the most reminiscent </w:t>
      </w:r>
      <w:r w:rsidR="005E7471">
        <w:t xml:space="preserve">of an extramural </w:t>
      </w:r>
      <w:r w:rsidR="004747D2">
        <w:t xml:space="preserve">burial, the raised mound the </w:t>
      </w:r>
      <w:r w:rsidR="004747D2">
        <w:lastRenderedPageBreak/>
        <w:t>text mentions could be considered a</w:t>
      </w:r>
      <w:r w:rsidR="009B6B61">
        <w:t xml:space="preserve"> declaration of land rights. </w:t>
      </w:r>
      <w:r w:rsidR="00754C17">
        <w:t>The following feast</w:t>
      </w:r>
      <w:r w:rsidR="002F1B12">
        <w:t xml:space="preserve"> </w:t>
      </w:r>
      <w:r w:rsidR="00EC1228">
        <w:t>demonstrates another ritual aspect of the mourning and funeral process</w:t>
      </w:r>
      <w:r w:rsidR="004747D2">
        <w:t xml:space="preserve"> </w:t>
      </w:r>
      <w:r w:rsidR="00C1346C">
        <w:t xml:space="preserve">seen among the people of Troy. </w:t>
      </w:r>
      <w:r w:rsidR="00E73AD7">
        <w:t xml:space="preserve"> This period of feasting and libation is specifie</w:t>
      </w:r>
      <w:r w:rsidR="008479E1">
        <w:t xml:space="preserve">d to happen after ‘Rosy-fingered Dawn’ arrives. </w:t>
      </w:r>
      <w:r w:rsidR="009E5684">
        <w:t xml:space="preserve">This </w:t>
      </w:r>
      <w:r w:rsidR="00CD7CCE">
        <w:t>could</w:t>
      </w:r>
      <w:r w:rsidR="00316AC7">
        <w:t xml:space="preserve"> either</w:t>
      </w:r>
      <w:r w:rsidR="00CD7CCE">
        <w:t xml:space="preserve"> be</w:t>
      </w:r>
      <w:r w:rsidR="00316AC7">
        <w:t xml:space="preserve"> a personification of the literal dawn arriving or a</w:t>
      </w:r>
      <w:r w:rsidR="00B62F58">
        <w:t>n epithet referencing Eos, the Greek Goddess of dawn.</w:t>
      </w:r>
      <w:r w:rsidR="003B6DEC">
        <w:t xml:space="preserve"> T</w:t>
      </w:r>
      <w:r w:rsidR="00D476FE">
        <w:t>his is one of Homer’s more ornamental epithets</w:t>
      </w:r>
      <w:r w:rsidR="00277862">
        <w:t xml:space="preserve">, </w:t>
      </w:r>
      <w:r w:rsidR="00EF3441">
        <w:t xml:space="preserve">demonstrating </w:t>
      </w:r>
      <w:r w:rsidR="00086BC2">
        <w:t>the cultural and religious significance of this phrase.</w:t>
      </w:r>
      <w:r w:rsidR="00872191">
        <w:t xml:space="preserve"> </w:t>
      </w:r>
      <w:r w:rsidR="00086BC2">
        <w:t>Radin</w:t>
      </w:r>
      <w:r w:rsidR="00BF3074">
        <w:t xml:space="preserve"> (1998</w:t>
      </w:r>
      <w:r w:rsidR="00872191">
        <w:t>,</w:t>
      </w:r>
      <w:r w:rsidR="00872191" w:rsidRPr="00872191">
        <w:t xml:space="preserve"> </w:t>
      </w:r>
      <w:r w:rsidR="00872191">
        <w:t>p</w:t>
      </w:r>
      <w:r w:rsidR="00872191" w:rsidRPr="00153DB5">
        <w:t>. 293</w:t>
      </w:r>
      <w:r w:rsidR="00BF3074">
        <w:t>)</w:t>
      </w:r>
      <w:r w:rsidR="00086BC2">
        <w:t xml:space="preserve"> suggests that this particular epithet </w:t>
      </w:r>
      <w:r w:rsidR="00BB4181">
        <w:t xml:space="preserve">is </w:t>
      </w:r>
      <w:r w:rsidR="00BB73C8">
        <w:t xml:space="preserve">an act by Homer to impose the inevitable rise of the next day through a formulaic </w:t>
      </w:r>
      <w:r w:rsidR="00D30C01">
        <w:t>format of the use of Dawn</w:t>
      </w:r>
      <w:r w:rsidR="00C24683">
        <w:t xml:space="preserve"> </w:t>
      </w:r>
      <w:r w:rsidR="00B37736">
        <w:t xml:space="preserve">seen throughout the </w:t>
      </w:r>
      <w:r w:rsidR="00B37736" w:rsidRPr="005E44FE">
        <w:rPr>
          <w:i/>
          <w:iCs/>
        </w:rPr>
        <w:t>Iliad</w:t>
      </w:r>
      <w:r w:rsidR="00B37736">
        <w:t xml:space="preserve"> but has particular significance in this extract. Homers use of this</w:t>
      </w:r>
      <w:r w:rsidR="009F634C">
        <w:t xml:space="preserve"> </w:t>
      </w:r>
      <w:r w:rsidR="00770439">
        <w:t xml:space="preserve">particular style of </w:t>
      </w:r>
      <w:r w:rsidR="00D81024">
        <w:t>epithet</w:t>
      </w:r>
      <w:r w:rsidR="009F634C">
        <w:t xml:space="preserve"> </w:t>
      </w:r>
      <w:r w:rsidR="00D30C01">
        <w:t>enforc</w:t>
      </w:r>
      <w:r w:rsidR="009F634C">
        <w:t>es</w:t>
      </w:r>
      <w:r w:rsidR="00D30C01">
        <w:t xml:space="preserve"> the </w:t>
      </w:r>
      <w:r w:rsidR="00D4582C">
        <w:t>themes of death</w:t>
      </w:r>
      <w:r w:rsidR="00C14761">
        <w:t>,</w:t>
      </w:r>
      <w:r w:rsidR="00D4582C">
        <w:t xml:space="preserve"> destruction and the</w:t>
      </w:r>
      <w:r w:rsidR="00C14761">
        <w:t xml:space="preserve">ir </w:t>
      </w:r>
      <w:r w:rsidR="00D30C01">
        <w:t xml:space="preserve">inevitability </w:t>
      </w:r>
      <w:r w:rsidR="00C14761">
        <w:t>in this</w:t>
      </w:r>
      <w:r w:rsidR="00D30C01">
        <w:t xml:space="preserve"> narrative</w:t>
      </w:r>
      <w:r w:rsidR="00C14761">
        <w:t xml:space="preserve">. </w:t>
      </w:r>
    </w:p>
    <w:p w14:paraId="26242262" w14:textId="5C02DC34" w:rsidR="001037A1" w:rsidRPr="00EE3179" w:rsidRDefault="00B568BC" w:rsidP="00EE3179">
      <w:r>
        <w:t>Overall,</w:t>
      </w:r>
      <w:r w:rsidR="00B63971">
        <w:t xml:space="preserve"> the extract is a </w:t>
      </w:r>
      <w:r w:rsidR="003B4A52">
        <w:t>demonstration of ritual</w:t>
      </w:r>
      <w:r>
        <w:t>,</w:t>
      </w:r>
      <w:r w:rsidR="003B4A52">
        <w:t xml:space="preserve"> burial</w:t>
      </w:r>
      <w:r>
        <w:t xml:space="preserve"> and aspects of mourning</w:t>
      </w:r>
      <w:r w:rsidR="003B4A52">
        <w:t xml:space="preserve"> within the Iliad, </w:t>
      </w:r>
      <w:r w:rsidR="002508F4">
        <w:t xml:space="preserve">demonstrating </w:t>
      </w:r>
      <w:r w:rsidR="00B920A8">
        <w:t>s</w:t>
      </w:r>
      <w:r w:rsidR="002508F4">
        <w:t>ocially significant aspects of Greek culture</w:t>
      </w:r>
      <w:r w:rsidR="00B920A8">
        <w:t xml:space="preserve">, religion and </w:t>
      </w:r>
      <w:r w:rsidR="00D935F6">
        <w:t xml:space="preserve">may even </w:t>
      </w:r>
      <w:r w:rsidR="00B920A8">
        <w:t xml:space="preserve">propose </w:t>
      </w:r>
      <w:r w:rsidR="00D935F6">
        <w:t xml:space="preserve">an aspect of evolution of the </w:t>
      </w:r>
      <w:r w:rsidR="00D935F6" w:rsidRPr="005E44FE">
        <w:rPr>
          <w:i/>
          <w:iCs/>
        </w:rPr>
        <w:t>Iliad</w:t>
      </w:r>
      <w:r w:rsidR="00D935F6">
        <w:t xml:space="preserve"> itself across the centuries</w:t>
      </w:r>
      <w:r w:rsidR="00241D16">
        <w:t xml:space="preserve"> it was used in the oral tradition. </w:t>
      </w:r>
      <w:r w:rsidR="001037A1">
        <w:t>It proposes aspects of burial tradition used, such as the act of libation referenced to with the quenching of fire with the use of wine</w:t>
      </w:r>
      <w:r w:rsidR="0069493B">
        <w:t xml:space="preserve"> and references that there was a significant social respect tied to the act of burial seen when Achilles offers a tru</w:t>
      </w:r>
      <w:r w:rsidR="00464662">
        <w:t xml:space="preserve">ce </w:t>
      </w:r>
      <w:r w:rsidR="0069493B">
        <w:t>to give the</w:t>
      </w:r>
      <w:r w:rsidR="00464662">
        <w:t xml:space="preserve"> Trojans time to bury Hector. </w:t>
      </w:r>
      <w:r w:rsidR="009F5F05">
        <w:t>Thi</w:t>
      </w:r>
      <w:r w:rsidR="00395C6E">
        <w:t>s</w:t>
      </w:r>
      <w:r w:rsidR="009F5F05">
        <w:t xml:space="preserve"> translation by Murray allows a reader to </w:t>
      </w:r>
      <w:r w:rsidR="008431D5">
        <w:t xml:space="preserve">access and understand </w:t>
      </w:r>
      <w:r w:rsidR="00C57781">
        <w:t xml:space="preserve">how funeral aspects were presented by Homer during the </w:t>
      </w:r>
      <w:r w:rsidR="00C57781" w:rsidRPr="005E44FE">
        <w:rPr>
          <w:i/>
          <w:iCs/>
        </w:rPr>
        <w:t>Iliad</w:t>
      </w:r>
      <w:r w:rsidR="00C57781">
        <w:t xml:space="preserve">. </w:t>
      </w:r>
    </w:p>
    <w:p w14:paraId="2380F5B7" w14:textId="29EF4C3A" w:rsidR="008F715E" w:rsidRDefault="008F715E" w:rsidP="008F715E"/>
    <w:p w14:paraId="49844D3D" w14:textId="77777777" w:rsidR="00BF4AF5" w:rsidRDefault="00BF4AF5" w:rsidP="008F715E"/>
    <w:p w14:paraId="0CD0FFB0" w14:textId="77777777" w:rsidR="00BF4AF5" w:rsidRPr="008F715E" w:rsidRDefault="00BF4AF5" w:rsidP="008F715E"/>
    <w:p w14:paraId="0DF354EC" w14:textId="255F1FE9" w:rsidR="00C0019C" w:rsidRPr="00C0019C" w:rsidRDefault="00C0019C" w:rsidP="00C0019C"/>
    <w:p w14:paraId="55A25A0B" w14:textId="4B0D8C98" w:rsidR="001231FF" w:rsidRDefault="001231FF"/>
    <w:p w14:paraId="4FA5167F" w14:textId="77777777" w:rsidR="001F7B07" w:rsidRDefault="001F7B07"/>
    <w:p w14:paraId="68235496" w14:textId="0B91D02C" w:rsidR="00BA01AA" w:rsidRDefault="00BA01AA"/>
    <w:p w14:paraId="37F8D1C1" w14:textId="77777777" w:rsidR="00872191" w:rsidRDefault="00872191"/>
    <w:p w14:paraId="3CC71489" w14:textId="77777777" w:rsidR="00872191" w:rsidRDefault="00872191"/>
    <w:p w14:paraId="0544EB4F" w14:textId="77777777" w:rsidR="00872191" w:rsidRDefault="00872191"/>
    <w:p w14:paraId="722088FD" w14:textId="77777777" w:rsidR="00872191" w:rsidRDefault="00872191"/>
    <w:p w14:paraId="233C147D" w14:textId="77777777" w:rsidR="00872191" w:rsidRDefault="00872191"/>
    <w:p w14:paraId="138101C0" w14:textId="77777777" w:rsidR="00872191" w:rsidRDefault="00872191"/>
    <w:p w14:paraId="6CAAB1AE" w14:textId="77777777" w:rsidR="00872191" w:rsidRDefault="00872191"/>
    <w:p w14:paraId="2B2BB052" w14:textId="77777777" w:rsidR="00872191" w:rsidRDefault="00872191"/>
    <w:p w14:paraId="24D8579C" w14:textId="77777777" w:rsidR="00872191" w:rsidRDefault="00872191"/>
    <w:p w14:paraId="6542282D" w14:textId="77777777" w:rsidR="00872191" w:rsidRDefault="00872191"/>
    <w:p w14:paraId="0D497FF0" w14:textId="77777777" w:rsidR="00872191" w:rsidRDefault="00872191"/>
    <w:p w14:paraId="263493B1" w14:textId="77777777" w:rsidR="00872191" w:rsidRDefault="00872191"/>
    <w:p w14:paraId="4F653AF0" w14:textId="77777777" w:rsidR="007C07D4" w:rsidRDefault="007C07D4">
      <w:r w:rsidRPr="00F705D3">
        <w:lastRenderedPageBreak/>
        <w:t>Donnellan, V</w:t>
      </w:r>
      <w:r>
        <w:t>. (2019)</w:t>
      </w:r>
      <w:r w:rsidRPr="00F705D3">
        <w:t xml:space="preserve">. </w:t>
      </w:r>
      <w:r>
        <w:t>‘</w:t>
      </w:r>
      <w:r w:rsidRPr="00F705D3">
        <w:t>The Myth of the Trojan War.</w:t>
      </w:r>
      <w:r>
        <w:t>’</w:t>
      </w:r>
      <w:r w:rsidRPr="00F705D3">
        <w:t xml:space="preserve"> </w:t>
      </w:r>
      <w:r w:rsidRPr="00F705D3">
        <w:rPr>
          <w:i/>
          <w:iCs/>
        </w:rPr>
        <w:t>The British Museum</w:t>
      </w:r>
      <w:r w:rsidRPr="00F705D3">
        <w:t xml:space="preserve">, </w:t>
      </w:r>
      <w:r>
        <w:t>(</w:t>
      </w:r>
      <w:r w:rsidRPr="00F705D3">
        <w:t>18 June 2019</w:t>
      </w:r>
      <w:r>
        <w:t>). Available at:</w:t>
      </w:r>
      <w:r w:rsidRPr="00F705D3">
        <w:t xml:space="preserve"> www.britishmuseum.org/blog/myth-trojan-war. </w:t>
      </w:r>
      <w:r>
        <w:t>(</w:t>
      </w:r>
      <w:r w:rsidRPr="00F705D3">
        <w:t>Accessed 7 Oct. 2026</w:t>
      </w:r>
      <w:r>
        <w:t>)</w:t>
      </w:r>
      <w:r w:rsidRPr="00F705D3">
        <w:t>.</w:t>
      </w:r>
    </w:p>
    <w:p w14:paraId="7992EA24" w14:textId="77777777" w:rsidR="007C07D4" w:rsidRDefault="007C07D4" w:rsidP="00BA01AA">
      <w:r>
        <w:t xml:space="preserve">Homer </w:t>
      </w:r>
      <w:r w:rsidRPr="00173265">
        <w:rPr>
          <w:i/>
          <w:iCs/>
        </w:rPr>
        <w:t>Iliad</w:t>
      </w:r>
      <w:r>
        <w:t xml:space="preserve"> pp 420-441 </w:t>
      </w:r>
      <w:r>
        <w:t xml:space="preserve">(Trans </w:t>
      </w:r>
      <w:r>
        <w:t xml:space="preserve">D </w:t>
      </w:r>
      <w:r>
        <w:t>Rieu)</w:t>
      </w:r>
      <w:r>
        <w:t xml:space="preserve"> (2003) </w:t>
      </w:r>
      <w:r w:rsidRPr="007C07D4">
        <w:t>Penguin Black Classic.</w:t>
      </w:r>
    </w:p>
    <w:p w14:paraId="142D68EF" w14:textId="77777777" w:rsidR="007C07D4" w:rsidRDefault="007C07D4" w:rsidP="00173265">
      <w:r>
        <w:t xml:space="preserve">Homer, </w:t>
      </w:r>
      <w:r w:rsidRPr="00173265">
        <w:rPr>
          <w:i/>
          <w:iCs/>
        </w:rPr>
        <w:t xml:space="preserve">Iliad </w:t>
      </w:r>
      <w:r>
        <w:t xml:space="preserve">(Book 24. A Murray (trans), (2026) </w:t>
      </w:r>
      <w:r w:rsidRPr="007F177B">
        <w:t>Loeb Classical Library</w:t>
      </w:r>
      <w:r>
        <w:t xml:space="preserve">, </w:t>
      </w:r>
      <w:r w:rsidRPr="00BA01AA">
        <w:t>Harvard University Press</w:t>
      </w:r>
      <w:r w:rsidRPr="005D1CC1">
        <w:t xml:space="preserve"> </w:t>
      </w:r>
    </w:p>
    <w:p w14:paraId="2D1F440F" w14:textId="21CE7C1A" w:rsidR="007C07D4" w:rsidRDefault="007C07D4" w:rsidP="00BA01AA">
      <w:r w:rsidRPr="00BA01AA">
        <w:t>Homer,</w:t>
      </w:r>
      <w:r w:rsidRPr="007F177B">
        <w:t xml:space="preserve"> </w:t>
      </w:r>
      <w:r w:rsidRPr="00F27A31">
        <w:rPr>
          <w:i/>
          <w:iCs/>
        </w:rPr>
        <w:t xml:space="preserve">The </w:t>
      </w:r>
      <w:r w:rsidRPr="00F27A31">
        <w:rPr>
          <w:i/>
          <w:iCs/>
        </w:rPr>
        <w:t>Odyssey, Volume I</w:t>
      </w:r>
      <w:r w:rsidRPr="00BA01AA">
        <w:t>.</w:t>
      </w:r>
      <w:r>
        <w:t xml:space="preserve"> A.</w:t>
      </w:r>
      <w:r w:rsidR="00D50449">
        <w:t xml:space="preserve"> </w:t>
      </w:r>
      <w:r>
        <w:t>Murray (trans)</w:t>
      </w:r>
      <w:r w:rsidRPr="00BA01AA">
        <w:t>,</w:t>
      </w:r>
      <w:r>
        <w:t xml:space="preserve"> </w:t>
      </w:r>
      <w:r>
        <w:t>(202</w:t>
      </w:r>
      <w:r>
        <w:t>2)</w:t>
      </w:r>
      <w:r w:rsidRPr="00BA01AA">
        <w:t xml:space="preserve"> </w:t>
      </w:r>
      <w:r w:rsidRPr="007F177B">
        <w:t>Loeb Classical Library</w:t>
      </w:r>
      <w:r>
        <w:t xml:space="preserve">, </w:t>
      </w:r>
      <w:r w:rsidRPr="00BA01AA">
        <w:t>Harvard University Press</w:t>
      </w:r>
      <w:r w:rsidRPr="005D1CC1">
        <w:t xml:space="preserve"> </w:t>
      </w:r>
    </w:p>
    <w:p w14:paraId="2382C5DF" w14:textId="097BC73E" w:rsidR="007C07D4" w:rsidRDefault="007C07D4">
      <w:r w:rsidRPr="00DC6613">
        <w:t>Kourkoulakos, A.</w:t>
      </w:r>
      <w:r>
        <w:t xml:space="preserve"> (</w:t>
      </w:r>
      <w:r w:rsidRPr="00DC6613">
        <w:t>2023</w:t>
      </w:r>
      <w:r>
        <w:t>) ‘</w:t>
      </w:r>
      <w:r w:rsidRPr="008F35B4">
        <w:t>Burying the Heros: Identifying the Archaeological Background of the Homeric Burial.</w:t>
      </w:r>
      <w:r>
        <w:t xml:space="preserve">’ </w:t>
      </w:r>
      <w:r w:rsidRPr="00447CCF">
        <w:rPr>
          <w:i/>
          <w:iCs/>
        </w:rPr>
        <w:t xml:space="preserve">Praehistorische </w:t>
      </w:r>
      <w:proofErr w:type="gramStart"/>
      <w:r w:rsidRPr="00447CCF">
        <w:rPr>
          <w:i/>
          <w:iCs/>
        </w:rPr>
        <w:t>Zeitschrift</w:t>
      </w:r>
      <w:r>
        <w:t xml:space="preserve"> </w:t>
      </w:r>
      <w:r w:rsidRPr="00DC6613">
        <w:t xml:space="preserve"> </w:t>
      </w:r>
      <w:r w:rsidRPr="00DC6613">
        <w:rPr>
          <w:i/>
          <w:iCs/>
        </w:rPr>
        <w:t>98</w:t>
      </w:r>
      <w:proofErr w:type="gramEnd"/>
      <w:r w:rsidRPr="00DC6613">
        <w:t>(1), p.238.</w:t>
      </w:r>
      <w:r>
        <w:t xml:space="preserve"> </w:t>
      </w:r>
    </w:p>
    <w:p w14:paraId="6AEDCE5B" w14:textId="77777777" w:rsidR="007C07D4" w:rsidRPr="00BA01AA" w:rsidRDefault="007C07D4" w:rsidP="00BA01AA">
      <w:r w:rsidRPr="00153DB5">
        <w:t>Radin, A</w:t>
      </w:r>
      <w:r>
        <w:t>. (1988)</w:t>
      </w:r>
      <w:r w:rsidRPr="00153DB5">
        <w:t xml:space="preserve"> </w:t>
      </w:r>
      <w:r>
        <w:t>‘</w:t>
      </w:r>
      <w:r w:rsidRPr="00153DB5">
        <w:t>Sunrise, Sunset: Hmos in Homeric Epic.</w:t>
      </w:r>
      <w:r>
        <w:t xml:space="preserve">’ </w:t>
      </w:r>
      <w:r w:rsidRPr="00153DB5">
        <w:rPr>
          <w:i/>
          <w:iCs/>
        </w:rPr>
        <w:t>The Ameri</w:t>
      </w:r>
      <w:r>
        <w:rPr>
          <w:i/>
          <w:iCs/>
        </w:rPr>
        <w:t xml:space="preserve">can </w:t>
      </w:r>
      <w:r w:rsidRPr="00153DB5">
        <w:rPr>
          <w:i/>
          <w:iCs/>
        </w:rPr>
        <w:t>Journal of Philology</w:t>
      </w:r>
      <w:r w:rsidRPr="00153DB5">
        <w:t>, 109</w:t>
      </w:r>
      <w:r>
        <w:t xml:space="preserve"> (</w:t>
      </w:r>
      <w:r w:rsidRPr="00153DB5">
        <w:t>3</w:t>
      </w:r>
      <w:r>
        <w:t>)</w:t>
      </w:r>
      <w:r w:rsidRPr="00153DB5">
        <w:t>, p</w:t>
      </w:r>
      <w:r>
        <w:t>p</w:t>
      </w:r>
      <w:r w:rsidRPr="00153DB5">
        <w:t>. 293</w:t>
      </w:r>
      <w:r>
        <w:t xml:space="preserve">-307 Available at: </w:t>
      </w:r>
      <w:r w:rsidRPr="00153DB5">
        <w:t>www-jstor-org.uwtsd.idm.oclc.org/</w:t>
      </w:r>
      <w:r w:rsidRPr="003105DC">
        <w:rPr>
          <w:i/>
          <w:iCs/>
        </w:rPr>
        <w:t xml:space="preserve"> </w:t>
      </w:r>
      <w:r w:rsidRPr="003105DC">
        <w:rPr>
          <w:i/>
          <w:iCs/>
        </w:rPr>
        <w:t xml:space="preserve">can </w:t>
      </w:r>
      <w:r w:rsidRPr="00153DB5">
        <w:t>stable/294885?seq=6, 10.2307/294885.</w:t>
      </w:r>
      <w:r>
        <w:tab/>
      </w:r>
    </w:p>
    <w:p w14:paraId="477084AD" w14:textId="77777777" w:rsidR="00AE4CCE" w:rsidRDefault="00AE4CCE"/>
    <w:sectPr w:rsidR="00AE4CCE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7B978F0" w14:textId="77777777" w:rsidR="00787701" w:rsidRDefault="00787701" w:rsidP="001F7B07">
      <w:pPr>
        <w:spacing w:after="0" w:line="240" w:lineRule="auto"/>
      </w:pPr>
      <w:r>
        <w:separator/>
      </w:r>
    </w:p>
  </w:endnote>
  <w:endnote w:type="continuationSeparator" w:id="0">
    <w:p w14:paraId="34F51607" w14:textId="77777777" w:rsidR="00787701" w:rsidRDefault="00787701" w:rsidP="001F7B0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9005A04" w14:textId="77777777" w:rsidR="00787701" w:rsidRDefault="00787701" w:rsidP="001F7B07">
      <w:pPr>
        <w:spacing w:after="0" w:line="240" w:lineRule="auto"/>
      </w:pPr>
      <w:r>
        <w:separator/>
      </w:r>
    </w:p>
  </w:footnote>
  <w:footnote w:type="continuationSeparator" w:id="0">
    <w:p w14:paraId="14D461CE" w14:textId="77777777" w:rsidR="00787701" w:rsidRDefault="00787701" w:rsidP="001F7B0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EB343AB" w14:textId="13543749" w:rsidR="00872191" w:rsidRPr="00872191" w:rsidRDefault="00872191" w:rsidP="00872191">
    <w:pPr>
      <w:pStyle w:val="Header"/>
      <w:jc w:val="center"/>
      <w:rPr>
        <w:u w:val="single"/>
      </w:rPr>
    </w:pPr>
    <w:r>
      <w:rPr>
        <w:u w:val="single"/>
      </w:rPr>
      <w:t>Iliad Gobbet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B4B56"/>
    <w:rsid w:val="00030493"/>
    <w:rsid w:val="0005349D"/>
    <w:rsid w:val="0008598D"/>
    <w:rsid w:val="00086BC2"/>
    <w:rsid w:val="000926EE"/>
    <w:rsid w:val="000A042F"/>
    <w:rsid w:val="000A0EC7"/>
    <w:rsid w:val="000A12ED"/>
    <w:rsid w:val="000A26BB"/>
    <w:rsid w:val="000D110D"/>
    <w:rsid w:val="001037A1"/>
    <w:rsid w:val="00106C62"/>
    <w:rsid w:val="001231FF"/>
    <w:rsid w:val="00134EB4"/>
    <w:rsid w:val="001355AA"/>
    <w:rsid w:val="00146DD3"/>
    <w:rsid w:val="00153DB5"/>
    <w:rsid w:val="00171419"/>
    <w:rsid w:val="00173265"/>
    <w:rsid w:val="00195527"/>
    <w:rsid w:val="001B24F3"/>
    <w:rsid w:val="001E71A9"/>
    <w:rsid w:val="001F7B07"/>
    <w:rsid w:val="00241D16"/>
    <w:rsid w:val="002508F4"/>
    <w:rsid w:val="00265646"/>
    <w:rsid w:val="002766FC"/>
    <w:rsid w:val="00277862"/>
    <w:rsid w:val="002D1911"/>
    <w:rsid w:val="002E3483"/>
    <w:rsid w:val="002F1B12"/>
    <w:rsid w:val="003105DC"/>
    <w:rsid w:val="00316AC7"/>
    <w:rsid w:val="003244A9"/>
    <w:rsid w:val="00335625"/>
    <w:rsid w:val="0033643C"/>
    <w:rsid w:val="00336CDB"/>
    <w:rsid w:val="003469FB"/>
    <w:rsid w:val="003811F9"/>
    <w:rsid w:val="00381DB3"/>
    <w:rsid w:val="00386113"/>
    <w:rsid w:val="003914C2"/>
    <w:rsid w:val="003953C9"/>
    <w:rsid w:val="0039578D"/>
    <w:rsid w:val="00395C6E"/>
    <w:rsid w:val="003B17FE"/>
    <w:rsid w:val="003B4A52"/>
    <w:rsid w:val="003B6DEC"/>
    <w:rsid w:val="003E6E5E"/>
    <w:rsid w:val="0040032E"/>
    <w:rsid w:val="0041200B"/>
    <w:rsid w:val="00412F06"/>
    <w:rsid w:val="00441313"/>
    <w:rsid w:val="00447CCF"/>
    <w:rsid w:val="00453361"/>
    <w:rsid w:val="0045654C"/>
    <w:rsid w:val="00464662"/>
    <w:rsid w:val="004747D2"/>
    <w:rsid w:val="00476DAC"/>
    <w:rsid w:val="004A059C"/>
    <w:rsid w:val="004A2688"/>
    <w:rsid w:val="004C7D9F"/>
    <w:rsid w:val="004F75A7"/>
    <w:rsid w:val="005033BE"/>
    <w:rsid w:val="00505604"/>
    <w:rsid w:val="005133A9"/>
    <w:rsid w:val="00530D54"/>
    <w:rsid w:val="005355E0"/>
    <w:rsid w:val="00544DC3"/>
    <w:rsid w:val="00571BB7"/>
    <w:rsid w:val="00590314"/>
    <w:rsid w:val="005A4863"/>
    <w:rsid w:val="005B19EA"/>
    <w:rsid w:val="005D1CC1"/>
    <w:rsid w:val="005D512A"/>
    <w:rsid w:val="005E25AE"/>
    <w:rsid w:val="005E44FE"/>
    <w:rsid w:val="005E5BE2"/>
    <w:rsid w:val="005E7471"/>
    <w:rsid w:val="006109B4"/>
    <w:rsid w:val="0061445D"/>
    <w:rsid w:val="00656B08"/>
    <w:rsid w:val="00685132"/>
    <w:rsid w:val="00691B62"/>
    <w:rsid w:val="0069493B"/>
    <w:rsid w:val="006B649A"/>
    <w:rsid w:val="006E582C"/>
    <w:rsid w:val="006E5999"/>
    <w:rsid w:val="00700DAD"/>
    <w:rsid w:val="007362F4"/>
    <w:rsid w:val="00741D87"/>
    <w:rsid w:val="00744998"/>
    <w:rsid w:val="00754C17"/>
    <w:rsid w:val="0075622C"/>
    <w:rsid w:val="007645EB"/>
    <w:rsid w:val="00770439"/>
    <w:rsid w:val="00787701"/>
    <w:rsid w:val="007A0DE0"/>
    <w:rsid w:val="007A2E95"/>
    <w:rsid w:val="007C07D4"/>
    <w:rsid w:val="007C2BCC"/>
    <w:rsid w:val="007F177B"/>
    <w:rsid w:val="00832A26"/>
    <w:rsid w:val="008431D5"/>
    <w:rsid w:val="008479E1"/>
    <w:rsid w:val="0086542A"/>
    <w:rsid w:val="00872191"/>
    <w:rsid w:val="008753BC"/>
    <w:rsid w:val="00881D83"/>
    <w:rsid w:val="008964E1"/>
    <w:rsid w:val="008A6640"/>
    <w:rsid w:val="008A71F8"/>
    <w:rsid w:val="008B5213"/>
    <w:rsid w:val="008D44ED"/>
    <w:rsid w:val="008F35B4"/>
    <w:rsid w:val="008F715E"/>
    <w:rsid w:val="0090689B"/>
    <w:rsid w:val="00912EC9"/>
    <w:rsid w:val="00915553"/>
    <w:rsid w:val="009649A8"/>
    <w:rsid w:val="009861C9"/>
    <w:rsid w:val="009B6B61"/>
    <w:rsid w:val="009E5684"/>
    <w:rsid w:val="009F5F05"/>
    <w:rsid w:val="009F634C"/>
    <w:rsid w:val="00A40990"/>
    <w:rsid w:val="00A41D44"/>
    <w:rsid w:val="00A47241"/>
    <w:rsid w:val="00A5213B"/>
    <w:rsid w:val="00A537E0"/>
    <w:rsid w:val="00A646FD"/>
    <w:rsid w:val="00A82E4C"/>
    <w:rsid w:val="00A90FDB"/>
    <w:rsid w:val="00AE4A62"/>
    <w:rsid w:val="00AE4CCE"/>
    <w:rsid w:val="00B164B4"/>
    <w:rsid w:val="00B37736"/>
    <w:rsid w:val="00B47500"/>
    <w:rsid w:val="00B568BC"/>
    <w:rsid w:val="00B56958"/>
    <w:rsid w:val="00B62F58"/>
    <w:rsid w:val="00B63971"/>
    <w:rsid w:val="00B763B5"/>
    <w:rsid w:val="00B920A8"/>
    <w:rsid w:val="00BA01AA"/>
    <w:rsid w:val="00BA4769"/>
    <w:rsid w:val="00BB4181"/>
    <w:rsid w:val="00BB4B56"/>
    <w:rsid w:val="00BB73C8"/>
    <w:rsid w:val="00BE15C6"/>
    <w:rsid w:val="00BE69C5"/>
    <w:rsid w:val="00BE6B71"/>
    <w:rsid w:val="00BF187E"/>
    <w:rsid w:val="00BF3074"/>
    <w:rsid w:val="00BF4AF5"/>
    <w:rsid w:val="00C0019C"/>
    <w:rsid w:val="00C13389"/>
    <w:rsid w:val="00C1346C"/>
    <w:rsid w:val="00C14761"/>
    <w:rsid w:val="00C24683"/>
    <w:rsid w:val="00C37120"/>
    <w:rsid w:val="00C376DF"/>
    <w:rsid w:val="00C37AA8"/>
    <w:rsid w:val="00C57781"/>
    <w:rsid w:val="00C75778"/>
    <w:rsid w:val="00C80B7C"/>
    <w:rsid w:val="00CB7F06"/>
    <w:rsid w:val="00CD7CCE"/>
    <w:rsid w:val="00CE6ECC"/>
    <w:rsid w:val="00D005ED"/>
    <w:rsid w:val="00D03D10"/>
    <w:rsid w:val="00D061A2"/>
    <w:rsid w:val="00D1755D"/>
    <w:rsid w:val="00D30C01"/>
    <w:rsid w:val="00D35488"/>
    <w:rsid w:val="00D36FC7"/>
    <w:rsid w:val="00D4582C"/>
    <w:rsid w:val="00D476FE"/>
    <w:rsid w:val="00D50449"/>
    <w:rsid w:val="00D81024"/>
    <w:rsid w:val="00D935F6"/>
    <w:rsid w:val="00D96909"/>
    <w:rsid w:val="00DB3E1C"/>
    <w:rsid w:val="00DC047A"/>
    <w:rsid w:val="00DC2091"/>
    <w:rsid w:val="00DC6613"/>
    <w:rsid w:val="00DE2799"/>
    <w:rsid w:val="00DE56AE"/>
    <w:rsid w:val="00E216A2"/>
    <w:rsid w:val="00E2444A"/>
    <w:rsid w:val="00E42F40"/>
    <w:rsid w:val="00E46313"/>
    <w:rsid w:val="00E469CE"/>
    <w:rsid w:val="00E71417"/>
    <w:rsid w:val="00E73AD7"/>
    <w:rsid w:val="00E73BF1"/>
    <w:rsid w:val="00EB2D84"/>
    <w:rsid w:val="00EC1228"/>
    <w:rsid w:val="00EC50B2"/>
    <w:rsid w:val="00EE3179"/>
    <w:rsid w:val="00EF3441"/>
    <w:rsid w:val="00F02270"/>
    <w:rsid w:val="00F1255F"/>
    <w:rsid w:val="00F15513"/>
    <w:rsid w:val="00F27A31"/>
    <w:rsid w:val="00F44B60"/>
    <w:rsid w:val="00F705D3"/>
    <w:rsid w:val="00F731B5"/>
    <w:rsid w:val="00F806B1"/>
    <w:rsid w:val="00FA6618"/>
    <w:rsid w:val="00FD2FB3"/>
    <w:rsid w:val="00FD4D5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CDB2788"/>
  <w15:chartTrackingRefBased/>
  <w15:docId w15:val="{499988AD-D91B-49D1-B072-F754B3AA2C2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B4B5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B4B5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B4B5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B4B5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B4B5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B4B5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B4B5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B4B5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B4B5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B4B5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B4B5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B4B5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B4B5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B4B5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B4B5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B4B5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B4B5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B4B5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B4B5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B4B5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B4B5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B4B5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B4B5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B4B5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B4B5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B4B5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B4B5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B4B5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B4B56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1F7B0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F7B07"/>
  </w:style>
  <w:style w:type="paragraph" w:styleId="Footer">
    <w:name w:val="footer"/>
    <w:basedOn w:val="Normal"/>
    <w:link w:val="FooterChar"/>
    <w:uiPriority w:val="99"/>
    <w:unhideWhenUsed/>
    <w:rsid w:val="001F7B0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F7B07"/>
  </w:style>
  <w:style w:type="character" w:styleId="Hyperlink">
    <w:name w:val="Hyperlink"/>
    <w:basedOn w:val="DefaultParagraphFont"/>
    <w:uiPriority w:val="99"/>
    <w:unhideWhenUsed/>
    <w:rsid w:val="005D1CC1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D1CC1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7C07D4"/>
    <w:rPr>
      <w:rFonts w:ascii="Times New Roman" w:hAnsi="Times New Roman" w:cs="Times New Roman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AB99023-E616-4804-B704-8D59240A9A5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3860</TotalTime>
  <Pages>3</Pages>
  <Words>984</Words>
  <Characters>5613</Characters>
  <Application>Microsoft Office Word</Application>
  <DocSecurity>0</DocSecurity>
  <Lines>46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6584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Adrian Easton (2404257)</dc:creator>
  <cp:keywords/>
  <dc:description/>
  <cp:lastModifiedBy>Adrian Easton (2404257)</cp:lastModifiedBy>
  <cp:revision>199</cp:revision>
  <dcterms:created xsi:type="dcterms:W3CDTF">2026-10-07T11:38:00Z</dcterms:created>
  <dcterms:modified xsi:type="dcterms:W3CDTF">2026-10-14T10:16:00Z</dcterms:modified>
</cp:coreProperties>
</file>