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78C59" w14:textId="0D39F639" w:rsidR="00EE6683" w:rsidRPr="00464F36" w:rsidRDefault="009508D1" w:rsidP="009508D1">
      <w:pPr>
        <w:spacing w:line="360" w:lineRule="auto"/>
        <w:jc w:val="right"/>
        <w:rPr>
          <w:rFonts w:ascii="Arial" w:hAnsi="Arial" w:cs="Arial"/>
          <w:b/>
          <w:bCs/>
          <w:sz w:val="36"/>
          <w:szCs w:val="36"/>
        </w:rPr>
      </w:pPr>
      <w:r>
        <w:rPr>
          <w:rFonts w:ascii="Arial" w:hAnsi="Arial" w:cs="Arial"/>
          <w:b/>
          <w:bCs/>
          <w:noProof/>
          <w:sz w:val="36"/>
          <w:szCs w:val="36"/>
        </w:rPr>
        <w:drawing>
          <wp:inline distT="0" distB="0" distL="0" distR="0" wp14:anchorId="75B8B75C" wp14:editId="0548B778">
            <wp:extent cx="2970727" cy="1128532"/>
            <wp:effectExtent l="0" t="0" r="1270" b="0"/>
            <wp:docPr id="1789616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0414" cy="1136011"/>
                    </a:xfrm>
                    <a:prstGeom prst="rect">
                      <a:avLst/>
                    </a:prstGeom>
                    <a:noFill/>
                  </pic:spPr>
                </pic:pic>
              </a:graphicData>
            </a:graphic>
          </wp:inline>
        </w:drawing>
      </w:r>
    </w:p>
    <w:p w14:paraId="3913B0FE" w14:textId="31E87C48" w:rsidR="009508D1" w:rsidRDefault="009508D1" w:rsidP="009508D1">
      <w:pPr>
        <w:spacing w:line="360" w:lineRule="auto"/>
        <w:jc w:val="center"/>
        <w:rPr>
          <w:rFonts w:ascii="Arial" w:hAnsi="Arial" w:cs="Arial"/>
          <w:b/>
          <w:bCs/>
          <w:sz w:val="36"/>
          <w:szCs w:val="36"/>
        </w:rPr>
      </w:pPr>
      <w:r w:rsidRPr="00464F36">
        <w:rPr>
          <w:rFonts w:ascii="Arial" w:hAnsi="Arial" w:cs="Arial"/>
          <w:b/>
          <w:bCs/>
          <w:sz w:val="36"/>
          <w:szCs w:val="36"/>
        </w:rPr>
        <w:t>Assessment: Component 2</w:t>
      </w:r>
    </w:p>
    <w:p w14:paraId="513C29DF" w14:textId="77777777" w:rsidR="00464F36" w:rsidRDefault="00464F36" w:rsidP="00035B91">
      <w:pPr>
        <w:spacing w:line="360" w:lineRule="auto"/>
        <w:jc w:val="both"/>
        <w:rPr>
          <w:rFonts w:ascii="Arial" w:hAnsi="Arial" w:cs="Arial"/>
          <w:b/>
          <w:bCs/>
        </w:rPr>
      </w:pPr>
    </w:p>
    <w:p w14:paraId="1B997802" w14:textId="77777777" w:rsidR="00464F36" w:rsidRDefault="00464F36" w:rsidP="00035B91">
      <w:pPr>
        <w:spacing w:line="360" w:lineRule="auto"/>
        <w:jc w:val="both"/>
        <w:rPr>
          <w:rFonts w:ascii="Arial" w:hAnsi="Arial" w:cs="Arial"/>
          <w:b/>
          <w:bCs/>
        </w:rPr>
      </w:pPr>
    </w:p>
    <w:p w14:paraId="589D7AC1" w14:textId="66A90133" w:rsidR="00464F36" w:rsidRPr="009508D1" w:rsidRDefault="00464F36" w:rsidP="009508D1">
      <w:pPr>
        <w:spacing w:line="360" w:lineRule="auto"/>
        <w:rPr>
          <w:rFonts w:ascii="Arial" w:hAnsi="Arial" w:cs="Arial"/>
          <w:b/>
          <w:bCs/>
          <w:sz w:val="32"/>
          <w:szCs w:val="32"/>
        </w:rPr>
      </w:pPr>
      <w:r w:rsidRPr="009508D1">
        <w:rPr>
          <w:rFonts w:ascii="Arial" w:hAnsi="Arial" w:cs="Arial"/>
          <w:b/>
          <w:bCs/>
          <w:sz w:val="32"/>
          <w:szCs w:val="32"/>
        </w:rPr>
        <w:t xml:space="preserve">Student Name: Safa Ahmed </w:t>
      </w:r>
    </w:p>
    <w:p w14:paraId="1C700E28" w14:textId="19AE8608" w:rsidR="00464F36" w:rsidRPr="009508D1" w:rsidRDefault="00464F36" w:rsidP="009508D1">
      <w:pPr>
        <w:spacing w:line="360" w:lineRule="auto"/>
        <w:rPr>
          <w:rFonts w:ascii="Arial" w:hAnsi="Arial" w:cs="Arial"/>
          <w:b/>
          <w:bCs/>
          <w:sz w:val="32"/>
          <w:szCs w:val="32"/>
        </w:rPr>
      </w:pPr>
      <w:r w:rsidRPr="009508D1">
        <w:rPr>
          <w:rFonts w:ascii="Arial" w:hAnsi="Arial" w:cs="Arial"/>
          <w:b/>
          <w:bCs/>
          <w:sz w:val="32"/>
          <w:szCs w:val="32"/>
        </w:rPr>
        <w:t xml:space="preserve">Student ID: 2124319 </w:t>
      </w:r>
    </w:p>
    <w:p w14:paraId="7D7D770B" w14:textId="35B1663B" w:rsidR="00464F36" w:rsidRPr="009508D1" w:rsidRDefault="00B41020" w:rsidP="009508D1">
      <w:pPr>
        <w:spacing w:line="360" w:lineRule="auto"/>
        <w:rPr>
          <w:rFonts w:ascii="Arial" w:hAnsi="Arial" w:cs="Arial"/>
          <w:b/>
          <w:bCs/>
          <w:sz w:val="32"/>
          <w:szCs w:val="32"/>
        </w:rPr>
      </w:pPr>
      <w:r w:rsidRPr="009508D1">
        <w:rPr>
          <w:rFonts w:ascii="Arial" w:hAnsi="Arial" w:cs="Arial"/>
          <w:b/>
          <w:bCs/>
          <w:sz w:val="32"/>
          <w:szCs w:val="32"/>
        </w:rPr>
        <w:t>Mod</w:t>
      </w:r>
      <w:r w:rsidR="00DD05B0" w:rsidRPr="009508D1">
        <w:rPr>
          <w:rFonts w:ascii="Arial" w:hAnsi="Arial" w:cs="Arial"/>
          <w:b/>
          <w:bCs/>
          <w:sz w:val="32"/>
          <w:szCs w:val="32"/>
        </w:rPr>
        <w:t>ule</w:t>
      </w:r>
      <w:r w:rsidRPr="009508D1">
        <w:rPr>
          <w:rFonts w:ascii="Arial" w:hAnsi="Arial" w:cs="Arial"/>
          <w:b/>
          <w:bCs/>
          <w:sz w:val="32"/>
          <w:szCs w:val="32"/>
        </w:rPr>
        <w:t xml:space="preserve"> Name: Living With Care: The older </w:t>
      </w:r>
      <w:r w:rsidR="00DD05B0" w:rsidRPr="009508D1">
        <w:rPr>
          <w:rFonts w:ascii="Arial" w:hAnsi="Arial" w:cs="Arial"/>
          <w:b/>
          <w:bCs/>
          <w:sz w:val="32"/>
          <w:szCs w:val="32"/>
        </w:rPr>
        <w:t>Person.</w:t>
      </w:r>
      <w:r w:rsidRPr="009508D1">
        <w:rPr>
          <w:rFonts w:ascii="Arial" w:hAnsi="Arial" w:cs="Arial"/>
          <w:b/>
          <w:bCs/>
          <w:sz w:val="32"/>
          <w:szCs w:val="32"/>
        </w:rPr>
        <w:t xml:space="preserve"> </w:t>
      </w:r>
    </w:p>
    <w:p w14:paraId="160B9134" w14:textId="77777777" w:rsidR="00785626" w:rsidRPr="009508D1" w:rsidRDefault="00B41020" w:rsidP="009508D1">
      <w:pPr>
        <w:spacing w:line="360" w:lineRule="auto"/>
        <w:rPr>
          <w:rFonts w:ascii="Arial" w:hAnsi="Arial" w:cs="Arial"/>
          <w:b/>
          <w:bCs/>
          <w:sz w:val="32"/>
          <w:szCs w:val="32"/>
        </w:rPr>
      </w:pPr>
      <w:r w:rsidRPr="009508D1">
        <w:rPr>
          <w:rFonts w:ascii="Arial" w:hAnsi="Arial" w:cs="Arial"/>
          <w:b/>
          <w:bCs/>
          <w:sz w:val="32"/>
          <w:szCs w:val="32"/>
        </w:rPr>
        <w:t>Mod</w:t>
      </w:r>
      <w:r w:rsidR="00DD05B0" w:rsidRPr="009508D1">
        <w:rPr>
          <w:rFonts w:ascii="Arial" w:hAnsi="Arial" w:cs="Arial"/>
          <w:b/>
          <w:bCs/>
          <w:sz w:val="32"/>
          <w:szCs w:val="32"/>
        </w:rPr>
        <w:t xml:space="preserve">ule </w:t>
      </w:r>
      <w:r w:rsidR="00EB53FA" w:rsidRPr="009508D1">
        <w:rPr>
          <w:rFonts w:ascii="Arial" w:hAnsi="Arial" w:cs="Arial"/>
          <w:b/>
          <w:bCs/>
          <w:sz w:val="32"/>
          <w:szCs w:val="32"/>
        </w:rPr>
        <w:t>Code:</w:t>
      </w:r>
      <w:r w:rsidR="00DD05B0" w:rsidRPr="009508D1">
        <w:rPr>
          <w:rFonts w:ascii="Arial" w:hAnsi="Arial" w:cs="Arial"/>
          <w:b/>
          <w:bCs/>
          <w:sz w:val="32"/>
          <w:szCs w:val="32"/>
        </w:rPr>
        <w:t xml:space="preserve"> </w:t>
      </w:r>
      <w:r w:rsidR="00785626" w:rsidRPr="009508D1">
        <w:rPr>
          <w:rFonts w:ascii="Arial" w:hAnsi="Arial" w:cs="Arial"/>
          <w:b/>
          <w:bCs/>
          <w:sz w:val="32"/>
          <w:szCs w:val="32"/>
        </w:rPr>
        <w:t>BMHP6009</w:t>
      </w:r>
    </w:p>
    <w:p w14:paraId="3171C7AA" w14:textId="3C0F3D77" w:rsidR="00B41020" w:rsidRPr="009508D1" w:rsidRDefault="00785626" w:rsidP="009508D1">
      <w:pPr>
        <w:spacing w:line="360" w:lineRule="auto"/>
        <w:rPr>
          <w:rFonts w:ascii="Arial" w:hAnsi="Arial" w:cs="Arial"/>
          <w:b/>
          <w:bCs/>
          <w:sz w:val="32"/>
          <w:szCs w:val="32"/>
        </w:rPr>
      </w:pPr>
      <w:r w:rsidRPr="009508D1">
        <w:rPr>
          <w:rFonts w:ascii="Arial" w:hAnsi="Arial" w:cs="Arial"/>
          <w:b/>
          <w:bCs/>
          <w:sz w:val="32"/>
          <w:szCs w:val="32"/>
        </w:rPr>
        <w:t xml:space="preserve">Lecturer Name: Dr Laila </w:t>
      </w:r>
      <w:r w:rsidR="009508D1" w:rsidRPr="009508D1">
        <w:rPr>
          <w:rFonts w:ascii="Arial" w:hAnsi="Arial" w:cs="Arial"/>
          <w:b/>
          <w:bCs/>
          <w:sz w:val="32"/>
          <w:szCs w:val="32"/>
        </w:rPr>
        <w:t xml:space="preserve">Surani </w:t>
      </w:r>
      <w:r w:rsidR="00EB53FA" w:rsidRPr="009508D1">
        <w:rPr>
          <w:rFonts w:ascii="Arial" w:hAnsi="Arial" w:cs="Arial"/>
          <w:b/>
          <w:bCs/>
          <w:sz w:val="32"/>
          <w:szCs w:val="32"/>
        </w:rPr>
        <w:t xml:space="preserve"> </w:t>
      </w:r>
    </w:p>
    <w:p w14:paraId="70FB5BD7" w14:textId="77777777" w:rsidR="00EE6683" w:rsidRDefault="00EE6683" w:rsidP="00035B91">
      <w:pPr>
        <w:spacing w:line="360" w:lineRule="auto"/>
        <w:jc w:val="both"/>
        <w:rPr>
          <w:rFonts w:ascii="Arial" w:hAnsi="Arial" w:cs="Arial"/>
          <w:b/>
          <w:bCs/>
        </w:rPr>
      </w:pPr>
    </w:p>
    <w:p w14:paraId="5D5C93A6" w14:textId="77777777" w:rsidR="00EE6683" w:rsidRDefault="00EE6683" w:rsidP="00035B91">
      <w:pPr>
        <w:spacing w:line="360" w:lineRule="auto"/>
        <w:jc w:val="both"/>
        <w:rPr>
          <w:rFonts w:ascii="Arial" w:hAnsi="Arial" w:cs="Arial"/>
          <w:b/>
          <w:bCs/>
        </w:rPr>
      </w:pPr>
    </w:p>
    <w:p w14:paraId="673FBB97" w14:textId="77777777" w:rsidR="00EE6683" w:rsidRDefault="00EE6683" w:rsidP="00035B91">
      <w:pPr>
        <w:spacing w:line="360" w:lineRule="auto"/>
        <w:jc w:val="both"/>
        <w:rPr>
          <w:rFonts w:ascii="Arial" w:hAnsi="Arial" w:cs="Arial"/>
          <w:b/>
          <w:bCs/>
        </w:rPr>
      </w:pPr>
    </w:p>
    <w:p w14:paraId="61E8B92D" w14:textId="77777777" w:rsidR="00EE6683" w:rsidRDefault="00EE6683" w:rsidP="00035B91">
      <w:pPr>
        <w:spacing w:line="360" w:lineRule="auto"/>
        <w:jc w:val="both"/>
        <w:rPr>
          <w:rFonts w:ascii="Arial" w:hAnsi="Arial" w:cs="Arial"/>
          <w:b/>
          <w:bCs/>
        </w:rPr>
      </w:pPr>
    </w:p>
    <w:p w14:paraId="10E27E2F" w14:textId="77777777" w:rsidR="00EE6683" w:rsidRDefault="00EE6683" w:rsidP="00035B91">
      <w:pPr>
        <w:spacing w:line="360" w:lineRule="auto"/>
        <w:jc w:val="both"/>
        <w:rPr>
          <w:rFonts w:ascii="Arial" w:hAnsi="Arial" w:cs="Arial"/>
          <w:b/>
          <w:bCs/>
        </w:rPr>
      </w:pPr>
    </w:p>
    <w:p w14:paraId="58ADBA4B" w14:textId="77777777" w:rsidR="00EE6683" w:rsidRDefault="00EE6683" w:rsidP="00035B91">
      <w:pPr>
        <w:spacing w:line="360" w:lineRule="auto"/>
        <w:jc w:val="both"/>
        <w:rPr>
          <w:rFonts w:ascii="Arial" w:hAnsi="Arial" w:cs="Arial"/>
          <w:b/>
          <w:bCs/>
        </w:rPr>
      </w:pPr>
    </w:p>
    <w:p w14:paraId="2F88FBF1" w14:textId="77777777" w:rsidR="00EE6683" w:rsidRDefault="00EE6683" w:rsidP="00035B91">
      <w:pPr>
        <w:spacing w:line="360" w:lineRule="auto"/>
        <w:jc w:val="both"/>
        <w:rPr>
          <w:rFonts w:ascii="Arial" w:hAnsi="Arial" w:cs="Arial"/>
          <w:b/>
          <w:bCs/>
        </w:rPr>
      </w:pPr>
    </w:p>
    <w:p w14:paraId="75FC0392" w14:textId="77777777" w:rsidR="00EE6683" w:rsidRDefault="00EE6683" w:rsidP="00035B91">
      <w:pPr>
        <w:spacing w:line="360" w:lineRule="auto"/>
        <w:jc w:val="both"/>
        <w:rPr>
          <w:rFonts w:ascii="Arial" w:hAnsi="Arial" w:cs="Arial"/>
          <w:b/>
          <w:bCs/>
        </w:rPr>
      </w:pPr>
    </w:p>
    <w:p w14:paraId="116E3D96" w14:textId="77777777" w:rsidR="00EE6683" w:rsidRDefault="00EE6683" w:rsidP="00035B91">
      <w:pPr>
        <w:spacing w:line="360" w:lineRule="auto"/>
        <w:jc w:val="both"/>
        <w:rPr>
          <w:rFonts w:ascii="Arial" w:hAnsi="Arial" w:cs="Arial"/>
          <w:b/>
          <w:bCs/>
        </w:rPr>
      </w:pPr>
    </w:p>
    <w:p w14:paraId="44B1601A" w14:textId="77777777" w:rsidR="00EE6683" w:rsidRDefault="00EE6683" w:rsidP="00035B91">
      <w:pPr>
        <w:spacing w:line="360" w:lineRule="auto"/>
        <w:jc w:val="both"/>
        <w:rPr>
          <w:rFonts w:ascii="Arial" w:hAnsi="Arial" w:cs="Arial"/>
          <w:b/>
          <w:bCs/>
        </w:rPr>
      </w:pPr>
    </w:p>
    <w:p w14:paraId="711E5481" w14:textId="77777777" w:rsidR="00EE6683" w:rsidRDefault="00EE6683" w:rsidP="00035B91">
      <w:pPr>
        <w:spacing w:line="360" w:lineRule="auto"/>
        <w:jc w:val="both"/>
        <w:rPr>
          <w:rFonts w:ascii="Arial" w:hAnsi="Arial" w:cs="Arial"/>
          <w:b/>
          <w:bCs/>
        </w:rPr>
      </w:pPr>
    </w:p>
    <w:p w14:paraId="7D74CF7C" w14:textId="77777777" w:rsidR="009508D1" w:rsidRDefault="009508D1" w:rsidP="00035B91">
      <w:pPr>
        <w:spacing w:line="360" w:lineRule="auto"/>
        <w:jc w:val="both"/>
        <w:rPr>
          <w:rFonts w:ascii="Arial" w:hAnsi="Arial" w:cs="Arial"/>
          <w:b/>
          <w:bCs/>
        </w:rPr>
      </w:pPr>
    </w:p>
    <w:p w14:paraId="67D3D603" w14:textId="599D2A83" w:rsidR="00EE61AC" w:rsidRPr="00035B91" w:rsidRDefault="00EE61AC" w:rsidP="00035B91">
      <w:pPr>
        <w:spacing w:line="360" w:lineRule="auto"/>
        <w:jc w:val="both"/>
        <w:rPr>
          <w:rFonts w:ascii="Arial" w:hAnsi="Arial" w:cs="Arial"/>
          <w:b/>
          <w:bCs/>
        </w:rPr>
      </w:pPr>
      <w:r w:rsidRPr="00035B91">
        <w:rPr>
          <w:rFonts w:ascii="Arial" w:hAnsi="Arial" w:cs="Arial"/>
          <w:b/>
          <w:bCs/>
        </w:rPr>
        <w:lastRenderedPageBreak/>
        <w:t>Introd</w:t>
      </w:r>
      <w:r w:rsidR="00A5219F" w:rsidRPr="00035B91">
        <w:rPr>
          <w:rFonts w:ascii="Arial" w:hAnsi="Arial" w:cs="Arial"/>
          <w:b/>
          <w:bCs/>
        </w:rPr>
        <w:t xml:space="preserve">uction </w:t>
      </w:r>
    </w:p>
    <w:p w14:paraId="790D0133" w14:textId="77777777" w:rsidR="002E7A86" w:rsidRDefault="00A5219F" w:rsidP="00035B91">
      <w:pPr>
        <w:spacing w:line="360" w:lineRule="auto"/>
        <w:jc w:val="both"/>
        <w:rPr>
          <w:rFonts w:ascii="Arial" w:hAnsi="Arial" w:cs="Arial"/>
        </w:rPr>
      </w:pPr>
      <w:r w:rsidRPr="00035B91">
        <w:rPr>
          <w:rFonts w:ascii="Arial" w:hAnsi="Arial" w:cs="Arial"/>
        </w:rPr>
        <w:t xml:space="preserve">The purpose of this report is to examine how the population of older adults and the ageing population has changed in recent years in the UK and Japan, examining life expectancy as well.  Furthermore, </w:t>
      </w:r>
      <w:r w:rsidR="00B76D11">
        <w:rPr>
          <w:rFonts w:ascii="Arial" w:hAnsi="Arial" w:cs="Arial"/>
        </w:rPr>
        <w:t>this report will</w:t>
      </w:r>
      <w:r w:rsidRPr="00035B91">
        <w:rPr>
          <w:rFonts w:ascii="Arial" w:hAnsi="Arial" w:cs="Arial"/>
        </w:rPr>
        <w:t xml:space="preserve"> discuss loneliness and isolation and explain what the relevant theories of loneliness and isolation are.</w:t>
      </w:r>
      <w:r w:rsidR="00F22423" w:rsidRPr="00F22423">
        <w:t xml:space="preserve"> </w:t>
      </w:r>
      <w:r w:rsidR="00F22423" w:rsidRPr="00F22423">
        <w:rPr>
          <w:rFonts w:ascii="Arial" w:hAnsi="Arial" w:cs="Arial"/>
        </w:rPr>
        <w:t xml:space="preserve">Please provide an overview of the effects of loneliness and isolation on older adults residing in care facilities, along with a description of current laws and policies that aim to address or alleviate these challenges among the older </w:t>
      </w:r>
      <w:r w:rsidR="00F22423" w:rsidRPr="00F22423">
        <w:rPr>
          <w:rFonts w:ascii="Arial" w:hAnsi="Arial" w:cs="Arial"/>
        </w:rPr>
        <w:t>adults</w:t>
      </w:r>
      <w:r w:rsidR="00F22423" w:rsidRPr="00F22423">
        <w:rPr>
          <w:rFonts w:ascii="Arial" w:hAnsi="Arial" w:cs="Arial"/>
        </w:rPr>
        <w:t>.</w:t>
      </w:r>
    </w:p>
    <w:p w14:paraId="27E5DD21" w14:textId="584FAD4C" w:rsidR="006F2ED3" w:rsidRPr="007A78F2" w:rsidRDefault="002E7A86" w:rsidP="00035B91">
      <w:pPr>
        <w:spacing w:line="360" w:lineRule="auto"/>
        <w:jc w:val="both"/>
        <w:rPr>
          <w:rFonts w:ascii="Arial" w:hAnsi="Arial" w:cs="Arial"/>
          <w:b/>
          <w:bCs/>
        </w:rPr>
      </w:pPr>
      <w:r w:rsidRPr="00035B91">
        <w:rPr>
          <w:rFonts w:ascii="Arial" w:hAnsi="Arial" w:cs="Arial"/>
          <w:b/>
          <w:bCs/>
        </w:rPr>
        <w:t xml:space="preserve">Ageing population </w:t>
      </w:r>
      <w:r w:rsidR="0098344F">
        <w:rPr>
          <w:rFonts w:ascii="Arial" w:hAnsi="Arial" w:cs="Arial"/>
          <w:b/>
          <w:bCs/>
        </w:rPr>
        <w:t>and life expect</w:t>
      </w:r>
      <w:r w:rsidR="007A78F2">
        <w:rPr>
          <w:rFonts w:ascii="Arial" w:hAnsi="Arial" w:cs="Arial"/>
          <w:b/>
          <w:bCs/>
        </w:rPr>
        <w:t xml:space="preserve">ancy </w:t>
      </w:r>
      <w:r w:rsidRPr="00035B91">
        <w:rPr>
          <w:rFonts w:ascii="Arial" w:hAnsi="Arial" w:cs="Arial"/>
          <w:b/>
          <w:bCs/>
        </w:rPr>
        <w:t>In the UK and Japan</w:t>
      </w:r>
      <w:r w:rsidR="007A78F2">
        <w:rPr>
          <w:rFonts w:ascii="Arial" w:hAnsi="Arial" w:cs="Arial"/>
          <w:b/>
          <w:bCs/>
        </w:rPr>
        <w:t>.</w:t>
      </w:r>
    </w:p>
    <w:p w14:paraId="41ACCB46" w14:textId="2F865DEC" w:rsidR="00422A17" w:rsidRPr="00035B91" w:rsidRDefault="000410EB" w:rsidP="00035B91">
      <w:pPr>
        <w:spacing w:line="360" w:lineRule="auto"/>
        <w:jc w:val="both"/>
        <w:rPr>
          <w:rFonts w:ascii="Arial" w:hAnsi="Arial" w:cs="Arial"/>
        </w:rPr>
      </w:pPr>
      <w:r w:rsidRPr="00035B91">
        <w:rPr>
          <w:rFonts w:ascii="Arial" w:hAnsi="Arial" w:cs="Arial"/>
        </w:rPr>
        <w:t xml:space="preserve">In the UK, being an </w:t>
      </w:r>
      <w:r w:rsidR="00B52905">
        <w:rPr>
          <w:rFonts w:ascii="Arial" w:hAnsi="Arial" w:cs="Arial"/>
        </w:rPr>
        <w:t>older adult</w:t>
      </w:r>
      <w:r w:rsidRPr="00035B91">
        <w:rPr>
          <w:rFonts w:ascii="Arial" w:hAnsi="Arial" w:cs="Arial"/>
        </w:rPr>
        <w:t xml:space="preserve"> refers to individuals who are 65 years of age or older and </w:t>
      </w:r>
      <w:r w:rsidR="000B7B59">
        <w:rPr>
          <w:rFonts w:ascii="Arial" w:hAnsi="Arial" w:cs="Arial"/>
        </w:rPr>
        <w:t>t</w:t>
      </w:r>
      <w:r w:rsidRPr="00035B91">
        <w:rPr>
          <w:rFonts w:ascii="Arial" w:hAnsi="Arial" w:cs="Arial"/>
        </w:rPr>
        <w:t xml:space="preserve">his group often faces a variety of challenges, including social isolation, financial insecurity, and age-related illnesses. The government and other organisations provide support and services for elderly people to help them live independently and with dignity. For instance, the government offers a range of benefits such as pension credit and Attendance Allowance to help elderly people with the cost of </w:t>
      </w:r>
      <w:r w:rsidR="007A73E4" w:rsidRPr="00035B91">
        <w:rPr>
          <w:rFonts w:ascii="Arial" w:hAnsi="Arial" w:cs="Arial"/>
        </w:rPr>
        <w:t>living</w:t>
      </w:r>
      <w:r w:rsidR="007A73E4">
        <w:rPr>
          <w:rFonts w:ascii="Arial" w:hAnsi="Arial" w:cs="Arial"/>
        </w:rPr>
        <w:t xml:space="preserve"> (</w:t>
      </w:r>
      <w:r w:rsidR="00093877">
        <w:rPr>
          <w:rFonts w:ascii="Arial" w:hAnsi="Arial" w:cs="Arial"/>
        </w:rPr>
        <w:t>Age UK, 2019)</w:t>
      </w:r>
      <w:r w:rsidRPr="00035B91">
        <w:rPr>
          <w:rFonts w:ascii="Arial" w:hAnsi="Arial" w:cs="Arial"/>
        </w:rPr>
        <w:t xml:space="preserve">. </w:t>
      </w:r>
      <w:r w:rsidR="004A4941" w:rsidRPr="00035B91">
        <w:rPr>
          <w:rFonts w:ascii="Arial" w:hAnsi="Arial" w:cs="Arial"/>
        </w:rPr>
        <w:t xml:space="preserve">While in </w:t>
      </w:r>
      <w:r w:rsidR="005B475F" w:rsidRPr="00035B91">
        <w:rPr>
          <w:rFonts w:ascii="Arial" w:hAnsi="Arial" w:cs="Arial"/>
        </w:rPr>
        <w:t xml:space="preserve">Japan, there are no official definitions or laws regarding what constitutes old age or when someone should be considered “old” by society’s standards however, some experts suggest that people over 65 may be considered </w:t>
      </w:r>
      <w:r w:rsidR="006B20BC">
        <w:rPr>
          <w:rFonts w:ascii="Arial" w:hAnsi="Arial" w:cs="Arial"/>
        </w:rPr>
        <w:t xml:space="preserve">as an </w:t>
      </w:r>
      <w:r w:rsidR="00FF53DF">
        <w:rPr>
          <w:rFonts w:ascii="Arial" w:hAnsi="Arial" w:cs="Arial"/>
        </w:rPr>
        <w:t>older adult</w:t>
      </w:r>
      <w:r w:rsidR="005B475F" w:rsidRPr="00035B91">
        <w:rPr>
          <w:rFonts w:ascii="Arial" w:hAnsi="Arial" w:cs="Arial"/>
        </w:rPr>
        <w:t xml:space="preserve"> by society’s standards due to their decreased physical abilities and increased risk of health complications associated with aging. Other experts suggest that people over 75 may be considered elderly due to their decreased mental acuity and increased risk of cognitive decline associated with aging</w:t>
      </w:r>
      <w:r w:rsidR="00466151" w:rsidRPr="00035B91">
        <w:rPr>
          <w:rFonts w:ascii="Arial" w:hAnsi="Arial" w:cs="Arial"/>
        </w:rPr>
        <w:t xml:space="preserve"> (</w:t>
      </w:r>
      <w:r w:rsidR="0060303D" w:rsidRPr="00035B91">
        <w:rPr>
          <w:rFonts w:ascii="Arial" w:hAnsi="Arial" w:cs="Arial"/>
        </w:rPr>
        <w:t>Japan Nihom, 2024).</w:t>
      </w:r>
      <w:r w:rsidR="00201A73" w:rsidRPr="00035B91">
        <w:rPr>
          <w:rFonts w:ascii="Arial" w:hAnsi="Arial" w:cs="Arial"/>
        </w:rPr>
        <w:t xml:space="preserve"> </w:t>
      </w:r>
      <w:r w:rsidR="00201A73" w:rsidRPr="00035B91">
        <w:rPr>
          <w:rFonts w:ascii="Arial" w:hAnsi="Arial" w:cs="Arial"/>
        </w:rPr>
        <w:t>For instance, studies have found that people over 75 are more likely to experience cognitive decline, such as memory loss, than those aged 65 to 74.</w:t>
      </w:r>
      <w:r w:rsidR="007A78F2">
        <w:rPr>
          <w:rFonts w:ascii="Arial" w:hAnsi="Arial" w:cs="Arial"/>
        </w:rPr>
        <w:t xml:space="preserve"> </w:t>
      </w:r>
      <w:r w:rsidR="006B20BC">
        <w:rPr>
          <w:rFonts w:ascii="Arial" w:hAnsi="Arial" w:cs="Arial"/>
        </w:rPr>
        <w:t xml:space="preserve">Additionally, </w:t>
      </w:r>
      <w:r w:rsidR="006B20BC" w:rsidRPr="00035B91">
        <w:rPr>
          <w:rFonts w:ascii="Arial" w:hAnsi="Arial" w:cs="Arial"/>
        </w:rPr>
        <w:t>the</w:t>
      </w:r>
      <w:r w:rsidR="00DA63FA" w:rsidRPr="00035B91">
        <w:rPr>
          <w:rFonts w:ascii="Arial" w:hAnsi="Arial" w:cs="Arial"/>
        </w:rPr>
        <w:t xml:space="preserve"> UK population has been steadily getting older since the latter half of the 20th century, and there will be a further 8.6 million projected UK residents aged 65 years and over, taking the total number in this group to 20.4 million and making up 26% of the total population this trend is projected to continue in the future </w:t>
      </w:r>
      <w:r w:rsidR="00DA63FA" w:rsidRPr="00035B91">
        <w:rPr>
          <w:rFonts w:ascii="Arial" w:hAnsi="Arial" w:cs="Arial"/>
        </w:rPr>
        <w:t>by</w:t>
      </w:r>
      <w:r w:rsidR="00DA63FA" w:rsidRPr="00035B91">
        <w:rPr>
          <w:rFonts w:ascii="Arial" w:hAnsi="Arial" w:cs="Arial"/>
        </w:rPr>
        <w:t xml:space="preserve"> 2041</w:t>
      </w:r>
      <w:r w:rsidR="00C0019C">
        <w:rPr>
          <w:rFonts w:ascii="Arial" w:hAnsi="Arial" w:cs="Arial"/>
        </w:rPr>
        <w:t xml:space="preserve">(Age </w:t>
      </w:r>
      <w:r w:rsidR="00444087">
        <w:rPr>
          <w:rFonts w:ascii="Arial" w:hAnsi="Arial" w:cs="Arial"/>
        </w:rPr>
        <w:t>co,2022)</w:t>
      </w:r>
      <w:r w:rsidR="00DA63FA" w:rsidRPr="00035B91">
        <w:rPr>
          <w:rFonts w:ascii="Arial" w:hAnsi="Arial" w:cs="Arial"/>
        </w:rPr>
        <w:t>.</w:t>
      </w:r>
      <w:r w:rsidR="00FC5C97" w:rsidRPr="00035B91">
        <w:rPr>
          <w:rFonts w:ascii="Arial" w:hAnsi="Arial" w:cs="Arial"/>
        </w:rPr>
        <w:t xml:space="preserve"> </w:t>
      </w:r>
      <w:r w:rsidR="0098709F" w:rsidRPr="00035B91">
        <w:rPr>
          <w:rFonts w:ascii="Arial" w:hAnsi="Arial" w:cs="Arial"/>
        </w:rPr>
        <w:t>According to recent statistics, the aging population in the UK is steadily increasing, with over 18% of the population falling into this age category. As of the latest census, there are over 11 million people aged 65 and over in the UK, which is around 19% of the population. This number is projected to increase to almost 13 million people, or around 22% of the population, in ten years (Age co,2022).</w:t>
      </w:r>
      <w:r w:rsidR="00F3155C" w:rsidRPr="00035B91">
        <w:rPr>
          <w:rFonts w:ascii="Arial" w:hAnsi="Arial" w:cs="Arial"/>
        </w:rPr>
        <w:t xml:space="preserve"> </w:t>
      </w:r>
      <w:r w:rsidR="00FC5C97" w:rsidRPr="00035B91">
        <w:rPr>
          <w:rFonts w:ascii="Arial" w:hAnsi="Arial" w:cs="Arial"/>
        </w:rPr>
        <w:t>F</w:t>
      </w:r>
      <w:r w:rsidR="0054269D" w:rsidRPr="00035B91">
        <w:rPr>
          <w:rFonts w:ascii="Arial" w:hAnsi="Arial" w:cs="Arial"/>
        </w:rPr>
        <w:t>urthermore</w:t>
      </w:r>
      <w:r w:rsidR="00B507B6" w:rsidRPr="00035B91">
        <w:rPr>
          <w:rFonts w:ascii="Arial" w:hAnsi="Arial" w:cs="Arial"/>
        </w:rPr>
        <w:t xml:space="preserve">, </w:t>
      </w:r>
      <w:r w:rsidR="0054269D" w:rsidRPr="00035B91">
        <w:rPr>
          <w:rFonts w:ascii="Arial" w:hAnsi="Arial" w:cs="Arial"/>
        </w:rPr>
        <w:t>according</w:t>
      </w:r>
      <w:r w:rsidR="00E90AF3" w:rsidRPr="00035B91">
        <w:rPr>
          <w:rFonts w:ascii="Arial" w:hAnsi="Arial" w:cs="Arial"/>
        </w:rPr>
        <w:t xml:space="preserve"> to the Age UK (2023) </w:t>
      </w:r>
      <w:r w:rsidR="007524E0">
        <w:rPr>
          <w:rFonts w:ascii="Arial" w:hAnsi="Arial" w:cs="Arial"/>
        </w:rPr>
        <w:t>t</w:t>
      </w:r>
      <w:r w:rsidR="00ED2E00" w:rsidRPr="00035B91">
        <w:rPr>
          <w:rFonts w:ascii="Arial" w:hAnsi="Arial" w:cs="Arial"/>
        </w:rPr>
        <w:t xml:space="preserve">oday, a </w:t>
      </w:r>
      <w:r w:rsidR="00700990" w:rsidRPr="00035B91">
        <w:rPr>
          <w:rFonts w:ascii="Arial" w:hAnsi="Arial" w:cs="Arial"/>
        </w:rPr>
        <w:t>65-year-old</w:t>
      </w:r>
      <w:r w:rsidR="00ED2E00" w:rsidRPr="00035B91">
        <w:rPr>
          <w:rFonts w:ascii="Arial" w:hAnsi="Arial" w:cs="Arial"/>
        </w:rPr>
        <w:t xml:space="preserve"> man can expect to live another 18.5 years, and a 65-year-old woman </w:t>
      </w:r>
      <w:r w:rsidR="00700990" w:rsidRPr="00035B91">
        <w:rPr>
          <w:rFonts w:ascii="Arial" w:hAnsi="Arial" w:cs="Arial"/>
        </w:rPr>
        <w:t>21</w:t>
      </w:r>
      <w:r w:rsidR="00755901" w:rsidRPr="00035B91">
        <w:rPr>
          <w:rFonts w:ascii="Arial" w:hAnsi="Arial" w:cs="Arial"/>
        </w:rPr>
        <w:t xml:space="preserve"> in </w:t>
      </w:r>
      <w:r w:rsidR="004C7AA8" w:rsidRPr="00035B91">
        <w:rPr>
          <w:rFonts w:ascii="Arial" w:hAnsi="Arial" w:cs="Arial"/>
        </w:rPr>
        <w:t>United Kingdom</w:t>
      </w:r>
      <w:r w:rsidR="00700990" w:rsidRPr="00035B91">
        <w:rPr>
          <w:rFonts w:ascii="Arial" w:hAnsi="Arial" w:cs="Arial"/>
        </w:rPr>
        <w:t xml:space="preserve">. However, </w:t>
      </w:r>
      <w:r w:rsidR="004C7AA8" w:rsidRPr="00035B91">
        <w:rPr>
          <w:rFonts w:ascii="Arial" w:hAnsi="Arial" w:cs="Arial"/>
        </w:rPr>
        <w:t>the</w:t>
      </w:r>
      <w:r w:rsidR="00700990" w:rsidRPr="00035B91">
        <w:rPr>
          <w:rFonts w:ascii="Arial" w:hAnsi="Arial" w:cs="Arial"/>
        </w:rPr>
        <w:t xml:space="preserve"> average life expectancy in Japan is 84 years for women and 78 years for men, which is among the highest life expectancies worldwide. This means that many people can expect to live into their 80s or beyond, making it difficult to </w:t>
      </w:r>
      <w:r w:rsidR="00700990" w:rsidRPr="00035B91">
        <w:rPr>
          <w:rFonts w:ascii="Arial" w:hAnsi="Arial" w:cs="Arial"/>
        </w:rPr>
        <w:lastRenderedPageBreak/>
        <w:t xml:space="preserve">determine when exactly someone should be considered “old” by society’s </w:t>
      </w:r>
      <w:r w:rsidR="00687F91" w:rsidRPr="00035B91">
        <w:rPr>
          <w:rFonts w:ascii="Arial" w:hAnsi="Arial" w:cs="Arial"/>
        </w:rPr>
        <w:t>standards (</w:t>
      </w:r>
      <w:r w:rsidR="00C029FE" w:rsidRPr="00035B91">
        <w:rPr>
          <w:rFonts w:ascii="Arial" w:hAnsi="Arial" w:cs="Arial"/>
        </w:rPr>
        <w:t>Japan Ni</w:t>
      </w:r>
      <w:r w:rsidR="0018768B" w:rsidRPr="00035B91">
        <w:rPr>
          <w:rFonts w:ascii="Arial" w:hAnsi="Arial" w:cs="Arial"/>
        </w:rPr>
        <w:t xml:space="preserve">hom, 2024). </w:t>
      </w:r>
      <w:r w:rsidR="002D6AD2" w:rsidRPr="00035B91">
        <w:rPr>
          <w:rFonts w:ascii="Arial" w:hAnsi="Arial" w:cs="Arial"/>
        </w:rPr>
        <w:t xml:space="preserve">Also, </w:t>
      </w:r>
      <w:r w:rsidR="0041502D" w:rsidRPr="00035B91">
        <w:rPr>
          <w:rFonts w:ascii="Arial" w:hAnsi="Arial" w:cs="Arial"/>
        </w:rPr>
        <w:t xml:space="preserve">according to BBC </w:t>
      </w:r>
      <w:r w:rsidR="00A730A0" w:rsidRPr="00035B91">
        <w:rPr>
          <w:rFonts w:ascii="Arial" w:hAnsi="Arial" w:cs="Arial"/>
        </w:rPr>
        <w:t xml:space="preserve">(2023) </w:t>
      </w:r>
      <w:r w:rsidR="002D6AD2" w:rsidRPr="00035B91">
        <w:rPr>
          <w:rFonts w:ascii="Arial" w:hAnsi="Arial" w:cs="Arial"/>
        </w:rPr>
        <w:t>more</w:t>
      </w:r>
      <w:r w:rsidR="002D6AD2" w:rsidRPr="00035B91">
        <w:rPr>
          <w:rFonts w:ascii="Arial" w:hAnsi="Arial" w:cs="Arial"/>
        </w:rPr>
        <w:t xml:space="preserve"> than one in 10 people in Japan are now aged 80 or older. National data also shows 29.1% of the 125 million population is aged 65 or older - a record. Japan has one of the lowest birth rates in the world and has long struggled with how to provide for its aging population. In Japan, those aged over 65 are expected to account for 34.8% of the population by 2040, according to the National Institute of Population and Social Security Research</w:t>
      </w:r>
      <w:r w:rsidR="00C72CBB">
        <w:rPr>
          <w:rFonts w:ascii="Arial" w:hAnsi="Arial" w:cs="Arial"/>
        </w:rPr>
        <w:t xml:space="preserve"> (</w:t>
      </w:r>
      <w:r w:rsidR="003D7630">
        <w:rPr>
          <w:rFonts w:ascii="Arial" w:hAnsi="Arial" w:cs="Arial"/>
        </w:rPr>
        <w:t>BBC</w:t>
      </w:r>
      <w:r w:rsidR="002A7D6E">
        <w:rPr>
          <w:rFonts w:ascii="Arial" w:hAnsi="Arial" w:cs="Arial"/>
        </w:rPr>
        <w:t>,2023)</w:t>
      </w:r>
      <w:r w:rsidR="002D6AD2" w:rsidRPr="00035B91">
        <w:rPr>
          <w:rFonts w:ascii="Arial" w:hAnsi="Arial" w:cs="Arial"/>
        </w:rPr>
        <w:t>.</w:t>
      </w:r>
    </w:p>
    <w:p w14:paraId="5987A1E0" w14:textId="100BC037" w:rsidR="00966929" w:rsidRPr="00035B91" w:rsidRDefault="001825A5" w:rsidP="00035B91">
      <w:pPr>
        <w:spacing w:line="360" w:lineRule="auto"/>
        <w:jc w:val="both"/>
        <w:rPr>
          <w:rFonts w:ascii="Arial" w:hAnsi="Arial" w:cs="Arial"/>
          <w:b/>
          <w:bCs/>
        </w:rPr>
      </w:pPr>
      <w:r w:rsidRPr="00035B91">
        <w:rPr>
          <w:rFonts w:ascii="Arial" w:hAnsi="Arial" w:cs="Arial"/>
          <w:b/>
          <w:bCs/>
        </w:rPr>
        <w:t>loneliness and isolation</w:t>
      </w:r>
    </w:p>
    <w:p w14:paraId="637D6E38" w14:textId="07D19A0D" w:rsidR="00440D3E" w:rsidRPr="00035B91" w:rsidRDefault="00A377BF" w:rsidP="00035B91">
      <w:pPr>
        <w:spacing w:line="360" w:lineRule="auto"/>
        <w:jc w:val="both"/>
        <w:rPr>
          <w:rFonts w:ascii="Arial" w:hAnsi="Arial" w:cs="Arial"/>
        </w:rPr>
      </w:pPr>
      <w:r w:rsidRPr="00A377BF">
        <w:rPr>
          <w:rFonts w:ascii="Arial" w:hAnsi="Arial" w:cs="Arial"/>
        </w:rPr>
        <w:t>The experience of loneliness is unique to each individual and can stem from a discrepancy between desired and actual social interaction. The level of connection in one's relationships also plays a role in feelings of loneliness. On the other hand, social isolation can be objectively measured as a lack of social contact. While overcoming loneliness can be a gradual process, increasing one's social interactions can be a powerful tool in addressing social isolation</w:t>
      </w:r>
      <w:r w:rsidR="00BC6617">
        <w:rPr>
          <w:rFonts w:ascii="Arial" w:hAnsi="Arial" w:cs="Arial"/>
        </w:rPr>
        <w:t xml:space="preserve"> (Age UK</w:t>
      </w:r>
      <w:r w:rsidR="00F712F9">
        <w:rPr>
          <w:rFonts w:ascii="Arial" w:hAnsi="Arial" w:cs="Arial"/>
        </w:rPr>
        <w:t>, 2019). However, l</w:t>
      </w:r>
      <w:r w:rsidR="005A57D2" w:rsidRPr="00035B91">
        <w:rPr>
          <w:rFonts w:ascii="Arial" w:hAnsi="Arial" w:cs="Arial"/>
        </w:rPr>
        <w:t xml:space="preserve">oneliness has long been recognised as an issue affecting people of all ages, but it is particularly significant among </w:t>
      </w:r>
      <w:r w:rsidR="004C413C">
        <w:rPr>
          <w:rFonts w:ascii="Arial" w:hAnsi="Arial" w:cs="Arial"/>
        </w:rPr>
        <w:t>older adults</w:t>
      </w:r>
      <w:r w:rsidR="005A57D2" w:rsidRPr="00035B91">
        <w:rPr>
          <w:rFonts w:ascii="Arial" w:hAnsi="Arial" w:cs="Arial"/>
        </w:rPr>
        <w:t xml:space="preserve">. There are several potential causes of loneliness in </w:t>
      </w:r>
      <w:r w:rsidR="009276A6">
        <w:rPr>
          <w:rFonts w:ascii="Arial" w:hAnsi="Arial" w:cs="Arial"/>
        </w:rPr>
        <w:t>older adults</w:t>
      </w:r>
      <w:r w:rsidR="005A57D2" w:rsidRPr="00035B91">
        <w:rPr>
          <w:rFonts w:ascii="Arial" w:hAnsi="Arial" w:cs="Arial"/>
        </w:rPr>
        <w:t>. It's possible to lose loved ones, retire and have fewer social interactions, become unable to move, and be more likely to live alone due to a divorce or death of a spouse, among other reasons</w:t>
      </w:r>
      <w:r w:rsidR="00B204CB" w:rsidRPr="00035B91">
        <w:rPr>
          <w:rFonts w:ascii="Arial" w:hAnsi="Arial" w:cs="Arial"/>
        </w:rPr>
        <w:t xml:space="preserve"> (CDC, 2021</w:t>
      </w:r>
      <w:r w:rsidR="0098038A" w:rsidRPr="00035B91">
        <w:rPr>
          <w:rFonts w:ascii="Arial" w:hAnsi="Arial" w:cs="Arial"/>
        </w:rPr>
        <w:t>).</w:t>
      </w:r>
      <w:r w:rsidR="005A57D2" w:rsidRPr="00035B91">
        <w:rPr>
          <w:rFonts w:ascii="Arial" w:hAnsi="Arial" w:cs="Arial"/>
        </w:rPr>
        <w:t xml:space="preserve"> Loneliness has a distressing consequence: brain shrinkage, according to a study published in The Times</w:t>
      </w:r>
      <w:r w:rsidR="0098038A" w:rsidRPr="00035B91">
        <w:rPr>
          <w:rFonts w:ascii="Arial" w:hAnsi="Arial" w:cs="Arial"/>
        </w:rPr>
        <w:t xml:space="preserve"> (2023)</w:t>
      </w:r>
      <w:r w:rsidR="005A57D2" w:rsidRPr="00035B91">
        <w:rPr>
          <w:rFonts w:ascii="Arial" w:hAnsi="Arial" w:cs="Arial"/>
        </w:rPr>
        <w:t xml:space="preserve">. Researchers found that chronic loneliness significantly reduced grey matter volume in brain areas associated with memory, learning, and emotion in older adults. </w:t>
      </w:r>
      <w:r w:rsidR="00B4729B" w:rsidRPr="00035B91">
        <w:rPr>
          <w:rFonts w:ascii="Arial" w:hAnsi="Arial" w:cs="Arial"/>
        </w:rPr>
        <w:t xml:space="preserve">Furthermore, </w:t>
      </w:r>
      <w:r w:rsidR="00721977" w:rsidRPr="00035B91">
        <w:rPr>
          <w:rFonts w:ascii="Arial" w:hAnsi="Arial" w:cs="Arial"/>
        </w:rPr>
        <w:t>one</w:t>
      </w:r>
      <w:r w:rsidR="001F7CDD" w:rsidRPr="00035B91">
        <w:rPr>
          <w:rFonts w:ascii="Arial" w:hAnsi="Arial" w:cs="Arial"/>
        </w:rPr>
        <w:t xml:space="preserve"> of the major challenges faced by </w:t>
      </w:r>
      <w:r w:rsidR="009C324A">
        <w:rPr>
          <w:rFonts w:ascii="Arial" w:hAnsi="Arial" w:cs="Arial"/>
        </w:rPr>
        <w:t xml:space="preserve">older </w:t>
      </w:r>
      <w:r w:rsidR="007E5A92">
        <w:rPr>
          <w:rFonts w:ascii="Arial" w:hAnsi="Arial" w:cs="Arial"/>
        </w:rPr>
        <w:t>adults’</w:t>
      </w:r>
      <w:r w:rsidR="001F7CDD" w:rsidRPr="00035B91">
        <w:rPr>
          <w:rFonts w:ascii="Arial" w:hAnsi="Arial" w:cs="Arial"/>
        </w:rPr>
        <w:t xml:space="preserve"> individuals is social isolation. As they age, many older adults experience a decrease in social connections and opportunities for interaction, which can lead to feelings of loneliness and depression. This is especially true for those who live alone or have limited mobility, making it difficult for them to engage in social activities and maintain meaningful </w:t>
      </w:r>
      <w:r w:rsidR="00F712F9" w:rsidRPr="00035B91">
        <w:rPr>
          <w:rFonts w:ascii="Arial" w:hAnsi="Arial" w:cs="Arial"/>
        </w:rPr>
        <w:t>relationships</w:t>
      </w:r>
      <w:r w:rsidR="00F712F9">
        <w:rPr>
          <w:rFonts w:ascii="Arial" w:hAnsi="Arial" w:cs="Arial"/>
        </w:rPr>
        <w:t xml:space="preserve"> (</w:t>
      </w:r>
      <w:r w:rsidR="00B54181">
        <w:rPr>
          <w:rFonts w:ascii="Arial" w:hAnsi="Arial" w:cs="Arial"/>
        </w:rPr>
        <w:t>CDC, 2021)</w:t>
      </w:r>
      <w:r w:rsidR="003D5090">
        <w:rPr>
          <w:rFonts w:ascii="Arial" w:hAnsi="Arial" w:cs="Arial"/>
        </w:rPr>
        <w:t>.</w:t>
      </w:r>
    </w:p>
    <w:p w14:paraId="4E516B68" w14:textId="62D8FEEF" w:rsidR="00632541" w:rsidRPr="00035B91" w:rsidRDefault="00440D3E" w:rsidP="00035B91">
      <w:pPr>
        <w:spacing w:line="360" w:lineRule="auto"/>
        <w:jc w:val="both"/>
        <w:rPr>
          <w:rFonts w:ascii="Arial" w:hAnsi="Arial" w:cs="Arial"/>
        </w:rPr>
      </w:pPr>
      <w:r w:rsidRPr="00035B91">
        <w:rPr>
          <w:rFonts w:ascii="Arial" w:hAnsi="Arial" w:cs="Arial"/>
          <w:b/>
          <w:bCs/>
        </w:rPr>
        <w:t>T</w:t>
      </w:r>
      <w:r w:rsidR="00632541" w:rsidRPr="00035B91">
        <w:rPr>
          <w:rFonts w:ascii="Arial" w:hAnsi="Arial" w:cs="Arial"/>
          <w:b/>
          <w:bCs/>
        </w:rPr>
        <w:t xml:space="preserve">heories of loneliness and </w:t>
      </w:r>
      <w:r w:rsidR="00632541" w:rsidRPr="00035B91">
        <w:rPr>
          <w:rFonts w:ascii="Arial" w:hAnsi="Arial" w:cs="Arial"/>
          <w:b/>
          <w:bCs/>
        </w:rPr>
        <w:t>isolation.</w:t>
      </w:r>
    </w:p>
    <w:p w14:paraId="24DB078C" w14:textId="2A56C346" w:rsidR="00327937" w:rsidRPr="00035B91" w:rsidRDefault="00C73756" w:rsidP="00035B91">
      <w:pPr>
        <w:spacing w:line="360" w:lineRule="auto"/>
        <w:jc w:val="both"/>
        <w:rPr>
          <w:rFonts w:ascii="Arial" w:hAnsi="Arial" w:cs="Arial"/>
        </w:rPr>
      </w:pPr>
      <w:r w:rsidRPr="00035B91">
        <w:rPr>
          <w:rFonts w:ascii="Arial" w:hAnsi="Arial" w:cs="Arial"/>
        </w:rPr>
        <w:t xml:space="preserve">Gerontological theories explain the impact of ageing on the social relationships of older people. Changes are due to either the proactive behaviour of older people or age-related changes like decreasing health. These theories relate to social loneliness outcomes and refer to actual social relationships and individual </w:t>
      </w:r>
      <w:r w:rsidR="00B54181" w:rsidRPr="00035B91">
        <w:rPr>
          <w:rFonts w:ascii="Arial" w:hAnsi="Arial" w:cs="Arial"/>
        </w:rPr>
        <w:t>preferences</w:t>
      </w:r>
      <w:r w:rsidR="00B54181">
        <w:rPr>
          <w:rFonts w:ascii="Arial" w:hAnsi="Arial" w:cs="Arial"/>
        </w:rPr>
        <w:t xml:space="preserve"> (</w:t>
      </w:r>
      <w:r w:rsidR="00CD5593">
        <w:rPr>
          <w:rFonts w:ascii="Arial" w:hAnsi="Arial" w:cs="Arial"/>
        </w:rPr>
        <w:t>Heylen, 2010)</w:t>
      </w:r>
      <w:r w:rsidRPr="00035B91">
        <w:rPr>
          <w:rFonts w:ascii="Arial" w:hAnsi="Arial" w:cs="Arial"/>
        </w:rPr>
        <w:t>.</w:t>
      </w:r>
      <w:r w:rsidR="0055538A" w:rsidRPr="00035B91">
        <w:rPr>
          <w:rFonts w:ascii="Arial" w:hAnsi="Arial" w:cs="Arial"/>
        </w:rPr>
        <w:t xml:space="preserve"> </w:t>
      </w:r>
      <w:r w:rsidR="001A38BA" w:rsidRPr="00035B91">
        <w:rPr>
          <w:rFonts w:ascii="Arial" w:hAnsi="Arial" w:cs="Arial"/>
        </w:rPr>
        <w:t xml:space="preserve">One of the first theoretical perspectives on the social ageing process was disengagement theory, which related the shrinking social network in old age to consciousness of approaching death. This consciousness raises self-awareness and leads to disengagement from society, and consequently decreases social interaction. As a person ages, she or he experiences a </w:t>
      </w:r>
      <w:r w:rsidR="001A38BA" w:rsidRPr="00035B91">
        <w:rPr>
          <w:rFonts w:ascii="Arial" w:hAnsi="Arial" w:cs="Arial"/>
        </w:rPr>
        <w:lastRenderedPageBreak/>
        <w:t>decrease in actual and desired social contacts, so aging does not lead to social loneliness. A criticism of disengagement theory is its assumption that withdrawal is voluntary which, among other things, suggests that policies do not have to pursue the social integration of older people</w:t>
      </w:r>
      <w:r w:rsidR="007A0256" w:rsidRPr="00035B91">
        <w:rPr>
          <w:rFonts w:ascii="Arial" w:hAnsi="Arial" w:cs="Arial"/>
        </w:rPr>
        <w:t xml:space="preserve"> (</w:t>
      </w:r>
      <w:r w:rsidR="00751FF0" w:rsidRPr="00035B91">
        <w:rPr>
          <w:rFonts w:ascii="Arial" w:hAnsi="Arial" w:cs="Arial"/>
        </w:rPr>
        <w:t>Heylen, 2010)</w:t>
      </w:r>
      <w:r w:rsidR="001A38BA" w:rsidRPr="00035B91">
        <w:rPr>
          <w:rFonts w:ascii="Arial" w:hAnsi="Arial" w:cs="Arial"/>
        </w:rPr>
        <w:t xml:space="preserve">. </w:t>
      </w:r>
      <w:r w:rsidR="00AE6FBF" w:rsidRPr="00035B91">
        <w:rPr>
          <w:rFonts w:ascii="Arial" w:hAnsi="Arial" w:cs="Arial"/>
        </w:rPr>
        <w:t xml:space="preserve">Activity theory provides a relevant perspective on the aging process that is considered the opposite of disengagement theory. </w:t>
      </w:r>
      <w:r w:rsidR="00B8389D" w:rsidRPr="00035B91">
        <w:rPr>
          <w:rFonts w:ascii="Arial" w:hAnsi="Arial" w:cs="Arial"/>
        </w:rPr>
        <w:t>A</w:t>
      </w:r>
      <w:r w:rsidR="00AE6FBF" w:rsidRPr="00035B91">
        <w:rPr>
          <w:rFonts w:ascii="Arial" w:hAnsi="Arial" w:cs="Arial"/>
        </w:rPr>
        <w:t xml:space="preserve">ctivity theory, individuals who remain active tend to have higher life satisfaction levels. This theory highlights the physical and social obstacles that can impede people's social interactions. By engaging in mental and physical activity, older adults can maintain their well-being and </w:t>
      </w:r>
      <w:r w:rsidR="001619BA" w:rsidRPr="00035B91">
        <w:rPr>
          <w:rFonts w:ascii="Arial" w:hAnsi="Arial" w:cs="Arial"/>
        </w:rPr>
        <w:t>happiness</w:t>
      </w:r>
      <w:r w:rsidR="001619BA">
        <w:rPr>
          <w:rFonts w:ascii="Arial" w:hAnsi="Arial" w:cs="Arial"/>
        </w:rPr>
        <w:t xml:space="preserve"> (</w:t>
      </w:r>
      <w:r w:rsidR="003D5090">
        <w:rPr>
          <w:rFonts w:ascii="Arial" w:hAnsi="Arial" w:cs="Arial"/>
        </w:rPr>
        <w:t>Hey</w:t>
      </w:r>
      <w:r w:rsidR="00243E19">
        <w:rPr>
          <w:rFonts w:ascii="Arial" w:hAnsi="Arial" w:cs="Arial"/>
        </w:rPr>
        <w:t>len, 2010)</w:t>
      </w:r>
      <w:r w:rsidR="00AE6FBF" w:rsidRPr="00035B91">
        <w:rPr>
          <w:rFonts w:ascii="Arial" w:hAnsi="Arial" w:cs="Arial"/>
        </w:rPr>
        <w:t>. Furthermore, staying socially active has the potential to delay the aging process and enhance the quality of life. These findings may be of interest to those who are interested in improving the lives of older adults. While disengagement theory promotes withdrawing from social roles, activity theory encourages staying active and socially connected as key elements of an active and fulfilling life</w:t>
      </w:r>
      <w:r w:rsidR="00302ADB" w:rsidRPr="00035B91">
        <w:rPr>
          <w:rFonts w:ascii="Arial" w:hAnsi="Arial" w:cs="Arial"/>
        </w:rPr>
        <w:t xml:space="preserve"> (Heylen, 2010)</w:t>
      </w:r>
      <w:r w:rsidR="00AE6FBF" w:rsidRPr="00035B91">
        <w:rPr>
          <w:rFonts w:ascii="Arial" w:hAnsi="Arial" w:cs="Arial"/>
        </w:rPr>
        <w:t>. An example of a mental activity that older adults can engage in is learning a new language or taking up a musical instrument. These activities not only stimulate the brain but also provide opportunities for social interaction and personal growth, contributing to their overall well-being and happiness</w:t>
      </w:r>
      <w:r w:rsidR="00456655" w:rsidRPr="00035B91">
        <w:rPr>
          <w:rFonts w:ascii="Arial" w:hAnsi="Arial" w:cs="Arial"/>
        </w:rPr>
        <w:t xml:space="preserve"> </w:t>
      </w:r>
      <w:r w:rsidR="00630772" w:rsidRPr="00035B91">
        <w:rPr>
          <w:rFonts w:ascii="Arial" w:hAnsi="Arial" w:cs="Arial"/>
        </w:rPr>
        <w:t>(</w:t>
      </w:r>
      <w:proofErr w:type="spellStart"/>
      <w:r w:rsidR="00630772" w:rsidRPr="00035B91">
        <w:rPr>
          <w:rFonts w:ascii="Arial" w:hAnsi="Arial" w:cs="Arial"/>
        </w:rPr>
        <w:t>Nidirect</w:t>
      </w:r>
      <w:proofErr w:type="spellEnd"/>
      <w:r w:rsidR="00630772" w:rsidRPr="00035B91">
        <w:rPr>
          <w:rFonts w:ascii="Arial" w:hAnsi="Arial" w:cs="Arial"/>
        </w:rPr>
        <w:t xml:space="preserve"> </w:t>
      </w:r>
      <w:r w:rsidR="0016242A" w:rsidRPr="00035B91">
        <w:rPr>
          <w:rFonts w:ascii="Arial" w:hAnsi="Arial" w:cs="Arial"/>
        </w:rPr>
        <w:t>Government Services</w:t>
      </w:r>
      <w:r w:rsidR="001619BA">
        <w:rPr>
          <w:rFonts w:ascii="Arial" w:hAnsi="Arial" w:cs="Arial"/>
        </w:rPr>
        <w:t>, 2022</w:t>
      </w:r>
      <w:r w:rsidR="0016242A" w:rsidRPr="00035B91">
        <w:rPr>
          <w:rFonts w:ascii="Arial" w:hAnsi="Arial" w:cs="Arial"/>
        </w:rPr>
        <w:t>)</w:t>
      </w:r>
      <w:r w:rsidR="00327937" w:rsidRPr="00035B91">
        <w:rPr>
          <w:rFonts w:ascii="Arial" w:hAnsi="Arial" w:cs="Arial"/>
        </w:rPr>
        <w:t>.</w:t>
      </w:r>
      <w:r w:rsidR="00C06D07" w:rsidRPr="00035B91">
        <w:rPr>
          <w:rFonts w:ascii="Arial" w:hAnsi="Arial" w:cs="Arial"/>
        </w:rPr>
        <w:t xml:space="preserve"> </w:t>
      </w:r>
      <w:r w:rsidR="00327937" w:rsidRPr="00035B91">
        <w:rPr>
          <w:rFonts w:ascii="Arial" w:hAnsi="Arial" w:cs="Arial"/>
        </w:rPr>
        <w:t xml:space="preserve">The continuity theory of aging posits that individuals tend to maintain the same roles and habits they developed earlier in life. Similarly, the activity theory suggests that social participation and interaction are crucial predictors of well-being. Both perspectives emphasize the importance of having a broad social network as one age. As this network shrinks, individuals are at higher risk of experiencing social loneliness and reduced well-being. For example, older adults could consider joining a local book club, taking a class at a community </w:t>
      </w:r>
      <w:r w:rsidR="00C06D07" w:rsidRPr="00035B91">
        <w:rPr>
          <w:rFonts w:ascii="Arial" w:hAnsi="Arial" w:cs="Arial"/>
        </w:rPr>
        <w:t>centre</w:t>
      </w:r>
      <w:r w:rsidR="00327937" w:rsidRPr="00035B91">
        <w:rPr>
          <w:rFonts w:ascii="Arial" w:hAnsi="Arial" w:cs="Arial"/>
        </w:rPr>
        <w:t>, or attending events at a place of worship.</w:t>
      </w:r>
    </w:p>
    <w:p w14:paraId="6DFB2481" w14:textId="12AEF8E6" w:rsidR="009631DE" w:rsidRPr="00035B91" w:rsidRDefault="009631DE" w:rsidP="00035B91">
      <w:pPr>
        <w:spacing w:line="360" w:lineRule="auto"/>
        <w:jc w:val="both"/>
        <w:rPr>
          <w:rFonts w:ascii="Arial" w:hAnsi="Arial" w:cs="Arial"/>
          <w:b/>
          <w:bCs/>
        </w:rPr>
      </w:pPr>
      <w:r w:rsidRPr="00035B91">
        <w:rPr>
          <w:rFonts w:ascii="Arial" w:hAnsi="Arial" w:cs="Arial"/>
          <w:b/>
          <w:bCs/>
        </w:rPr>
        <w:t>T</w:t>
      </w:r>
      <w:r w:rsidRPr="00035B91">
        <w:rPr>
          <w:rFonts w:ascii="Arial" w:hAnsi="Arial" w:cs="Arial"/>
          <w:b/>
          <w:bCs/>
        </w:rPr>
        <w:t>he impact of loneliness and isolation on an older person living within a care setting.</w:t>
      </w:r>
    </w:p>
    <w:p w14:paraId="3B1EC2A5" w14:textId="0C4BB5D7" w:rsidR="001F7CDD" w:rsidRPr="00035B91" w:rsidRDefault="00151BDC" w:rsidP="00035B91">
      <w:pPr>
        <w:spacing w:line="360" w:lineRule="auto"/>
        <w:jc w:val="both"/>
        <w:rPr>
          <w:rFonts w:ascii="Arial" w:hAnsi="Arial" w:cs="Arial"/>
        </w:rPr>
      </w:pPr>
      <w:r w:rsidRPr="00035B91">
        <w:rPr>
          <w:rFonts w:ascii="Arial" w:hAnsi="Arial" w:cs="Arial"/>
        </w:rPr>
        <w:t>Loneliness and isolation can have a significant impact on the well-being of elderly individuals in care settings. They can lead to physical decline, morbidity, increased mortality, and cognitive and mental health problems. Prolonged loneliness can reduce physical activity and overall health, while chronic loneliness can increase morbidity risk and mortality rates. Lack of emotional support and companionship can negatively impact longevity. Furthermore, loneliness often contributes to depression. It is essential to address the impact of loneliness and isolation on cognitive and mental health problems in elderly individuals in care settings</w:t>
      </w:r>
      <w:r w:rsidR="0005440A" w:rsidRPr="00035B91">
        <w:rPr>
          <w:rFonts w:ascii="Arial" w:hAnsi="Arial" w:cs="Arial"/>
        </w:rPr>
        <w:t xml:space="preserve"> (</w:t>
      </w:r>
      <w:r w:rsidR="0005440A" w:rsidRPr="00035B91">
        <w:rPr>
          <w:rFonts w:ascii="Arial" w:hAnsi="Arial" w:cs="Arial"/>
        </w:rPr>
        <w:t>Johansson-Pajala</w:t>
      </w:r>
      <w:r w:rsidR="003465A5" w:rsidRPr="00035B91">
        <w:rPr>
          <w:rFonts w:ascii="Arial" w:hAnsi="Arial" w:cs="Arial"/>
        </w:rPr>
        <w:t>,</w:t>
      </w:r>
      <w:r w:rsidR="00B717B8">
        <w:rPr>
          <w:rFonts w:ascii="Arial" w:hAnsi="Arial" w:cs="Arial"/>
        </w:rPr>
        <w:t xml:space="preserve"> </w:t>
      </w:r>
      <w:r w:rsidR="00A82003" w:rsidRPr="00035B91">
        <w:rPr>
          <w:rFonts w:ascii="Arial" w:hAnsi="Arial" w:cs="Arial"/>
        </w:rPr>
        <w:t xml:space="preserve">et al, 2022). </w:t>
      </w:r>
      <w:r w:rsidR="00E9053C" w:rsidRPr="00035B91">
        <w:rPr>
          <w:rFonts w:ascii="Arial" w:hAnsi="Arial" w:cs="Arial"/>
        </w:rPr>
        <w:t xml:space="preserve">Moreover, social isolation was associated with about a 50% increased risk of dementia. Poor social relationships, characterized by social isolation or loneliness, were associated with a 29% increased risk of heart disease and a 32% increased risk of stroke. Loneliness was associated with higher rates of depression, anxiety, and suicide. </w:t>
      </w:r>
      <w:r w:rsidR="00866E2D" w:rsidRPr="00035B91">
        <w:rPr>
          <w:rFonts w:ascii="Arial" w:hAnsi="Arial" w:cs="Arial"/>
        </w:rPr>
        <w:t>Also</w:t>
      </w:r>
      <w:r w:rsidR="00E9053C" w:rsidRPr="00035B91">
        <w:rPr>
          <w:rFonts w:ascii="Arial" w:hAnsi="Arial" w:cs="Arial"/>
        </w:rPr>
        <w:t xml:space="preserve">, loneliness among heart failure patients was associated with nearly 4 times increased </w:t>
      </w:r>
      <w:r w:rsidR="00E9053C" w:rsidRPr="00035B91">
        <w:rPr>
          <w:rFonts w:ascii="Arial" w:hAnsi="Arial" w:cs="Arial"/>
        </w:rPr>
        <w:lastRenderedPageBreak/>
        <w:t xml:space="preserve">risk of death, 68% increased risk of hospitalization, and 57% increased risk of emergency department </w:t>
      </w:r>
      <w:r w:rsidR="00342DE4" w:rsidRPr="00035B91">
        <w:rPr>
          <w:rFonts w:ascii="Arial" w:hAnsi="Arial" w:cs="Arial"/>
        </w:rPr>
        <w:t>visits.</w:t>
      </w:r>
      <w:r w:rsidR="00BA361B" w:rsidRPr="00035B91">
        <w:rPr>
          <w:rFonts w:ascii="Arial" w:hAnsi="Arial" w:cs="Arial"/>
        </w:rPr>
        <w:t xml:space="preserve"> Mo</w:t>
      </w:r>
      <w:r w:rsidR="00AC6BFC" w:rsidRPr="00035B91">
        <w:rPr>
          <w:rFonts w:ascii="Arial" w:hAnsi="Arial" w:cs="Arial"/>
        </w:rPr>
        <w:t>reover</w:t>
      </w:r>
      <w:r w:rsidR="001A1E79" w:rsidRPr="00035B91">
        <w:rPr>
          <w:rFonts w:ascii="Arial" w:hAnsi="Arial" w:cs="Arial"/>
        </w:rPr>
        <w:t xml:space="preserve">, </w:t>
      </w:r>
      <w:r w:rsidR="001A1E79" w:rsidRPr="00035B91">
        <w:rPr>
          <w:rFonts w:ascii="Arial" w:hAnsi="Arial" w:cs="Arial"/>
        </w:rPr>
        <w:t xml:space="preserve">In Japan, the number of elderly individuals living alone has increased significantly. As of 2015, the percentage of those aged 65 and above living alone was 13.3% for males and 21.1% for females. This percentage has risen from 9.6% in 2000 to 15.5% in 2015. Unfortunately, most elderly individuals living alone are at risk of social isolation and may die alone if they are unable to receive long-term care insurance (LTCI) services when needed. Additionally, the Japanese government's delayed adjustment of nursing care costs has led to an excess demand for </w:t>
      </w:r>
      <w:r w:rsidR="00342DE4" w:rsidRPr="00035B91">
        <w:rPr>
          <w:rFonts w:ascii="Arial" w:hAnsi="Arial" w:cs="Arial"/>
        </w:rPr>
        <w:t>labour</w:t>
      </w:r>
      <w:r w:rsidR="001A1E79" w:rsidRPr="00035B91">
        <w:rPr>
          <w:rFonts w:ascii="Arial" w:hAnsi="Arial" w:cs="Arial"/>
        </w:rPr>
        <w:t xml:space="preserve"> in the care sector. As a result, overcoming supply constraints in the care sector is considered challenging. Social isolation worsens the health issues experienced by elderly individuals living alone, resulting in longer waiting times for LTCI services in Japan. Past studies have discovered that care preferences vary depending on individual healthcare or nursing care requirements. </w:t>
      </w:r>
      <w:r w:rsidR="001A1E79" w:rsidRPr="00035B91">
        <w:rPr>
          <w:rFonts w:ascii="Arial" w:hAnsi="Arial" w:cs="Arial"/>
        </w:rPr>
        <w:t xml:space="preserve"> </w:t>
      </w:r>
    </w:p>
    <w:p w14:paraId="65A878A5" w14:textId="66C41195" w:rsidR="001D304B" w:rsidRPr="00035B91" w:rsidRDefault="00F44A41" w:rsidP="00035B91">
      <w:pPr>
        <w:spacing w:line="360" w:lineRule="auto"/>
        <w:jc w:val="both"/>
        <w:rPr>
          <w:rFonts w:ascii="Arial" w:hAnsi="Arial" w:cs="Arial"/>
        </w:rPr>
      </w:pPr>
      <w:r w:rsidRPr="00035B91">
        <w:rPr>
          <w:rFonts w:ascii="Arial" w:hAnsi="Arial" w:cs="Arial"/>
          <w:b/>
          <w:bCs/>
        </w:rPr>
        <w:t>C</w:t>
      </w:r>
      <w:r w:rsidR="009D7888" w:rsidRPr="00035B91">
        <w:rPr>
          <w:rFonts w:ascii="Arial" w:hAnsi="Arial" w:cs="Arial"/>
          <w:b/>
          <w:bCs/>
        </w:rPr>
        <w:t xml:space="preserve">urrent legislation and policies </w:t>
      </w:r>
    </w:p>
    <w:p w14:paraId="54FC3B08" w14:textId="5CA7CE24" w:rsidR="00D81317" w:rsidRPr="00035B91" w:rsidRDefault="001D304B" w:rsidP="00035B91">
      <w:pPr>
        <w:spacing w:line="360" w:lineRule="auto"/>
        <w:jc w:val="both"/>
        <w:rPr>
          <w:rFonts w:ascii="Arial" w:hAnsi="Arial" w:cs="Arial"/>
        </w:rPr>
      </w:pPr>
      <w:r w:rsidRPr="00035B91">
        <w:rPr>
          <w:rFonts w:ascii="Arial" w:hAnsi="Arial" w:cs="Arial"/>
        </w:rPr>
        <w:t>The Care Act 2014 requires local authorities to assess the needs of elderly people in their area and to provide appropriate services. The Care Act 2014 also sets out a duty on local authorities to have regard to the needs of lonely and isolated elderly people when carrying out their assessments. The Social Care Institute for Excellence has also produced a range of resources to help local authorities and organisations support elderly people. In addition to the existing legislation and policies, implementing regular community events and social activities specifically tailored for the elderly population can help reduce loneliness and isolation</w:t>
      </w:r>
      <w:r w:rsidR="006E40C4" w:rsidRPr="00035B91">
        <w:rPr>
          <w:rFonts w:ascii="Arial" w:hAnsi="Arial" w:cs="Arial"/>
        </w:rPr>
        <w:t xml:space="preserve"> (</w:t>
      </w:r>
      <w:r w:rsidR="00D7215C" w:rsidRPr="00035B91">
        <w:rPr>
          <w:rFonts w:ascii="Arial" w:hAnsi="Arial" w:cs="Arial"/>
        </w:rPr>
        <w:t>Care Quality Commission,2022</w:t>
      </w:r>
      <w:r w:rsidR="00DF03B6" w:rsidRPr="00035B91">
        <w:rPr>
          <w:rFonts w:ascii="Arial" w:hAnsi="Arial" w:cs="Arial"/>
        </w:rPr>
        <w:t>).</w:t>
      </w:r>
      <w:r w:rsidRPr="00035B91">
        <w:rPr>
          <w:rFonts w:ascii="Arial" w:hAnsi="Arial" w:cs="Arial"/>
        </w:rPr>
        <w:t xml:space="preserve"> Furthermore, establishing volunteer programs that match elderly individuals with companions or mentors can provide valuable social connections and support networks. Lastly, promoting intergenerational programs that facilitate interaction between the elderly and younger generations can also contribute to combating loneliness and isolation in the elderly population.</w:t>
      </w:r>
      <w:r w:rsidR="001D0517" w:rsidRPr="00035B91">
        <w:rPr>
          <w:rFonts w:ascii="Arial" w:hAnsi="Arial" w:cs="Arial"/>
        </w:rPr>
        <w:t xml:space="preserve"> In </w:t>
      </w:r>
      <w:r w:rsidR="001D0517" w:rsidRPr="00035B91">
        <w:rPr>
          <w:rFonts w:ascii="Arial" w:hAnsi="Arial" w:cs="Arial"/>
        </w:rPr>
        <w:t>addition to the Care Act 2014, the UK government has implemented various other legislation and policies to address elderly loneliness and isolation. For example, the Loneliness Strategy, launched in 2018, aims to tackle the issue of loneliness across all age groups, including the elderly. The National Health Service (NHS) has also developed initiatives such as social prescribing, which connects individuals to community activities and support networks to combat loneliness.</w:t>
      </w:r>
      <w:r w:rsidR="00A02CF6" w:rsidRPr="00035B91">
        <w:rPr>
          <w:rFonts w:ascii="Arial" w:hAnsi="Arial" w:cs="Arial"/>
        </w:rPr>
        <w:t xml:space="preserve"> </w:t>
      </w:r>
      <w:r w:rsidR="00116BBE" w:rsidRPr="00035B91">
        <w:rPr>
          <w:rFonts w:ascii="Arial" w:hAnsi="Arial" w:cs="Arial"/>
        </w:rPr>
        <w:t xml:space="preserve">Also, </w:t>
      </w:r>
      <w:r w:rsidR="00F30505" w:rsidRPr="00035B91">
        <w:rPr>
          <w:rFonts w:ascii="Arial" w:hAnsi="Arial" w:cs="Arial"/>
        </w:rPr>
        <w:t>the</w:t>
      </w:r>
      <w:r w:rsidR="00D81317" w:rsidRPr="00035B91">
        <w:rPr>
          <w:rFonts w:ascii="Arial" w:hAnsi="Arial" w:cs="Arial"/>
        </w:rPr>
        <w:t xml:space="preserve"> world's first government strategy tackling loneliness, published on 15 October 2018, is titled </w:t>
      </w:r>
      <w:r w:rsidR="003F6983" w:rsidRPr="00035B91">
        <w:rPr>
          <w:rFonts w:ascii="Arial" w:hAnsi="Arial" w:cs="Arial"/>
        </w:rPr>
        <w:t>a</w:t>
      </w:r>
      <w:r w:rsidR="00D81317" w:rsidRPr="00035B91">
        <w:rPr>
          <w:rFonts w:ascii="Arial" w:hAnsi="Arial" w:cs="Arial"/>
        </w:rPr>
        <w:t xml:space="preserve"> connected society</w:t>
      </w:r>
      <w:r w:rsidR="003F6983" w:rsidRPr="00035B91">
        <w:rPr>
          <w:rFonts w:ascii="Arial" w:hAnsi="Arial" w:cs="Arial"/>
        </w:rPr>
        <w:t>,</w:t>
      </w:r>
      <w:r w:rsidR="00D81317" w:rsidRPr="00035B91">
        <w:rPr>
          <w:rFonts w:ascii="Arial" w:hAnsi="Arial" w:cs="Arial"/>
        </w:rPr>
        <w:t xml:space="preserve"> laying the foundations for change. As the government's first major contribution to the national loneliness issue, it builds on years of work by many individuals and organizations</w:t>
      </w:r>
      <w:r w:rsidR="00116BBE" w:rsidRPr="00035B91">
        <w:rPr>
          <w:rFonts w:ascii="Arial" w:hAnsi="Arial" w:cs="Arial"/>
        </w:rPr>
        <w:t xml:space="preserve"> </w:t>
      </w:r>
      <w:r w:rsidR="004C0E0A" w:rsidRPr="00035B91">
        <w:rPr>
          <w:rFonts w:ascii="Arial" w:hAnsi="Arial" w:cs="Arial"/>
        </w:rPr>
        <w:t>(Gov.</w:t>
      </w:r>
      <w:r w:rsidR="00F30505" w:rsidRPr="00035B91">
        <w:rPr>
          <w:rFonts w:ascii="Arial" w:hAnsi="Arial" w:cs="Arial"/>
        </w:rPr>
        <w:t>UK, 2023). The</w:t>
      </w:r>
      <w:r w:rsidR="00D81317" w:rsidRPr="00035B91">
        <w:rPr>
          <w:rFonts w:ascii="Arial" w:hAnsi="Arial" w:cs="Arial"/>
        </w:rPr>
        <w:t xml:space="preserve"> strategy outlines a variety of actions, such as increasing awareness of loneliness, building social connections, and investing in research. It also commits to creating a national network of loneliness action, which will include a central hub to coordinate and fund local initiatives. For </w:t>
      </w:r>
      <w:r w:rsidR="00D81317" w:rsidRPr="00035B91">
        <w:rPr>
          <w:rFonts w:ascii="Arial" w:hAnsi="Arial" w:cs="Arial"/>
        </w:rPr>
        <w:lastRenderedPageBreak/>
        <w:t>example, the government will provide £1.5 million to fund initiatives to reduce loneliness among older people, such as intergenerational activities, and £1.1 million to support research into loneliness and social isolation</w:t>
      </w:r>
      <w:r w:rsidR="00FD4667" w:rsidRPr="00035B91">
        <w:rPr>
          <w:rFonts w:ascii="Arial" w:hAnsi="Arial" w:cs="Arial"/>
        </w:rPr>
        <w:t xml:space="preserve"> (</w:t>
      </w:r>
      <w:r w:rsidR="00700821" w:rsidRPr="00035B91">
        <w:rPr>
          <w:rFonts w:ascii="Arial" w:hAnsi="Arial" w:cs="Arial"/>
        </w:rPr>
        <w:t>Jarvis, 2022).</w:t>
      </w:r>
    </w:p>
    <w:p w14:paraId="3B4FE213" w14:textId="5AB0EE7D" w:rsidR="00F44A41" w:rsidRPr="00035B91" w:rsidRDefault="00F44A41" w:rsidP="00035B91">
      <w:pPr>
        <w:spacing w:line="360" w:lineRule="auto"/>
        <w:jc w:val="both"/>
        <w:rPr>
          <w:rFonts w:ascii="Arial" w:hAnsi="Arial" w:cs="Arial"/>
          <w:b/>
          <w:bCs/>
          <w:highlight w:val="yellow"/>
        </w:rPr>
      </w:pPr>
      <w:r w:rsidRPr="00035B91">
        <w:rPr>
          <w:rFonts w:ascii="Arial" w:hAnsi="Arial" w:cs="Arial"/>
          <w:b/>
          <w:bCs/>
          <w:highlight w:val="yellow"/>
        </w:rPr>
        <w:t xml:space="preserve">Critically evaluate and compare local, </w:t>
      </w:r>
      <w:r w:rsidRPr="00035B91">
        <w:rPr>
          <w:rFonts w:ascii="Arial" w:hAnsi="Arial" w:cs="Arial"/>
          <w:b/>
          <w:bCs/>
          <w:highlight w:val="yellow"/>
        </w:rPr>
        <w:t>national,</w:t>
      </w:r>
      <w:r w:rsidRPr="00035B91">
        <w:rPr>
          <w:rFonts w:ascii="Arial" w:hAnsi="Arial" w:cs="Arial"/>
          <w:b/>
          <w:bCs/>
          <w:highlight w:val="yellow"/>
        </w:rPr>
        <w:t xml:space="preserve"> and global provision of services for the </w:t>
      </w:r>
    </w:p>
    <w:p w14:paraId="02A0B5D1" w14:textId="446FE23C" w:rsidR="00F44A41" w:rsidRDefault="00F44A41" w:rsidP="00035B91">
      <w:pPr>
        <w:spacing w:line="360" w:lineRule="auto"/>
        <w:jc w:val="both"/>
        <w:rPr>
          <w:rFonts w:ascii="Arial" w:hAnsi="Arial" w:cs="Arial"/>
          <w:b/>
          <w:bCs/>
        </w:rPr>
      </w:pPr>
      <w:r w:rsidRPr="00035B91">
        <w:rPr>
          <w:rFonts w:ascii="Arial" w:hAnsi="Arial" w:cs="Arial"/>
          <w:b/>
          <w:bCs/>
          <w:highlight w:val="yellow"/>
        </w:rPr>
        <w:t>older person in line with current initiatives and policy</w:t>
      </w:r>
      <w:r w:rsidR="00713AB0">
        <w:rPr>
          <w:rFonts w:ascii="Arial" w:hAnsi="Arial" w:cs="Arial"/>
          <w:b/>
          <w:bCs/>
        </w:rPr>
        <w:t>.</w:t>
      </w:r>
      <w:r w:rsidRPr="00035B91">
        <w:rPr>
          <w:rFonts w:ascii="Arial" w:hAnsi="Arial" w:cs="Arial"/>
          <w:b/>
          <w:bCs/>
        </w:rPr>
        <w:t xml:space="preserve"> </w:t>
      </w:r>
    </w:p>
    <w:p w14:paraId="0AB904DC" w14:textId="55576228" w:rsidR="009259AC" w:rsidRPr="009259AC" w:rsidRDefault="009259AC" w:rsidP="00035B91">
      <w:pPr>
        <w:spacing w:line="360" w:lineRule="auto"/>
        <w:jc w:val="both"/>
        <w:rPr>
          <w:rFonts w:ascii="Arial" w:hAnsi="Arial" w:cs="Arial"/>
        </w:rPr>
      </w:pPr>
      <w:r w:rsidRPr="009259AC">
        <w:rPr>
          <w:rFonts w:ascii="Arial" w:hAnsi="Arial" w:cs="Arial"/>
        </w:rPr>
        <w:t>Healthcare services are provided by the National Health Service NHS in the UK, including primary care, specialist care, and long-term care. Community care is also provided through day centres, which enable elderly people to receive care in the comfort of their own homes. Aside from promoting independent living, social inclusion, and active ageing for the elderly, the UK government introduced policies to encourage them. Determine the best practice interventions for key stages of frailty and assist in their implementation.</w:t>
      </w:r>
      <w:r w:rsidR="00C57CD7">
        <w:rPr>
          <w:rFonts w:ascii="Tahoma" w:hAnsi="Tahoma" w:cs="Tahoma"/>
        </w:rPr>
        <w:t xml:space="preserve"> </w:t>
      </w:r>
      <w:r w:rsidRPr="009259AC">
        <w:rPr>
          <w:rFonts w:ascii="Arial" w:hAnsi="Arial" w:cs="Arial"/>
        </w:rPr>
        <w:t>Encourage proactive frailty case discovery, which involves identifying individuals who may be frail, to focus prevention efforts on those who are most vulnerable to ageing with a variety of chronic illnesses</w:t>
      </w:r>
      <w:r w:rsidR="0084659B">
        <w:rPr>
          <w:rFonts w:ascii="Arial" w:hAnsi="Arial" w:cs="Arial"/>
        </w:rPr>
        <w:t xml:space="preserve"> (NHS</w:t>
      </w:r>
      <w:r w:rsidR="00CA491A">
        <w:rPr>
          <w:rFonts w:ascii="Arial" w:hAnsi="Arial" w:cs="Arial"/>
        </w:rPr>
        <w:t>)</w:t>
      </w:r>
      <w:r w:rsidRPr="009259AC">
        <w:rPr>
          <w:rFonts w:ascii="Arial" w:hAnsi="Arial" w:cs="Arial"/>
        </w:rPr>
        <w:t xml:space="preserve">. For instance, GPs and practice staff can discover, assess, and manage cases of older individuals living with frailty with the help of a set of tools provided by the Toolkit for General Practice in Supporting Older Individuals Living with Frailty. This toolkit will help general practitioners and practice employees fulfil their obligations under the GP contract to recognise frailty in patients 65 years of age and older, to provide individualised care plans that reflect patients' preferences and to encourage decisions about important areas of treatment as they approach death, and to identify frailty in patients. Globally, elderly care is provided in a variety of ways. In some countries, comprehensive health care and long-term care are available to the </w:t>
      </w:r>
      <w:r w:rsidR="00B033CA">
        <w:rPr>
          <w:rFonts w:ascii="Arial" w:hAnsi="Arial" w:cs="Arial"/>
        </w:rPr>
        <w:t>older adults</w:t>
      </w:r>
      <w:r w:rsidRPr="009259AC">
        <w:rPr>
          <w:rFonts w:ascii="Arial" w:hAnsi="Arial" w:cs="Arial"/>
        </w:rPr>
        <w:t xml:space="preserve"> through well-established social welfare systems. Japan, Norway, and Sweden, for example, have strong social security systems that ensure their </w:t>
      </w:r>
      <w:r w:rsidR="00B033CA">
        <w:rPr>
          <w:rFonts w:ascii="Arial" w:hAnsi="Arial" w:cs="Arial"/>
        </w:rPr>
        <w:t>older adults</w:t>
      </w:r>
      <w:r w:rsidRPr="009259AC">
        <w:rPr>
          <w:rFonts w:ascii="Arial" w:hAnsi="Arial" w:cs="Arial"/>
        </w:rPr>
        <w:t xml:space="preserve"> residents live comfortably. However, other countries may have limited resources and infrastructure to support the </w:t>
      </w:r>
      <w:r w:rsidR="00B033CA">
        <w:rPr>
          <w:rFonts w:ascii="Arial" w:hAnsi="Arial" w:cs="Arial"/>
        </w:rPr>
        <w:t>older adults</w:t>
      </w:r>
      <w:r w:rsidRPr="009259AC">
        <w:rPr>
          <w:rFonts w:ascii="Arial" w:hAnsi="Arial" w:cs="Arial"/>
        </w:rPr>
        <w:t xml:space="preserve">, so non-governmental organizations and community-based initiatives might play an important </w:t>
      </w:r>
      <w:r w:rsidR="00084F5C" w:rsidRPr="009259AC">
        <w:rPr>
          <w:rFonts w:ascii="Arial" w:hAnsi="Arial" w:cs="Arial"/>
        </w:rPr>
        <w:t>role</w:t>
      </w:r>
      <w:r w:rsidR="00084F5C">
        <w:rPr>
          <w:rFonts w:ascii="Arial" w:hAnsi="Arial" w:cs="Arial"/>
        </w:rPr>
        <w:t xml:space="preserve"> (</w:t>
      </w:r>
      <w:r w:rsidR="003C2948">
        <w:rPr>
          <w:rFonts w:ascii="Arial" w:hAnsi="Arial" w:cs="Arial"/>
        </w:rPr>
        <w:t>Fronti</w:t>
      </w:r>
      <w:r w:rsidR="008E4A15">
        <w:rPr>
          <w:rFonts w:ascii="Arial" w:hAnsi="Arial" w:cs="Arial"/>
        </w:rPr>
        <w:t>ers, 2024)</w:t>
      </w:r>
      <w:r w:rsidRPr="009259AC">
        <w:rPr>
          <w:rFonts w:ascii="Arial" w:hAnsi="Arial" w:cs="Arial"/>
        </w:rPr>
        <w:t>.</w:t>
      </w:r>
    </w:p>
    <w:p w14:paraId="71F88740" w14:textId="77777777" w:rsidR="007B40BA" w:rsidRDefault="00F44A41" w:rsidP="00035B91">
      <w:pPr>
        <w:spacing w:line="360" w:lineRule="auto"/>
        <w:jc w:val="both"/>
        <w:rPr>
          <w:rFonts w:ascii="Arial" w:hAnsi="Arial" w:cs="Arial"/>
          <w:b/>
          <w:bCs/>
          <w:highlight w:val="yellow"/>
        </w:rPr>
      </w:pPr>
      <w:r w:rsidRPr="00035B91">
        <w:rPr>
          <w:rFonts w:ascii="Arial" w:hAnsi="Arial" w:cs="Arial"/>
          <w:b/>
          <w:bCs/>
          <w:highlight w:val="yellow"/>
        </w:rPr>
        <w:t xml:space="preserve">g) Examine the prospective future of the care of the older person; examine what changes could be made to the programmes aimed at addressing the problem of loneliness among the elderly and </w:t>
      </w:r>
    </w:p>
    <w:p w14:paraId="2A13334F" w14:textId="1CA0B98B" w:rsidR="00965CB3" w:rsidRPr="00EC16A2" w:rsidRDefault="00EC16A2" w:rsidP="00035B91">
      <w:pPr>
        <w:spacing w:line="360" w:lineRule="auto"/>
        <w:jc w:val="both"/>
        <w:rPr>
          <w:rFonts w:ascii="Arial" w:hAnsi="Arial" w:cs="Arial"/>
          <w:highlight w:val="yellow"/>
        </w:rPr>
      </w:pPr>
      <w:r w:rsidRPr="00EC16A2">
        <w:rPr>
          <w:rFonts w:ascii="Arial" w:hAnsi="Arial" w:cs="Arial"/>
        </w:rPr>
        <w:t xml:space="preserve">To address the growing demand for </w:t>
      </w:r>
      <w:r w:rsidRPr="00EC16A2">
        <w:rPr>
          <w:rFonts w:ascii="Arial" w:hAnsi="Arial" w:cs="Arial"/>
        </w:rPr>
        <w:t xml:space="preserve">older </w:t>
      </w:r>
      <w:r w:rsidR="000B592B" w:rsidRPr="00EC16A2">
        <w:rPr>
          <w:rFonts w:ascii="Arial" w:hAnsi="Arial" w:cs="Arial"/>
        </w:rPr>
        <w:t>adult</w:t>
      </w:r>
      <w:r w:rsidR="000B592B">
        <w:rPr>
          <w:rFonts w:ascii="Arial" w:hAnsi="Arial" w:cs="Arial"/>
        </w:rPr>
        <w:t>s’</w:t>
      </w:r>
      <w:r w:rsidRPr="00EC16A2">
        <w:rPr>
          <w:rFonts w:ascii="Arial" w:hAnsi="Arial" w:cs="Arial"/>
        </w:rPr>
        <w:t xml:space="preserve"> care, it is crucial to invest in innovative technologies such as remote monitoring devices and telemedicine. Implementing training programs to increase the number of healthcare professionals specializing in geriatric care can also help meet the needs of older adults. Additionally, fostering partnerships between healthcare providers, community organizations, and caregivers can create a comprehensive support system for the elderly. This support system should include access to mental health </w:t>
      </w:r>
      <w:r w:rsidRPr="00EC16A2">
        <w:rPr>
          <w:rFonts w:ascii="Arial" w:hAnsi="Arial" w:cs="Arial"/>
        </w:rPr>
        <w:lastRenderedPageBreak/>
        <w:t>services, as well as physical and social support services. Additionally, providing financial support and tax incentives for retirement communities can help ensure the elderly have access to quality care. In-home support services, including cleaning, gardening, and laundry, play a crucial role in enhancing the well-being of elderly individuals</w:t>
      </w:r>
      <w:r w:rsidR="0058430E">
        <w:rPr>
          <w:rFonts w:ascii="Arial" w:hAnsi="Arial" w:cs="Arial"/>
        </w:rPr>
        <w:t xml:space="preserve"> (D</w:t>
      </w:r>
      <w:r w:rsidR="00AD0DE6">
        <w:rPr>
          <w:rFonts w:ascii="Arial" w:hAnsi="Arial" w:cs="Arial"/>
        </w:rPr>
        <w:t>H&amp;SC, 2023).</w:t>
      </w:r>
    </w:p>
    <w:p w14:paraId="534E7893" w14:textId="5CF65A71" w:rsidR="00F44A41" w:rsidRDefault="00F44A41" w:rsidP="00035B91">
      <w:pPr>
        <w:spacing w:line="360" w:lineRule="auto"/>
        <w:jc w:val="both"/>
        <w:rPr>
          <w:rFonts w:ascii="Arial" w:hAnsi="Arial" w:cs="Arial"/>
          <w:b/>
          <w:bCs/>
          <w:highlight w:val="yellow"/>
        </w:rPr>
      </w:pPr>
      <w:r w:rsidRPr="00035B91">
        <w:rPr>
          <w:rFonts w:ascii="Arial" w:hAnsi="Arial" w:cs="Arial"/>
          <w:b/>
          <w:bCs/>
          <w:highlight w:val="yellow"/>
        </w:rPr>
        <w:t>how technology could be applied in the provision of care provision to lonely older persons</w:t>
      </w:r>
      <w:r w:rsidRPr="00035B91">
        <w:rPr>
          <w:rFonts w:ascii="Arial" w:hAnsi="Arial" w:cs="Arial"/>
          <w:b/>
          <w:bCs/>
          <w:highlight w:val="yellow"/>
        </w:rPr>
        <w:t>.</w:t>
      </w:r>
    </w:p>
    <w:p w14:paraId="07F05C26" w14:textId="0772F017" w:rsidR="00DE781C" w:rsidRPr="00B706FE" w:rsidRDefault="00DE781C" w:rsidP="00035B91">
      <w:pPr>
        <w:spacing w:line="360" w:lineRule="auto"/>
        <w:jc w:val="both"/>
        <w:rPr>
          <w:rFonts w:ascii="Arial" w:hAnsi="Arial" w:cs="Arial"/>
          <w:highlight w:val="yellow"/>
        </w:rPr>
      </w:pPr>
      <w:r w:rsidRPr="00B706FE">
        <w:rPr>
          <w:rFonts w:ascii="Arial" w:hAnsi="Arial" w:cs="Arial"/>
        </w:rPr>
        <w:t xml:space="preserve">The use of technology can play an important role in helping older adults cope with loneliness and social isolation. By enabling older adults to communicate with family, friends, and caregivers even when they are physically apart, </w:t>
      </w:r>
      <w:r w:rsidR="00B706FE" w:rsidRPr="00B706FE">
        <w:rPr>
          <w:rFonts w:ascii="Arial" w:hAnsi="Arial" w:cs="Arial"/>
        </w:rPr>
        <w:t>digital,</w:t>
      </w:r>
      <w:r w:rsidRPr="00B706FE">
        <w:rPr>
          <w:rFonts w:ascii="Arial" w:hAnsi="Arial" w:cs="Arial"/>
        </w:rPr>
        <w:t xml:space="preserve"> and internet-based technologies overcome physical barriers that prevent people from meeting in person. For example, video calling platforms like Skype, FaceTime, and Zoom allow older adults to have face-to-face conversations with their loved ones</w:t>
      </w:r>
      <w:r w:rsidR="008E6676">
        <w:rPr>
          <w:rFonts w:ascii="Arial" w:hAnsi="Arial" w:cs="Arial"/>
        </w:rPr>
        <w:t xml:space="preserve"> (</w:t>
      </w:r>
      <w:r w:rsidR="0037302D">
        <w:rPr>
          <w:rFonts w:ascii="Arial" w:hAnsi="Arial" w:cs="Arial"/>
        </w:rPr>
        <w:t>Grey, et al, 2024)</w:t>
      </w:r>
      <w:r w:rsidRPr="00B706FE">
        <w:rPr>
          <w:rFonts w:ascii="Arial" w:hAnsi="Arial" w:cs="Arial"/>
        </w:rPr>
        <w:t>. Telehealth and Telecare: Remote healthcare services can reduce feelings of isolation. In addition to receiving medical advice and managing chronic conditions, older adults can consult healthcare professionals via video calls. Companionship Robots: These robots can be used to converse, play games, and provide emotional support for older adults. Although still in early stages, these robots show promise in reducing loneliness. Using smart homes and IoT devices, such as voice assistants (like Amazon Echo, Google Home), can enhance the quality of life for older adults. As soon as health parameters change, IoT devices can be set up to monitor them. They can also alert caregivers in case of emergency</w:t>
      </w:r>
      <w:r w:rsidR="00B717B8">
        <w:rPr>
          <w:rFonts w:ascii="Arial" w:hAnsi="Arial" w:cs="Arial"/>
        </w:rPr>
        <w:t xml:space="preserve"> (</w:t>
      </w:r>
      <w:r w:rsidR="00C72182">
        <w:rPr>
          <w:rFonts w:ascii="Arial" w:hAnsi="Arial" w:cs="Arial"/>
        </w:rPr>
        <w:t xml:space="preserve">Grey, et al, 2024). </w:t>
      </w:r>
    </w:p>
    <w:p w14:paraId="7EDE1AF0" w14:textId="77777777" w:rsidR="00D81317" w:rsidRPr="00035B91" w:rsidRDefault="00D81317" w:rsidP="00035B91">
      <w:pPr>
        <w:spacing w:line="360" w:lineRule="auto"/>
        <w:jc w:val="both"/>
        <w:rPr>
          <w:rFonts w:ascii="Arial" w:hAnsi="Arial" w:cs="Arial"/>
        </w:rPr>
      </w:pPr>
    </w:p>
    <w:p w14:paraId="03C48496" w14:textId="4A9E61D2" w:rsidR="00151BDC" w:rsidRPr="00035B91" w:rsidRDefault="001724B0" w:rsidP="00035B91">
      <w:pPr>
        <w:spacing w:line="360" w:lineRule="auto"/>
        <w:jc w:val="both"/>
        <w:rPr>
          <w:rFonts w:ascii="Arial" w:hAnsi="Arial" w:cs="Arial"/>
          <w:b/>
          <w:bCs/>
        </w:rPr>
      </w:pPr>
      <w:r w:rsidRPr="00035B91">
        <w:rPr>
          <w:rFonts w:ascii="Arial" w:hAnsi="Arial" w:cs="Arial"/>
          <w:b/>
          <w:bCs/>
        </w:rPr>
        <w:t xml:space="preserve">Recommendations </w:t>
      </w:r>
    </w:p>
    <w:p w14:paraId="30558078" w14:textId="063215DB" w:rsidR="001724B0" w:rsidRPr="00035B91" w:rsidRDefault="00331F77" w:rsidP="00035B91">
      <w:pPr>
        <w:spacing w:line="360" w:lineRule="auto"/>
        <w:jc w:val="both"/>
        <w:rPr>
          <w:rFonts w:ascii="Arial" w:hAnsi="Arial" w:cs="Arial"/>
        </w:rPr>
      </w:pPr>
      <w:r w:rsidRPr="00035B91">
        <w:rPr>
          <w:rFonts w:ascii="Arial" w:hAnsi="Arial" w:cs="Arial"/>
        </w:rPr>
        <w:t xml:space="preserve">The Government should introduce an Older People's Commissioner in England to champion the rights of older people and ensure </w:t>
      </w:r>
      <w:r w:rsidRPr="00035B91">
        <w:rPr>
          <w:rFonts w:ascii="Arial" w:hAnsi="Arial" w:cs="Arial"/>
        </w:rPr>
        <w:t>policymaking</w:t>
      </w:r>
      <w:r w:rsidRPr="00035B91">
        <w:rPr>
          <w:rFonts w:ascii="Arial" w:hAnsi="Arial" w:cs="Arial"/>
        </w:rPr>
        <w:t xml:space="preserve"> meets their needs. Sufficient funding for health and social care is necessary, as well as outlining how all public services can cater to the needs of our diverse aging population. Essential services, opportunities to maintain health and well-being, and combatting loneliness and isolation must be made available to those who are socially or digitally excluded. Information and services should be available offline, and governments should plan spending based on the value of local infrastructure</w:t>
      </w:r>
      <w:r w:rsidR="00987C15" w:rsidRPr="00035B91">
        <w:rPr>
          <w:rFonts w:ascii="Arial" w:hAnsi="Arial" w:cs="Arial"/>
        </w:rPr>
        <w:t xml:space="preserve"> (Age UK, 2023)</w:t>
      </w:r>
      <w:r w:rsidRPr="00035B91">
        <w:rPr>
          <w:rFonts w:ascii="Arial" w:hAnsi="Arial" w:cs="Arial"/>
        </w:rPr>
        <w:t>.</w:t>
      </w:r>
      <w:r w:rsidRPr="00035B91">
        <w:rPr>
          <w:rFonts w:ascii="Arial" w:hAnsi="Arial" w:cs="Arial"/>
        </w:rPr>
        <w:t xml:space="preserve"> Moreover, </w:t>
      </w:r>
      <w:r w:rsidR="00035B91" w:rsidRPr="00035B91">
        <w:rPr>
          <w:rFonts w:ascii="Arial" w:hAnsi="Arial" w:cs="Arial"/>
        </w:rPr>
        <w:t>to</w:t>
      </w:r>
      <w:r w:rsidR="001724B0" w:rsidRPr="00035B91">
        <w:rPr>
          <w:rFonts w:ascii="Arial" w:hAnsi="Arial" w:cs="Arial"/>
        </w:rPr>
        <w:t xml:space="preserve"> promote social integration for older people, policies should focus on creating community centres and programs that encourage social participation and interaction. These initiatives can include activities such as group outings, hobby clubs, and volunteer opportunities, which not only provide opportunities for older individuals to engage with others but also contribute to their sense of purpose and well-being. Additionally, intergenerational programs that facilitate interaction between older adults and younger generations can help </w:t>
      </w:r>
      <w:r w:rsidR="001724B0" w:rsidRPr="00035B91">
        <w:rPr>
          <w:rFonts w:ascii="Arial" w:hAnsi="Arial" w:cs="Arial"/>
        </w:rPr>
        <w:lastRenderedPageBreak/>
        <w:t>foster a sense of connection and combat social isolation. For example, policies that focus on increasing access to resources such as housing, health care and transportation, as well as providing opportunities for meaningful social engagement, may be more successful at reducing loneliness than simply encouraging older people to re-engage in social activities.</w:t>
      </w:r>
    </w:p>
    <w:p w14:paraId="36BA5504" w14:textId="77777777" w:rsidR="00151BDC" w:rsidRDefault="00151BDC" w:rsidP="00035B91">
      <w:pPr>
        <w:spacing w:line="360" w:lineRule="auto"/>
        <w:jc w:val="both"/>
        <w:rPr>
          <w:rFonts w:ascii="Arial" w:hAnsi="Arial" w:cs="Arial"/>
        </w:rPr>
      </w:pPr>
    </w:p>
    <w:p w14:paraId="3F7ABF3F" w14:textId="77777777" w:rsidR="00B84F69" w:rsidRDefault="00B84F69" w:rsidP="00035B91">
      <w:pPr>
        <w:spacing w:line="360" w:lineRule="auto"/>
        <w:jc w:val="both"/>
        <w:rPr>
          <w:rFonts w:ascii="Arial" w:hAnsi="Arial" w:cs="Arial"/>
        </w:rPr>
      </w:pPr>
    </w:p>
    <w:p w14:paraId="39BD1D71" w14:textId="77777777" w:rsidR="00B84F69" w:rsidRDefault="00B84F69" w:rsidP="00035B91">
      <w:pPr>
        <w:spacing w:line="360" w:lineRule="auto"/>
        <w:jc w:val="both"/>
        <w:rPr>
          <w:rFonts w:ascii="Arial" w:hAnsi="Arial" w:cs="Arial"/>
        </w:rPr>
      </w:pPr>
    </w:p>
    <w:p w14:paraId="73DDF44E" w14:textId="77777777" w:rsidR="00B84F69" w:rsidRDefault="00B84F69" w:rsidP="00035B91">
      <w:pPr>
        <w:spacing w:line="360" w:lineRule="auto"/>
        <w:jc w:val="both"/>
        <w:rPr>
          <w:rFonts w:ascii="Arial" w:hAnsi="Arial" w:cs="Arial"/>
        </w:rPr>
      </w:pPr>
    </w:p>
    <w:p w14:paraId="7D044216" w14:textId="77777777" w:rsidR="00B84F69" w:rsidRDefault="00B84F69" w:rsidP="00035B91">
      <w:pPr>
        <w:spacing w:line="360" w:lineRule="auto"/>
        <w:jc w:val="both"/>
        <w:rPr>
          <w:rFonts w:ascii="Arial" w:hAnsi="Arial" w:cs="Arial"/>
        </w:rPr>
      </w:pPr>
    </w:p>
    <w:p w14:paraId="62CA86FB" w14:textId="77777777" w:rsidR="00B84F69" w:rsidRDefault="00B84F69" w:rsidP="00035B91">
      <w:pPr>
        <w:spacing w:line="360" w:lineRule="auto"/>
        <w:jc w:val="both"/>
        <w:rPr>
          <w:rFonts w:ascii="Arial" w:hAnsi="Arial" w:cs="Arial"/>
        </w:rPr>
      </w:pPr>
    </w:p>
    <w:p w14:paraId="0C512E16" w14:textId="77777777" w:rsidR="00B84F69" w:rsidRDefault="00B84F69" w:rsidP="00035B91">
      <w:pPr>
        <w:spacing w:line="360" w:lineRule="auto"/>
        <w:jc w:val="both"/>
        <w:rPr>
          <w:rFonts w:ascii="Arial" w:hAnsi="Arial" w:cs="Arial"/>
        </w:rPr>
      </w:pPr>
    </w:p>
    <w:p w14:paraId="3B0E7EB1" w14:textId="77777777" w:rsidR="00B84F69" w:rsidRDefault="00B84F69" w:rsidP="00035B91">
      <w:pPr>
        <w:spacing w:line="360" w:lineRule="auto"/>
        <w:jc w:val="both"/>
        <w:rPr>
          <w:rFonts w:ascii="Arial" w:hAnsi="Arial" w:cs="Arial"/>
        </w:rPr>
      </w:pPr>
    </w:p>
    <w:p w14:paraId="61E7BD31" w14:textId="77777777" w:rsidR="00B84F69" w:rsidRDefault="00B84F69" w:rsidP="00035B91">
      <w:pPr>
        <w:spacing w:line="360" w:lineRule="auto"/>
        <w:jc w:val="both"/>
        <w:rPr>
          <w:rFonts w:ascii="Arial" w:hAnsi="Arial" w:cs="Arial"/>
        </w:rPr>
      </w:pPr>
    </w:p>
    <w:p w14:paraId="6AE9E3FA" w14:textId="77777777" w:rsidR="00B84F69" w:rsidRDefault="00B84F69" w:rsidP="00035B91">
      <w:pPr>
        <w:spacing w:line="360" w:lineRule="auto"/>
        <w:jc w:val="both"/>
        <w:rPr>
          <w:rFonts w:ascii="Arial" w:hAnsi="Arial" w:cs="Arial"/>
        </w:rPr>
      </w:pPr>
    </w:p>
    <w:p w14:paraId="752D4F2A" w14:textId="77777777" w:rsidR="00B84F69" w:rsidRDefault="00B84F69" w:rsidP="00035B91">
      <w:pPr>
        <w:spacing w:line="360" w:lineRule="auto"/>
        <w:jc w:val="both"/>
        <w:rPr>
          <w:rFonts w:ascii="Arial" w:hAnsi="Arial" w:cs="Arial"/>
        </w:rPr>
      </w:pPr>
    </w:p>
    <w:p w14:paraId="2F3D93D3" w14:textId="77777777" w:rsidR="00B84F69" w:rsidRDefault="00B84F69" w:rsidP="00035B91">
      <w:pPr>
        <w:spacing w:line="360" w:lineRule="auto"/>
        <w:jc w:val="both"/>
        <w:rPr>
          <w:rFonts w:ascii="Arial" w:hAnsi="Arial" w:cs="Arial"/>
        </w:rPr>
      </w:pPr>
    </w:p>
    <w:p w14:paraId="4D0DE0EC" w14:textId="77777777" w:rsidR="00B84F69" w:rsidRDefault="00B84F69" w:rsidP="00035B91">
      <w:pPr>
        <w:spacing w:line="360" w:lineRule="auto"/>
        <w:jc w:val="both"/>
        <w:rPr>
          <w:rFonts w:ascii="Arial" w:hAnsi="Arial" w:cs="Arial"/>
        </w:rPr>
      </w:pPr>
    </w:p>
    <w:p w14:paraId="004CA8A4" w14:textId="77777777" w:rsidR="00B84F69" w:rsidRDefault="00B84F69" w:rsidP="00035B91">
      <w:pPr>
        <w:spacing w:line="360" w:lineRule="auto"/>
        <w:jc w:val="both"/>
        <w:rPr>
          <w:rFonts w:ascii="Arial" w:hAnsi="Arial" w:cs="Arial"/>
        </w:rPr>
      </w:pPr>
    </w:p>
    <w:p w14:paraId="2CC0393C" w14:textId="77777777" w:rsidR="00B84F69" w:rsidRDefault="00B84F69" w:rsidP="00035B91">
      <w:pPr>
        <w:spacing w:line="360" w:lineRule="auto"/>
        <w:jc w:val="both"/>
        <w:rPr>
          <w:rFonts w:ascii="Arial" w:hAnsi="Arial" w:cs="Arial"/>
        </w:rPr>
      </w:pPr>
    </w:p>
    <w:p w14:paraId="1F477304" w14:textId="77777777" w:rsidR="00B84F69" w:rsidRPr="00035B91" w:rsidRDefault="00B84F69" w:rsidP="00035B91">
      <w:pPr>
        <w:spacing w:line="360" w:lineRule="auto"/>
        <w:jc w:val="both"/>
        <w:rPr>
          <w:rFonts w:ascii="Arial" w:hAnsi="Arial" w:cs="Arial"/>
        </w:rPr>
      </w:pPr>
    </w:p>
    <w:p w14:paraId="615FBB53" w14:textId="77777777" w:rsidR="00151BDC" w:rsidRDefault="00151BDC" w:rsidP="0034191D">
      <w:pPr>
        <w:rPr>
          <w:sz w:val="28"/>
          <w:szCs w:val="28"/>
        </w:rPr>
      </w:pPr>
    </w:p>
    <w:p w14:paraId="22196082" w14:textId="4B5DCE67" w:rsidR="00A41FC0" w:rsidRPr="00133265" w:rsidRDefault="00CD3C5A" w:rsidP="006F2ED3">
      <w:pPr>
        <w:rPr>
          <w:rFonts w:ascii="Arial" w:hAnsi="Arial" w:cs="Arial"/>
          <w:b/>
          <w:bCs/>
          <w:sz w:val="28"/>
          <w:szCs w:val="28"/>
        </w:rPr>
      </w:pPr>
      <w:r w:rsidRPr="006109FC">
        <w:rPr>
          <w:rFonts w:ascii="Arial" w:hAnsi="Arial" w:cs="Arial"/>
          <w:b/>
          <w:bCs/>
          <w:sz w:val="28"/>
          <w:szCs w:val="28"/>
        </w:rPr>
        <w:t>Refer</w:t>
      </w:r>
      <w:r w:rsidR="006109FC" w:rsidRPr="006109FC">
        <w:rPr>
          <w:rFonts w:ascii="Arial" w:hAnsi="Arial" w:cs="Arial"/>
          <w:b/>
          <w:bCs/>
          <w:sz w:val="28"/>
          <w:szCs w:val="28"/>
        </w:rPr>
        <w:t>e</w:t>
      </w:r>
      <w:r w:rsidR="00133265">
        <w:rPr>
          <w:rFonts w:ascii="Arial" w:hAnsi="Arial" w:cs="Arial"/>
          <w:b/>
          <w:bCs/>
          <w:sz w:val="28"/>
          <w:szCs w:val="28"/>
        </w:rPr>
        <w:t xml:space="preserve">nce List </w:t>
      </w:r>
    </w:p>
    <w:p w14:paraId="03911D9A" w14:textId="77777777" w:rsidR="00133265" w:rsidRDefault="009816EF" w:rsidP="00133265">
      <w:pPr>
        <w:spacing w:line="360" w:lineRule="auto"/>
        <w:jc w:val="both"/>
        <w:rPr>
          <w:rFonts w:ascii="Arial" w:hAnsi="Arial" w:cs="Arial"/>
        </w:rPr>
      </w:pPr>
      <w:r w:rsidRPr="00A41FC0">
        <w:rPr>
          <w:rFonts w:ascii="Arial" w:hAnsi="Arial" w:cs="Arial"/>
        </w:rPr>
        <w:t xml:space="preserve">Age co (2022) </w:t>
      </w:r>
      <w:r w:rsidRPr="00A41FC0">
        <w:rPr>
          <w:rFonts w:ascii="Arial" w:hAnsi="Arial" w:cs="Arial"/>
          <w:i/>
          <w:iCs/>
        </w:rPr>
        <w:t>Ageing and older population UK statistics for 2022</w:t>
      </w:r>
      <w:r w:rsidRPr="00A41FC0">
        <w:rPr>
          <w:rFonts w:ascii="Arial" w:hAnsi="Arial" w:cs="Arial"/>
        </w:rPr>
        <w:t xml:space="preserve">. Available at: </w:t>
      </w:r>
      <w:hyperlink r:id="rId8" w:history="1">
        <w:r w:rsidR="00B2086B" w:rsidRPr="00A41FC0">
          <w:rPr>
            <w:rStyle w:val="Hyperlink"/>
            <w:rFonts w:ascii="Arial" w:hAnsi="Arial" w:cs="Arial"/>
          </w:rPr>
          <w:t>https://www.ageukmobility.co.uk/mobility-news/article/ageing-and-older-population-uk-statistics-for-2022</w:t>
        </w:r>
      </w:hyperlink>
      <w:r w:rsidR="00B2086B" w:rsidRPr="00A41FC0">
        <w:rPr>
          <w:rFonts w:ascii="Arial" w:hAnsi="Arial" w:cs="Arial"/>
        </w:rPr>
        <w:t xml:space="preserve"> (Accessed: 14 April 2024). </w:t>
      </w:r>
    </w:p>
    <w:p w14:paraId="70FAB408" w14:textId="7BED60C8" w:rsidR="00133265" w:rsidRDefault="00133265" w:rsidP="00133265">
      <w:pPr>
        <w:spacing w:line="360" w:lineRule="auto"/>
        <w:jc w:val="both"/>
        <w:rPr>
          <w:rFonts w:ascii="Arial" w:hAnsi="Arial" w:cs="Arial"/>
        </w:rPr>
      </w:pPr>
      <w:r>
        <w:rPr>
          <w:rFonts w:ascii="Arial" w:hAnsi="Arial" w:cs="Arial"/>
        </w:rPr>
        <w:t xml:space="preserve">Age UK (2023) </w:t>
      </w:r>
      <w:r w:rsidRPr="002A78A9">
        <w:rPr>
          <w:rFonts w:ascii="Arial" w:hAnsi="Arial" w:cs="Arial"/>
          <w:i/>
          <w:iCs/>
        </w:rPr>
        <w:t>Age-friendly government (England).</w:t>
      </w:r>
      <w:r>
        <w:rPr>
          <w:rFonts w:ascii="Arial" w:hAnsi="Arial" w:cs="Arial"/>
        </w:rPr>
        <w:t xml:space="preserve"> Available at: </w:t>
      </w:r>
      <w:hyperlink r:id="rId9" w:history="1">
        <w:r w:rsidRPr="003B31EF">
          <w:rPr>
            <w:rStyle w:val="Hyperlink"/>
            <w:rFonts w:ascii="Arial" w:hAnsi="Arial" w:cs="Arial"/>
          </w:rPr>
          <w:t>https://www.ageuk.org.uk/globalassets/age-uk/documents/policy-positions/ageism-and-equalities/age-friendly-government-sept-23.pdf</w:t>
        </w:r>
      </w:hyperlink>
      <w:r>
        <w:rPr>
          <w:rFonts w:ascii="Arial" w:hAnsi="Arial" w:cs="Arial"/>
        </w:rPr>
        <w:t xml:space="preserve"> (Accessed: 20 April 2024). </w:t>
      </w:r>
    </w:p>
    <w:p w14:paraId="6BB7CC25" w14:textId="1ED24440" w:rsidR="00133265" w:rsidRDefault="00133265" w:rsidP="00133265">
      <w:pPr>
        <w:spacing w:line="360" w:lineRule="auto"/>
        <w:jc w:val="both"/>
        <w:rPr>
          <w:rFonts w:ascii="Arial" w:hAnsi="Arial" w:cs="Arial"/>
        </w:rPr>
      </w:pPr>
      <w:r w:rsidRPr="00A41FC0">
        <w:rPr>
          <w:rFonts w:ascii="Arial" w:hAnsi="Arial" w:cs="Arial"/>
        </w:rPr>
        <w:lastRenderedPageBreak/>
        <w:t xml:space="preserve">Age UK (2023) The State of Health and Care of Older People, 2023. Available at: </w:t>
      </w:r>
      <w:hyperlink r:id="rId10" w:anchor=":~:text=Today%2C%20a%2065%20year-old%20man%20can%20expect%20to,another%2018.5%20years%2C%20and%20a%2065-year-old%20woman%2021" w:history="1">
        <w:r w:rsidRPr="00A41FC0">
          <w:rPr>
            <w:rStyle w:val="Hyperlink"/>
            <w:rFonts w:ascii="Arial" w:hAnsi="Arial" w:cs="Arial"/>
          </w:rPr>
          <w:t>https://www.ageuk.org.uk/globalassets/age-uk/documents/reports-and-publications/reports-and-briefings/health--wellbeing/age-uk-briefing-state-of-health-and-care-july-2023-abridged-version.pdf#:~:text=Today%2C%20a%2065%20year-old%20man%20can%20expect%20to,another%2018.5%20years%2C%20and%20a%2065-year-old%20woman%2021</w:t>
        </w:r>
      </w:hyperlink>
      <w:r w:rsidRPr="00A41FC0">
        <w:rPr>
          <w:rFonts w:ascii="Arial" w:hAnsi="Arial" w:cs="Arial"/>
        </w:rPr>
        <w:t xml:space="preserve"> (Accessed: 14 April 2024).  </w:t>
      </w:r>
    </w:p>
    <w:p w14:paraId="3857BEA9" w14:textId="77777777" w:rsidR="00133265" w:rsidRPr="00A41FC0" w:rsidRDefault="00133265" w:rsidP="00133265">
      <w:pPr>
        <w:spacing w:line="360" w:lineRule="auto"/>
        <w:jc w:val="both"/>
        <w:rPr>
          <w:rFonts w:ascii="Arial" w:hAnsi="Arial" w:cs="Arial"/>
        </w:rPr>
      </w:pPr>
      <w:r w:rsidRPr="00A41FC0">
        <w:rPr>
          <w:rFonts w:ascii="Arial" w:hAnsi="Arial" w:cs="Arial"/>
        </w:rPr>
        <w:t xml:space="preserve">BBC (2023) </w:t>
      </w:r>
      <w:r w:rsidRPr="00A41FC0">
        <w:rPr>
          <w:rFonts w:ascii="Arial" w:hAnsi="Arial" w:cs="Arial"/>
          <w:i/>
          <w:iCs/>
        </w:rPr>
        <w:t>Japan population: One in 10 people now aged 80 or older.</w:t>
      </w:r>
      <w:r w:rsidRPr="00A41FC0">
        <w:rPr>
          <w:rFonts w:ascii="Arial" w:hAnsi="Arial" w:cs="Arial"/>
        </w:rPr>
        <w:t xml:space="preserve"> Available at: </w:t>
      </w:r>
      <w:hyperlink r:id="rId11" w:history="1">
        <w:r w:rsidRPr="00A41FC0">
          <w:rPr>
            <w:rStyle w:val="Hyperlink"/>
            <w:rFonts w:ascii="Arial" w:hAnsi="Arial" w:cs="Arial"/>
          </w:rPr>
          <w:t>https://www.bbc.co.uk/news/world-asia-66850943</w:t>
        </w:r>
      </w:hyperlink>
      <w:r w:rsidRPr="00A41FC0">
        <w:rPr>
          <w:rFonts w:ascii="Arial" w:hAnsi="Arial" w:cs="Arial"/>
        </w:rPr>
        <w:t xml:space="preserve"> (Accessed: 20 April 2024). </w:t>
      </w:r>
    </w:p>
    <w:p w14:paraId="4CC84FDF" w14:textId="77777777" w:rsidR="00F07FCE" w:rsidRDefault="00F07FCE" w:rsidP="00F07FCE">
      <w:pPr>
        <w:spacing w:line="360" w:lineRule="auto"/>
        <w:jc w:val="both"/>
        <w:rPr>
          <w:rFonts w:ascii="Arial" w:hAnsi="Arial" w:cs="Arial"/>
        </w:rPr>
      </w:pPr>
      <w:r>
        <w:rPr>
          <w:rFonts w:ascii="Arial" w:hAnsi="Arial" w:cs="Arial"/>
        </w:rPr>
        <w:t xml:space="preserve">Care Quality Commission (2022) </w:t>
      </w:r>
      <w:r w:rsidRPr="002774B0">
        <w:rPr>
          <w:rFonts w:ascii="Arial" w:hAnsi="Arial" w:cs="Arial"/>
          <w:i/>
          <w:iCs/>
        </w:rPr>
        <w:t>The Care Act and the ‘easements’ to it.</w:t>
      </w:r>
      <w:r>
        <w:rPr>
          <w:rFonts w:ascii="Arial" w:hAnsi="Arial" w:cs="Arial"/>
          <w:i/>
          <w:iCs/>
        </w:rPr>
        <w:t xml:space="preserve"> </w:t>
      </w:r>
      <w:r>
        <w:rPr>
          <w:rFonts w:ascii="Arial" w:hAnsi="Arial" w:cs="Arial"/>
        </w:rPr>
        <w:t>Available at:</w:t>
      </w:r>
      <w:r w:rsidRPr="00C66507">
        <w:t xml:space="preserve"> </w:t>
      </w:r>
      <w:hyperlink r:id="rId12" w:history="1">
        <w:r w:rsidRPr="003B31EF">
          <w:rPr>
            <w:rStyle w:val="Hyperlink"/>
            <w:rFonts w:ascii="Arial" w:hAnsi="Arial" w:cs="Arial"/>
          </w:rPr>
          <w:t>https://www.cqc.org.uk/guidance-providers/adult-social-care/care-act-easements-it#:~:text=The%20Care%20Act%202014%20is,the%20impact%20of%20their%20needs</w:t>
        </w:r>
      </w:hyperlink>
      <w:r>
        <w:rPr>
          <w:rFonts w:ascii="Arial" w:hAnsi="Arial" w:cs="Arial"/>
        </w:rPr>
        <w:t xml:space="preserve"> (Accessed: 20 April). </w:t>
      </w:r>
    </w:p>
    <w:p w14:paraId="211DAFA1" w14:textId="77777777" w:rsidR="00DB07E2" w:rsidRDefault="00133265" w:rsidP="00DB07E2">
      <w:pPr>
        <w:spacing w:line="360" w:lineRule="auto"/>
        <w:jc w:val="both"/>
        <w:rPr>
          <w:rFonts w:ascii="Arial" w:hAnsi="Arial" w:cs="Arial"/>
        </w:rPr>
      </w:pPr>
      <w:proofErr w:type="spellStart"/>
      <w:r w:rsidRPr="00A41FC0">
        <w:rPr>
          <w:rFonts w:ascii="Arial" w:hAnsi="Arial" w:cs="Arial"/>
        </w:rPr>
        <w:t>Centers</w:t>
      </w:r>
      <w:proofErr w:type="spellEnd"/>
      <w:r w:rsidRPr="00A41FC0">
        <w:rPr>
          <w:rFonts w:ascii="Arial" w:hAnsi="Arial" w:cs="Arial"/>
        </w:rPr>
        <w:t xml:space="preserve"> For Disease Control and Prevention (2021) </w:t>
      </w:r>
      <w:r w:rsidRPr="00A41FC0">
        <w:rPr>
          <w:rFonts w:ascii="Arial" w:hAnsi="Arial" w:cs="Arial"/>
          <w:i/>
          <w:iCs/>
        </w:rPr>
        <w:t xml:space="preserve">Loneliness and Social Isolation Linked to Serious Health Conditions. </w:t>
      </w:r>
      <w:r w:rsidRPr="00A41FC0">
        <w:rPr>
          <w:rFonts w:ascii="Arial" w:hAnsi="Arial" w:cs="Arial"/>
        </w:rPr>
        <w:t xml:space="preserve">Available at: </w:t>
      </w:r>
      <w:hyperlink r:id="rId13" w:history="1">
        <w:r w:rsidRPr="00A41FC0">
          <w:rPr>
            <w:rStyle w:val="Hyperlink"/>
            <w:rFonts w:ascii="Arial" w:hAnsi="Arial" w:cs="Arial"/>
          </w:rPr>
          <w:t>https://www.cdc.gov/aging/publications/features/lonely-older-adults.html#:~:text=Older%20adults%20are%20at%20increased,the%20amount%20of%20social%20contact</w:t>
        </w:r>
      </w:hyperlink>
      <w:r w:rsidRPr="00A41FC0">
        <w:rPr>
          <w:rFonts w:ascii="Arial" w:hAnsi="Arial" w:cs="Arial"/>
        </w:rPr>
        <w:t xml:space="preserve"> (Accessed: 21 April 2024).  </w:t>
      </w:r>
    </w:p>
    <w:p w14:paraId="537DF2DD" w14:textId="41CAF5A1" w:rsidR="00935F9C" w:rsidRDefault="008E4A15" w:rsidP="00DB07E2">
      <w:pPr>
        <w:spacing w:line="360" w:lineRule="auto"/>
        <w:jc w:val="both"/>
        <w:rPr>
          <w:rFonts w:ascii="Arial" w:hAnsi="Arial" w:cs="Arial"/>
        </w:rPr>
      </w:pPr>
      <w:r>
        <w:rPr>
          <w:rFonts w:ascii="Arial" w:hAnsi="Arial" w:cs="Arial"/>
        </w:rPr>
        <w:t xml:space="preserve">Frontiers (2024) </w:t>
      </w:r>
      <w:r w:rsidR="00935F9C" w:rsidRPr="00216446">
        <w:rPr>
          <w:rFonts w:ascii="Arial" w:hAnsi="Arial" w:cs="Arial"/>
          <w:i/>
          <w:iCs/>
        </w:rPr>
        <w:t>Editorial: Long-term care for older people: A global perspective</w:t>
      </w:r>
      <w:r w:rsidR="00216446" w:rsidRPr="00216446">
        <w:rPr>
          <w:rFonts w:ascii="Arial" w:hAnsi="Arial" w:cs="Arial"/>
          <w:i/>
          <w:iCs/>
        </w:rPr>
        <w:t>.</w:t>
      </w:r>
      <w:r w:rsidR="00216446">
        <w:rPr>
          <w:rFonts w:ascii="Arial" w:hAnsi="Arial" w:cs="Arial"/>
          <w:i/>
          <w:iCs/>
        </w:rPr>
        <w:t xml:space="preserve"> </w:t>
      </w:r>
      <w:r w:rsidR="00216446">
        <w:rPr>
          <w:rFonts w:ascii="Arial" w:hAnsi="Arial" w:cs="Arial"/>
        </w:rPr>
        <w:t>Available at:</w:t>
      </w:r>
      <w:hyperlink r:id="rId14" w:history="1">
        <w:r w:rsidR="00216446" w:rsidRPr="003B31EF">
          <w:rPr>
            <w:rStyle w:val="Hyperlink"/>
            <w:rFonts w:ascii="Arial" w:hAnsi="Arial" w:cs="Arial"/>
          </w:rPr>
          <w:t>https://www.frontiersin.org/journals/public-health/articles/10.3389/fpubh.2023.1178397/full</w:t>
        </w:r>
      </w:hyperlink>
      <w:r w:rsidR="00935F9C">
        <w:rPr>
          <w:rFonts w:ascii="Arial" w:hAnsi="Arial" w:cs="Arial"/>
        </w:rPr>
        <w:t xml:space="preserve"> </w:t>
      </w:r>
      <w:r w:rsidR="00216446">
        <w:rPr>
          <w:rFonts w:ascii="Arial" w:hAnsi="Arial" w:cs="Arial"/>
        </w:rPr>
        <w:t>(Accessed: 2</w:t>
      </w:r>
      <w:r w:rsidR="00084F5C">
        <w:rPr>
          <w:rFonts w:ascii="Arial" w:hAnsi="Arial" w:cs="Arial"/>
        </w:rPr>
        <w:t xml:space="preserve">5 April 2024). </w:t>
      </w:r>
    </w:p>
    <w:p w14:paraId="1AC3F29E" w14:textId="588A3194" w:rsidR="00133265" w:rsidRDefault="00DB07E2" w:rsidP="00133265">
      <w:pPr>
        <w:spacing w:line="360" w:lineRule="auto"/>
        <w:jc w:val="both"/>
        <w:rPr>
          <w:rFonts w:ascii="Arial" w:hAnsi="Arial" w:cs="Arial"/>
        </w:rPr>
      </w:pPr>
      <w:r>
        <w:rPr>
          <w:rFonts w:ascii="Arial" w:hAnsi="Arial" w:cs="Arial"/>
        </w:rPr>
        <w:t xml:space="preserve">Gov.UK. (2023) </w:t>
      </w:r>
      <w:r w:rsidRPr="007C66CF">
        <w:rPr>
          <w:rFonts w:ascii="Arial" w:hAnsi="Arial" w:cs="Arial"/>
          <w:i/>
          <w:iCs/>
        </w:rPr>
        <w:t>Government’s work on tackling loneliness.</w:t>
      </w:r>
      <w:r>
        <w:rPr>
          <w:rFonts w:ascii="Arial" w:hAnsi="Arial" w:cs="Arial"/>
        </w:rPr>
        <w:t xml:space="preserve"> Available at: </w:t>
      </w:r>
      <w:hyperlink r:id="rId15" w:history="1">
        <w:r w:rsidRPr="003B31EF">
          <w:rPr>
            <w:rStyle w:val="Hyperlink"/>
            <w:rFonts w:ascii="Arial" w:hAnsi="Arial" w:cs="Arial"/>
          </w:rPr>
          <w:t>https://www.gov.uk/guidance/governments-work-on-tackling-loneliness</w:t>
        </w:r>
      </w:hyperlink>
      <w:r>
        <w:rPr>
          <w:rFonts w:ascii="Arial" w:hAnsi="Arial" w:cs="Arial"/>
        </w:rPr>
        <w:t xml:space="preserve"> (Accessed: 23 April 2024). </w:t>
      </w:r>
    </w:p>
    <w:p w14:paraId="2F554247" w14:textId="457DAF6B" w:rsidR="00F07FCE" w:rsidRDefault="00DB07E2" w:rsidP="00133265">
      <w:pPr>
        <w:spacing w:line="360" w:lineRule="auto"/>
        <w:jc w:val="both"/>
        <w:rPr>
          <w:rFonts w:ascii="Arial" w:hAnsi="Arial" w:cs="Arial"/>
        </w:rPr>
      </w:pPr>
      <w:r>
        <w:rPr>
          <w:rFonts w:ascii="Arial" w:hAnsi="Arial" w:cs="Arial"/>
        </w:rPr>
        <w:t>Heylen, L. (2010) ‘</w:t>
      </w:r>
      <w:r w:rsidRPr="005C36D0">
        <w:rPr>
          <w:rFonts w:ascii="Arial" w:hAnsi="Arial" w:cs="Arial"/>
        </w:rPr>
        <w:t>The older the lonelier? Risk factors for social loneliness in old age</w:t>
      </w:r>
      <w:r>
        <w:rPr>
          <w:rFonts w:ascii="Arial" w:hAnsi="Arial" w:cs="Arial"/>
        </w:rPr>
        <w:t xml:space="preserve">’, </w:t>
      </w:r>
      <w:r w:rsidRPr="008767C4">
        <w:rPr>
          <w:rFonts w:ascii="Arial" w:hAnsi="Arial" w:cs="Arial"/>
          <w:i/>
          <w:iCs/>
        </w:rPr>
        <w:t>Cambridge Journals,</w:t>
      </w:r>
      <w:r>
        <w:rPr>
          <w:rFonts w:ascii="Arial" w:hAnsi="Arial" w:cs="Arial"/>
        </w:rPr>
        <w:t xml:space="preserve"> 30(7), pp. 1469-1779. </w:t>
      </w:r>
    </w:p>
    <w:p w14:paraId="12E210DF" w14:textId="77777777" w:rsidR="00E843C4" w:rsidRDefault="00E843C4" w:rsidP="00E843C4">
      <w:pPr>
        <w:spacing w:line="360" w:lineRule="auto"/>
        <w:jc w:val="both"/>
        <w:rPr>
          <w:rFonts w:ascii="Arial" w:hAnsi="Arial" w:cs="Arial"/>
        </w:rPr>
      </w:pPr>
      <w:r>
        <w:rPr>
          <w:rFonts w:ascii="Arial" w:hAnsi="Arial" w:cs="Arial"/>
        </w:rPr>
        <w:t xml:space="preserve">Jarvis, H. (2022) </w:t>
      </w:r>
      <w:r w:rsidRPr="00700821">
        <w:rPr>
          <w:rFonts w:ascii="Arial" w:hAnsi="Arial" w:cs="Arial"/>
          <w:i/>
          <w:iCs/>
        </w:rPr>
        <w:t>£1.1m minority report on loneliness in ageing.</w:t>
      </w:r>
      <w:r>
        <w:rPr>
          <w:rFonts w:ascii="Arial" w:hAnsi="Arial" w:cs="Arial"/>
          <w:i/>
          <w:iCs/>
        </w:rPr>
        <w:t xml:space="preserve"> </w:t>
      </w:r>
      <w:r>
        <w:rPr>
          <w:rFonts w:ascii="Arial" w:hAnsi="Arial" w:cs="Arial"/>
        </w:rPr>
        <w:t xml:space="preserve">Available at: </w:t>
      </w:r>
      <w:hyperlink r:id="rId16" w:history="1">
        <w:r w:rsidRPr="003B31EF">
          <w:rPr>
            <w:rStyle w:val="Hyperlink"/>
            <w:rFonts w:ascii="Arial" w:hAnsi="Arial" w:cs="Arial"/>
          </w:rPr>
          <w:t>https://www.brunel.ac.uk/news-and-events/news/articles/1.1m-inority-report-on-loneliness-in-ageing</w:t>
        </w:r>
      </w:hyperlink>
      <w:r>
        <w:rPr>
          <w:rFonts w:ascii="Arial" w:hAnsi="Arial" w:cs="Arial"/>
        </w:rPr>
        <w:t xml:space="preserve"> (Accessed: 23 April 2024). </w:t>
      </w:r>
    </w:p>
    <w:p w14:paraId="3301F3BD" w14:textId="6D333E79" w:rsidR="0060303D" w:rsidRPr="00A41FC0" w:rsidRDefault="0060303D" w:rsidP="00A41FC0">
      <w:pPr>
        <w:spacing w:line="360" w:lineRule="auto"/>
        <w:jc w:val="both"/>
        <w:rPr>
          <w:rFonts w:ascii="Arial" w:hAnsi="Arial" w:cs="Arial"/>
        </w:rPr>
      </w:pPr>
      <w:r w:rsidRPr="00A41FC0">
        <w:rPr>
          <w:rFonts w:ascii="Arial" w:hAnsi="Arial" w:cs="Arial"/>
        </w:rPr>
        <w:t>J</w:t>
      </w:r>
      <w:r w:rsidR="0060145A" w:rsidRPr="00A41FC0">
        <w:rPr>
          <w:rFonts w:ascii="Arial" w:hAnsi="Arial" w:cs="Arial"/>
        </w:rPr>
        <w:t>apan Nihon (2024)</w:t>
      </w:r>
      <w:r w:rsidR="00D45287" w:rsidRPr="00A41FC0">
        <w:rPr>
          <w:rFonts w:ascii="Arial" w:hAnsi="Arial" w:cs="Arial"/>
        </w:rPr>
        <w:t xml:space="preserve"> </w:t>
      </w:r>
      <w:r w:rsidR="00D45287" w:rsidRPr="00A41FC0">
        <w:rPr>
          <w:rFonts w:ascii="Arial" w:hAnsi="Arial" w:cs="Arial"/>
          <w:i/>
          <w:iCs/>
        </w:rPr>
        <w:t>What age is considered old in Japan?</w:t>
      </w:r>
      <w:r w:rsidR="00D45287" w:rsidRPr="00A41FC0">
        <w:rPr>
          <w:rFonts w:ascii="Arial" w:hAnsi="Arial" w:cs="Arial"/>
        </w:rPr>
        <w:t xml:space="preserve"> Available at: </w:t>
      </w:r>
      <w:hyperlink r:id="rId17" w:history="1">
        <w:r w:rsidR="00755901" w:rsidRPr="00A41FC0">
          <w:rPr>
            <w:rStyle w:val="Hyperlink"/>
            <w:rFonts w:ascii="Arial" w:hAnsi="Arial" w:cs="Arial"/>
          </w:rPr>
          <w:t>https://www.japannihon.com/what-age-is-considered-old-in-japan/</w:t>
        </w:r>
      </w:hyperlink>
      <w:r w:rsidR="00755901" w:rsidRPr="00A41FC0">
        <w:rPr>
          <w:rFonts w:ascii="Arial" w:hAnsi="Arial" w:cs="Arial"/>
        </w:rPr>
        <w:t xml:space="preserve"> (Accessed: 14 April 2024). </w:t>
      </w:r>
    </w:p>
    <w:p w14:paraId="30B8B931" w14:textId="47963D40" w:rsidR="00A82003" w:rsidRDefault="00A82003" w:rsidP="00A41FC0">
      <w:pPr>
        <w:spacing w:line="360" w:lineRule="auto"/>
        <w:jc w:val="both"/>
        <w:rPr>
          <w:rFonts w:ascii="Arial" w:hAnsi="Arial" w:cs="Arial"/>
        </w:rPr>
      </w:pPr>
      <w:r w:rsidRPr="00A82003">
        <w:rPr>
          <w:rFonts w:ascii="Arial" w:hAnsi="Arial" w:cs="Arial"/>
        </w:rPr>
        <w:t>Johansson-Pajala</w:t>
      </w:r>
      <w:r>
        <w:rPr>
          <w:rFonts w:ascii="Arial" w:hAnsi="Arial" w:cs="Arial"/>
        </w:rPr>
        <w:t xml:space="preserve">, R. </w:t>
      </w:r>
      <w:r w:rsidR="00F86EF0">
        <w:rPr>
          <w:rFonts w:ascii="Arial" w:hAnsi="Arial" w:cs="Arial"/>
        </w:rPr>
        <w:t xml:space="preserve">et al. (2022) </w:t>
      </w:r>
      <w:r w:rsidR="00DF34E6">
        <w:rPr>
          <w:rFonts w:ascii="Arial" w:hAnsi="Arial" w:cs="Arial"/>
        </w:rPr>
        <w:t>‘</w:t>
      </w:r>
      <w:r w:rsidR="00DF34E6" w:rsidRPr="00DF34E6">
        <w:rPr>
          <w:rFonts w:ascii="Arial" w:hAnsi="Arial" w:cs="Arial"/>
        </w:rPr>
        <w:t>Anxiety and loneliness among older people living in residential care facilities or receiving home care services in Sweden during the COVID-19 pandemic: a national cross-sectional study</w:t>
      </w:r>
      <w:r w:rsidR="007616DB">
        <w:rPr>
          <w:rFonts w:ascii="Arial" w:hAnsi="Arial" w:cs="Arial"/>
        </w:rPr>
        <w:t xml:space="preserve">’, </w:t>
      </w:r>
      <w:r w:rsidR="0042616A" w:rsidRPr="0042616A">
        <w:rPr>
          <w:rFonts w:ascii="Arial" w:hAnsi="Arial" w:cs="Arial"/>
          <w:i/>
          <w:iCs/>
        </w:rPr>
        <w:t>BMC Geriatrics</w:t>
      </w:r>
      <w:r w:rsidR="0042616A">
        <w:rPr>
          <w:rFonts w:ascii="Arial" w:hAnsi="Arial" w:cs="Arial"/>
        </w:rPr>
        <w:t xml:space="preserve">, </w:t>
      </w:r>
      <w:r w:rsidR="00A9648B">
        <w:rPr>
          <w:rFonts w:ascii="Arial" w:hAnsi="Arial" w:cs="Arial"/>
        </w:rPr>
        <w:t>22(</w:t>
      </w:r>
      <w:r w:rsidR="00FF15AA">
        <w:rPr>
          <w:rFonts w:ascii="Arial" w:hAnsi="Arial" w:cs="Arial"/>
        </w:rPr>
        <w:t xml:space="preserve">927), Available at: </w:t>
      </w:r>
      <w:hyperlink r:id="rId18" w:history="1">
        <w:r w:rsidR="00FF15AA" w:rsidRPr="003B31EF">
          <w:rPr>
            <w:rStyle w:val="Hyperlink"/>
            <w:rFonts w:ascii="Arial" w:hAnsi="Arial" w:cs="Arial"/>
          </w:rPr>
          <w:t>https://bmcgeriatr.biomedcentral.com/articles/10.1186/s12877-022-03544-z#:~:text=Reported%20health-related%20effects%20of%20isolation%20or%20loneliness%20on,risk%20of%20suicide%20%5B%208%20%E2%88%92%2010%20%5D</w:t>
        </w:r>
      </w:hyperlink>
      <w:r w:rsidR="007D0091" w:rsidRPr="007D0091">
        <w:rPr>
          <w:rFonts w:ascii="Arial" w:hAnsi="Arial" w:cs="Arial"/>
        </w:rPr>
        <w:t>.</w:t>
      </w:r>
      <w:r w:rsidR="007D0091">
        <w:rPr>
          <w:rFonts w:ascii="Arial" w:hAnsi="Arial" w:cs="Arial"/>
        </w:rPr>
        <w:t xml:space="preserve"> </w:t>
      </w:r>
    </w:p>
    <w:p w14:paraId="67F95087" w14:textId="14C68FBE" w:rsidR="00486696" w:rsidRDefault="00486696" w:rsidP="00A41FC0">
      <w:pPr>
        <w:spacing w:line="360" w:lineRule="auto"/>
        <w:jc w:val="both"/>
        <w:rPr>
          <w:rFonts w:ascii="Arial" w:hAnsi="Arial" w:cs="Arial"/>
        </w:rPr>
      </w:pPr>
      <w:proofErr w:type="spellStart"/>
      <w:r>
        <w:rPr>
          <w:rFonts w:ascii="Arial" w:hAnsi="Arial" w:cs="Arial"/>
        </w:rPr>
        <w:t>Nidirect</w:t>
      </w:r>
      <w:proofErr w:type="spellEnd"/>
      <w:r>
        <w:rPr>
          <w:rFonts w:ascii="Arial" w:hAnsi="Arial" w:cs="Arial"/>
        </w:rPr>
        <w:t xml:space="preserve"> Government Services </w:t>
      </w:r>
      <w:r w:rsidR="001A696B">
        <w:rPr>
          <w:rFonts w:ascii="Arial" w:hAnsi="Arial" w:cs="Arial"/>
        </w:rPr>
        <w:t>(</w:t>
      </w:r>
      <w:r w:rsidR="00133265">
        <w:rPr>
          <w:rFonts w:ascii="Arial" w:hAnsi="Arial" w:cs="Arial"/>
        </w:rPr>
        <w:t xml:space="preserve">2022) </w:t>
      </w:r>
      <w:r w:rsidR="00133265" w:rsidRPr="00133265">
        <w:rPr>
          <w:rFonts w:ascii="Arial" w:hAnsi="Arial" w:cs="Arial"/>
          <w:i/>
          <w:iCs/>
        </w:rPr>
        <w:t>Staying</w:t>
      </w:r>
      <w:r w:rsidR="001A696B" w:rsidRPr="001A696B">
        <w:rPr>
          <w:rFonts w:ascii="Arial" w:hAnsi="Arial" w:cs="Arial"/>
          <w:i/>
          <w:iCs/>
        </w:rPr>
        <w:t xml:space="preserve"> mentally active</w:t>
      </w:r>
      <w:r w:rsidR="001A696B" w:rsidRPr="001A696B">
        <w:rPr>
          <w:rFonts w:ascii="Arial" w:hAnsi="Arial" w:cs="Arial"/>
          <w:i/>
          <w:iCs/>
        </w:rPr>
        <w:t>.</w:t>
      </w:r>
      <w:r w:rsidR="001A696B">
        <w:rPr>
          <w:rFonts w:ascii="Arial" w:hAnsi="Arial" w:cs="Arial"/>
        </w:rPr>
        <w:t xml:space="preserve"> Available at: </w:t>
      </w:r>
      <w:hyperlink r:id="rId19" w:history="1">
        <w:r w:rsidR="00CA294E" w:rsidRPr="003B31EF">
          <w:rPr>
            <w:rStyle w:val="Hyperlink"/>
            <w:rFonts w:ascii="Arial" w:hAnsi="Arial" w:cs="Arial"/>
          </w:rPr>
          <w:t>https://www.nidirect.gov.uk/articles/staying-mentally-active#:~:text=play%20mind%2Dstretching%20games%2C%20like,course%2C%20day%20or%20evening%20class</w:t>
        </w:r>
      </w:hyperlink>
      <w:r w:rsidR="00CA294E">
        <w:rPr>
          <w:rFonts w:ascii="Arial" w:hAnsi="Arial" w:cs="Arial"/>
        </w:rPr>
        <w:t xml:space="preserve"> (Accessed: 22 April 2024). </w:t>
      </w:r>
    </w:p>
    <w:p w14:paraId="0B7491AA" w14:textId="38B1C712" w:rsidR="004D1311" w:rsidRDefault="004D1311" w:rsidP="00A41FC0">
      <w:pPr>
        <w:spacing w:line="360" w:lineRule="auto"/>
        <w:jc w:val="both"/>
        <w:rPr>
          <w:rFonts w:ascii="Arial" w:hAnsi="Arial" w:cs="Arial"/>
        </w:rPr>
      </w:pPr>
      <w:hyperlink r:id="rId20" w:history="1">
        <w:r w:rsidRPr="003B31EF">
          <w:rPr>
            <w:rStyle w:val="Hyperlink"/>
            <w:rFonts w:ascii="Arial" w:hAnsi="Arial" w:cs="Arial"/>
          </w:rPr>
          <w:t>https://www.ageuk.org.uk/globalassets/age-uk/documents/reports-and-publications/later_life_uk_factsheet.pdf?dtrk=true#:~:text=Wherever%20possible%2C%20this%20factsheet%20focuses%20upon%20the%20older,%E2%80%9Colder%E2%80%9D%20refers%20to%20persons%20aged%2065%20and%20above</w:t>
        </w:r>
      </w:hyperlink>
      <w:r w:rsidRPr="004D1311">
        <w:rPr>
          <w:rFonts w:ascii="Arial" w:hAnsi="Arial" w:cs="Arial"/>
        </w:rPr>
        <w:t>.</w:t>
      </w:r>
      <w:r>
        <w:rPr>
          <w:rFonts w:ascii="Arial" w:hAnsi="Arial" w:cs="Arial"/>
        </w:rPr>
        <w:t xml:space="preserve"> </w:t>
      </w:r>
    </w:p>
    <w:p w14:paraId="6807303B" w14:textId="77777777" w:rsidR="00133265" w:rsidRPr="002A78A9" w:rsidRDefault="00133265">
      <w:pPr>
        <w:spacing w:line="360" w:lineRule="auto"/>
        <w:jc w:val="both"/>
        <w:rPr>
          <w:rFonts w:ascii="Arial" w:hAnsi="Arial" w:cs="Arial"/>
        </w:rPr>
      </w:pPr>
    </w:p>
    <w:sectPr w:rsidR="00133265" w:rsidRPr="002A78A9" w:rsidSect="00CD3C5A">
      <w:footerReference w:type="default" r:id="rId21"/>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D0E72" w14:textId="77777777" w:rsidR="00CD3C5A" w:rsidRDefault="00CD3C5A" w:rsidP="00CD3C5A">
      <w:pPr>
        <w:spacing w:after="0" w:line="240" w:lineRule="auto"/>
      </w:pPr>
      <w:r>
        <w:separator/>
      </w:r>
    </w:p>
  </w:endnote>
  <w:endnote w:type="continuationSeparator" w:id="0">
    <w:p w14:paraId="5785C972" w14:textId="77777777" w:rsidR="00CD3C5A" w:rsidRDefault="00CD3C5A" w:rsidP="00CD3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779625"/>
      <w:docPartObj>
        <w:docPartGallery w:val="Page Numbers (Bottom of Page)"/>
        <w:docPartUnique/>
      </w:docPartObj>
    </w:sdtPr>
    <w:sdtEndPr>
      <w:rPr>
        <w:noProof/>
      </w:rPr>
    </w:sdtEndPr>
    <w:sdtContent>
      <w:p w14:paraId="5D896885" w14:textId="5217A0C3" w:rsidR="00CD3C5A" w:rsidRDefault="00CD3C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C4FC56" w14:textId="77777777" w:rsidR="00CD3C5A" w:rsidRDefault="00CD3C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D572C" w14:textId="77777777" w:rsidR="00CD3C5A" w:rsidRDefault="00CD3C5A" w:rsidP="00CD3C5A">
      <w:pPr>
        <w:spacing w:after="0" w:line="240" w:lineRule="auto"/>
      </w:pPr>
      <w:r>
        <w:separator/>
      </w:r>
    </w:p>
  </w:footnote>
  <w:footnote w:type="continuationSeparator" w:id="0">
    <w:p w14:paraId="12DF1401" w14:textId="77777777" w:rsidR="00CD3C5A" w:rsidRDefault="00CD3C5A" w:rsidP="00CD3C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01EEA"/>
    <w:multiLevelType w:val="hybridMultilevel"/>
    <w:tmpl w:val="2E60A3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1C0CD7"/>
    <w:multiLevelType w:val="hybridMultilevel"/>
    <w:tmpl w:val="7C46FC3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22852657">
    <w:abstractNumId w:val="0"/>
  </w:num>
  <w:num w:numId="2" w16cid:durableId="1669459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ED3"/>
    <w:rsid w:val="00026A9A"/>
    <w:rsid w:val="0003308F"/>
    <w:rsid w:val="00035B91"/>
    <w:rsid w:val="000410EB"/>
    <w:rsid w:val="0005440A"/>
    <w:rsid w:val="00075338"/>
    <w:rsid w:val="00084F5C"/>
    <w:rsid w:val="00087967"/>
    <w:rsid w:val="00093877"/>
    <w:rsid w:val="000B592B"/>
    <w:rsid w:val="000B7B59"/>
    <w:rsid w:val="0010290F"/>
    <w:rsid w:val="001072CF"/>
    <w:rsid w:val="00116BBE"/>
    <w:rsid w:val="00133265"/>
    <w:rsid w:val="00151BDC"/>
    <w:rsid w:val="00160406"/>
    <w:rsid w:val="001619BA"/>
    <w:rsid w:val="0016242A"/>
    <w:rsid w:val="001724B0"/>
    <w:rsid w:val="001825A5"/>
    <w:rsid w:val="0018768B"/>
    <w:rsid w:val="0019774A"/>
    <w:rsid w:val="001A0C59"/>
    <w:rsid w:val="001A1E79"/>
    <w:rsid w:val="001A38BA"/>
    <w:rsid w:val="001A696B"/>
    <w:rsid w:val="001A749A"/>
    <w:rsid w:val="001D0517"/>
    <w:rsid w:val="001D304B"/>
    <w:rsid w:val="001E596F"/>
    <w:rsid w:val="001F7CDD"/>
    <w:rsid w:val="00201A73"/>
    <w:rsid w:val="00205946"/>
    <w:rsid w:val="00216446"/>
    <w:rsid w:val="00221161"/>
    <w:rsid w:val="0022597E"/>
    <w:rsid w:val="00232704"/>
    <w:rsid w:val="00243E19"/>
    <w:rsid w:val="00273BE5"/>
    <w:rsid w:val="002774B0"/>
    <w:rsid w:val="00294F20"/>
    <w:rsid w:val="00295882"/>
    <w:rsid w:val="002A78A9"/>
    <w:rsid w:val="002A7D6E"/>
    <w:rsid w:val="002D6AD2"/>
    <w:rsid w:val="002E7A86"/>
    <w:rsid w:val="00302ADB"/>
    <w:rsid w:val="00317DF7"/>
    <w:rsid w:val="00327937"/>
    <w:rsid w:val="00331F77"/>
    <w:rsid w:val="0034191D"/>
    <w:rsid w:val="00342DE4"/>
    <w:rsid w:val="003465A5"/>
    <w:rsid w:val="00353B47"/>
    <w:rsid w:val="00372AC7"/>
    <w:rsid w:val="0037302D"/>
    <w:rsid w:val="00393390"/>
    <w:rsid w:val="00395E88"/>
    <w:rsid w:val="003A7E63"/>
    <w:rsid w:val="003B0434"/>
    <w:rsid w:val="003C2948"/>
    <w:rsid w:val="003D5090"/>
    <w:rsid w:val="003D7630"/>
    <w:rsid w:val="003E3F47"/>
    <w:rsid w:val="003F6983"/>
    <w:rsid w:val="0041502D"/>
    <w:rsid w:val="00422A17"/>
    <w:rsid w:val="0042616A"/>
    <w:rsid w:val="0043788F"/>
    <w:rsid w:val="00440D3E"/>
    <w:rsid w:val="00444087"/>
    <w:rsid w:val="00456655"/>
    <w:rsid w:val="00463440"/>
    <w:rsid w:val="00464F36"/>
    <w:rsid w:val="00466151"/>
    <w:rsid w:val="00486696"/>
    <w:rsid w:val="00494F2A"/>
    <w:rsid w:val="004A4941"/>
    <w:rsid w:val="004C0E0A"/>
    <w:rsid w:val="004C413C"/>
    <w:rsid w:val="004C7AA8"/>
    <w:rsid w:val="004D1311"/>
    <w:rsid w:val="004D77C8"/>
    <w:rsid w:val="0050295E"/>
    <w:rsid w:val="00507E9C"/>
    <w:rsid w:val="0054269D"/>
    <w:rsid w:val="0055538A"/>
    <w:rsid w:val="00564012"/>
    <w:rsid w:val="0058430E"/>
    <w:rsid w:val="005A57D2"/>
    <w:rsid w:val="005B475F"/>
    <w:rsid w:val="005C36D0"/>
    <w:rsid w:val="005F16E8"/>
    <w:rsid w:val="005F6B66"/>
    <w:rsid w:val="0060145A"/>
    <w:rsid w:val="0060303D"/>
    <w:rsid w:val="006109FC"/>
    <w:rsid w:val="00613E07"/>
    <w:rsid w:val="006257F3"/>
    <w:rsid w:val="00630772"/>
    <w:rsid w:val="00632541"/>
    <w:rsid w:val="00655C1F"/>
    <w:rsid w:val="00675F65"/>
    <w:rsid w:val="00687F91"/>
    <w:rsid w:val="006B20BC"/>
    <w:rsid w:val="006B6F6B"/>
    <w:rsid w:val="006C0239"/>
    <w:rsid w:val="006E40C4"/>
    <w:rsid w:val="006E598B"/>
    <w:rsid w:val="006F0A2E"/>
    <w:rsid w:val="006F2ED3"/>
    <w:rsid w:val="006F377B"/>
    <w:rsid w:val="00700821"/>
    <w:rsid w:val="00700990"/>
    <w:rsid w:val="00713AB0"/>
    <w:rsid w:val="0071687D"/>
    <w:rsid w:val="00721977"/>
    <w:rsid w:val="007504DF"/>
    <w:rsid w:val="00751FF0"/>
    <w:rsid w:val="007524E0"/>
    <w:rsid w:val="00754F6C"/>
    <w:rsid w:val="00755901"/>
    <w:rsid w:val="007616DB"/>
    <w:rsid w:val="00783DE4"/>
    <w:rsid w:val="00785626"/>
    <w:rsid w:val="007A0256"/>
    <w:rsid w:val="007A73E4"/>
    <w:rsid w:val="007A78F2"/>
    <w:rsid w:val="007B40BA"/>
    <w:rsid w:val="007B78E4"/>
    <w:rsid w:val="007C2760"/>
    <w:rsid w:val="007C66CF"/>
    <w:rsid w:val="007D0091"/>
    <w:rsid w:val="007E5A92"/>
    <w:rsid w:val="0084659B"/>
    <w:rsid w:val="00866E2D"/>
    <w:rsid w:val="008767C4"/>
    <w:rsid w:val="008B1635"/>
    <w:rsid w:val="008C4113"/>
    <w:rsid w:val="008D2B94"/>
    <w:rsid w:val="008E4A15"/>
    <w:rsid w:val="008E6676"/>
    <w:rsid w:val="00914A58"/>
    <w:rsid w:val="009259AC"/>
    <w:rsid w:val="009276A6"/>
    <w:rsid w:val="00935F9C"/>
    <w:rsid w:val="009508D1"/>
    <w:rsid w:val="009631DE"/>
    <w:rsid w:val="00965CB3"/>
    <w:rsid w:val="00966929"/>
    <w:rsid w:val="0098038A"/>
    <w:rsid w:val="009816EF"/>
    <w:rsid w:val="0098344F"/>
    <w:rsid w:val="0098709F"/>
    <w:rsid w:val="00987C15"/>
    <w:rsid w:val="009A00D7"/>
    <w:rsid w:val="009A14AF"/>
    <w:rsid w:val="009C324A"/>
    <w:rsid w:val="009C36E5"/>
    <w:rsid w:val="009D7888"/>
    <w:rsid w:val="00A02CF6"/>
    <w:rsid w:val="00A377BF"/>
    <w:rsid w:val="00A41FC0"/>
    <w:rsid w:val="00A5219F"/>
    <w:rsid w:val="00A730A0"/>
    <w:rsid w:val="00A82003"/>
    <w:rsid w:val="00A9648B"/>
    <w:rsid w:val="00AC3096"/>
    <w:rsid w:val="00AC6BFC"/>
    <w:rsid w:val="00AD0DE6"/>
    <w:rsid w:val="00AE6FBF"/>
    <w:rsid w:val="00B03082"/>
    <w:rsid w:val="00B033CA"/>
    <w:rsid w:val="00B204CB"/>
    <w:rsid w:val="00B2086B"/>
    <w:rsid w:val="00B41020"/>
    <w:rsid w:val="00B4729B"/>
    <w:rsid w:val="00B507B6"/>
    <w:rsid w:val="00B52905"/>
    <w:rsid w:val="00B54181"/>
    <w:rsid w:val="00B706FE"/>
    <w:rsid w:val="00B717B8"/>
    <w:rsid w:val="00B734C6"/>
    <w:rsid w:val="00B76D11"/>
    <w:rsid w:val="00B8389D"/>
    <w:rsid w:val="00B84F69"/>
    <w:rsid w:val="00BA361B"/>
    <w:rsid w:val="00BA68EB"/>
    <w:rsid w:val="00BB34CC"/>
    <w:rsid w:val="00BC5B50"/>
    <w:rsid w:val="00BC6617"/>
    <w:rsid w:val="00BE4E17"/>
    <w:rsid w:val="00BE5175"/>
    <w:rsid w:val="00C0019C"/>
    <w:rsid w:val="00C029FE"/>
    <w:rsid w:val="00C06D07"/>
    <w:rsid w:val="00C15707"/>
    <w:rsid w:val="00C205FA"/>
    <w:rsid w:val="00C57CD7"/>
    <w:rsid w:val="00C66507"/>
    <w:rsid w:val="00C6799F"/>
    <w:rsid w:val="00C72182"/>
    <w:rsid w:val="00C72CBB"/>
    <w:rsid w:val="00C73756"/>
    <w:rsid w:val="00C738BD"/>
    <w:rsid w:val="00CA294E"/>
    <w:rsid w:val="00CA491A"/>
    <w:rsid w:val="00CB605E"/>
    <w:rsid w:val="00CD3C5A"/>
    <w:rsid w:val="00CD5593"/>
    <w:rsid w:val="00CF1B1E"/>
    <w:rsid w:val="00CF7A9B"/>
    <w:rsid w:val="00D12E1D"/>
    <w:rsid w:val="00D275B7"/>
    <w:rsid w:val="00D45287"/>
    <w:rsid w:val="00D61A8F"/>
    <w:rsid w:val="00D656F9"/>
    <w:rsid w:val="00D7215C"/>
    <w:rsid w:val="00D81317"/>
    <w:rsid w:val="00DA63FA"/>
    <w:rsid w:val="00DB07E2"/>
    <w:rsid w:val="00DB412A"/>
    <w:rsid w:val="00DB593C"/>
    <w:rsid w:val="00DD05B0"/>
    <w:rsid w:val="00DE781C"/>
    <w:rsid w:val="00DF03B6"/>
    <w:rsid w:val="00DF34E6"/>
    <w:rsid w:val="00E27F1B"/>
    <w:rsid w:val="00E64B49"/>
    <w:rsid w:val="00E65582"/>
    <w:rsid w:val="00E843C4"/>
    <w:rsid w:val="00E9053C"/>
    <w:rsid w:val="00E90AF3"/>
    <w:rsid w:val="00EA7F9D"/>
    <w:rsid w:val="00EB53FA"/>
    <w:rsid w:val="00EC16A2"/>
    <w:rsid w:val="00ED2E00"/>
    <w:rsid w:val="00EE61AC"/>
    <w:rsid w:val="00EE6683"/>
    <w:rsid w:val="00F0267B"/>
    <w:rsid w:val="00F07FCE"/>
    <w:rsid w:val="00F120D9"/>
    <w:rsid w:val="00F15746"/>
    <w:rsid w:val="00F16D33"/>
    <w:rsid w:val="00F22423"/>
    <w:rsid w:val="00F30505"/>
    <w:rsid w:val="00F3155C"/>
    <w:rsid w:val="00F31FE3"/>
    <w:rsid w:val="00F44A41"/>
    <w:rsid w:val="00F56064"/>
    <w:rsid w:val="00F60CCF"/>
    <w:rsid w:val="00F712F9"/>
    <w:rsid w:val="00F7273D"/>
    <w:rsid w:val="00F86EF0"/>
    <w:rsid w:val="00FC5C97"/>
    <w:rsid w:val="00FD18C6"/>
    <w:rsid w:val="00FD4667"/>
    <w:rsid w:val="00FF15AA"/>
    <w:rsid w:val="00FF5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9359BA0"/>
  <w15:chartTrackingRefBased/>
  <w15:docId w15:val="{9BC13982-4A66-41F2-95F2-F87AE60A7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E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2E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2E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2E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2E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2E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2E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2E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2E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E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2E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2E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2E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2E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2E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2E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2E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2ED3"/>
    <w:rPr>
      <w:rFonts w:eastAsiaTheme="majorEastAsia" w:cstheme="majorBidi"/>
      <w:color w:val="272727" w:themeColor="text1" w:themeTint="D8"/>
    </w:rPr>
  </w:style>
  <w:style w:type="paragraph" w:styleId="Title">
    <w:name w:val="Title"/>
    <w:basedOn w:val="Normal"/>
    <w:next w:val="Normal"/>
    <w:link w:val="TitleChar"/>
    <w:uiPriority w:val="10"/>
    <w:qFormat/>
    <w:rsid w:val="006F2E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2E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2E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2E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2ED3"/>
    <w:pPr>
      <w:spacing w:before="160"/>
      <w:jc w:val="center"/>
    </w:pPr>
    <w:rPr>
      <w:i/>
      <w:iCs/>
      <w:color w:val="404040" w:themeColor="text1" w:themeTint="BF"/>
    </w:rPr>
  </w:style>
  <w:style w:type="character" w:customStyle="1" w:styleId="QuoteChar">
    <w:name w:val="Quote Char"/>
    <w:basedOn w:val="DefaultParagraphFont"/>
    <w:link w:val="Quote"/>
    <w:uiPriority w:val="29"/>
    <w:rsid w:val="006F2ED3"/>
    <w:rPr>
      <w:i/>
      <w:iCs/>
      <w:color w:val="404040" w:themeColor="text1" w:themeTint="BF"/>
    </w:rPr>
  </w:style>
  <w:style w:type="paragraph" w:styleId="ListParagraph">
    <w:name w:val="List Paragraph"/>
    <w:basedOn w:val="Normal"/>
    <w:uiPriority w:val="34"/>
    <w:qFormat/>
    <w:rsid w:val="006F2ED3"/>
    <w:pPr>
      <w:ind w:left="720"/>
      <w:contextualSpacing/>
    </w:pPr>
  </w:style>
  <w:style w:type="character" w:styleId="IntenseEmphasis">
    <w:name w:val="Intense Emphasis"/>
    <w:basedOn w:val="DefaultParagraphFont"/>
    <w:uiPriority w:val="21"/>
    <w:qFormat/>
    <w:rsid w:val="006F2ED3"/>
    <w:rPr>
      <w:i/>
      <w:iCs/>
      <w:color w:val="0F4761" w:themeColor="accent1" w:themeShade="BF"/>
    </w:rPr>
  </w:style>
  <w:style w:type="paragraph" w:styleId="IntenseQuote">
    <w:name w:val="Intense Quote"/>
    <w:basedOn w:val="Normal"/>
    <w:next w:val="Normal"/>
    <w:link w:val="IntenseQuoteChar"/>
    <w:uiPriority w:val="30"/>
    <w:qFormat/>
    <w:rsid w:val="006F2E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2ED3"/>
    <w:rPr>
      <w:i/>
      <w:iCs/>
      <w:color w:val="0F4761" w:themeColor="accent1" w:themeShade="BF"/>
    </w:rPr>
  </w:style>
  <w:style w:type="character" w:styleId="IntenseReference">
    <w:name w:val="Intense Reference"/>
    <w:basedOn w:val="DefaultParagraphFont"/>
    <w:uiPriority w:val="32"/>
    <w:qFormat/>
    <w:rsid w:val="006F2ED3"/>
    <w:rPr>
      <w:b/>
      <w:bCs/>
      <w:smallCaps/>
      <w:color w:val="0F4761" w:themeColor="accent1" w:themeShade="BF"/>
      <w:spacing w:val="5"/>
    </w:rPr>
  </w:style>
  <w:style w:type="character" w:styleId="Hyperlink">
    <w:name w:val="Hyperlink"/>
    <w:basedOn w:val="DefaultParagraphFont"/>
    <w:uiPriority w:val="99"/>
    <w:unhideWhenUsed/>
    <w:rsid w:val="00B2086B"/>
    <w:rPr>
      <w:color w:val="467886" w:themeColor="hyperlink"/>
      <w:u w:val="single"/>
    </w:rPr>
  </w:style>
  <w:style w:type="character" w:styleId="UnresolvedMention">
    <w:name w:val="Unresolved Mention"/>
    <w:basedOn w:val="DefaultParagraphFont"/>
    <w:uiPriority w:val="99"/>
    <w:semiHidden/>
    <w:unhideWhenUsed/>
    <w:rsid w:val="00B2086B"/>
    <w:rPr>
      <w:color w:val="605E5C"/>
      <w:shd w:val="clear" w:color="auto" w:fill="E1DFDD"/>
    </w:rPr>
  </w:style>
  <w:style w:type="paragraph" w:styleId="Header">
    <w:name w:val="header"/>
    <w:basedOn w:val="Normal"/>
    <w:link w:val="HeaderChar"/>
    <w:uiPriority w:val="99"/>
    <w:unhideWhenUsed/>
    <w:rsid w:val="00CD3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C5A"/>
  </w:style>
  <w:style w:type="paragraph" w:styleId="Footer">
    <w:name w:val="footer"/>
    <w:basedOn w:val="Normal"/>
    <w:link w:val="FooterChar"/>
    <w:uiPriority w:val="99"/>
    <w:unhideWhenUsed/>
    <w:rsid w:val="00CD3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C5A"/>
  </w:style>
  <w:style w:type="character" w:styleId="FollowedHyperlink">
    <w:name w:val="FollowedHyperlink"/>
    <w:basedOn w:val="DefaultParagraphFont"/>
    <w:uiPriority w:val="99"/>
    <w:semiHidden/>
    <w:unhideWhenUsed/>
    <w:rsid w:val="00DF34E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mobility.co.uk/mobility-news/article/ageing-and-older-population-uk-statistics-for-2022" TargetMode="External"/><Relationship Id="rId13" Type="http://schemas.openxmlformats.org/officeDocument/2006/relationships/hyperlink" Target="https://www.cdc.gov/aging/publications/features/lonely-older-adults.html#:~:text=Older%20adults%20are%20at%20increased,the%20amount%20of%20social%20contact" TargetMode="External"/><Relationship Id="rId18" Type="http://schemas.openxmlformats.org/officeDocument/2006/relationships/hyperlink" Target="https://bmcgeriatr.biomedcentral.com/articles/10.1186/s12877-022-03544-z#:~:text=Reported%20health-related%20effects%20of%20isolation%20or%20loneliness%20on,risk%20of%20suicide%20%5B%208%20%E2%88%92%2010%20%5D"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cqc.org.uk/guidance-providers/adult-social-care/care-act-easements-it#:~:text=The%20Care%20Act%202014%20is,the%20impact%20of%20their%20needs" TargetMode="External"/><Relationship Id="rId17" Type="http://schemas.openxmlformats.org/officeDocument/2006/relationships/hyperlink" Target="https://www.japannihon.com/what-age-is-considered-old-in-japan/" TargetMode="External"/><Relationship Id="rId2" Type="http://schemas.openxmlformats.org/officeDocument/2006/relationships/styles" Target="styles.xml"/><Relationship Id="rId16" Type="http://schemas.openxmlformats.org/officeDocument/2006/relationships/hyperlink" Target="https://www.brunel.ac.uk/news-and-events/news/articles/1.1m-inority-report-on-loneliness-in-ageing" TargetMode="External"/><Relationship Id="rId20" Type="http://schemas.openxmlformats.org/officeDocument/2006/relationships/hyperlink" Target="https://www.ageuk.org.uk/globalassets/age-uk/documents/reports-and-publications/later_life_uk_factsheet.pdf?dtrk=true#:~:text=Wherever%20possible%2C%20this%20factsheet%20focuses%20upon%20the%20older,%E2%80%9Colder%E2%80%9D%20refers%20to%20persons%20aged%2065%20and%20abov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world-asia-66850943" TargetMode="External"/><Relationship Id="rId5" Type="http://schemas.openxmlformats.org/officeDocument/2006/relationships/footnotes" Target="footnotes.xml"/><Relationship Id="rId15" Type="http://schemas.openxmlformats.org/officeDocument/2006/relationships/hyperlink" Target="https://www.gov.uk/guidance/governments-work-on-tackling-loneliness" TargetMode="External"/><Relationship Id="rId23" Type="http://schemas.openxmlformats.org/officeDocument/2006/relationships/theme" Target="theme/theme1.xml"/><Relationship Id="rId10" Type="http://schemas.openxmlformats.org/officeDocument/2006/relationships/hyperlink" Target="https://www.ageuk.org.uk/globalassets/age-uk/documents/reports-and-publications/reports-and-briefings/health--wellbeing/age-uk-briefing-state-of-health-and-care-july-2023-abridged-version.pdf" TargetMode="External"/><Relationship Id="rId19" Type="http://schemas.openxmlformats.org/officeDocument/2006/relationships/hyperlink" Target="https://www.nidirect.gov.uk/articles/staying-mentally-active#:~:text=play%20mind%2Dstretching%20games%2C%20like,course%2C%20day%20or%20evening%20class" TargetMode="External"/><Relationship Id="rId4" Type="http://schemas.openxmlformats.org/officeDocument/2006/relationships/webSettings" Target="webSettings.xml"/><Relationship Id="rId9" Type="http://schemas.openxmlformats.org/officeDocument/2006/relationships/hyperlink" Target="https://www.ageuk.org.uk/globalassets/age-uk/documents/policy-positions/ageism-and-equalities/age-friendly-government-sept-23.pdf" TargetMode="External"/><Relationship Id="rId14" Type="http://schemas.openxmlformats.org/officeDocument/2006/relationships/hyperlink" Target="https://www.frontiersin.org/journals/public-health/articles/10.3389/fpubh.2023.1178397/ful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3672</Words>
  <Characters>20937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2024-04-25T17:30:00Z</dcterms:created>
  <dcterms:modified xsi:type="dcterms:W3CDTF">2024-04-25T17:30:00Z</dcterms:modified>
</cp:coreProperties>
</file>