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30715" w:rsidRPr="00930715" w:rsidRDefault="00930715" w:rsidP="00930715">
      <w:pPr>
        <w:jc w:val="center"/>
        <w:rPr>
          <w:b/>
          <w:sz w:val="72"/>
        </w:rPr>
      </w:pPr>
      <w:r w:rsidRPr="00930715">
        <w:rPr>
          <w:b/>
          <w:sz w:val="72"/>
        </w:rPr>
        <w:t>Accounting Fundamentals</w:t>
      </w:r>
    </w:p>
    <w:p w:rsidR="001A19D9" w:rsidRPr="00C573BD" w:rsidRDefault="00930715">
      <w:pPr>
        <w:spacing w:line="276" w:lineRule="auto"/>
        <w:jc w:val="left"/>
      </w:pPr>
      <w:r>
        <w:br w:type="page"/>
      </w:r>
    </w:p>
    <w:sdt>
      <w:sdtPr>
        <w:id w:val="26309647"/>
        <w:docPartObj>
          <w:docPartGallery w:val="Table of Contents"/>
          <w:docPartUnique/>
        </w:docPartObj>
      </w:sdtPr>
      <w:sdtEndPr>
        <w:rPr>
          <w:rFonts w:ascii="Times New Roman" w:eastAsiaTheme="minorEastAsia" w:hAnsi="Times New Roman" w:cstheme="minorBidi"/>
          <w:b w:val="0"/>
          <w:bCs w:val="0"/>
          <w:color w:val="auto"/>
          <w:sz w:val="24"/>
          <w:szCs w:val="22"/>
        </w:rPr>
      </w:sdtEndPr>
      <w:sdtContent>
        <w:p w:rsidR="001A19D9" w:rsidRDefault="001A19D9" w:rsidP="00C573BD">
          <w:pPr>
            <w:pStyle w:val="TOCHeading"/>
            <w:jc w:val="center"/>
          </w:pPr>
          <w:r w:rsidRPr="00C573BD">
            <w:rPr>
              <w:rFonts w:ascii="Times New Roman" w:hAnsi="Times New Roman" w:cs="Times New Roman"/>
              <w:color w:val="auto"/>
            </w:rPr>
            <w:t>Table of Contents</w:t>
          </w:r>
        </w:p>
        <w:p w:rsidR="001A19D9" w:rsidRDefault="001A19D9">
          <w:pPr>
            <w:pStyle w:val="TOC1"/>
            <w:tabs>
              <w:tab w:val="right" w:leader="dot" w:pos="9350"/>
            </w:tabs>
            <w:rPr>
              <w:noProof/>
            </w:rPr>
          </w:pPr>
          <w:r>
            <w:fldChar w:fldCharType="begin"/>
          </w:r>
          <w:r>
            <w:instrText xml:space="preserve"> TOC \o "1-3" \h \z \u </w:instrText>
          </w:r>
          <w:r>
            <w:fldChar w:fldCharType="separate"/>
          </w:r>
          <w:hyperlink w:anchor="_Toc80980443" w:history="1">
            <w:r w:rsidRPr="00BD2F54">
              <w:rPr>
                <w:rStyle w:val="Hyperlink"/>
                <w:noProof/>
              </w:rPr>
              <w:t>Question 1</w:t>
            </w:r>
            <w:r>
              <w:rPr>
                <w:noProof/>
                <w:webHidden/>
              </w:rPr>
              <w:tab/>
            </w:r>
            <w:r>
              <w:rPr>
                <w:noProof/>
                <w:webHidden/>
              </w:rPr>
              <w:fldChar w:fldCharType="begin"/>
            </w:r>
            <w:r>
              <w:rPr>
                <w:noProof/>
                <w:webHidden/>
              </w:rPr>
              <w:instrText xml:space="preserve"> PAGEREF _Toc80980443 \h </w:instrText>
            </w:r>
            <w:r>
              <w:rPr>
                <w:noProof/>
                <w:webHidden/>
              </w:rPr>
            </w:r>
            <w:r>
              <w:rPr>
                <w:noProof/>
                <w:webHidden/>
              </w:rPr>
              <w:fldChar w:fldCharType="separate"/>
            </w:r>
            <w:r>
              <w:rPr>
                <w:noProof/>
                <w:webHidden/>
              </w:rPr>
              <w:t>3</w:t>
            </w:r>
            <w:r>
              <w:rPr>
                <w:noProof/>
                <w:webHidden/>
              </w:rPr>
              <w:fldChar w:fldCharType="end"/>
            </w:r>
          </w:hyperlink>
        </w:p>
        <w:p w:rsidR="001A19D9" w:rsidRDefault="001A19D9">
          <w:pPr>
            <w:pStyle w:val="TOC2"/>
            <w:tabs>
              <w:tab w:val="right" w:leader="dot" w:pos="9350"/>
            </w:tabs>
            <w:rPr>
              <w:noProof/>
            </w:rPr>
          </w:pPr>
          <w:hyperlink w:anchor="_Toc80980444" w:history="1">
            <w:r w:rsidRPr="00BD2F54">
              <w:rPr>
                <w:rStyle w:val="Hyperlink"/>
                <w:noProof/>
              </w:rPr>
              <w:t>a) Prepare a Profit and Loss statement for the year ended 31st December 2020 for Kedison PLC and a statement of financial position as at that date</w:t>
            </w:r>
            <w:r>
              <w:rPr>
                <w:noProof/>
                <w:webHidden/>
              </w:rPr>
              <w:tab/>
            </w:r>
            <w:r>
              <w:rPr>
                <w:noProof/>
                <w:webHidden/>
              </w:rPr>
              <w:fldChar w:fldCharType="begin"/>
            </w:r>
            <w:r>
              <w:rPr>
                <w:noProof/>
                <w:webHidden/>
              </w:rPr>
              <w:instrText xml:space="preserve"> PAGEREF _Toc80980444 \h </w:instrText>
            </w:r>
            <w:r>
              <w:rPr>
                <w:noProof/>
                <w:webHidden/>
              </w:rPr>
            </w:r>
            <w:r>
              <w:rPr>
                <w:noProof/>
                <w:webHidden/>
              </w:rPr>
              <w:fldChar w:fldCharType="separate"/>
            </w:r>
            <w:r>
              <w:rPr>
                <w:noProof/>
                <w:webHidden/>
              </w:rPr>
              <w:t>3</w:t>
            </w:r>
            <w:r>
              <w:rPr>
                <w:noProof/>
                <w:webHidden/>
              </w:rPr>
              <w:fldChar w:fldCharType="end"/>
            </w:r>
          </w:hyperlink>
        </w:p>
        <w:p w:rsidR="001A19D9" w:rsidRDefault="001A19D9">
          <w:pPr>
            <w:pStyle w:val="TOC2"/>
            <w:tabs>
              <w:tab w:val="right" w:leader="dot" w:pos="9350"/>
            </w:tabs>
            <w:rPr>
              <w:noProof/>
            </w:rPr>
          </w:pPr>
          <w:hyperlink w:anchor="_Toc80980445" w:history="1">
            <w:r w:rsidRPr="00BD2F54">
              <w:rPr>
                <w:rStyle w:val="Hyperlink"/>
                <w:noProof/>
              </w:rPr>
              <w:t>b) Why does the statement of financial position balance?</w:t>
            </w:r>
            <w:r>
              <w:rPr>
                <w:noProof/>
                <w:webHidden/>
              </w:rPr>
              <w:tab/>
            </w:r>
            <w:r>
              <w:rPr>
                <w:noProof/>
                <w:webHidden/>
              </w:rPr>
              <w:fldChar w:fldCharType="begin"/>
            </w:r>
            <w:r>
              <w:rPr>
                <w:noProof/>
                <w:webHidden/>
              </w:rPr>
              <w:instrText xml:space="preserve"> PAGEREF _Toc80980445 \h </w:instrText>
            </w:r>
            <w:r>
              <w:rPr>
                <w:noProof/>
                <w:webHidden/>
              </w:rPr>
            </w:r>
            <w:r>
              <w:rPr>
                <w:noProof/>
                <w:webHidden/>
              </w:rPr>
              <w:fldChar w:fldCharType="separate"/>
            </w:r>
            <w:r>
              <w:rPr>
                <w:noProof/>
                <w:webHidden/>
              </w:rPr>
              <w:t>4</w:t>
            </w:r>
            <w:r>
              <w:rPr>
                <w:noProof/>
                <w:webHidden/>
              </w:rPr>
              <w:fldChar w:fldCharType="end"/>
            </w:r>
          </w:hyperlink>
        </w:p>
        <w:p w:rsidR="001A19D9" w:rsidRDefault="001A19D9">
          <w:pPr>
            <w:pStyle w:val="TOC1"/>
            <w:tabs>
              <w:tab w:val="right" w:leader="dot" w:pos="9350"/>
            </w:tabs>
            <w:rPr>
              <w:noProof/>
            </w:rPr>
          </w:pPr>
          <w:hyperlink w:anchor="_Toc80980446" w:history="1">
            <w:r w:rsidRPr="00BD2F54">
              <w:rPr>
                <w:rStyle w:val="Hyperlink"/>
                <w:noProof/>
              </w:rPr>
              <w:t>Question 2</w:t>
            </w:r>
            <w:r>
              <w:rPr>
                <w:noProof/>
                <w:webHidden/>
              </w:rPr>
              <w:tab/>
            </w:r>
            <w:r>
              <w:rPr>
                <w:noProof/>
                <w:webHidden/>
              </w:rPr>
              <w:fldChar w:fldCharType="begin"/>
            </w:r>
            <w:r>
              <w:rPr>
                <w:noProof/>
                <w:webHidden/>
              </w:rPr>
              <w:instrText xml:space="preserve"> PAGEREF _Toc80980446 \h </w:instrText>
            </w:r>
            <w:r>
              <w:rPr>
                <w:noProof/>
                <w:webHidden/>
              </w:rPr>
            </w:r>
            <w:r>
              <w:rPr>
                <w:noProof/>
                <w:webHidden/>
              </w:rPr>
              <w:fldChar w:fldCharType="separate"/>
            </w:r>
            <w:r>
              <w:rPr>
                <w:noProof/>
                <w:webHidden/>
              </w:rPr>
              <w:t>5</w:t>
            </w:r>
            <w:r>
              <w:rPr>
                <w:noProof/>
                <w:webHidden/>
              </w:rPr>
              <w:fldChar w:fldCharType="end"/>
            </w:r>
          </w:hyperlink>
        </w:p>
        <w:p w:rsidR="001A19D9" w:rsidRDefault="001A19D9">
          <w:pPr>
            <w:pStyle w:val="TOC2"/>
            <w:tabs>
              <w:tab w:val="right" w:leader="dot" w:pos="9350"/>
            </w:tabs>
            <w:rPr>
              <w:noProof/>
            </w:rPr>
          </w:pPr>
          <w:hyperlink w:anchor="_Toc80980447" w:history="1">
            <w:r w:rsidRPr="00BD2F54">
              <w:rPr>
                <w:rStyle w:val="Hyperlink"/>
                <w:noProof/>
              </w:rPr>
              <w:t>a)  Calculation of ratios for Chocco Plc for the year 2020 and 2019</w:t>
            </w:r>
            <w:r>
              <w:rPr>
                <w:noProof/>
                <w:webHidden/>
              </w:rPr>
              <w:tab/>
            </w:r>
            <w:r>
              <w:rPr>
                <w:noProof/>
                <w:webHidden/>
              </w:rPr>
              <w:fldChar w:fldCharType="begin"/>
            </w:r>
            <w:r>
              <w:rPr>
                <w:noProof/>
                <w:webHidden/>
              </w:rPr>
              <w:instrText xml:space="preserve"> PAGEREF _Toc80980447 \h </w:instrText>
            </w:r>
            <w:r>
              <w:rPr>
                <w:noProof/>
                <w:webHidden/>
              </w:rPr>
            </w:r>
            <w:r>
              <w:rPr>
                <w:noProof/>
                <w:webHidden/>
              </w:rPr>
              <w:fldChar w:fldCharType="separate"/>
            </w:r>
            <w:r>
              <w:rPr>
                <w:noProof/>
                <w:webHidden/>
              </w:rPr>
              <w:t>5</w:t>
            </w:r>
            <w:r>
              <w:rPr>
                <w:noProof/>
                <w:webHidden/>
              </w:rPr>
              <w:fldChar w:fldCharType="end"/>
            </w:r>
          </w:hyperlink>
        </w:p>
        <w:p w:rsidR="001A19D9" w:rsidRDefault="001A19D9">
          <w:pPr>
            <w:pStyle w:val="TOC2"/>
            <w:tabs>
              <w:tab w:val="right" w:leader="dot" w:pos="9350"/>
            </w:tabs>
            <w:rPr>
              <w:noProof/>
            </w:rPr>
          </w:pPr>
          <w:hyperlink w:anchor="_Toc80980448" w:history="1">
            <w:r w:rsidRPr="00BD2F54">
              <w:rPr>
                <w:rStyle w:val="Hyperlink"/>
                <w:noProof/>
              </w:rPr>
              <w:t>b) Interpretation on the financial performance and position of the Chocco plc</w:t>
            </w:r>
            <w:r>
              <w:rPr>
                <w:noProof/>
                <w:webHidden/>
              </w:rPr>
              <w:tab/>
            </w:r>
            <w:r>
              <w:rPr>
                <w:noProof/>
                <w:webHidden/>
              </w:rPr>
              <w:fldChar w:fldCharType="begin"/>
            </w:r>
            <w:r>
              <w:rPr>
                <w:noProof/>
                <w:webHidden/>
              </w:rPr>
              <w:instrText xml:space="preserve"> PAGEREF _Toc80980448 \h </w:instrText>
            </w:r>
            <w:r>
              <w:rPr>
                <w:noProof/>
                <w:webHidden/>
              </w:rPr>
            </w:r>
            <w:r>
              <w:rPr>
                <w:noProof/>
                <w:webHidden/>
              </w:rPr>
              <w:fldChar w:fldCharType="separate"/>
            </w:r>
            <w:r>
              <w:rPr>
                <w:noProof/>
                <w:webHidden/>
              </w:rPr>
              <w:t>6</w:t>
            </w:r>
            <w:r>
              <w:rPr>
                <w:noProof/>
                <w:webHidden/>
              </w:rPr>
              <w:fldChar w:fldCharType="end"/>
            </w:r>
          </w:hyperlink>
        </w:p>
        <w:p w:rsidR="001A19D9" w:rsidRDefault="001A19D9">
          <w:pPr>
            <w:pStyle w:val="TOC1"/>
            <w:tabs>
              <w:tab w:val="right" w:leader="dot" w:pos="9350"/>
            </w:tabs>
            <w:rPr>
              <w:noProof/>
            </w:rPr>
          </w:pPr>
          <w:hyperlink w:anchor="_Toc80980449" w:history="1">
            <w:r w:rsidRPr="00BD2F54">
              <w:rPr>
                <w:rStyle w:val="Hyperlink"/>
                <w:noProof/>
              </w:rPr>
              <w:t>Reference</w:t>
            </w:r>
            <w:r>
              <w:rPr>
                <w:noProof/>
                <w:webHidden/>
              </w:rPr>
              <w:tab/>
            </w:r>
            <w:r>
              <w:rPr>
                <w:noProof/>
                <w:webHidden/>
              </w:rPr>
              <w:fldChar w:fldCharType="begin"/>
            </w:r>
            <w:r>
              <w:rPr>
                <w:noProof/>
                <w:webHidden/>
              </w:rPr>
              <w:instrText xml:space="preserve"> PAGEREF _Toc80980449 \h </w:instrText>
            </w:r>
            <w:r>
              <w:rPr>
                <w:noProof/>
                <w:webHidden/>
              </w:rPr>
            </w:r>
            <w:r>
              <w:rPr>
                <w:noProof/>
                <w:webHidden/>
              </w:rPr>
              <w:fldChar w:fldCharType="separate"/>
            </w:r>
            <w:r>
              <w:rPr>
                <w:noProof/>
                <w:webHidden/>
              </w:rPr>
              <w:t>9</w:t>
            </w:r>
            <w:r>
              <w:rPr>
                <w:noProof/>
                <w:webHidden/>
              </w:rPr>
              <w:fldChar w:fldCharType="end"/>
            </w:r>
          </w:hyperlink>
        </w:p>
        <w:p w:rsidR="001A19D9" w:rsidRDefault="001A19D9">
          <w:r>
            <w:fldChar w:fldCharType="end"/>
          </w:r>
        </w:p>
      </w:sdtContent>
    </w:sdt>
    <w:p w:rsidR="001A19D9" w:rsidRDefault="001A19D9">
      <w:pPr>
        <w:spacing w:line="276" w:lineRule="auto"/>
        <w:jc w:val="left"/>
        <w:rPr>
          <w:rFonts w:eastAsiaTheme="majorEastAsia" w:cstheme="majorBidi"/>
          <w:b/>
          <w:bCs/>
          <w:szCs w:val="28"/>
        </w:rPr>
      </w:pPr>
    </w:p>
    <w:p w:rsidR="00450223" w:rsidRDefault="00450223">
      <w:pPr>
        <w:spacing w:line="276" w:lineRule="auto"/>
        <w:jc w:val="left"/>
        <w:rPr>
          <w:rFonts w:eastAsiaTheme="majorEastAsia" w:cstheme="majorBidi"/>
          <w:b/>
          <w:bCs/>
          <w:szCs w:val="28"/>
        </w:rPr>
      </w:pPr>
      <w:bookmarkStart w:id="0" w:name="_Toc80980443"/>
      <w:r>
        <w:br w:type="page"/>
      </w:r>
    </w:p>
    <w:p w:rsidR="00761062" w:rsidRDefault="00761062" w:rsidP="002E44BA">
      <w:pPr>
        <w:pStyle w:val="Heading1"/>
      </w:pPr>
      <w:r>
        <w:lastRenderedPageBreak/>
        <w:t>Question 1</w:t>
      </w:r>
      <w:bookmarkEnd w:id="0"/>
    </w:p>
    <w:p w:rsidR="00D75CCB" w:rsidRPr="00D75CCB" w:rsidRDefault="00D75CCB" w:rsidP="002E44BA">
      <w:pPr>
        <w:pStyle w:val="Heading2"/>
      </w:pPr>
      <w:bookmarkStart w:id="1" w:name="_Toc80980444"/>
      <w:r>
        <w:t xml:space="preserve">a) Prepare a Profit and Loss statement for the year ended 31st December 2020 for </w:t>
      </w:r>
      <w:proofErr w:type="spellStart"/>
      <w:r>
        <w:t>Kedison</w:t>
      </w:r>
      <w:proofErr w:type="spellEnd"/>
      <w:r>
        <w:t xml:space="preserve"> PLC and a statement of financial position as at that date</w:t>
      </w:r>
      <w:bookmarkEnd w:id="1"/>
    </w:p>
    <w:tbl>
      <w:tblPr>
        <w:tblW w:w="7500" w:type="dxa"/>
        <w:tblInd w:w="91" w:type="dxa"/>
        <w:tblLook w:val="04A0"/>
      </w:tblPr>
      <w:tblGrid>
        <w:gridCol w:w="3544"/>
        <w:gridCol w:w="1296"/>
        <w:gridCol w:w="1296"/>
        <w:gridCol w:w="1364"/>
      </w:tblGrid>
      <w:tr w:rsidR="00D75CCB" w:rsidRPr="00D75CCB" w:rsidTr="00D75CCB">
        <w:trPr>
          <w:trHeight w:val="300"/>
        </w:trPr>
        <w:tc>
          <w:tcPr>
            <w:tcW w:w="7500" w:type="dxa"/>
            <w:gridSpan w:val="4"/>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D75CCB" w:rsidRPr="00D75CCB" w:rsidRDefault="00D75CCB" w:rsidP="00D75CCB">
            <w:pPr>
              <w:spacing w:after="0" w:line="240" w:lineRule="auto"/>
              <w:jc w:val="center"/>
              <w:rPr>
                <w:rFonts w:eastAsia="Times New Roman" w:cs="Times New Roman"/>
                <w:b/>
                <w:bCs/>
                <w:color w:val="000000"/>
                <w:szCs w:val="24"/>
              </w:rPr>
            </w:pPr>
            <w:r w:rsidRPr="00D75CCB">
              <w:rPr>
                <w:rFonts w:eastAsia="Times New Roman" w:cs="Times New Roman"/>
                <w:b/>
                <w:bCs/>
                <w:color w:val="000000"/>
                <w:szCs w:val="24"/>
              </w:rPr>
              <w:t>Profit and Loss statement for the year ended 31st December 2020</w:t>
            </w:r>
          </w:p>
        </w:tc>
      </w:tr>
      <w:tr w:rsidR="00D75CCB" w:rsidRPr="00D75CCB" w:rsidTr="00D75CCB">
        <w:trPr>
          <w:trHeight w:val="315"/>
        </w:trPr>
        <w:tc>
          <w:tcPr>
            <w:tcW w:w="7500" w:type="dxa"/>
            <w:gridSpan w:val="4"/>
            <w:tcBorders>
              <w:top w:val="single" w:sz="4" w:space="0" w:color="auto"/>
              <w:left w:val="single" w:sz="8" w:space="0" w:color="auto"/>
              <w:bottom w:val="single" w:sz="8" w:space="0" w:color="auto"/>
              <w:right w:val="single" w:sz="8" w:space="0" w:color="000000"/>
            </w:tcBorders>
            <w:shd w:val="clear" w:color="auto" w:fill="auto"/>
            <w:noWrap/>
            <w:vAlign w:val="bottom"/>
            <w:hideMark/>
          </w:tcPr>
          <w:p w:rsidR="00D75CCB" w:rsidRPr="00D75CCB" w:rsidRDefault="00D75CCB" w:rsidP="00D75CCB">
            <w:pPr>
              <w:spacing w:after="0" w:line="240" w:lineRule="auto"/>
              <w:jc w:val="center"/>
              <w:rPr>
                <w:rFonts w:eastAsia="Times New Roman" w:cs="Times New Roman"/>
                <w:b/>
                <w:bCs/>
                <w:color w:val="000000"/>
                <w:szCs w:val="24"/>
              </w:rPr>
            </w:pPr>
            <w:r w:rsidRPr="00D75CCB">
              <w:rPr>
                <w:rFonts w:eastAsia="Times New Roman" w:cs="Times New Roman"/>
                <w:b/>
                <w:bCs/>
                <w:color w:val="000000"/>
                <w:szCs w:val="24"/>
              </w:rPr>
              <w:t xml:space="preserve">In the books of </w:t>
            </w:r>
            <w:proofErr w:type="spellStart"/>
            <w:r w:rsidRPr="00D75CCB">
              <w:rPr>
                <w:rFonts w:eastAsia="Times New Roman" w:cs="Times New Roman"/>
                <w:b/>
                <w:bCs/>
                <w:color w:val="000000"/>
                <w:szCs w:val="24"/>
              </w:rPr>
              <w:t>Kedison</w:t>
            </w:r>
            <w:proofErr w:type="spellEnd"/>
            <w:r w:rsidRPr="00D75CCB">
              <w:rPr>
                <w:rFonts w:eastAsia="Times New Roman" w:cs="Times New Roman"/>
                <w:b/>
                <w:bCs/>
                <w:color w:val="000000"/>
                <w:szCs w:val="24"/>
              </w:rPr>
              <w:t xml:space="preserve"> PLC</w:t>
            </w:r>
          </w:p>
        </w:tc>
      </w:tr>
      <w:tr w:rsidR="00D75CCB" w:rsidRPr="00D75CCB" w:rsidTr="00D75CCB">
        <w:trPr>
          <w:trHeight w:val="315"/>
        </w:trPr>
        <w:tc>
          <w:tcPr>
            <w:tcW w:w="3544" w:type="dxa"/>
            <w:tcBorders>
              <w:top w:val="nil"/>
              <w:left w:val="single" w:sz="8" w:space="0" w:color="auto"/>
              <w:bottom w:val="single" w:sz="8"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b/>
                <w:bCs/>
                <w:color w:val="000000"/>
                <w:szCs w:val="24"/>
              </w:rPr>
            </w:pPr>
            <w:r w:rsidRPr="00D75CCB">
              <w:rPr>
                <w:rFonts w:eastAsia="Times New Roman" w:cs="Times New Roman"/>
                <w:b/>
                <w:bCs/>
                <w:color w:val="000000"/>
                <w:szCs w:val="24"/>
              </w:rPr>
              <w:t xml:space="preserve">Particulars </w:t>
            </w:r>
          </w:p>
        </w:tc>
        <w:tc>
          <w:tcPr>
            <w:tcW w:w="1296" w:type="dxa"/>
            <w:tcBorders>
              <w:top w:val="nil"/>
              <w:left w:val="nil"/>
              <w:bottom w:val="single" w:sz="8"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b/>
                <w:bCs/>
                <w:color w:val="000000"/>
                <w:szCs w:val="24"/>
              </w:rPr>
            </w:pPr>
            <w:r w:rsidRPr="00D75CCB">
              <w:rPr>
                <w:rFonts w:eastAsia="Times New Roman" w:cs="Times New Roman"/>
                <w:b/>
                <w:bCs/>
                <w:color w:val="000000"/>
                <w:szCs w:val="24"/>
              </w:rPr>
              <w:t>Amount £</w:t>
            </w:r>
          </w:p>
        </w:tc>
        <w:tc>
          <w:tcPr>
            <w:tcW w:w="1296" w:type="dxa"/>
            <w:tcBorders>
              <w:top w:val="nil"/>
              <w:left w:val="nil"/>
              <w:bottom w:val="single" w:sz="8"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b/>
                <w:bCs/>
                <w:color w:val="000000"/>
                <w:szCs w:val="24"/>
              </w:rPr>
            </w:pPr>
            <w:r w:rsidRPr="00D75CCB">
              <w:rPr>
                <w:rFonts w:eastAsia="Times New Roman" w:cs="Times New Roman"/>
                <w:b/>
                <w:bCs/>
                <w:color w:val="000000"/>
                <w:szCs w:val="24"/>
              </w:rPr>
              <w:t>Amount £</w:t>
            </w:r>
          </w:p>
        </w:tc>
        <w:tc>
          <w:tcPr>
            <w:tcW w:w="1364" w:type="dxa"/>
            <w:tcBorders>
              <w:top w:val="nil"/>
              <w:left w:val="nil"/>
              <w:bottom w:val="single" w:sz="8"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b/>
                <w:bCs/>
                <w:color w:val="000000"/>
                <w:szCs w:val="24"/>
              </w:rPr>
            </w:pPr>
            <w:r w:rsidRPr="00D75CCB">
              <w:rPr>
                <w:rFonts w:eastAsia="Times New Roman" w:cs="Times New Roman"/>
                <w:b/>
                <w:bCs/>
                <w:color w:val="000000"/>
                <w:szCs w:val="24"/>
              </w:rPr>
              <w:t xml:space="preserve"> Amount £</w:t>
            </w:r>
          </w:p>
        </w:tc>
      </w:tr>
      <w:tr w:rsidR="00D75CCB" w:rsidRPr="00D75CCB" w:rsidTr="00D75CCB">
        <w:trPr>
          <w:trHeight w:val="300"/>
        </w:trPr>
        <w:tc>
          <w:tcPr>
            <w:tcW w:w="3544"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Sales</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826,650</w:t>
            </w:r>
          </w:p>
        </w:tc>
        <w:tc>
          <w:tcPr>
            <w:tcW w:w="1364"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544"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xml:space="preserve">less: Cost of sales </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578,650</w:t>
            </w:r>
          </w:p>
        </w:tc>
        <w:tc>
          <w:tcPr>
            <w:tcW w:w="1364"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544"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364"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544"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b/>
                <w:bCs/>
                <w:color w:val="000000"/>
                <w:szCs w:val="24"/>
              </w:rPr>
            </w:pPr>
            <w:r w:rsidRPr="00D75CCB">
              <w:rPr>
                <w:rFonts w:eastAsia="Times New Roman" w:cs="Times New Roman"/>
                <w:b/>
                <w:bCs/>
                <w:color w:val="000000"/>
                <w:szCs w:val="24"/>
              </w:rPr>
              <w:t>Gross profit</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364"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248,000</w:t>
            </w:r>
          </w:p>
        </w:tc>
      </w:tr>
      <w:tr w:rsidR="00D75CCB" w:rsidRPr="00D75CCB" w:rsidTr="00D75CCB">
        <w:trPr>
          <w:trHeight w:val="300"/>
        </w:trPr>
        <w:tc>
          <w:tcPr>
            <w:tcW w:w="3544"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364"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544"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b/>
                <w:bCs/>
                <w:i/>
                <w:iCs/>
                <w:color w:val="000000"/>
                <w:szCs w:val="24"/>
              </w:rPr>
            </w:pPr>
            <w:r w:rsidRPr="00D75CCB">
              <w:rPr>
                <w:rFonts w:eastAsia="Times New Roman" w:cs="Times New Roman"/>
                <w:b/>
                <w:bCs/>
                <w:i/>
                <w:iCs/>
                <w:color w:val="000000"/>
                <w:szCs w:val="24"/>
              </w:rPr>
              <w:t>Expenses</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364"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544"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Outstanding payment goods</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980</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364"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544"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Distribution costs</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28,000</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364"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544"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Interest paid</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2,000</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364"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544"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Administrative expenses</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30,000</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364"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544"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Corporate tax</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-68,000</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364"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544"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Directors remuneration</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5,000</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364"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544"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xml:space="preserve">Advance Commission </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3,000</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364"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544"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Interest on debenture 4%</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-4,000</w:t>
            </w:r>
          </w:p>
        </w:tc>
        <w:tc>
          <w:tcPr>
            <w:tcW w:w="1296"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364"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-3,020</w:t>
            </w:r>
          </w:p>
        </w:tc>
      </w:tr>
      <w:tr w:rsidR="00D75CCB" w:rsidRPr="00D75CCB" w:rsidTr="00D75CCB">
        <w:trPr>
          <w:trHeight w:val="315"/>
        </w:trPr>
        <w:tc>
          <w:tcPr>
            <w:tcW w:w="3544" w:type="dxa"/>
            <w:tcBorders>
              <w:top w:val="nil"/>
              <w:left w:val="single" w:sz="8" w:space="0" w:color="auto"/>
              <w:bottom w:val="single" w:sz="8"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b/>
                <w:bCs/>
                <w:color w:val="000000"/>
                <w:szCs w:val="24"/>
              </w:rPr>
            </w:pPr>
            <w:r w:rsidRPr="00D75CCB">
              <w:rPr>
                <w:rFonts w:eastAsia="Times New Roman" w:cs="Times New Roman"/>
                <w:b/>
                <w:bCs/>
                <w:color w:val="000000"/>
                <w:szCs w:val="24"/>
              </w:rPr>
              <w:t>NET Profit</w:t>
            </w:r>
          </w:p>
        </w:tc>
        <w:tc>
          <w:tcPr>
            <w:tcW w:w="1296" w:type="dxa"/>
            <w:tcBorders>
              <w:top w:val="nil"/>
              <w:left w:val="nil"/>
              <w:bottom w:val="single" w:sz="8"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96" w:type="dxa"/>
            <w:tcBorders>
              <w:top w:val="nil"/>
              <w:left w:val="nil"/>
              <w:bottom w:val="single" w:sz="8"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364" w:type="dxa"/>
            <w:tcBorders>
              <w:top w:val="nil"/>
              <w:left w:val="nil"/>
              <w:bottom w:val="single" w:sz="8" w:space="0" w:color="auto"/>
              <w:right w:val="single" w:sz="8"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251,020</w:t>
            </w:r>
          </w:p>
        </w:tc>
      </w:tr>
    </w:tbl>
    <w:p w:rsidR="00D75CCB" w:rsidRDefault="00D75CCB"/>
    <w:tbl>
      <w:tblPr>
        <w:tblW w:w="6380" w:type="dxa"/>
        <w:tblInd w:w="91" w:type="dxa"/>
        <w:tblLook w:val="04A0"/>
      </w:tblPr>
      <w:tblGrid>
        <w:gridCol w:w="3900"/>
        <w:gridCol w:w="1360"/>
        <w:gridCol w:w="1120"/>
      </w:tblGrid>
      <w:tr w:rsidR="00D75CCB" w:rsidRPr="00D75CCB" w:rsidTr="00D75CCB">
        <w:trPr>
          <w:trHeight w:val="300"/>
        </w:trPr>
        <w:tc>
          <w:tcPr>
            <w:tcW w:w="6380" w:type="dxa"/>
            <w:gridSpan w:val="3"/>
            <w:tcBorders>
              <w:top w:val="single" w:sz="8" w:space="0" w:color="auto"/>
              <w:left w:val="single" w:sz="8" w:space="0" w:color="auto"/>
              <w:bottom w:val="single" w:sz="4" w:space="0" w:color="auto"/>
              <w:right w:val="single" w:sz="8" w:space="0" w:color="000000"/>
            </w:tcBorders>
            <w:shd w:val="clear" w:color="auto" w:fill="auto"/>
            <w:vAlign w:val="bottom"/>
            <w:hideMark/>
          </w:tcPr>
          <w:p w:rsidR="00D75CCB" w:rsidRPr="00D75CCB" w:rsidRDefault="00D75CCB" w:rsidP="00D75CCB">
            <w:pPr>
              <w:spacing w:after="0" w:line="240" w:lineRule="auto"/>
              <w:jc w:val="center"/>
              <w:rPr>
                <w:rFonts w:eastAsia="BatangChe" w:cs="Times New Roman"/>
                <w:b/>
                <w:bCs/>
                <w:color w:val="000000"/>
                <w:szCs w:val="24"/>
              </w:rPr>
            </w:pPr>
            <w:r w:rsidRPr="00D75CCB">
              <w:rPr>
                <w:rFonts w:eastAsia="BatangChe" w:cs="Times New Roman"/>
                <w:b/>
                <w:bCs/>
                <w:color w:val="000000"/>
                <w:szCs w:val="24"/>
              </w:rPr>
              <w:t xml:space="preserve">Statement of retained earning </w:t>
            </w:r>
          </w:p>
        </w:tc>
      </w:tr>
      <w:tr w:rsidR="00D75CCB" w:rsidRPr="00D75CCB" w:rsidTr="00D75CCB">
        <w:trPr>
          <w:trHeight w:val="315"/>
        </w:trPr>
        <w:tc>
          <w:tcPr>
            <w:tcW w:w="3900" w:type="dxa"/>
            <w:tcBorders>
              <w:top w:val="nil"/>
              <w:left w:val="single" w:sz="8" w:space="0" w:color="auto"/>
              <w:bottom w:val="single" w:sz="8" w:space="0" w:color="auto"/>
              <w:right w:val="single" w:sz="4" w:space="0" w:color="auto"/>
            </w:tcBorders>
            <w:shd w:val="clear" w:color="auto" w:fill="auto"/>
            <w:vAlign w:val="bottom"/>
            <w:hideMark/>
          </w:tcPr>
          <w:p w:rsidR="00D75CCB" w:rsidRPr="00D75CCB" w:rsidRDefault="00D75CCB" w:rsidP="00D75CCB">
            <w:pPr>
              <w:spacing w:after="0" w:line="240" w:lineRule="auto"/>
              <w:jc w:val="center"/>
              <w:rPr>
                <w:rFonts w:eastAsia="BatangChe" w:cs="Times New Roman"/>
                <w:color w:val="000000"/>
                <w:szCs w:val="24"/>
              </w:rPr>
            </w:pPr>
            <w:r w:rsidRPr="00D75CCB">
              <w:rPr>
                <w:rFonts w:eastAsia="BatangChe" w:cs="Times New Roman"/>
                <w:color w:val="000000"/>
                <w:szCs w:val="24"/>
              </w:rPr>
              <w:t> </w:t>
            </w:r>
          </w:p>
        </w:tc>
        <w:tc>
          <w:tcPr>
            <w:tcW w:w="1360" w:type="dxa"/>
            <w:tcBorders>
              <w:top w:val="nil"/>
              <w:left w:val="nil"/>
              <w:bottom w:val="single" w:sz="8" w:space="0" w:color="auto"/>
              <w:right w:val="single" w:sz="4" w:space="0" w:color="auto"/>
            </w:tcBorders>
            <w:shd w:val="clear" w:color="auto" w:fill="auto"/>
            <w:vAlign w:val="bottom"/>
            <w:hideMark/>
          </w:tcPr>
          <w:p w:rsidR="00D75CCB" w:rsidRPr="00D75CCB" w:rsidRDefault="00D75CCB" w:rsidP="00D75CCB">
            <w:pPr>
              <w:spacing w:after="0" w:line="240" w:lineRule="auto"/>
              <w:jc w:val="center"/>
              <w:rPr>
                <w:rFonts w:eastAsia="BatangChe" w:cs="Times New Roman"/>
                <w:b/>
                <w:bCs/>
                <w:color w:val="000000"/>
                <w:szCs w:val="24"/>
              </w:rPr>
            </w:pPr>
            <w:r w:rsidRPr="00D75CCB">
              <w:rPr>
                <w:rFonts w:eastAsia="BatangChe" w:cs="Times New Roman"/>
                <w:b/>
                <w:bCs/>
                <w:color w:val="000000"/>
                <w:szCs w:val="24"/>
              </w:rPr>
              <w:t>Amount £</w:t>
            </w:r>
          </w:p>
        </w:tc>
        <w:tc>
          <w:tcPr>
            <w:tcW w:w="1120" w:type="dxa"/>
            <w:tcBorders>
              <w:top w:val="nil"/>
              <w:left w:val="nil"/>
              <w:bottom w:val="single" w:sz="8" w:space="0" w:color="auto"/>
              <w:right w:val="single" w:sz="8" w:space="0" w:color="auto"/>
            </w:tcBorders>
            <w:shd w:val="clear" w:color="auto" w:fill="auto"/>
            <w:vAlign w:val="bottom"/>
            <w:hideMark/>
          </w:tcPr>
          <w:p w:rsidR="00D75CCB" w:rsidRPr="00D75CCB" w:rsidRDefault="00D75CCB" w:rsidP="00D75CCB">
            <w:pPr>
              <w:spacing w:after="0" w:line="240" w:lineRule="auto"/>
              <w:jc w:val="center"/>
              <w:rPr>
                <w:rFonts w:eastAsia="BatangChe" w:cs="Times New Roman"/>
                <w:b/>
                <w:bCs/>
                <w:color w:val="000000"/>
                <w:szCs w:val="24"/>
              </w:rPr>
            </w:pPr>
            <w:r w:rsidRPr="00D75CCB">
              <w:rPr>
                <w:rFonts w:eastAsia="BatangChe" w:cs="Times New Roman"/>
                <w:b/>
                <w:bCs/>
                <w:color w:val="000000"/>
                <w:szCs w:val="24"/>
              </w:rPr>
              <w:t>Amount £</w:t>
            </w:r>
          </w:p>
        </w:tc>
      </w:tr>
      <w:tr w:rsidR="00D75CCB" w:rsidRPr="00D75CCB" w:rsidTr="00D75CCB">
        <w:trPr>
          <w:trHeight w:val="600"/>
        </w:trPr>
        <w:tc>
          <w:tcPr>
            <w:tcW w:w="3900" w:type="dxa"/>
            <w:tcBorders>
              <w:top w:val="nil"/>
              <w:left w:val="single" w:sz="8" w:space="0" w:color="auto"/>
              <w:bottom w:val="single" w:sz="4" w:space="0" w:color="auto"/>
              <w:right w:val="single" w:sz="4" w:space="0" w:color="auto"/>
            </w:tcBorders>
            <w:shd w:val="clear" w:color="auto" w:fill="auto"/>
            <w:vAlign w:val="bottom"/>
            <w:hideMark/>
          </w:tcPr>
          <w:p w:rsidR="00D75CCB" w:rsidRPr="00D75CCB" w:rsidRDefault="00D75CCB" w:rsidP="00D75CCB">
            <w:pPr>
              <w:spacing w:after="0" w:line="240" w:lineRule="auto"/>
              <w:jc w:val="center"/>
              <w:rPr>
                <w:rFonts w:eastAsia="BatangChe" w:cs="Times New Roman"/>
                <w:color w:val="000000"/>
                <w:szCs w:val="24"/>
              </w:rPr>
            </w:pPr>
            <w:r w:rsidRPr="00D75CCB">
              <w:rPr>
                <w:rFonts w:eastAsia="BatangChe" w:cs="Times New Roman"/>
                <w:color w:val="000000"/>
                <w:szCs w:val="24"/>
              </w:rPr>
              <w:t xml:space="preserve">Retained </w:t>
            </w:r>
            <w:r w:rsidR="004102DE" w:rsidRPr="00D75CCB">
              <w:rPr>
                <w:rFonts w:eastAsia="BatangChe" w:cs="Times New Roman"/>
                <w:color w:val="000000"/>
                <w:szCs w:val="24"/>
              </w:rPr>
              <w:t>earnings</w:t>
            </w:r>
            <w:r w:rsidRPr="00D75CCB">
              <w:rPr>
                <w:rFonts w:eastAsia="BatangChe" w:cs="Times New Roman"/>
                <w:color w:val="000000"/>
                <w:szCs w:val="24"/>
              </w:rPr>
              <w:t xml:space="preserve"> for the beginning of the Year</w:t>
            </w:r>
          </w:p>
        </w:tc>
        <w:tc>
          <w:tcPr>
            <w:tcW w:w="1360"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BatangChe" w:cs="Times New Roman"/>
                <w:color w:val="000000"/>
                <w:szCs w:val="24"/>
              </w:rPr>
            </w:pPr>
            <w:r w:rsidRPr="00D75CCB">
              <w:rPr>
                <w:rFonts w:eastAsia="BatangChe" w:cs="Times New Roman"/>
                <w:color w:val="000000"/>
                <w:szCs w:val="24"/>
              </w:rPr>
              <w:t> </w:t>
            </w:r>
          </w:p>
        </w:tc>
        <w:tc>
          <w:tcPr>
            <w:tcW w:w="1120"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right"/>
              <w:rPr>
                <w:rFonts w:eastAsia="BatangChe" w:cs="Times New Roman"/>
                <w:color w:val="000000"/>
                <w:szCs w:val="24"/>
              </w:rPr>
            </w:pPr>
            <w:r w:rsidRPr="00D75CCB">
              <w:rPr>
                <w:rFonts w:eastAsia="BatangChe" w:cs="Times New Roman"/>
                <w:color w:val="000000"/>
                <w:szCs w:val="24"/>
              </w:rPr>
              <w:t>132,000</w:t>
            </w:r>
          </w:p>
        </w:tc>
      </w:tr>
      <w:tr w:rsidR="00D75CCB" w:rsidRPr="00D75CCB" w:rsidTr="00D75CCB">
        <w:trPr>
          <w:trHeight w:val="300"/>
        </w:trPr>
        <w:tc>
          <w:tcPr>
            <w:tcW w:w="3900"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BatangChe" w:cs="Times New Roman"/>
                <w:color w:val="000000"/>
                <w:szCs w:val="24"/>
              </w:rPr>
            </w:pPr>
            <w:r w:rsidRPr="00D75CCB">
              <w:rPr>
                <w:rFonts w:eastAsia="BatangChe" w:cs="Times New Roman"/>
                <w:color w:val="000000"/>
                <w:szCs w:val="24"/>
              </w:rPr>
              <w:t>add: net profit</w:t>
            </w:r>
          </w:p>
        </w:tc>
        <w:tc>
          <w:tcPr>
            <w:tcW w:w="1360"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BatangChe" w:cs="Times New Roman"/>
                <w:color w:val="000000"/>
                <w:szCs w:val="24"/>
              </w:rPr>
            </w:pPr>
            <w:r w:rsidRPr="00D75CCB">
              <w:rPr>
                <w:rFonts w:eastAsia="BatangChe" w:cs="Times New Roman"/>
                <w:color w:val="000000"/>
                <w:szCs w:val="24"/>
              </w:rPr>
              <w:t> </w:t>
            </w:r>
          </w:p>
        </w:tc>
        <w:tc>
          <w:tcPr>
            <w:tcW w:w="1120"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right"/>
              <w:rPr>
                <w:rFonts w:eastAsia="BatangChe" w:cs="Times New Roman"/>
                <w:color w:val="000000"/>
                <w:szCs w:val="24"/>
              </w:rPr>
            </w:pPr>
            <w:r w:rsidRPr="00D75CCB">
              <w:rPr>
                <w:rFonts w:eastAsia="BatangChe" w:cs="Times New Roman"/>
                <w:color w:val="000000"/>
                <w:szCs w:val="24"/>
              </w:rPr>
              <w:t>251,020</w:t>
            </w:r>
          </w:p>
        </w:tc>
      </w:tr>
      <w:tr w:rsidR="00D75CCB" w:rsidRPr="00D75CCB" w:rsidTr="00D75CCB">
        <w:trPr>
          <w:trHeight w:val="300"/>
        </w:trPr>
        <w:tc>
          <w:tcPr>
            <w:tcW w:w="3900"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BatangChe" w:cs="Times New Roman"/>
                <w:color w:val="000000"/>
                <w:szCs w:val="24"/>
              </w:rPr>
            </w:pPr>
            <w:r w:rsidRPr="00D75CCB">
              <w:rPr>
                <w:rFonts w:eastAsia="BatangChe" w:cs="Times New Roman"/>
                <w:color w:val="000000"/>
                <w:szCs w:val="24"/>
              </w:rPr>
              <w:t>less: Dividend paid</w:t>
            </w:r>
          </w:p>
        </w:tc>
        <w:tc>
          <w:tcPr>
            <w:tcW w:w="1360"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BatangChe" w:cs="Times New Roman"/>
                <w:color w:val="000000"/>
                <w:szCs w:val="24"/>
              </w:rPr>
            </w:pPr>
            <w:r w:rsidRPr="00D75CCB">
              <w:rPr>
                <w:rFonts w:eastAsia="BatangChe" w:cs="Times New Roman"/>
                <w:color w:val="000000"/>
                <w:szCs w:val="24"/>
              </w:rPr>
              <w:t> </w:t>
            </w:r>
          </w:p>
        </w:tc>
        <w:tc>
          <w:tcPr>
            <w:tcW w:w="1120"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BatangChe" w:cs="Times New Roman"/>
                <w:color w:val="000000"/>
                <w:szCs w:val="24"/>
              </w:rPr>
            </w:pPr>
            <w:r w:rsidRPr="00D75CCB">
              <w:rPr>
                <w:rFonts w:eastAsia="BatangChe" w:cs="Times New Roman"/>
                <w:color w:val="000000"/>
                <w:szCs w:val="24"/>
              </w:rPr>
              <w:t> </w:t>
            </w:r>
          </w:p>
        </w:tc>
      </w:tr>
      <w:tr w:rsidR="00D75CCB" w:rsidRPr="00D75CCB" w:rsidTr="00D75CCB">
        <w:trPr>
          <w:trHeight w:val="300"/>
        </w:trPr>
        <w:tc>
          <w:tcPr>
            <w:tcW w:w="3900"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BatangChe" w:cs="Times New Roman"/>
                <w:color w:val="000000"/>
                <w:szCs w:val="24"/>
              </w:rPr>
            </w:pPr>
            <w:r w:rsidRPr="00D75CCB">
              <w:rPr>
                <w:rFonts w:eastAsia="BatangChe" w:cs="Times New Roman"/>
                <w:color w:val="000000"/>
                <w:szCs w:val="24"/>
              </w:rPr>
              <w:t>Ordinary dividend paid</w:t>
            </w:r>
          </w:p>
        </w:tc>
        <w:tc>
          <w:tcPr>
            <w:tcW w:w="1360"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BatangChe" w:cs="Times New Roman"/>
                <w:color w:val="000000"/>
                <w:szCs w:val="24"/>
              </w:rPr>
            </w:pPr>
            <w:r w:rsidRPr="00D75CCB">
              <w:rPr>
                <w:rFonts w:eastAsia="BatangChe" w:cs="Times New Roman"/>
                <w:color w:val="000000"/>
                <w:szCs w:val="24"/>
              </w:rPr>
              <w:t>20,000</w:t>
            </w:r>
          </w:p>
        </w:tc>
        <w:tc>
          <w:tcPr>
            <w:tcW w:w="1120"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BatangChe" w:cs="Times New Roman"/>
                <w:color w:val="000000"/>
                <w:szCs w:val="24"/>
              </w:rPr>
            </w:pPr>
            <w:r w:rsidRPr="00D75CCB">
              <w:rPr>
                <w:rFonts w:eastAsia="BatangChe" w:cs="Times New Roman"/>
                <w:color w:val="000000"/>
                <w:szCs w:val="24"/>
              </w:rPr>
              <w:t> </w:t>
            </w:r>
          </w:p>
        </w:tc>
      </w:tr>
      <w:tr w:rsidR="00D75CCB" w:rsidRPr="00D75CCB" w:rsidTr="00D75CCB">
        <w:trPr>
          <w:trHeight w:val="300"/>
        </w:trPr>
        <w:tc>
          <w:tcPr>
            <w:tcW w:w="3900"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BatangChe" w:cs="Times New Roman"/>
                <w:color w:val="000000"/>
                <w:szCs w:val="24"/>
              </w:rPr>
            </w:pPr>
            <w:r w:rsidRPr="00D75CCB">
              <w:rPr>
                <w:rFonts w:eastAsia="BatangChe" w:cs="Times New Roman"/>
                <w:color w:val="000000"/>
                <w:szCs w:val="24"/>
              </w:rPr>
              <w:t>Preference dividend paid</w:t>
            </w:r>
          </w:p>
        </w:tc>
        <w:tc>
          <w:tcPr>
            <w:tcW w:w="1360"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BatangChe" w:cs="Times New Roman"/>
                <w:color w:val="000000"/>
                <w:szCs w:val="24"/>
              </w:rPr>
            </w:pPr>
            <w:r w:rsidRPr="00D75CCB">
              <w:rPr>
                <w:rFonts w:eastAsia="BatangChe" w:cs="Times New Roman"/>
                <w:color w:val="000000"/>
                <w:szCs w:val="24"/>
              </w:rPr>
              <w:t>30,000</w:t>
            </w:r>
          </w:p>
        </w:tc>
        <w:tc>
          <w:tcPr>
            <w:tcW w:w="1120"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BatangChe" w:cs="Times New Roman"/>
                <w:color w:val="000000"/>
                <w:szCs w:val="24"/>
              </w:rPr>
            </w:pPr>
            <w:r w:rsidRPr="00D75CCB">
              <w:rPr>
                <w:rFonts w:eastAsia="BatangChe" w:cs="Times New Roman"/>
                <w:color w:val="000000"/>
                <w:szCs w:val="24"/>
              </w:rPr>
              <w:t> </w:t>
            </w:r>
          </w:p>
        </w:tc>
      </w:tr>
      <w:tr w:rsidR="00D75CCB" w:rsidRPr="00D75CCB" w:rsidTr="00D75CCB">
        <w:trPr>
          <w:trHeight w:val="300"/>
        </w:trPr>
        <w:tc>
          <w:tcPr>
            <w:tcW w:w="3900"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BatangChe" w:cs="Times New Roman"/>
                <w:color w:val="000000"/>
                <w:szCs w:val="24"/>
              </w:rPr>
            </w:pPr>
            <w:r w:rsidRPr="00D75CCB">
              <w:rPr>
                <w:rFonts w:eastAsia="BatangChe" w:cs="Times New Roman"/>
                <w:color w:val="000000"/>
                <w:szCs w:val="24"/>
              </w:rPr>
              <w:t> </w:t>
            </w:r>
          </w:p>
        </w:tc>
        <w:tc>
          <w:tcPr>
            <w:tcW w:w="1360"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BatangChe" w:cs="Times New Roman"/>
                <w:color w:val="000000"/>
                <w:szCs w:val="24"/>
              </w:rPr>
            </w:pPr>
            <w:r w:rsidRPr="00D75CCB">
              <w:rPr>
                <w:rFonts w:eastAsia="BatangChe" w:cs="Times New Roman"/>
                <w:color w:val="000000"/>
                <w:szCs w:val="24"/>
              </w:rPr>
              <w:t> </w:t>
            </w:r>
          </w:p>
        </w:tc>
        <w:tc>
          <w:tcPr>
            <w:tcW w:w="1120"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right"/>
              <w:rPr>
                <w:rFonts w:eastAsia="BatangChe" w:cs="Times New Roman"/>
                <w:color w:val="000000"/>
                <w:szCs w:val="24"/>
              </w:rPr>
            </w:pPr>
            <w:r w:rsidRPr="00D75CCB">
              <w:rPr>
                <w:rFonts w:eastAsia="BatangChe" w:cs="Times New Roman"/>
                <w:color w:val="000000"/>
                <w:szCs w:val="24"/>
              </w:rPr>
              <w:t>50000</w:t>
            </w:r>
          </w:p>
        </w:tc>
      </w:tr>
      <w:tr w:rsidR="00D75CCB" w:rsidRPr="00D75CCB" w:rsidTr="00D75CCB">
        <w:trPr>
          <w:trHeight w:val="315"/>
        </w:trPr>
        <w:tc>
          <w:tcPr>
            <w:tcW w:w="3900" w:type="dxa"/>
            <w:tcBorders>
              <w:top w:val="nil"/>
              <w:left w:val="single" w:sz="8" w:space="0" w:color="auto"/>
              <w:bottom w:val="single" w:sz="8"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BatangChe" w:cs="Times New Roman"/>
                <w:color w:val="000000"/>
                <w:szCs w:val="24"/>
              </w:rPr>
            </w:pPr>
            <w:r w:rsidRPr="00D75CCB">
              <w:rPr>
                <w:rFonts w:eastAsia="BatangChe" w:cs="Times New Roman"/>
                <w:color w:val="000000"/>
                <w:szCs w:val="24"/>
              </w:rPr>
              <w:t> </w:t>
            </w:r>
          </w:p>
        </w:tc>
        <w:tc>
          <w:tcPr>
            <w:tcW w:w="1360" w:type="dxa"/>
            <w:tcBorders>
              <w:top w:val="nil"/>
              <w:left w:val="nil"/>
              <w:bottom w:val="single" w:sz="8"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BatangChe" w:cs="Times New Roman"/>
                <w:color w:val="000000"/>
                <w:szCs w:val="24"/>
              </w:rPr>
            </w:pPr>
            <w:r w:rsidRPr="00D75CCB">
              <w:rPr>
                <w:rFonts w:eastAsia="BatangChe" w:cs="Times New Roman"/>
                <w:color w:val="000000"/>
                <w:szCs w:val="24"/>
              </w:rPr>
              <w:t> </w:t>
            </w:r>
          </w:p>
        </w:tc>
        <w:tc>
          <w:tcPr>
            <w:tcW w:w="1120" w:type="dxa"/>
            <w:tcBorders>
              <w:top w:val="nil"/>
              <w:left w:val="nil"/>
              <w:bottom w:val="single" w:sz="8" w:space="0" w:color="auto"/>
              <w:right w:val="single" w:sz="8" w:space="0" w:color="auto"/>
            </w:tcBorders>
            <w:shd w:val="clear" w:color="auto" w:fill="auto"/>
            <w:noWrap/>
            <w:vAlign w:val="bottom"/>
            <w:hideMark/>
          </w:tcPr>
          <w:p w:rsidR="00D75CCB" w:rsidRPr="00D75CCB" w:rsidRDefault="00D75CCB" w:rsidP="00D75CCB">
            <w:pPr>
              <w:spacing w:after="0" w:line="240" w:lineRule="auto"/>
              <w:jc w:val="right"/>
              <w:rPr>
                <w:rFonts w:eastAsia="BatangChe" w:cs="Times New Roman"/>
                <w:color w:val="000000"/>
                <w:szCs w:val="24"/>
              </w:rPr>
            </w:pPr>
            <w:r w:rsidRPr="00D75CCB">
              <w:rPr>
                <w:rFonts w:eastAsia="BatangChe" w:cs="Times New Roman"/>
                <w:color w:val="000000"/>
                <w:szCs w:val="24"/>
              </w:rPr>
              <w:t>333,020</w:t>
            </w:r>
          </w:p>
        </w:tc>
      </w:tr>
    </w:tbl>
    <w:p w:rsidR="00D75CCB" w:rsidRDefault="00D75CCB"/>
    <w:tbl>
      <w:tblPr>
        <w:tblW w:w="7500" w:type="dxa"/>
        <w:tblInd w:w="91" w:type="dxa"/>
        <w:tblLook w:val="04A0"/>
      </w:tblPr>
      <w:tblGrid>
        <w:gridCol w:w="3687"/>
        <w:gridCol w:w="1271"/>
        <w:gridCol w:w="1271"/>
        <w:gridCol w:w="1271"/>
      </w:tblGrid>
      <w:tr w:rsidR="00D75CCB" w:rsidRPr="00D75CCB" w:rsidTr="00D75CCB">
        <w:trPr>
          <w:trHeight w:val="300"/>
        </w:trPr>
        <w:tc>
          <w:tcPr>
            <w:tcW w:w="7500" w:type="dxa"/>
            <w:gridSpan w:val="4"/>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D75CCB" w:rsidRPr="00D75CCB" w:rsidRDefault="00D75CCB" w:rsidP="00D75CCB">
            <w:pPr>
              <w:spacing w:after="0" w:line="240" w:lineRule="auto"/>
              <w:jc w:val="center"/>
              <w:rPr>
                <w:rFonts w:eastAsia="Times New Roman" w:cs="Times New Roman"/>
                <w:b/>
                <w:bCs/>
                <w:color w:val="000000"/>
                <w:szCs w:val="24"/>
              </w:rPr>
            </w:pPr>
            <w:r w:rsidRPr="00D75CCB">
              <w:rPr>
                <w:rFonts w:eastAsia="Times New Roman" w:cs="Times New Roman"/>
                <w:b/>
                <w:bCs/>
                <w:color w:val="000000"/>
                <w:szCs w:val="24"/>
              </w:rPr>
              <w:t>Statement of financial Position for the year ended 31st December 2020</w:t>
            </w:r>
          </w:p>
        </w:tc>
      </w:tr>
      <w:tr w:rsidR="00D75CCB" w:rsidRPr="00D75CCB" w:rsidTr="00D75CCB">
        <w:trPr>
          <w:trHeight w:val="315"/>
        </w:trPr>
        <w:tc>
          <w:tcPr>
            <w:tcW w:w="3687" w:type="dxa"/>
            <w:tcBorders>
              <w:top w:val="nil"/>
              <w:left w:val="single" w:sz="8" w:space="0" w:color="auto"/>
              <w:bottom w:val="single" w:sz="8"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b/>
                <w:bCs/>
                <w:color w:val="000000"/>
                <w:szCs w:val="24"/>
              </w:rPr>
            </w:pPr>
            <w:r w:rsidRPr="00D75CCB">
              <w:rPr>
                <w:rFonts w:eastAsia="Times New Roman" w:cs="Times New Roman"/>
                <w:b/>
                <w:bCs/>
                <w:color w:val="000000"/>
                <w:szCs w:val="24"/>
              </w:rPr>
              <w:t>Particulars</w:t>
            </w:r>
          </w:p>
        </w:tc>
        <w:tc>
          <w:tcPr>
            <w:tcW w:w="1271" w:type="dxa"/>
            <w:tcBorders>
              <w:top w:val="nil"/>
              <w:left w:val="nil"/>
              <w:bottom w:val="single" w:sz="8"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b/>
                <w:bCs/>
                <w:color w:val="000000"/>
                <w:szCs w:val="24"/>
              </w:rPr>
            </w:pPr>
            <w:r w:rsidRPr="00D75CCB">
              <w:rPr>
                <w:rFonts w:eastAsia="Times New Roman" w:cs="Times New Roman"/>
                <w:b/>
                <w:bCs/>
                <w:color w:val="000000"/>
                <w:szCs w:val="24"/>
              </w:rPr>
              <w:t>Amount £</w:t>
            </w:r>
          </w:p>
        </w:tc>
        <w:tc>
          <w:tcPr>
            <w:tcW w:w="1271" w:type="dxa"/>
            <w:tcBorders>
              <w:top w:val="nil"/>
              <w:left w:val="nil"/>
              <w:bottom w:val="single" w:sz="8"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b/>
                <w:bCs/>
                <w:color w:val="000000"/>
                <w:szCs w:val="24"/>
              </w:rPr>
            </w:pPr>
            <w:r w:rsidRPr="00D75CCB">
              <w:rPr>
                <w:rFonts w:eastAsia="Times New Roman" w:cs="Times New Roman"/>
                <w:b/>
                <w:bCs/>
                <w:color w:val="000000"/>
                <w:szCs w:val="24"/>
              </w:rPr>
              <w:t>Amount £</w:t>
            </w:r>
          </w:p>
        </w:tc>
        <w:tc>
          <w:tcPr>
            <w:tcW w:w="1271" w:type="dxa"/>
            <w:tcBorders>
              <w:top w:val="nil"/>
              <w:left w:val="nil"/>
              <w:bottom w:val="single" w:sz="8"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b/>
                <w:bCs/>
                <w:color w:val="000000"/>
                <w:szCs w:val="24"/>
              </w:rPr>
            </w:pPr>
            <w:r w:rsidRPr="00D75CCB">
              <w:rPr>
                <w:rFonts w:eastAsia="Times New Roman" w:cs="Times New Roman"/>
                <w:b/>
                <w:bCs/>
                <w:color w:val="000000"/>
                <w:szCs w:val="24"/>
              </w:rPr>
              <w:t>Amount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b/>
                <w:bCs/>
                <w:color w:val="000000"/>
                <w:szCs w:val="24"/>
              </w:rPr>
            </w:pPr>
            <w:r w:rsidRPr="00D75CCB">
              <w:rPr>
                <w:rFonts w:eastAsia="Times New Roman" w:cs="Times New Roman"/>
                <w:b/>
                <w:bCs/>
                <w:color w:val="000000"/>
                <w:szCs w:val="24"/>
              </w:rPr>
              <w:t>ASSETS</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i/>
                <w:iCs/>
                <w:color w:val="000000"/>
                <w:szCs w:val="24"/>
              </w:rPr>
            </w:pPr>
            <w:r w:rsidRPr="00D75CCB">
              <w:rPr>
                <w:rFonts w:eastAsia="Times New Roman" w:cs="Times New Roman"/>
                <w:i/>
                <w:iCs/>
                <w:color w:val="000000"/>
                <w:szCs w:val="24"/>
              </w:rPr>
              <w:lastRenderedPageBreak/>
              <w:t>Non- current asset</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Plant and equipment</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632,730</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632,730</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xml:space="preserve">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i/>
                <w:iCs/>
                <w:color w:val="000000"/>
                <w:szCs w:val="24"/>
              </w:rPr>
            </w:pPr>
            <w:r w:rsidRPr="00D75CCB">
              <w:rPr>
                <w:rFonts w:eastAsia="Times New Roman" w:cs="Times New Roman"/>
                <w:i/>
                <w:iCs/>
                <w:color w:val="000000"/>
                <w:szCs w:val="24"/>
              </w:rPr>
              <w:t>Current Asset</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Closing stock</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330,600</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commission owned</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3000</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outstanding customer's goods</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980</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Debtors</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170,125</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Cash and bank</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12,900</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517,605</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b/>
                <w:bCs/>
                <w:i/>
                <w:iCs/>
                <w:color w:val="000000"/>
                <w:szCs w:val="24"/>
              </w:rPr>
            </w:pPr>
            <w:r w:rsidRPr="00D75CCB">
              <w:rPr>
                <w:rFonts w:eastAsia="Times New Roman" w:cs="Times New Roman"/>
                <w:b/>
                <w:bCs/>
                <w:i/>
                <w:iCs/>
                <w:color w:val="000000"/>
                <w:szCs w:val="24"/>
              </w:rPr>
              <w:t>Total asset</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1,150,335</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b/>
                <w:bCs/>
                <w:color w:val="000000"/>
                <w:szCs w:val="24"/>
              </w:rPr>
            </w:pPr>
            <w:r w:rsidRPr="00D75CCB">
              <w:rPr>
                <w:rFonts w:eastAsia="Times New Roman" w:cs="Times New Roman"/>
                <w:b/>
                <w:bCs/>
                <w:color w:val="000000"/>
                <w:szCs w:val="24"/>
              </w:rPr>
              <w:t>LIABILITIES</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i/>
                <w:iCs/>
                <w:color w:val="000000"/>
                <w:szCs w:val="24"/>
              </w:rPr>
            </w:pPr>
            <w:r w:rsidRPr="00D75CCB">
              <w:rPr>
                <w:rFonts w:eastAsia="Times New Roman" w:cs="Times New Roman"/>
                <w:i/>
                <w:iCs/>
                <w:color w:val="000000"/>
                <w:szCs w:val="24"/>
              </w:rPr>
              <w:t xml:space="preserve">Non -Current Liabilities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Debentures</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100,000</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Interest on debenture</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4,000</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104,000</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i/>
                <w:iCs/>
                <w:color w:val="000000"/>
                <w:szCs w:val="24"/>
              </w:rPr>
            </w:pPr>
            <w:r w:rsidRPr="00D75CCB">
              <w:rPr>
                <w:rFonts w:eastAsia="Times New Roman" w:cs="Times New Roman"/>
                <w:i/>
                <w:iCs/>
                <w:color w:val="000000"/>
                <w:szCs w:val="24"/>
              </w:rPr>
              <w:t xml:space="preserve">Current Liabilities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Trade creditors</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171,355</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Corporate tax</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-68,000</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103,355</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i/>
                <w:iCs/>
                <w:color w:val="000000"/>
                <w:szCs w:val="24"/>
              </w:rPr>
            </w:pPr>
            <w:r w:rsidRPr="00D75CCB">
              <w:rPr>
                <w:rFonts w:eastAsia="Times New Roman" w:cs="Times New Roman"/>
                <w:i/>
                <w:iCs/>
                <w:color w:val="000000"/>
                <w:szCs w:val="24"/>
              </w:rPr>
              <w:t>Owner's equity</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ordinary shares capital</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310,000</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preference shares</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300,000</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Retained Earning</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333,020</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943,020</w:t>
            </w:r>
          </w:p>
        </w:tc>
      </w:tr>
      <w:tr w:rsidR="00D75CCB" w:rsidRPr="00D75CCB" w:rsidTr="00D75CCB">
        <w:trPr>
          <w:trHeight w:val="300"/>
        </w:trPr>
        <w:tc>
          <w:tcPr>
            <w:tcW w:w="3687" w:type="dxa"/>
            <w:tcBorders>
              <w:top w:val="nil"/>
              <w:left w:val="single" w:sz="8" w:space="0" w:color="auto"/>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4" w:space="0" w:color="auto"/>
              <w:right w:val="single" w:sz="8"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r>
      <w:tr w:rsidR="00D75CCB" w:rsidRPr="00D75CCB" w:rsidTr="00D75CCB">
        <w:trPr>
          <w:trHeight w:val="315"/>
        </w:trPr>
        <w:tc>
          <w:tcPr>
            <w:tcW w:w="3687" w:type="dxa"/>
            <w:tcBorders>
              <w:top w:val="nil"/>
              <w:left w:val="single" w:sz="8" w:space="0" w:color="auto"/>
              <w:bottom w:val="single" w:sz="8"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b/>
                <w:bCs/>
                <w:i/>
                <w:iCs/>
                <w:color w:val="000000"/>
                <w:szCs w:val="24"/>
              </w:rPr>
            </w:pPr>
            <w:r w:rsidRPr="00D75CCB">
              <w:rPr>
                <w:rFonts w:eastAsia="Times New Roman" w:cs="Times New Roman"/>
                <w:b/>
                <w:bCs/>
                <w:i/>
                <w:iCs/>
                <w:color w:val="000000"/>
                <w:szCs w:val="24"/>
              </w:rPr>
              <w:t>Total Liabilities</w:t>
            </w:r>
          </w:p>
        </w:tc>
        <w:tc>
          <w:tcPr>
            <w:tcW w:w="1271" w:type="dxa"/>
            <w:tcBorders>
              <w:top w:val="nil"/>
              <w:left w:val="nil"/>
              <w:bottom w:val="single" w:sz="8"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8" w:space="0" w:color="auto"/>
              <w:right w:val="single" w:sz="4" w:space="0" w:color="auto"/>
            </w:tcBorders>
            <w:shd w:val="clear" w:color="auto" w:fill="auto"/>
            <w:noWrap/>
            <w:vAlign w:val="bottom"/>
            <w:hideMark/>
          </w:tcPr>
          <w:p w:rsidR="00D75CCB" w:rsidRPr="00D75CCB" w:rsidRDefault="00D75CCB" w:rsidP="00D75CCB">
            <w:pPr>
              <w:spacing w:after="0" w:line="240" w:lineRule="auto"/>
              <w:jc w:val="left"/>
              <w:rPr>
                <w:rFonts w:eastAsia="Times New Roman" w:cs="Times New Roman"/>
                <w:color w:val="000000"/>
                <w:szCs w:val="24"/>
              </w:rPr>
            </w:pPr>
            <w:r w:rsidRPr="00D75CCB">
              <w:rPr>
                <w:rFonts w:eastAsia="Times New Roman" w:cs="Times New Roman"/>
                <w:color w:val="000000"/>
                <w:szCs w:val="24"/>
              </w:rPr>
              <w:t> </w:t>
            </w:r>
          </w:p>
        </w:tc>
        <w:tc>
          <w:tcPr>
            <w:tcW w:w="1271" w:type="dxa"/>
            <w:tcBorders>
              <w:top w:val="nil"/>
              <w:left w:val="nil"/>
              <w:bottom w:val="single" w:sz="8" w:space="0" w:color="auto"/>
              <w:right w:val="single" w:sz="8" w:space="0" w:color="auto"/>
            </w:tcBorders>
            <w:shd w:val="clear" w:color="auto" w:fill="auto"/>
            <w:noWrap/>
            <w:vAlign w:val="bottom"/>
            <w:hideMark/>
          </w:tcPr>
          <w:p w:rsidR="00D75CCB" w:rsidRPr="00D75CCB" w:rsidRDefault="00D75CCB" w:rsidP="00D75CCB">
            <w:pPr>
              <w:spacing w:after="0" w:line="240" w:lineRule="auto"/>
              <w:jc w:val="right"/>
              <w:rPr>
                <w:rFonts w:eastAsia="Times New Roman" w:cs="Times New Roman"/>
                <w:color w:val="000000"/>
                <w:szCs w:val="24"/>
              </w:rPr>
            </w:pPr>
            <w:r w:rsidRPr="00D75CCB">
              <w:rPr>
                <w:rFonts w:eastAsia="Times New Roman" w:cs="Times New Roman"/>
                <w:color w:val="000000"/>
                <w:szCs w:val="24"/>
              </w:rPr>
              <w:t>1,150,335</w:t>
            </w:r>
          </w:p>
        </w:tc>
      </w:tr>
    </w:tbl>
    <w:p w:rsidR="00D75CCB" w:rsidRDefault="00D75CCB"/>
    <w:p w:rsidR="000B3C71" w:rsidRDefault="000B3C71" w:rsidP="002E44BA">
      <w:pPr>
        <w:pStyle w:val="Heading2"/>
      </w:pPr>
      <w:bookmarkStart w:id="2" w:name="_Toc80980445"/>
      <w:r>
        <w:t>b) Why does the statement of financial position balance?</w:t>
      </w:r>
      <w:bookmarkEnd w:id="2"/>
    </w:p>
    <w:p w:rsidR="00E53248" w:rsidRDefault="00E53248">
      <w:r>
        <w:t xml:space="preserve">The statement of the financial position includes assets and liabilities which </w:t>
      </w:r>
      <w:r w:rsidR="00F7643B">
        <w:t>have</w:t>
      </w:r>
      <w:r>
        <w:t xml:space="preserve"> to balance at the end of a specific period or end of a year to understand the </w:t>
      </w:r>
      <w:r w:rsidR="00F7643B">
        <w:t xml:space="preserve">asset and liability structure of the company’s accounts. It is basically the double accounting principle applied in the income statement and in the balance sheet.  the financial position has to balance so that the company’s account gives a clear understanding what the company has utilized out of its cash and assets and </w:t>
      </w:r>
      <w:r w:rsidR="00F7643B">
        <w:lastRenderedPageBreak/>
        <w:t xml:space="preserve">what the company remains in the owner’s capital to give a better understanding of the </w:t>
      </w:r>
      <w:proofErr w:type="spellStart"/>
      <w:r w:rsidR="00F7643B">
        <w:t>organisation</w:t>
      </w:r>
      <w:proofErr w:type="spellEnd"/>
      <w:r w:rsidR="00F7643B">
        <w:t>. In order to understand better the balance sheet accounting equation shows where the company’s asset has to be equal to the sum of the liabilities and the owner’s equity and thus it can be check and tallied in this process</w:t>
      </w:r>
      <w:r w:rsidR="00D23547">
        <w:t xml:space="preserve"> (</w:t>
      </w:r>
      <w:proofErr w:type="spellStart"/>
      <w:r w:rsidR="00D23547">
        <w:rPr>
          <w:shd w:val="clear" w:color="auto" w:fill="FFFFFF"/>
        </w:rPr>
        <w:t>Borisovna</w:t>
      </w:r>
      <w:proofErr w:type="spellEnd"/>
      <w:proofErr w:type="gramStart"/>
      <w:r w:rsidR="00D23547">
        <w:rPr>
          <w:shd w:val="clear" w:color="auto" w:fill="FFFFFF"/>
        </w:rPr>
        <w:t>,  2020</w:t>
      </w:r>
      <w:proofErr w:type="gramEnd"/>
      <w:r w:rsidR="00D23547">
        <w:rPr>
          <w:shd w:val="clear" w:color="auto" w:fill="FFFFFF"/>
        </w:rPr>
        <w:t>)</w:t>
      </w:r>
      <w:r w:rsidR="00F7643B">
        <w:t xml:space="preserve">.  This helps the management to show what the company owned and what the company is owes through </w:t>
      </w:r>
      <w:r w:rsidR="009F7710">
        <w:t>a</w:t>
      </w:r>
      <w:r w:rsidR="00F7643B">
        <w:t xml:space="preserve"> particular period of listed time frame.</w:t>
      </w:r>
    </w:p>
    <w:p w:rsidR="000B3C71" w:rsidRPr="00D75CCB" w:rsidRDefault="000B3C71"/>
    <w:p w:rsidR="00761062" w:rsidRDefault="00761062" w:rsidP="002E44BA">
      <w:pPr>
        <w:pStyle w:val="Heading1"/>
      </w:pPr>
      <w:bookmarkStart w:id="3" w:name="_Toc80980446"/>
      <w:r>
        <w:t>Question 2</w:t>
      </w:r>
      <w:bookmarkEnd w:id="3"/>
    </w:p>
    <w:p w:rsidR="0056078D" w:rsidRDefault="0056078D" w:rsidP="002E44BA">
      <w:pPr>
        <w:pStyle w:val="Heading2"/>
      </w:pPr>
      <w:bookmarkStart w:id="4" w:name="_Toc80980447"/>
      <w:r>
        <w:t xml:space="preserve">a)  Calculation of ratios for </w:t>
      </w:r>
      <w:proofErr w:type="spellStart"/>
      <w:r>
        <w:t>Chocco</w:t>
      </w:r>
      <w:proofErr w:type="spellEnd"/>
      <w:r>
        <w:t xml:space="preserve"> Plc for the year 2020 and 2019</w:t>
      </w:r>
      <w:bookmarkEnd w:id="4"/>
    </w:p>
    <w:tbl>
      <w:tblPr>
        <w:tblStyle w:val="TableGrid"/>
        <w:tblW w:w="0" w:type="auto"/>
        <w:tblLook w:val="04A0"/>
      </w:tblPr>
      <w:tblGrid>
        <w:gridCol w:w="2394"/>
        <w:gridCol w:w="2394"/>
        <w:gridCol w:w="2394"/>
        <w:gridCol w:w="2394"/>
      </w:tblGrid>
      <w:tr w:rsidR="00EB3F90" w:rsidTr="00EB3F90">
        <w:tc>
          <w:tcPr>
            <w:tcW w:w="2394" w:type="dxa"/>
          </w:tcPr>
          <w:p w:rsidR="00EB3F90" w:rsidRDefault="00EB3F90" w:rsidP="0056078D">
            <w:r>
              <w:t>Ratios</w:t>
            </w:r>
          </w:p>
        </w:tc>
        <w:tc>
          <w:tcPr>
            <w:tcW w:w="2394" w:type="dxa"/>
          </w:tcPr>
          <w:p w:rsidR="00EB3F90" w:rsidRDefault="00FF78C1" w:rsidP="0056078D">
            <w:r>
              <w:t>Formulae</w:t>
            </w:r>
          </w:p>
        </w:tc>
        <w:tc>
          <w:tcPr>
            <w:tcW w:w="2394" w:type="dxa"/>
          </w:tcPr>
          <w:p w:rsidR="00EB3F90" w:rsidRDefault="00EB3F90" w:rsidP="0056078D">
            <w:r>
              <w:t>2020</w:t>
            </w:r>
            <w:r w:rsidR="000B5F0F">
              <w:t xml:space="preserve"> (£m)</w:t>
            </w:r>
          </w:p>
        </w:tc>
        <w:tc>
          <w:tcPr>
            <w:tcW w:w="2394" w:type="dxa"/>
          </w:tcPr>
          <w:p w:rsidR="00EB3F90" w:rsidRDefault="00EB3F90" w:rsidP="0056078D">
            <w:r>
              <w:t>2019</w:t>
            </w:r>
            <w:r w:rsidR="000B5F0F">
              <w:t xml:space="preserve"> (£m)</w:t>
            </w:r>
          </w:p>
        </w:tc>
      </w:tr>
      <w:tr w:rsidR="00EB3F90" w:rsidTr="00EB3F90">
        <w:tc>
          <w:tcPr>
            <w:tcW w:w="2394" w:type="dxa"/>
          </w:tcPr>
          <w:p w:rsidR="00EB3F90" w:rsidRDefault="00EB3F90" w:rsidP="0056078D">
            <w:r>
              <w:t>1. ROCE</w:t>
            </w:r>
          </w:p>
        </w:tc>
        <w:tc>
          <w:tcPr>
            <w:tcW w:w="2394" w:type="dxa"/>
          </w:tcPr>
          <w:p w:rsidR="00EB3F90" w:rsidRDefault="006413F0" w:rsidP="0056078D">
            <w:r>
              <w:t>=EBIT(Earnings Before Interest and Tax)/ Capital employed</w:t>
            </w:r>
          </w:p>
        </w:tc>
        <w:tc>
          <w:tcPr>
            <w:tcW w:w="2394" w:type="dxa"/>
          </w:tcPr>
          <w:p w:rsidR="00EB3F90" w:rsidRDefault="000B5F0F" w:rsidP="0056078D">
            <w:r>
              <w:t>= 620</w:t>
            </w:r>
            <w:r w:rsidR="00376F47">
              <w:t xml:space="preserve"> / (9736- 2511)</w:t>
            </w:r>
          </w:p>
          <w:p w:rsidR="00376F47" w:rsidRDefault="00376F47" w:rsidP="0056078D">
            <w:r>
              <w:t>=</w:t>
            </w:r>
            <w:r w:rsidR="008965F6">
              <w:t xml:space="preserve"> 0.0858</w:t>
            </w:r>
            <w:r w:rsidR="00CE52CC">
              <w:t xml:space="preserve"> or 8.58%</w:t>
            </w:r>
          </w:p>
        </w:tc>
        <w:tc>
          <w:tcPr>
            <w:tcW w:w="2394" w:type="dxa"/>
          </w:tcPr>
          <w:p w:rsidR="00EB3F90" w:rsidRDefault="00376F47" w:rsidP="0056078D">
            <w:r>
              <w:t>= 539/ (10087-3046)</w:t>
            </w:r>
          </w:p>
          <w:p w:rsidR="00376F47" w:rsidRDefault="00376F47" w:rsidP="0056078D">
            <w:r>
              <w:t>=</w:t>
            </w:r>
            <w:r w:rsidR="008965F6">
              <w:t xml:space="preserve"> 0.0766</w:t>
            </w:r>
            <w:r w:rsidR="00CE52CC">
              <w:t xml:space="preserve"> or 7.66%</w:t>
            </w:r>
          </w:p>
        </w:tc>
      </w:tr>
      <w:tr w:rsidR="00EB3F90" w:rsidTr="00EB3F90">
        <w:tc>
          <w:tcPr>
            <w:tcW w:w="2394" w:type="dxa"/>
          </w:tcPr>
          <w:p w:rsidR="00EB3F90" w:rsidRDefault="00EB3F90" w:rsidP="0056078D">
            <w:r>
              <w:t>2. ROE</w:t>
            </w:r>
          </w:p>
        </w:tc>
        <w:tc>
          <w:tcPr>
            <w:tcW w:w="2394" w:type="dxa"/>
          </w:tcPr>
          <w:p w:rsidR="00EB3F90" w:rsidRDefault="006413F0" w:rsidP="0056078D">
            <w:r>
              <w:t>=Net Income/ Shareholder’s Equity</w:t>
            </w:r>
          </w:p>
        </w:tc>
        <w:tc>
          <w:tcPr>
            <w:tcW w:w="2394" w:type="dxa"/>
          </w:tcPr>
          <w:p w:rsidR="00EB3F90" w:rsidRDefault="00376F47" w:rsidP="0056078D">
            <w:r>
              <w:t>= 431/(9736- 2511)</w:t>
            </w:r>
          </w:p>
          <w:p w:rsidR="00376F47" w:rsidRDefault="00376F47" w:rsidP="0056078D">
            <w:r>
              <w:t>=</w:t>
            </w:r>
            <w:r w:rsidR="00300F3F">
              <w:t xml:space="preserve"> 0.0597</w:t>
            </w:r>
            <w:r w:rsidR="00CE52CC">
              <w:t xml:space="preserve">  or 5.97%</w:t>
            </w:r>
          </w:p>
        </w:tc>
        <w:tc>
          <w:tcPr>
            <w:tcW w:w="2394" w:type="dxa"/>
          </w:tcPr>
          <w:p w:rsidR="00EB3F90" w:rsidRDefault="00376F47" w:rsidP="0056078D">
            <w:r>
              <w:t>=366/ (10087-3046)</w:t>
            </w:r>
          </w:p>
          <w:p w:rsidR="00376F47" w:rsidRDefault="00376F47" w:rsidP="0056078D">
            <w:r>
              <w:t>=</w:t>
            </w:r>
            <w:r w:rsidR="00300F3F">
              <w:t xml:space="preserve"> 0.0510</w:t>
            </w:r>
            <w:r w:rsidR="00CE52CC">
              <w:t xml:space="preserve"> or 5.10%</w:t>
            </w:r>
          </w:p>
        </w:tc>
      </w:tr>
      <w:tr w:rsidR="00EB3F90" w:rsidTr="00EB3F90">
        <w:tc>
          <w:tcPr>
            <w:tcW w:w="2394" w:type="dxa"/>
          </w:tcPr>
          <w:p w:rsidR="00EB3F90" w:rsidRDefault="00EB3F90" w:rsidP="0056078D">
            <w:r>
              <w:t>3. Earnings Per share</w:t>
            </w:r>
          </w:p>
        </w:tc>
        <w:tc>
          <w:tcPr>
            <w:tcW w:w="2394" w:type="dxa"/>
          </w:tcPr>
          <w:p w:rsidR="00EB3F90" w:rsidRDefault="006413F0" w:rsidP="0056078D">
            <w:r>
              <w:t>=( Net Income – Preferred Dividends)/ Average Outstanding Common Shares</w:t>
            </w:r>
          </w:p>
        </w:tc>
        <w:tc>
          <w:tcPr>
            <w:tcW w:w="2394" w:type="dxa"/>
          </w:tcPr>
          <w:p w:rsidR="00EB3F90" w:rsidRDefault="00376F47" w:rsidP="0056078D">
            <w:r>
              <w:t>= (431 - 255)/ £ 5.12</w:t>
            </w:r>
          </w:p>
          <w:p w:rsidR="00376F47" w:rsidRDefault="00300F3F" w:rsidP="0056078D">
            <w:r>
              <w:t>= 176/ 5.12</w:t>
            </w:r>
          </w:p>
          <w:p w:rsidR="00300F3F" w:rsidRDefault="00300F3F" w:rsidP="0056078D">
            <w:r>
              <w:t>34.375</w:t>
            </w:r>
          </w:p>
        </w:tc>
        <w:tc>
          <w:tcPr>
            <w:tcW w:w="2394" w:type="dxa"/>
          </w:tcPr>
          <w:p w:rsidR="00EB3F90" w:rsidRDefault="00376F47" w:rsidP="0056078D">
            <w:r>
              <w:t>= ( 366- 242)/ 4</w:t>
            </w:r>
          </w:p>
          <w:p w:rsidR="00300F3F" w:rsidRDefault="00300F3F" w:rsidP="0056078D">
            <w:r>
              <w:t>= 124/ 4</w:t>
            </w:r>
          </w:p>
          <w:p w:rsidR="00300F3F" w:rsidRDefault="00300F3F" w:rsidP="0056078D">
            <w:r>
              <w:t>31</w:t>
            </w:r>
          </w:p>
        </w:tc>
      </w:tr>
      <w:tr w:rsidR="00EB3F90" w:rsidTr="00EB3F90">
        <w:tc>
          <w:tcPr>
            <w:tcW w:w="2394" w:type="dxa"/>
          </w:tcPr>
          <w:p w:rsidR="00EB3F90" w:rsidRDefault="00EB3F90" w:rsidP="0056078D">
            <w:r>
              <w:t>4. Net profit margin</w:t>
            </w:r>
          </w:p>
        </w:tc>
        <w:tc>
          <w:tcPr>
            <w:tcW w:w="2394" w:type="dxa"/>
          </w:tcPr>
          <w:p w:rsidR="00EB3F90" w:rsidRDefault="006413F0" w:rsidP="0056078D">
            <w:r>
              <w:t xml:space="preserve">= </w:t>
            </w:r>
            <w:r w:rsidR="00FF78C1">
              <w:t>Net Profit/ Revenue</w:t>
            </w:r>
          </w:p>
        </w:tc>
        <w:tc>
          <w:tcPr>
            <w:tcW w:w="2394" w:type="dxa"/>
          </w:tcPr>
          <w:p w:rsidR="00EB3F90" w:rsidRDefault="00376F47" w:rsidP="0056078D">
            <w:r>
              <w:t>= 431/ 6738</w:t>
            </w:r>
          </w:p>
          <w:p w:rsidR="00300F3F" w:rsidRDefault="00300F3F" w:rsidP="0056078D">
            <w:r>
              <w:t>= 0.064 or 6.4%</w:t>
            </w:r>
          </w:p>
        </w:tc>
        <w:tc>
          <w:tcPr>
            <w:tcW w:w="2394" w:type="dxa"/>
          </w:tcPr>
          <w:p w:rsidR="00EB3F90" w:rsidRDefault="00376F47" w:rsidP="0056078D">
            <w:r>
              <w:t>= 366/6441</w:t>
            </w:r>
          </w:p>
          <w:p w:rsidR="00300F3F" w:rsidRDefault="00300F3F" w:rsidP="0056078D">
            <w:r>
              <w:t>= 0.0568 or 5.68%</w:t>
            </w:r>
          </w:p>
        </w:tc>
      </w:tr>
      <w:tr w:rsidR="00EB3F90" w:rsidTr="00EB3F90">
        <w:tc>
          <w:tcPr>
            <w:tcW w:w="2394" w:type="dxa"/>
          </w:tcPr>
          <w:p w:rsidR="00EB3F90" w:rsidRDefault="00EB3F90" w:rsidP="0056078D">
            <w:r>
              <w:t>5. Asset Turnover Ratio</w:t>
            </w:r>
          </w:p>
        </w:tc>
        <w:tc>
          <w:tcPr>
            <w:tcW w:w="2394" w:type="dxa"/>
          </w:tcPr>
          <w:p w:rsidR="00EB3F90" w:rsidRDefault="00FF78C1" w:rsidP="0056078D">
            <w:r>
              <w:t>= Revenue/ Total assets</w:t>
            </w:r>
          </w:p>
        </w:tc>
        <w:tc>
          <w:tcPr>
            <w:tcW w:w="2394" w:type="dxa"/>
          </w:tcPr>
          <w:p w:rsidR="00EB3F90" w:rsidRDefault="00376F47" w:rsidP="0056078D">
            <w:r>
              <w:t>= 6738/</w:t>
            </w:r>
            <w:r w:rsidR="00AF73A8">
              <w:t xml:space="preserve"> 9736</w:t>
            </w:r>
          </w:p>
          <w:p w:rsidR="00300F3F" w:rsidRDefault="00300F3F" w:rsidP="0056078D">
            <w:r>
              <w:t>=</w:t>
            </w:r>
            <w:r w:rsidR="002D1BFC">
              <w:t xml:space="preserve"> 0.6927 or 69.27%</w:t>
            </w:r>
          </w:p>
        </w:tc>
        <w:tc>
          <w:tcPr>
            <w:tcW w:w="2394" w:type="dxa"/>
          </w:tcPr>
          <w:p w:rsidR="00EB3F90" w:rsidRDefault="00376F47" w:rsidP="0056078D">
            <w:r>
              <w:t>= 6441/</w:t>
            </w:r>
            <w:r w:rsidR="00AF73A8">
              <w:t xml:space="preserve"> 10087</w:t>
            </w:r>
          </w:p>
          <w:p w:rsidR="002D1BFC" w:rsidRDefault="002D1BFC" w:rsidP="0056078D">
            <w:r>
              <w:t>= 0.6385 or 63.85%</w:t>
            </w:r>
          </w:p>
        </w:tc>
      </w:tr>
      <w:tr w:rsidR="00EB3F90" w:rsidTr="00EB3F90">
        <w:tc>
          <w:tcPr>
            <w:tcW w:w="2394" w:type="dxa"/>
          </w:tcPr>
          <w:p w:rsidR="00EB3F90" w:rsidRDefault="00EB3F90" w:rsidP="0056078D">
            <w:r>
              <w:t>6.</w:t>
            </w:r>
            <w:r w:rsidR="00131F2A">
              <w:t xml:space="preserve"> Stock Holding Days</w:t>
            </w:r>
          </w:p>
        </w:tc>
        <w:tc>
          <w:tcPr>
            <w:tcW w:w="2394" w:type="dxa"/>
          </w:tcPr>
          <w:p w:rsidR="00EB3F90" w:rsidRDefault="00FF78C1" w:rsidP="0056078D">
            <w:r>
              <w:t xml:space="preserve">= </w:t>
            </w:r>
            <w:r w:rsidR="00DE56C8">
              <w:t>(Inventory/ Cost of sales) ×365 days</w:t>
            </w:r>
          </w:p>
        </w:tc>
        <w:tc>
          <w:tcPr>
            <w:tcW w:w="2394" w:type="dxa"/>
          </w:tcPr>
          <w:p w:rsidR="00EB3F90" w:rsidRDefault="00AF73A8" w:rsidP="0056078D">
            <w:r>
              <w:t>= (708/ 3235) ×365</w:t>
            </w:r>
          </w:p>
          <w:p w:rsidR="002D1BFC" w:rsidRDefault="002D1BFC" w:rsidP="0056078D">
            <w:r>
              <w:t>=</w:t>
            </w:r>
            <w:r w:rsidR="0097038A">
              <w:t xml:space="preserve"> 79.88 days</w:t>
            </w:r>
          </w:p>
        </w:tc>
        <w:tc>
          <w:tcPr>
            <w:tcW w:w="2394" w:type="dxa"/>
          </w:tcPr>
          <w:p w:rsidR="00EB3F90" w:rsidRDefault="00AF73A8" w:rsidP="0056078D">
            <w:r w:rsidRPr="0097038A">
              <w:t>= (659/ 3096) ×365</w:t>
            </w:r>
          </w:p>
          <w:p w:rsidR="002B1A62" w:rsidRPr="0097038A" w:rsidRDefault="002B1A62" w:rsidP="0056078D">
            <w:r>
              <w:t>= 77.69 days</w:t>
            </w:r>
          </w:p>
        </w:tc>
      </w:tr>
      <w:tr w:rsidR="00EB3F90" w:rsidTr="00EB3F90">
        <w:tc>
          <w:tcPr>
            <w:tcW w:w="2394" w:type="dxa"/>
          </w:tcPr>
          <w:p w:rsidR="00EB3F90" w:rsidRDefault="00131F2A" w:rsidP="0056078D">
            <w:r>
              <w:t>7. Debtors Collection Period</w:t>
            </w:r>
          </w:p>
        </w:tc>
        <w:tc>
          <w:tcPr>
            <w:tcW w:w="2394" w:type="dxa"/>
          </w:tcPr>
          <w:p w:rsidR="00EB3F90" w:rsidRDefault="00DE56C8" w:rsidP="0056078D">
            <w:r>
              <w:t>= (Debtors/ Revenue) ×365 days</w:t>
            </w:r>
          </w:p>
        </w:tc>
        <w:tc>
          <w:tcPr>
            <w:tcW w:w="2394" w:type="dxa"/>
          </w:tcPr>
          <w:p w:rsidR="00EB3F90" w:rsidRDefault="00AF73A8" w:rsidP="0056078D">
            <w:r>
              <w:t xml:space="preserve">= </w:t>
            </w:r>
            <w:r w:rsidR="00983C4D">
              <w:t>(1249/ 6738) × 365</w:t>
            </w:r>
          </w:p>
          <w:p w:rsidR="002B1A62" w:rsidRDefault="00540DE5" w:rsidP="0056078D">
            <w:r>
              <w:t>= 67.66 days</w:t>
            </w:r>
          </w:p>
        </w:tc>
        <w:tc>
          <w:tcPr>
            <w:tcW w:w="2394" w:type="dxa"/>
          </w:tcPr>
          <w:p w:rsidR="00EB3F90" w:rsidRDefault="00983C4D" w:rsidP="0056078D">
            <w:r w:rsidRPr="0097038A">
              <w:t>=(1287/ 6441) × 365</w:t>
            </w:r>
          </w:p>
          <w:p w:rsidR="00540DE5" w:rsidRPr="0097038A" w:rsidRDefault="00540DE5" w:rsidP="0056078D">
            <w:r>
              <w:t>= 72.93 days</w:t>
            </w:r>
          </w:p>
        </w:tc>
      </w:tr>
      <w:tr w:rsidR="00EB3F90" w:rsidTr="00EB3F90">
        <w:tc>
          <w:tcPr>
            <w:tcW w:w="2394" w:type="dxa"/>
          </w:tcPr>
          <w:p w:rsidR="00EB3F90" w:rsidRDefault="00131F2A" w:rsidP="0056078D">
            <w:r>
              <w:t>8. Current Ratio</w:t>
            </w:r>
          </w:p>
        </w:tc>
        <w:tc>
          <w:tcPr>
            <w:tcW w:w="2394" w:type="dxa"/>
          </w:tcPr>
          <w:p w:rsidR="00EB3F90" w:rsidRDefault="00DE56C8" w:rsidP="0056078D">
            <w:r>
              <w:t>= Current Assets/ Current Liabilities</w:t>
            </w:r>
          </w:p>
        </w:tc>
        <w:tc>
          <w:tcPr>
            <w:tcW w:w="2394" w:type="dxa"/>
          </w:tcPr>
          <w:p w:rsidR="00EB3F90" w:rsidRDefault="00983C4D" w:rsidP="0056078D">
            <w:r>
              <w:t>= 2303/ 2511</w:t>
            </w:r>
          </w:p>
          <w:p w:rsidR="00540DE5" w:rsidRDefault="00540DE5" w:rsidP="0056078D">
            <w:r>
              <w:t>=   0.9172</w:t>
            </w:r>
          </w:p>
        </w:tc>
        <w:tc>
          <w:tcPr>
            <w:tcW w:w="2394" w:type="dxa"/>
          </w:tcPr>
          <w:p w:rsidR="00EB3F90" w:rsidRDefault="00983C4D" w:rsidP="0056078D">
            <w:r>
              <w:t>= 2355/ 3046</w:t>
            </w:r>
          </w:p>
          <w:p w:rsidR="00540DE5" w:rsidRDefault="00540DE5" w:rsidP="0056078D">
            <w:r>
              <w:t>= 0.7731</w:t>
            </w:r>
          </w:p>
        </w:tc>
      </w:tr>
      <w:tr w:rsidR="00EB3F90" w:rsidTr="00EB3F90">
        <w:tc>
          <w:tcPr>
            <w:tcW w:w="2394" w:type="dxa"/>
          </w:tcPr>
          <w:p w:rsidR="00EB3F90" w:rsidRDefault="00131F2A" w:rsidP="0056078D">
            <w:r>
              <w:t>9. Gearing Ratio</w:t>
            </w:r>
          </w:p>
        </w:tc>
        <w:tc>
          <w:tcPr>
            <w:tcW w:w="2394" w:type="dxa"/>
          </w:tcPr>
          <w:p w:rsidR="00EB3F90" w:rsidRDefault="00DE56C8" w:rsidP="0056078D">
            <w:r>
              <w:t xml:space="preserve">= Total debt/ Total </w:t>
            </w:r>
            <w:r>
              <w:lastRenderedPageBreak/>
              <w:t>Capital</w:t>
            </w:r>
          </w:p>
        </w:tc>
        <w:tc>
          <w:tcPr>
            <w:tcW w:w="2394" w:type="dxa"/>
          </w:tcPr>
          <w:p w:rsidR="00EB3F90" w:rsidRDefault="00983C4D" w:rsidP="0056078D">
            <w:r>
              <w:lastRenderedPageBreak/>
              <w:t>= 4137/(4137 + 3088)</w:t>
            </w:r>
          </w:p>
          <w:p w:rsidR="00540DE5" w:rsidRDefault="001171C3" w:rsidP="0056078D">
            <w:r>
              <w:lastRenderedPageBreak/>
              <w:t>= 0.5730 or 5</w:t>
            </w:r>
            <w:r w:rsidR="00984DD5">
              <w:t>7.31 %</w:t>
            </w:r>
          </w:p>
        </w:tc>
        <w:tc>
          <w:tcPr>
            <w:tcW w:w="2394" w:type="dxa"/>
          </w:tcPr>
          <w:p w:rsidR="00EB3F90" w:rsidRDefault="00983C4D" w:rsidP="0056078D">
            <w:r>
              <w:lastRenderedPageBreak/>
              <w:t>=4129/ ( 4129+ 2912)</w:t>
            </w:r>
          </w:p>
          <w:p w:rsidR="00984DD5" w:rsidRDefault="00984DD5" w:rsidP="0056078D">
            <w:r>
              <w:lastRenderedPageBreak/>
              <w:t>= 0.5864 or 58.64%</w:t>
            </w:r>
          </w:p>
        </w:tc>
      </w:tr>
      <w:tr w:rsidR="00EB3F90" w:rsidTr="00EB3F90">
        <w:tc>
          <w:tcPr>
            <w:tcW w:w="2394" w:type="dxa"/>
          </w:tcPr>
          <w:p w:rsidR="00EB3F90" w:rsidRDefault="00DE56C8" w:rsidP="0056078D">
            <w:r>
              <w:lastRenderedPageBreak/>
              <w:t xml:space="preserve">10. Inventory </w:t>
            </w:r>
            <w:r w:rsidR="00131F2A">
              <w:t>Cover</w:t>
            </w:r>
          </w:p>
        </w:tc>
        <w:tc>
          <w:tcPr>
            <w:tcW w:w="2394" w:type="dxa"/>
          </w:tcPr>
          <w:p w:rsidR="00EB3F90" w:rsidRDefault="00DE56C8" w:rsidP="0056078D">
            <w:r>
              <w:t>= Net sales/ Average inventory</w:t>
            </w:r>
          </w:p>
        </w:tc>
        <w:tc>
          <w:tcPr>
            <w:tcW w:w="2394" w:type="dxa"/>
          </w:tcPr>
          <w:p w:rsidR="00EB3F90" w:rsidRDefault="00983C4D" w:rsidP="0056078D">
            <w:r>
              <w:t>=</w:t>
            </w:r>
            <w:r w:rsidR="00B67334">
              <w:t xml:space="preserve"> 6738/ 708</w:t>
            </w:r>
          </w:p>
          <w:p w:rsidR="00984DD5" w:rsidRDefault="00C413FC" w:rsidP="0056078D">
            <w:r>
              <w:t>= 9.517</w:t>
            </w:r>
          </w:p>
        </w:tc>
        <w:tc>
          <w:tcPr>
            <w:tcW w:w="2394" w:type="dxa"/>
          </w:tcPr>
          <w:p w:rsidR="00EB3F90" w:rsidRDefault="00B67334" w:rsidP="0056078D">
            <w:r>
              <w:t>= 6441 / 659</w:t>
            </w:r>
          </w:p>
          <w:p w:rsidR="00C413FC" w:rsidRDefault="00C413FC" w:rsidP="0056078D">
            <w:r>
              <w:t>= 9.77</w:t>
            </w:r>
          </w:p>
        </w:tc>
      </w:tr>
    </w:tbl>
    <w:p w:rsidR="00EB3F90" w:rsidRDefault="00EB3F90" w:rsidP="0056078D"/>
    <w:p w:rsidR="0056078D" w:rsidRDefault="00131F2A" w:rsidP="002E44BA">
      <w:pPr>
        <w:pStyle w:val="Heading2"/>
      </w:pPr>
      <w:bookmarkStart w:id="5" w:name="_Toc80980448"/>
      <w:r>
        <w:t xml:space="preserve">b) </w:t>
      </w:r>
      <w:r w:rsidR="006413F0">
        <w:t>Interpretation</w:t>
      </w:r>
      <w:r>
        <w:t xml:space="preserve"> on the financial performance and position of the </w:t>
      </w:r>
      <w:proofErr w:type="spellStart"/>
      <w:r>
        <w:t>Chocco</w:t>
      </w:r>
      <w:proofErr w:type="spellEnd"/>
      <w:r>
        <w:t xml:space="preserve"> plc</w:t>
      </w:r>
      <w:bookmarkEnd w:id="5"/>
    </w:p>
    <w:p w:rsidR="00496370" w:rsidRDefault="00496370" w:rsidP="0056078D">
      <w:r>
        <w:t xml:space="preserve">1- ROCE </w:t>
      </w:r>
    </w:p>
    <w:p w:rsidR="00CE52CC" w:rsidRDefault="00CE52CC" w:rsidP="0056078D">
      <w:r>
        <w:t xml:space="preserve">Return on capital employed is used to compare the profits of the companies based on the amount of </w:t>
      </w:r>
      <w:r w:rsidR="00EA40A5">
        <w:t>capital. It is basically evaluating the performance of the company and the efficiency that how its uses its capital and able to generate profit from it</w:t>
      </w:r>
      <w:r w:rsidR="00D23547">
        <w:t xml:space="preserve"> (</w:t>
      </w:r>
      <w:proofErr w:type="spellStart"/>
      <w:r w:rsidR="00D23547">
        <w:rPr>
          <w:shd w:val="clear" w:color="auto" w:fill="FFFFFF"/>
        </w:rPr>
        <w:t>McCosker</w:t>
      </w:r>
      <w:proofErr w:type="spellEnd"/>
      <w:r w:rsidR="00D23547">
        <w:rPr>
          <w:shd w:val="clear" w:color="auto" w:fill="FFFFFF"/>
        </w:rPr>
        <w:t>, 2021)</w:t>
      </w:r>
      <w:r w:rsidR="00EA40A5">
        <w:t xml:space="preserve">. </w:t>
      </w:r>
      <w:r w:rsidR="00857480">
        <w:t>As</w:t>
      </w:r>
      <w:r w:rsidR="00EA40A5">
        <w:t xml:space="preserve"> pe</w:t>
      </w:r>
      <w:r w:rsidR="00857480">
        <w:t xml:space="preserve">r the above calculation of the </w:t>
      </w:r>
      <w:proofErr w:type="spellStart"/>
      <w:r w:rsidR="00857480">
        <w:t>C</w:t>
      </w:r>
      <w:r w:rsidR="00EA40A5">
        <w:t>hocco</w:t>
      </w:r>
      <w:proofErr w:type="spellEnd"/>
      <w:r w:rsidR="00EA40A5">
        <w:t xml:space="preserve"> plc in the year 2020 it </w:t>
      </w:r>
      <w:r w:rsidR="00857480">
        <w:t>produces</w:t>
      </w:r>
      <w:r w:rsidR="00EA40A5">
        <w:t xml:space="preserve"> 8.58%</w:t>
      </w:r>
      <w:r w:rsidR="00857480">
        <w:t xml:space="preserve"> and 2019 it produces 7.66% on the return on capital </w:t>
      </w:r>
      <w:proofErr w:type="spellStart"/>
      <w:r w:rsidR="00857480">
        <w:t>employeed</w:t>
      </w:r>
      <w:proofErr w:type="spellEnd"/>
      <w:r w:rsidR="00857480">
        <w:t xml:space="preserve">. This implied the company has been earning a good amount of return from the capital which shows a good performance indicator and the efficacy indicator of the company for the long term objective. It produced for every 1 pound of capital </w:t>
      </w:r>
      <w:proofErr w:type="spellStart"/>
      <w:r w:rsidR="00857480">
        <w:t>utilisation</w:t>
      </w:r>
      <w:proofErr w:type="spellEnd"/>
      <w:r w:rsidR="00857480">
        <w:t xml:space="preserve"> it generating 8.58 and 7.66 pound respectively. This is a good sign for the company’s efficiency aspect.</w:t>
      </w:r>
    </w:p>
    <w:p w:rsidR="00496370" w:rsidRDefault="00496370" w:rsidP="0056078D">
      <w:r>
        <w:t xml:space="preserve">2- ROE </w:t>
      </w:r>
    </w:p>
    <w:p w:rsidR="00857480" w:rsidRDefault="00D73A2D" w:rsidP="0056078D">
      <w:r>
        <w:t xml:space="preserve">Return for equity is generally shows the efficiency level of the </w:t>
      </w:r>
      <w:proofErr w:type="spellStart"/>
      <w:r>
        <w:t>organisation</w:t>
      </w:r>
      <w:proofErr w:type="spellEnd"/>
      <w:r>
        <w:t xml:space="preserve"> to understand how effectively it can generate the return from the equity investment of its </w:t>
      </w:r>
      <w:r w:rsidR="00F407BA">
        <w:t>shareholder’s</w:t>
      </w:r>
      <w:r w:rsidR="00D23547">
        <w:t xml:space="preserve"> (</w:t>
      </w:r>
      <w:proofErr w:type="spellStart"/>
      <w:r w:rsidR="00D23547">
        <w:rPr>
          <w:shd w:val="clear" w:color="auto" w:fill="FFFFFF"/>
        </w:rPr>
        <w:t>Purnamasari</w:t>
      </w:r>
      <w:proofErr w:type="spellEnd"/>
      <w:proofErr w:type="gramStart"/>
      <w:r w:rsidR="00D23547">
        <w:rPr>
          <w:shd w:val="clear" w:color="auto" w:fill="FFFFFF"/>
        </w:rPr>
        <w:t>,  2015</w:t>
      </w:r>
      <w:proofErr w:type="gramEnd"/>
      <w:r w:rsidR="00D23547">
        <w:rPr>
          <w:shd w:val="clear" w:color="auto" w:fill="FFFFFF"/>
        </w:rPr>
        <w:t>)</w:t>
      </w:r>
      <w:r w:rsidR="00F407BA">
        <w:t>. However</w:t>
      </w:r>
      <w:r>
        <w:t xml:space="preserve"> from the above calculation of the </w:t>
      </w:r>
      <w:proofErr w:type="spellStart"/>
      <w:r>
        <w:t>Chocco</w:t>
      </w:r>
      <w:proofErr w:type="spellEnd"/>
      <w:r>
        <w:t xml:space="preserve"> Plc </w:t>
      </w:r>
      <w:r w:rsidR="00F407BA">
        <w:t xml:space="preserve">it can be understood that in the year 2020 </w:t>
      </w:r>
      <w:proofErr w:type="spellStart"/>
      <w:r w:rsidR="00F407BA">
        <w:t>chocco</w:t>
      </w:r>
      <w:proofErr w:type="spellEnd"/>
      <w:r w:rsidR="00F407BA">
        <w:t xml:space="preserve"> plc generated 5.97% return on equity and in 2019 it generated 5.10% which seem in the 2020 the </w:t>
      </w:r>
      <w:proofErr w:type="spellStart"/>
      <w:r w:rsidR="00F407BA">
        <w:t>chocco</w:t>
      </w:r>
      <w:proofErr w:type="spellEnd"/>
      <w:r w:rsidR="00F407BA">
        <w:t xml:space="preserve"> plc has earn better position from the last. Even though the company has to work on generating earnings from its shareholder’s investment, Company must think again to invest the equity to generate income. 15 to 20 % is the good indicator of ROE</w:t>
      </w:r>
    </w:p>
    <w:p w:rsidR="00496370" w:rsidRDefault="00496370" w:rsidP="0056078D">
      <w:r>
        <w:t xml:space="preserve">3- Earnings per share </w:t>
      </w:r>
    </w:p>
    <w:p w:rsidR="00161169" w:rsidRDefault="00F47E33" w:rsidP="0056078D">
      <w:r>
        <w:t xml:space="preserve">Earnings per share are the indicator of the company’s profitability structure. </w:t>
      </w:r>
      <w:r w:rsidR="00074EC1">
        <w:t>It</w:t>
      </w:r>
      <w:r>
        <w:t xml:space="preserve"> is the portion of the company’s profit allocated to each outstanding share of common stock</w:t>
      </w:r>
      <w:r w:rsidR="00074EC1">
        <w:t xml:space="preserve">. Increasing EPS is the good indicator for the company’s profit generating aspect as it suggests the growth in the market </w:t>
      </w:r>
      <w:r w:rsidR="00074EC1">
        <w:lastRenderedPageBreak/>
        <w:t>price and the stock price</w:t>
      </w:r>
      <w:r w:rsidR="00D23547">
        <w:t xml:space="preserve"> (</w:t>
      </w:r>
      <w:proofErr w:type="spellStart"/>
      <w:r w:rsidR="00D23547">
        <w:rPr>
          <w:shd w:val="clear" w:color="auto" w:fill="FFFFFF"/>
        </w:rPr>
        <w:t>Pandey</w:t>
      </w:r>
      <w:proofErr w:type="spellEnd"/>
      <w:r w:rsidR="00D23547">
        <w:rPr>
          <w:shd w:val="clear" w:color="auto" w:fill="FFFFFF"/>
        </w:rPr>
        <w:t>, 2015)</w:t>
      </w:r>
      <w:r w:rsidR="00074EC1">
        <w:t xml:space="preserve">. </w:t>
      </w:r>
      <w:r w:rsidR="00A90E75">
        <w:t>For</w:t>
      </w:r>
      <w:r w:rsidR="0092227C">
        <w:t xml:space="preserve"> the </w:t>
      </w:r>
      <w:proofErr w:type="spellStart"/>
      <w:r w:rsidR="0092227C">
        <w:t>Chocco</w:t>
      </w:r>
      <w:proofErr w:type="spellEnd"/>
      <w:r w:rsidR="0092227C">
        <w:t xml:space="preserve"> plc in the year 2019 its earnings per share was £31  and in the year 2020 it exceeded to £ 34.375 which showing a good sign for the company profitability structure for stock as well as market price rise.</w:t>
      </w:r>
    </w:p>
    <w:p w:rsidR="00496370" w:rsidRDefault="00496370" w:rsidP="0056078D">
      <w:r>
        <w:t xml:space="preserve">4- Net profit margin </w:t>
      </w:r>
    </w:p>
    <w:p w:rsidR="0092227C" w:rsidRDefault="0092227C" w:rsidP="0056078D">
      <w:r>
        <w:t xml:space="preserve">The net profit margin is </w:t>
      </w:r>
      <w:r w:rsidR="00D23547">
        <w:t>a</w:t>
      </w:r>
      <w:r>
        <w:t xml:space="preserve"> profitability indicator for the company evaluation process from the sales</w:t>
      </w:r>
      <w:r w:rsidR="00D23547">
        <w:t xml:space="preserve"> (</w:t>
      </w:r>
      <w:proofErr w:type="spellStart"/>
      <w:r w:rsidR="00D23547">
        <w:rPr>
          <w:shd w:val="clear" w:color="auto" w:fill="FFFFFF"/>
        </w:rPr>
        <w:t>Lukic</w:t>
      </w:r>
      <w:proofErr w:type="spellEnd"/>
      <w:r w:rsidR="00D23547">
        <w:rPr>
          <w:shd w:val="clear" w:color="auto" w:fill="FFFFFF"/>
        </w:rPr>
        <w:t xml:space="preserve"> and </w:t>
      </w:r>
      <w:proofErr w:type="spellStart"/>
      <w:r w:rsidR="00D23547">
        <w:rPr>
          <w:shd w:val="clear" w:color="auto" w:fill="FFFFFF"/>
        </w:rPr>
        <w:t>Lalic</w:t>
      </w:r>
      <w:proofErr w:type="spellEnd"/>
      <w:r w:rsidR="00D23547">
        <w:rPr>
          <w:shd w:val="clear" w:color="auto" w:fill="FFFFFF"/>
        </w:rPr>
        <w:t>, 2019)</w:t>
      </w:r>
      <w:r>
        <w:t xml:space="preserve">. For the </w:t>
      </w:r>
      <w:proofErr w:type="spellStart"/>
      <w:r>
        <w:t>Chocco</w:t>
      </w:r>
      <w:proofErr w:type="spellEnd"/>
      <w:r>
        <w:t xml:space="preserve"> Plc the net profit margin ratio is showing an increasing trend and </w:t>
      </w:r>
      <w:r w:rsidR="00D23547">
        <w:t>an</w:t>
      </w:r>
      <w:r>
        <w:t xml:space="preserve"> increasing profit from the company’s sales. This will show a healthy aspect in the future if the sales increases every year and thus will generate good amount of profit in the future. In the year 2019 it was 5.68% and in the year 2020 it produces 6.4% net profit margin which is </w:t>
      </w:r>
      <w:r w:rsidR="000B68B4">
        <w:t>an</w:t>
      </w:r>
      <w:r>
        <w:t xml:space="preserve"> increasing trend in the profitability structure in the long run.</w:t>
      </w:r>
    </w:p>
    <w:p w:rsidR="00496370" w:rsidRDefault="00496370" w:rsidP="0056078D">
      <w:r>
        <w:t xml:space="preserve">5- Asset turnover </w:t>
      </w:r>
    </w:p>
    <w:p w:rsidR="000B68B4" w:rsidRDefault="000B68B4" w:rsidP="0056078D">
      <w:r>
        <w:t>Asset turnover ratio measures the efficiency of the company’s asset in generating revenue. It compares the amount of sales or revenue to its total assets as an annualized percentage</w:t>
      </w:r>
      <w:r w:rsidR="00D23547">
        <w:t xml:space="preserve"> (</w:t>
      </w:r>
      <w:proofErr w:type="spellStart"/>
      <w:r w:rsidR="00D23547">
        <w:rPr>
          <w:shd w:val="clear" w:color="auto" w:fill="FFFFFF"/>
        </w:rPr>
        <w:t>Purnamasari</w:t>
      </w:r>
      <w:proofErr w:type="spellEnd"/>
      <w:proofErr w:type="gramStart"/>
      <w:r w:rsidR="00D23547">
        <w:rPr>
          <w:shd w:val="clear" w:color="auto" w:fill="FFFFFF"/>
        </w:rPr>
        <w:t>,  2015</w:t>
      </w:r>
      <w:proofErr w:type="gramEnd"/>
      <w:r w:rsidR="00D23547">
        <w:rPr>
          <w:shd w:val="clear" w:color="auto" w:fill="FFFFFF"/>
        </w:rPr>
        <w:t>)</w:t>
      </w:r>
      <w:r w:rsidR="00D23547">
        <w:t>. F</w:t>
      </w:r>
      <w:r>
        <w:t xml:space="preserve">rom the above calculation of the </w:t>
      </w:r>
      <w:proofErr w:type="spellStart"/>
      <w:r>
        <w:t>Chocco</w:t>
      </w:r>
      <w:proofErr w:type="spellEnd"/>
      <w:r>
        <w:t xml:space="preserve"> Plc it can be seen that the company is producing or generating good sales from its asset and has the ability to</w:t>
      </w:r>
      <w:r w:rsidR="002101DE">
        <w:t xml:space="preserve"> use its asset in the future purpose to earn profit from sales. In the year 2019 the </w:t>
      </w:r>
      <w:proofErr w:type="spellStart"/>
      <w:r w:rsidR="002101DE">
        <w:t>chocco</w:t>
      </w:r>
      <w:proofErr w:type="spellEnd"/>
      <w:r w:rsidR="002101DE">
        <w:t xml:space="preserve"> plc performed well to generate sales 0.6385 or 63.85% and 2020 has also increased huge revenues from the asset is 0.6927 or 69.27%. Hence the company can </w:t>
      </w:r>
      <w:proofErr w:type="spellStart"/>
      <w:r w:rsidR="002101DE">
        <w:t>utilise</w:t>
      </w:r>
      <w:proofErr w:type="spellEnd"/>
      <w:r w:rsidR="002101DE">
        <w:t xml:space="preserve"> its asset to generate more revenue.</w:t>
      </w:r>
    </w:p>
    <w:p w:rsidR="00496370" w:rsidRDefault="002101DE" w:rsidP="0056078D">
      <w:r>
        <w:t>6- Stock holding days</w:t>
      </w:r>
    </w:p>
    <w:p w:rsidR="002101DE" w:rsidRDefault="0065188A" w:rsidP="0056078D">
      <w:r>
        <w:t>The</w:t>
      </w:r>
      <w:r w:rsidR="002101DE">
        <w:t xml:space="preserve"> stock holding period is the number of days a business can hold its inventory</w:t>
      </w:r>
      <w:r w:rsidR="00D23547">
        <w:t xml:space="preserve"> (</w:t>
      </w:r>
      <w:r w:rsidR="00D23547">
        <w:rPr>
          <w:shd w:val="clear" w:color="auto" w:fill="FFFFFF"/>
        </w:rPr>
        <w:t xml:space="preserve">Hong </w:t>
      </w:r>
      <w:r w:rsidR="00D23547" w:rsidRPr="00D23547">
        <w:rPr>
          <w:i/>
          <w:shd w:val="clear" w:color="auto" w:fill="FFFFFF"/>
        </w:rPr>
        <w:t>et al.,</w:t>
      </w:r>
      <w:r w:rsidR="00D23547">
        <w:rPr>
          <w:shd w:val="clear" w:color="auto" w:fill="FFFFFF"/>
        </w:rPr>
        <w:t xml:space="preserve"> 2015</w:t>
      </w:r>
      <w:proofErr w:type="gramStart"/>
      <w:r w:rsidR="00D23547">
        <w:rPr>
          <w:shd w:val="clear" w:color="auto" w:fill="FFFFFF"/>
        </w:rPr>
        <w:t>) </w:t>
      </w:r>
      <w:r w:rsidR="002101DE">
        <w:t>.</w:t>
      </w:r>
      <w:proofErr w:type="gramEnd"/>
      <w:r w:rsidR="002101DE">
        <w:t xml:space="preserve"> The company as per the product it uses minimum  5 to 10 is the general holding period however in case on the </w:t>
      </w:r>
      <w:proofErr w:type="spellStart"/>
      <w:r w:rsidR="002101DE">
        <w:t>Chocco</w:t>
      </w:r>
      <w:proofErr w:type="spellEnd"/>
      <w:r w:rsidR="002101DE">
        <w:t xml:space="preserve"> plc the holding days in the year 2020 and 2019 are 79.88 days and 72.93 days respectively. This implies the company’s doesn’t have to restock the inventory too frequently however too much holding period will also decrease sales and increase wastage.</w:t>
      </w:r>
    </w:p>
    <w:p w:rsidR="00496370" w:rsidRDefault="00496370" w:rsidP="0056078D">
      <w:r>
        <w:t xml:space="preserve">7- Debtors collection period </w:t>
      </w:r>
    </w:p>
    <w:p w:rsidR="002101DE" w:rsidRDefault="00DA7A85" w:rsidP="0056078D">
      <w:r>
        <w:t>Debtors’</w:t>
      </w:r>
      <w:r w:rsidR="002101DE">
        <w:t xml:space="preserve"> collection period is the amount of time a company takes to collect all the trade debts. </w:t>
      </w:r>
      <w:r w:rsidR="0078071E">
        <w:t>The</w:t>
      </w:r>
      <w:r w:rsidR="002101DE">
        <w:t xml:space="preserve"> smaller the amount the company takes to collect the debts the efficiency will be more for a </w:t>
      </w:r>
      <w:r w:rsidR="002101DE">
        <w:lastRenderedPageBreak/>
        <w:t>company whereas a longer col</w:t>
      </w:r>
      <w:r>
        <w:t>lection period indicated the problematic trade debtor or less overall efficiency</w:t>
      </w:r>
      <w:r w:rsidR="002123E3">
        <w:t xml:space="preserve"> (</w:t>
      </w:r>
      <w:proofErr w:type="spellStart"/>
      <w:r w:rsidR="002123E3">
        <w:rPr>
          <w:shd w:val="clear" w:color="auto" w:fill="FFFFFF"/>
        </w:rPr>
        <w:t>Kariyawasam</w:t>
      </w:r>
      <w:proofErr w:type="spellEnd"/>
      <w:r w:rsidR="002123E3">
        <w:rPr>
          <w:shd w:val="clear" w:color="auto" w:fill="FFFFFF"/>
        </w:rPr>
        <w:t>, 2019)</w:t>
      </w:r>
      <w:r w:rsidR="001B67E3">
        <w:t xml:space="preserve">. The average collection period is within 30 days however for the </w:t>
      </w:r>
      <w:proofErr w:type="spellStart"/>
      <w:r w:rsidR="001B67E3">
        <w:t>Chocco</w:t>
      </w:r>
      <w:proofErr w:type="spellEnd"/>
      <w:r w:rsidR="001B67E3">
        <w:t xml:space="preserve"> Plc it seems the case is adverse. in the year 2020 the collection period was 67.66 days and in the year 2019 the collection period was 72.93 days which will be a problematic situation for the company in term of trade collection and huge debt trap will occur if the situation has not been check in the next year.</w:t>
      </w:r>
    </w:p>
    <w:p w:rsidR="00496370" w:rsidRDefault="00F37E83" w:rsidP="0056078D">
      <w:r>
        <w:t>8- Current ratio</w:t>
      </w:r>
    </w:p>
    <w:p w:rsidR="00DD20A9" w:rsidRDefault="00EC19EB" w:rsidP="0056078D">
      <w:r>
        <w:t xml:space="preserve">The current ratio is an indication of the performance of the company. It checks how the current assets can be utilized to meet the current and short term obligation of the company’s debt within a year. </w:t>
      </w:r>
      <w:proofErr w:type="gramStart"/>
      <w:r>
        <w:t>it</w:t>
      </w:r>
      <w:proofErr w:type="gramEnd"/>
      <w:r>
        <w:t xml:space="preserve"> also see how the company can convert its current assets into cash to meet the immediate obligation within the year</w:t>
      </w:r>
      <w:r w:rsidR="00D23547">
        <w:t xml:space="preserve"> (</w:t>
      </w:r>
      <w:proofErr w:type="spellStart"/>
      <w:r w:rsidR="00D23547">
        <w:rPr>
          <w:shd w:val="clear" w:color="auto" w:fill="FFFFFF"/>
        </w:rPr>
        <w:t>Perera</w:t>
      </w:r>
      <w:proofErr w:type="spellEnd"/>
      <w:r w:rsidR="00D23547">
        <w:rPr>
          <w:shd w:val="clear" w:color="auto" w:fill="FFFFFF"/>
        </w:rPr>
        <w:t xml:space="preserve"> and </w:t>
      </w:r>
      <w:proofErr w:type="spellStart"/>
      <w:r w:rsidR="00D23547">
        <w:rPr>
          <w:shd w:val="clear" w:color="auto" w:fill="FFFFFF"/>
        </w:rPr>
        <w:t>Priyashantha</w:t>
      </w:r>
      <w:proofErr w:type="spellEnd"/>
      <w:r w:rsidR="00D23547">
        <w:rPr>
          <w:shd w:val="clear" w:color="auto" w:fill="FFFFFF"/>
        </w:rPr>
        <w:t>, 2018)</w:t>
      </w:r>
      <w:r>
        <w:t xml:space="preserve">. The current asset ratio for the </w:t>
      </w:r>
      <w:proofErr w:type="spellStart"/>
      <w:r>
        <w:t>Chocco</w:t>
      </w:r>
      <w:proofErr w:type="spellEnd"/>
      <w:r>
        <w:t xml:space="preserve"> Plc for the year 2020 and 2019 are </w:t>
      </w:r>
      <w:r w:rsidR="00DD20A9">
        <w:t xml:space="preserve">0.9172 and 0.7731 which implies that the company does not have enough current assets which can generate cash to meet the obligation so the company has to </w:t>
      </w:r>
      <w:proofErr w:type="spellStart"/>
      <w:r w:rsidR="00DD20A9">
        <w:t>utilise</w:t>
      </w:r>
      <w:proofErr w:type="spellEnd"/>
      <w:r w:rsidR="00DD20A9">
        <w:t xml:space="preserve"> more capital of the </w:t>
      </w:r>
      <w:proofErr w:type="spellStart"/>
      <w:r w:rsidR="00DD20A9">
        <w:t>organisation</w:t>
      </w:r>
      <w:proofErr w:type="spellEnd"/>
      <w:r w:rsidR="00DD20A9">
        <w:t xml:space="preserve"> to meet such unwanted obligation. This is not a good sign for the company’s performce and profitability case.</w:t>
      </w:r>
    </w:p>
    <w:p w:rsidR="00496370" w:rsidRDefault="00DD20A9" w:rsidP="0056078D">
      <w:r>
        <w:t>9- Gearing ratio</w:t>
      </w:r>
    </w:p>
    <w:p w:rsidR="00DD20A9" w:rsidRDefault="001171C3" w:rsidP="0056078D">
      <w:r>
        <w:t xml:space="preserve">Gearing ratio measures the company’s financial leverage, the level of interest bearing liabilities in its capital structure.  If the gearing ratio is higher say more than 50% then it considering to be higher levered for the company and the ideal ration will be </w:t>
      </w:r>
      <w:proofErr w:type="gramStart"/>
      <w:r>
        <w:t>between 25% to 50% for balancing the company’s debt and equity</w:t>
      </w:r>
      <w:r w:rsidR="002123E3">
        <w:t xml:space="preserve"> (</w:t>
      </w:r>
      <w:proofErr w:type="spellStart"/>
      <w:r w:rsidR="002123E3">
        <w:rPr>
          <w:shd w:val="clear" w:color="auto" w:fill="FFFFFF"/>
        </w:rPr>
        <w:t>Kariyawasam</w:t>
      </w:r>
      <w:proofErr w:type="spellEnd"/>
      <w:r w:rsidR="002123E3">
        <w:rPr>
          <w:shd w:val="clear" w:color="auto" w:fill="FFFFFF"/>
        </w:rPr>
        <w:t>, 2019)</w:t>
      </w:r>
      <w:proofErr w:type="gramEnd"/>
      <w:r>
        <w:t xml:space="preserve">. In the year 2020 and 2019 for the </w:t>
      </w:r>
      <w:proofErr w:type="spellStart"/>
      <w:r>
        <w:t>Chocco</w:t>
      </w:r>
      <w:proofErr w:type="spellEnd"/>
      <w:r>
        <w:t xml:space="preserve"> Plc the gearing ratio is showing 0.5730 or 57.31 % and 0.5864 or 58.64% respectively. It seems that the company has a high risk of debt and hence has to reduce the debt for the company to maintain the equilibrium of the company.</w:t>
      </w:r>
    </w:p>
    <w:p w:rsidR="0056078D" w:rsidRDefault="00496370" w:rsidP="0056078D">
      <w:r>
        <w:t>10- Inventory cover</w:t>
      </w:r>
    </w:p>
    <w:p w:rsidR="001171C3" w:rsidRDefault="001171C3" w:rsidP="0056078D">
      <w:r>
        <w:t xml:space="preserve">Inventory turnover indicates the rate at which a company can sell and replace its stock of goods during a particular period. Here the </w:t>
      </w:r>
      <w:proofErr w:type="spellStart"/>
      <w:r>
        <w:t>Chocco</w:t>
      </w:r>
      <w:proofErr w:type="spellEnd"/>
      <w:r>
        <w:t xml:space="preserve"> plc has the idea cover for the inventory to sale and restocks the good within 10 days which is a good indicator.</w:t>
      </w:r>
    </w:p>
    <w:p w:rsidR="001A19D9" w:rsidRDefault="001A19D9">
      <w:pPr>
        <w:spacing w:line="276" w:lineRule="auto"/>
        <w:jc w:val="left"/>
        <w:rPr>
          <w:rFonts w:eastAsiaTheme="majorEastAsia" w:cstheme="majorBidi"/>
          <w:b/>
          <w:bCs/>
          <w:szCs w:val="28"/>
        </w:rPr>
      </w:pPr>
      <w:r>
        <w:br w:type="page"/>
      </w:r>
    </w:p>
    <w:p w:rsidR="00777724" w:rsidRDefault="00777724" w:rsidP="00777724">
      <w:pPr>
        <w:pStyle w:val="Heading1"/>
      </w:pPr>
      <w:bookmarkStart w:id="6" w:name="_Toc80980449"/>
      <w:r>
        <w:lastRenderedPageBreak/>
        <w:t>Reference</w:t>
      </w:r>
      <w:bookmarkEnd w:id="6"/>
    </w:p>
    <w:p w:rsidR="00D23547" w:rsidRDefault="00D23547" w:rsidP="00D23547">
      <w:pPr>
        <w:spacing w:before="240"/>
        <w:rPr>
          <w:shd w:val="clear" w:color="auto" w:fill="FFFFFF"/>
        </w:rPr>
      </w:pPr>
      <w:proofErr w:type="spellStart"/>
      <w:r>
        <w:rPr>
          <w:shd w:val="clear" w:color="auto" w:fill="FFFFFF"/>
        </w:rPr>
        <w:t>Borisovna</w:t>
      </w:r>
      <w:proofErr w:type="spellEnd"/>
      <w:r>
        <w:rPr>
          <w:shd w:val="clear" w:color="auto" w:fill="FFFFFF"/>
        </w:rPr>
        <w:t xml:space="preserve">, I.T., (2020). </w:t>
      </w:r>
      <w:proofErr w:type="gramStart"/>
      <w:r>
        <w:rPr>
          <w:shd w:val="clear" w:color="auto" w:fill="FFFFFF"/>
        </w:rPr>
        <w:t>BALANCE SHEET ANALYSIS WHILE INSTRUCTING ON FINANCIAL STATEMENTS IN ENGLISH.</w:t>
      </w:r>
      <w:proofErr w:type="gramEnd"/>
      <w:r>
        <w:rPr>
          <w:shd w:val="clear" w:color="auto" w:fill="FFFFFF"/>
        </w:rPr>
        <w:t> </w:t>
      </w:r>
      <w:proofErr w:type="spellStart"/>
      <w:proofErr w:type="gramStart"/>
      <w:r>
        <w:rPr>
          <w:i/>
          <w:iCs/>
          <w:shd w:val="clear" w:color="auto" w:fill="FFFFFF"/>
        </w:rPr>
        <w:t>Балканско</w:t>
      </w:r>
      <w:proofErr w:type="spellEnd"/>
      <w:r>
        <w:rPr>
          <w:i/>
          <w:iCs/>
          <w:shd w:val="clear" w:color="auto" w:fill="FFFFFF"/>
        </w:rPr>
        <w:t xml:space="preserve"> </w:t>
      </w:r>
      <w:proofErr w:type="spellStart"/>
      <w:r>
        <w:rPr>
          <w:i/>
          <w:iCs/>
          <w:shd w:val="clear" w:color="auto" w:fill="FFFFFF"/>
        </w:rPr>
        <w:t>научно</w:t>
      </w:r>
      <w:proofErr w:type="spellEnd"/>
      <w:r>
        <w:rPr>
          <w:i/>
          <w:iCs/>
          <w:shd w:val="clear" w:color="auto" w:fill="FFFFFF"/>
        </w:rPr>
        <w:t xml:space="preserve"> </w:t>
      </w:r>
      <w:proofErr w:type="spellStart"/>
      <w:r>
        <w:rPr>
          <w:i/>
          <w:iCs/>
          <w:shd w:val="clear" w:color="auto" w:fill="FFFFFF"/>
        </w:rPr>
        <w:t>обозрение</w:t>
      </w:r>
      <w:proofErr w:type="spellEnd"/>
      <w:r>
        <w:rPr>
          <w:shd w:val="clear" w:color="auto" w:fill="FFFFFF"/>
        </w:rPr>
        <w:t>, </w:t>
      </w:r>
      <w:r>
        <w:rPr>
          <w:i/>
          <w:iCs/>
          <w:shd w:val="clear" w:color="auto" w:fill="FFFFFF"/>
        </w:rPr>
        <w:t>4</w:t>
      </w:r>
      <w:r>
        <w:rPr>
          <w:shd w:val="clear" w:color="auto" w:fill="FFFFFF"/>
        </w:rPr>
        <w:t>(1 (7)).</w:t>
      </w:r>
      <w:proofErr w:type="gramEnd"/>
    </w:p>
    <w:p w:rsidR="00D23547" w:rsidRDefault="00D23547" w:rsidP="00D23547">
      <w:pPr>
        <w:spacing w:before="240"/>
        <w:rPr>
          <w:shd w:val="clear" w:color="auto" w:fill="FFFFFF"/>
        </w:rPr>
      </w:pPr>
      <w:r>
        <w:rPr>
          <w:shd w:val="clear" w:color="auto" w:fill="FFFFFF"/>
        </w:rPr>
        <w:t xml:space="preserve">Hong, H., Li, W., Ni, S.X., </w:t>
      </w:r>
      <w:proofErr w:type="spellStart"/>
      <w:r>
        <w:rPr>
          <w:shd w:val="clear" w:color="auto" w:fill="FFFFFF"/>
        </w:rPr>
        <w:t>Scheinkman</w:t>
      </w:r>
      <w:proofErr w:type="spellEnd"/>
      <w:r>
        <w:rPr>
          <w:shd w:val="clear" w:color="auto" w:fill="FFFFFF"/>
        </w:rPr>
        <w:t>, J.A. and Yan, P., (2015). </w:t>
      </w:r>
      <w:r>
        <w:rPr>
          <w:i/>
          <w:iCs/>
          <w:shd w:val="clear" w:color="auto" w:fill="FFFFFF"/>
        </w:rPr>
        <w:t>Days to cover and stock returns</w:t>
      </w:r>
      <w:r>
        <w:rPr>
          <w:shd w:val="clear" w:color="auto" w:fill="FFFFFF"/>
        </w:rPr>
        <w:t xml:space="preserve"> (No. w21166). </w:t>
      </w:r>
      <w:proofErr w:type="gramStart"/>
      <w:r>
        <w:rPr>
          <w:shd w:val="clear" w:color="auto" w:fill="FFFFFF"/>
        </w:rPr>
        <w:t>National Bureau of Economic Research.</w:t>
      </w:r>
      <w:proofErr w:type="gramEnd"/>
    </w:p>
    <w:p w:rsidR="00D23547" w:rsidRDefault="00D23547" w:rsidP="00D23547">
      <w:pPr>
        <w:spacing w:before="240"/>
      </w:pPr>
      <w:proofErr w:type="spellStart"/>
      <w:r>
        <w:rPr>
          <w:shd w:val="clear" w:color="auto" w:fill="FFFFFF"/>
        </w:rPr>
        <w:t>Kariyawasam</w:t>
      </w:r>
      <w:proofErr w:type="spellEnd"/>
      <w:r>
        <w:rPr>
          <w:shd w:val="clear" w:color="auto" w:fill="FFFFFF"/>
        </w:rPr>
        <w:t xml:space="preserve">, H.N., (2019). </w:t>
      </w:r>
      <w:proofErr w:type="spellStart"/>
      <w:proofErr w:type="gramStart"/>
      <w:r>
        <w:rPr>
          <w:shd w:val="clear" w:color="auto" w:fill="FFFFFF"/>
        </w:rPr>
        <w:t>Analysing</w:t>
      </w:r>
      <w:proofErr w:type="spellEnd"/>
      <w:r>
        <w:rPr>
          <w:shd w:val="clear" w:color="auto" w:fill="FFFFFF"/>
        </w:rPr>
        <w:t xml:space="preserve"> the Impact of Financial Ratios on a Company’s Financial Performance.</w:t>
      </w:r>
      <w:proofErr w:type="gramEnd"/>
      <w:r>
        <w:rPr>
          <w:shd w:val="clear" w:color="auto" w:fill="FFFFFF"/>
        </w:rPr>
        <w:t> </w:t>
      </w:r>
      <w:proofErr w:type="gramStart"/>
      <w:r>
        <w:rPr>
          <w:i/>
          <w:iCs/>
          <w:shd w:val="clear" w:color="auto" w:fill="FFFFFF"/>
        </w:rPr>
        <w:t>International Journal of Management Excellence</w:t>
      </w:r>
      <w:r>
        <w:rPr>
          <w:shd w:val="clear" w:color="auto" w:fill="FFFFFF"/>
        </w:rPr>
        <w:t>, </w:t>
      </w:r>
      <w:r>
        <w:rPr>
          <w:i/>
          <w:iCs/>
          <w:shd w:val="clear" w:color="auto" w:fill="FFFFFF"/>
        </w:rPr>
        <w:t>13</w:t>
      </w:r>
      <w:r>
        <w:rPr>
          <w:shd w:val="clear" w:color="auto" w:fill="FFFFFF"/>
        </w:rPr>
        <w:t>(1), pp.1898-1903.</w:t>
      </w:r>
      <w:proofErr w:type="gramEnd"/>
    </w:p>
    <w:p w:rsidR="00D23547" w:rsidRDefault="00D23547" w:rsidP="00D23547">
      <w:pPr>
        <w:spacing w:before="240"/>
        <w:rPr>
          <w:shd w:val="clear" w:color="auto" w:fill="FFFFFF"/>
        </w:rPr>
      </w:pPr>
      <w:proofErr w:type="spellStart"/>
      <w:r>
        <w:rPr>
          <w:shd w:val="clear" w:color="auto" w:fill="FFFFFF"/>
        </w:rPr>
        <w:t>Lukic</w:t>
      </w:r>
      <w:proofErr w:type="spellEnd"/>
      <w:r>
        <w:rPr>
          <w:shd w:val="clear" w:color="auto" w:fill="FFFFFF"/>
        </w:rPr>
        <w:t xml:space="preserve">, R. and </w:t>
      </w:r>
      <w:proofErr w:type="spellStart"/>
      <w:r>
        <w:rPr>
          <w:shd w:val="clear" w:color="auto" w:fill="FFFFFF"/>
        </w:rPr>
        <w:t>Lalic</w:t>
      </w:r>
      <w:proofErr w:type="spellEnd"/>
      <w:r>
        <w:rPr>
          <w:shd w:val="clear" w:color="auto" w:fill="FFFFFF"/>
        </w:rPr>
        <w:t xml:space="preserve">, S., (2019). </w:t>
      </w:r>
      <w:proofErr w:type="spellStart"/>
      <w:proofErr w:type="gramStart"/>
      <w:r>
        <w:rPr>
          <w:shd w:val="clear" w:color="auto" w:fill="FFFFFF"/>
        </w:rPr>
        <w:t>Ebitda</w:t>
      </w:r>
      <w:proofErr w:type="spellEnd"/>
      <w:r>
        <w:rPr>
          <w:shd w:val="clear" w:color="auto" w:fill="FFFFFF"/>
        </w:rPr>
        <w:t xml:space="preserve"> margin analysis in food retail.</w:t>
      </w:r>
      <w:proofErr w:type="gramEnd"/>
      <w:r>
        <w:rPr>
          <w:shd w:val="clear" w:color="auto" w:fill="FFFFFF"/>
        </w:rPr>
        <w:t> </w:t>
      </w:r>
      <w:proofErr w:type="gramStart"/>
      <w:r>
        <w:rPr>
          <w:i/>
          <w:iCs/>
          <w:shd w:val="clear" w:color="auto" w:fill="FFFFFF"/>
        </w:rPr>
        <w:t>MASO International Journal of Food Science and Technology</w:t>
      </w:r>
      <w:r>
        <w:rPr>
          <w:shd w:val="clear" w:color="auto" w:fill="FFFFFF"/>
        </w:rPr>
        <w:t>, </w:t>
      </w:r>
      <w:r>
        <w:rPr>
          <w:i/>
          <w:iCs/>
          <w:shd w:val="clear" w:color="auto" w:fill="FFFFFF"/>
        </w:rPr>
        <w:t>2</w:t>
      </w:r>
      <w:r>
        <w:rPr>
          <w:shd w:val="clear" w:color="auto" w:fill="FFFFFF"/>
        </w:rPr>
        <w:t>, pp.91-97.</w:t>
      </w:r>
      <w:proofErr w:type="gramEnd"/>
    </w:p>
    <w:p w:rsidR="00D23547" w:rsidRDefault="00D23547" w:rsidP="00D23547">
      <w:pPr>
        <w:spacing w:before="240"/>
        <w:rPr>
          <w:shd w:val="clear" w:color="auto" w:fill="FFFFFF"/>
        </w:rPr>
      </w:pPr>
      <w:proofErr w:type="spellStart"/>
      <w:r>
        <w:rPr>
          <w:shd w:val="clear" w:color="auto" w:fill="FFFFFF"/>
        </w:rPr>
        <w:t>McCosker</w:t>
      </w:r>
      <w:proofErr w:type="spellEnd"/>
      <w:r>
        <w:rPr>
          <w:shd w:val="clear" w:color="auto" w:fill="FFFFFF"/>
        </w:rPr>
        <w:t xml:space="preserve">, P., (2021). </w:t>
      </w:r>
      <w:proofErr w:type="gramStart"/>
      <w:r>
        <w:rPr>
          <w:shd w:val="clear" w:color="auto" w:fill="FFFFFF"/>
        </w:rPr>
        <w:t>Interpretation of Financial Statements.</w:t>
      </w:r>
      <w:proofErr w:type="gramEnd"/>
      <w:r>
        <w:rPr>
          <w:shd w:val="clear" w:color="auto" w:fill="FFFFFF"/>
        </w:rPr>
        <w:t xml:space="preserve"> In </w:t>
      </w:r>
      <w:r>
        <w:rPr>
          <w:i/>
          <w:iCs/>
          <w:shd w:val="clear" w:color="auto" w:fill="FFFFFF"/>
        </w:rPr>
        <w:t>Financial and Managerial Aspects in Human Resource Management: A Practical Guide</w:t>
      </w:r>
      <w:r>
        <w:rPr>
          <w:shd w:val="clear" w:color="auto" w:fill="FFFFFF"/>
        </w:rPr>
        <w:t>. Emerald Publishing Limited.</w:t>
      </w:r>
    </w:p>
    <w:p w:rsidR="00D23547" w:rsidRDefault="00D23547" w:rsidP="00D23547">
      <w:pPr>
        <w:spacing w:before="240"/>
        <w:rPr>
          <w:shd w:val="clear" w:color="auto" w:fill="FFFFFF"/>
        </w:rPr>
      </w:pPr>
      <w:proofErr w:type="spellStart"/>
      <w:r>
        <w:rPr>
          <w:shd w:val="clear" w:color="auto" w:fill="FFFFFF"/>
        </w:rPr>
        <w:t>Pandey</w:t>
      </w:r>
      <w:proofErr w:type="spellEnd"/>
      <w:r>
        <w:rPr>
          <w:shd w:val="clear" w:color="auto" w:fill="FFFFFF"/>
        </w:rPr>
        <w:t>, A., (2015). Earnings per share or book value: superior value driver in equity valuations. </w:t>
      </w:r>
      <w:proofErr w:type="gramStart"/>
      <w:r>
        <w:rPr>
          <w:i/>
          <w:iCs/>
          <w:shd w:val="clear" w:color="auto" w:fill="FFFFFF"/>
        </w:rPr>
        <w:t>IIMS Journal of Management Science</w:t>
      </w:r>
      <w:r>
        <w:rPr>
          <w:shd w:val="clear" w:color="auto" w:fill="FFFFFF"/>
        </w:rPr>
        <w:t>, </w:t>
      </w:r>
      <w:r>
        <w:rPr>
          <w:i/>
          <w:iCs/>
          <w:shd w:val="clear" w:color="auto" w:fill="FFFFFF"/>
        </w:rPr>
        <w:t>6</w:t>
      </w:r>
      <w:r>
        <w:rPr>
          <w:shd w:val="clear" w:color="auto" w:fill="FFFFFF"/>
        </w:rPr>
        <w:t>(1), pp.1-8.</w:t>
      </w:r>
      <w:proofErr w:type="gramEnd"/>
    </w:p>
    <w:p w:rsidR="00D23547" w:rsidRDefault="00D23547" w:rsidP="00D23547">
      <w:pPr>
        <w:spacing w:before="240"/>
        <w:rPr>
          <w:shd w:val="clear" w:color="auto" w:fill="FFFFFF"/>
        </w:rPr>
      </w:pPr>
      <w:proofErr w:type="spellStart"/>
      <w:proofErr w:type="gramStart"/>
      <w:r>
        <w:rPr>
          <w:shd w:val="clear" w:color="auto" w:fill="FFFFFF"/>
        </w:rPr>
        <w:t>Perera</w:t>
      </w:r>
      <w:proofErr w:type="spellEnd"/>
      <w:r>
        <w:rPr>
          <w:shd w:val="clear" w:color="auto" w:fill="FFFFFF"/>
        </w:rPr>
        <w:t xml:space="preserve">, W. and </w:t>
      </w:r>
      <w:proofErr w:type="spellStart"/>
      <w:r>
        <w:rPr>
          <w:shd w:val="clear" w:color="auto" w:fill="FFFFFF"/>
        </w:rPr>
        <w:t>Priyashantha</w:t>
      </w:r>
      <w:proofErr w:type="spellEnd"/>
      <w:r>
        <w:rPr>
          <w:shd w:val="clear" w:color="auto" w:fill="FFFFFF"/>
        </w:rPr>
        <w:t>, P., (2018).</w:t>
      </w:r>
      <w:proofErr w:type="gramEnd"/>
      <w:r>
        <w:rPr>
          <w:shd w:val="clear" w:color="auto" w:fill="FFFFFF"/>
        </w:rPr>
        <w:t xml:space="preserve"> The Impact of Working Capital Management on Shareholders Wealth and Profitability: Evidence from Colombo Stock Exchange. </w:t>
      </w:r>
      <w:proofErr w:type="gramStart"/>
      <w:r>
        <w:rPr>
          <w:i/>
          <w:iCs/>
          <w:shd w:val="clear" w:color="auto" w:fill="FFFFFF"/>
        </w:rPr>
        <w:t>Available at SSRN 3178018</w:t>
      </w:r>
      <w:r>
        <w:rPr>
          <w:shd w:val="clear" w:color="auto" w:fill="FFFFFF"/>
        </w:rPr>
        <w:t>.</w:t>
      </w:r>
      <w:proofErr w:type="gramEnd"/>
    </w:p>
    <w:p w:rsidR="00D23547" w:rsidRDefault="00D23547" w:rsidP="00D23547">
      <w:pPr>
        <w:spacing w:before="240"/>
        <w:rPr>
          <w:shd w:val="clear" w:color="auto" w:fill="FFFFFF"/>
        </w:rPr>
      </w:pPr>
      <w:proofErr w:type="spellStart"/>
      <w:r>
        <w:rPr>
          <w:shd w:val="clear" w:color="auto" w:fill="FFFFFF"/>
        </w:rPr>
        <w:t>Purnamasari</w:t>
      </w:r>
      <w:proofErr w:type="spellEnd"/>
      <w:r>
        <w:rPr>
          <w:shd w:val="clear" w:color="auto" w:fill="FFFFFF"/>
        </w:rPr>
        <w:t>, D., (2015). The effect of changes in return on assets, return on equity, and economic value added to the stock price changes and its impact on earnings per share. </w:t>
      </w:r>
      <w:proofErr w:type="gramStart"/>
      <w:r>
        <w:rPr>
          <w:i/>
          <w:iCs/>
          <w:shd w:val="clear" w:color="auto" w:fill="FFFFFF"/>
        </w:rPr>
        <w:t>Research journal of finance and accounting</w:t>
      </w:r>
      <w:r>
        <w:rPr>
          <w:shd w:val="clear" w:color="auto" w:fill="FFFFFF"/>
        </w:rPr>
        <w:t>, </w:t>
      </w:r>
      <w:r>
        <w:rPr>
          <w:i/>
          <w:iCs/>
          <w:shd w:val="clear" w:color="auto" w:fill="FFFFFF"/>
        </w:rPr>
        <w:t>6</w:t>
      </w:r>
      <w:r>
        <w:rPr>
          <w:shd w:val="clear" w:color="auto" w:fill="FFFFFF"/>
        </w:rPr>
        <w:t>(6), pp.80-90.</w:t>
      </w:r>
      <w:proofErr w:type="gramEnd"/>
    </w:p>
    <w:sectPr w:rsidR="00D23547">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BatangChe">
    <w:panose1 w:val="02030609000101010101"/>
    <w:charset w:val="81"/>
    <w:family w:val="modern"/>
    <w:pitch w:val="fixed"/>
    <w:sig w:usb0="B00002AF" w:usb1="69D77CFB" w:usb2="00000030" w:usb3="00000000" w:csb0="0008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6A619A"/>
    <w:multiLevelType w:val="hybridMultilevel"/>
    <w:tmpl w:val="DDC4222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AB904BF"/>
    <w:multiLevelType w:val="hybridMultilevel"/>
    <w:tmpl w:val="CBAC310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20"/>
  <w:characterSpacingControl w:val="doNotCompress"/>
  <w:compat>
    <w:useFELayout/>
  </w:compat>
  <w:rsids>
    <w:rsidRoot w:val="00930715"/>
    <w:rsid w:val="00074EC1"/>
    <w:rsid w:val="000B3C71"/>
    <w:rsid w:val="000B5F0F"/>
    <w:rsid w:val="000B68B4"/>
    <w:rsid w:val="001171C3"/>
    <w:rsid w:val="00131F2A"/>
    <w:rsid w:val="00161169"/>
    <w:rsid w:val="001A19D9"/>
    <w:rsid w:val="001B61F7"/>
    <w:rsid w:val="001B67E3"/>
    <w:rsid w:val="002101DE"/>
    <w:rsid w:val="002123E3"/>
    <w:rsid w:val="002329FA"/>
    <w:rsid w:val="002B1A62"/>
    <w:rsid w:val="002D1BFC"/>
    <w:rsid w:val="002E44BA"/>
    <w:rsid w:val="00300F3F"/>
    <w:rsid w:val="00372C70"/>
    <w:rsid w:val="00376F47"/>
    <w:rsid w:val="003E0ED6"/>
    <w:rsid w:val="004102DE"/>
    <w:rsid w:val="00450223"/>
    <w:rsid w:val="00496370"/>
    <w:rsid w:val="00540DE5"/>
    <w:rsid w:val="0056078D"/>
    <w:rsid w:val="006413F0"/>
    <w:rsid w:val="0065188A"/>
    <w:rsid w:val="00761062"/>
    <w:rsid w:val="00777724"/>
    <w:rsid w:val="0078071E"/>
    <w:rsid w:val="00831E55"/>
    <w:rsid w:val="00857480"/>
    <w:rsid w:val="00866BE5"/>
    <w:rsid w:val="00871882"/>
    <w:rsid w:val="008965F6"/>
    <w:rsid w:val="0092227C"/>
    <w:rsid w:val="00930715"/>
    <w:rsid w:val="0097038A"/>
    <w:rsid w:val="009713DD"/>
    <w:rsid w:val="00983C4D"/>
    <w:rsid w:val="00984DD5"/>
    <w:rsid w:val="009F7710"/>
    <w:rsid w:val="00A90E75"/>
    <w:rsid w:val="00AF73A8"/>
    <w:rsid w:val="00B20357"/>
    <w:rsid w:val="00B67334"/>
    <w:rsid w:val="00C413FC"/>
    <w:rsid w:val="00C573BD"/>
    <w:rsid w:val="00CE52CC"/>
    <w:rsid w:val="00D23547"/>
    <w:rsid w:val="00D73A2D"/>
    <w:rsid w:val="00D75CCB"/>
    <w:rsid w:val="00DA7A85"/>
    <w:rsid w:val="00DD20A9"/>
    <w:rsid w:val="00DE56C8"/>
    <w:rsid w:val="00E53248"/>
    <w:rsid w:val="00EA40A5"/>
    <w:rsid w:val="00EB3F90"/>
    <w:rsid w:val="00EC19EB"/>
    <w:rsid w:val="00F37E83"/>
    <w:rsid w:val="00F407BA"/>
    <w:rsid w:val="00F47E33"/>
    <w:rsid w:val="00F7643B"/>
    <w:rsid w:val="00FF78C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071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E44BA"/>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2E44BA"/>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078D"/>
    <w:pPr>
      <w:ind w:left="720"/>
      <w:contextualSpacing/>
    </w:pPr>
  </w:style>
  <w:style w:type="table" w:styleId="TableGrid">
    <w:name w:val="Table Grid"/>
    <w:basedOn w:val="TableNormal"/>
    <w:uiPriority w:val="59"/>
    <w:rsid w:val="00EB3F9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2E44BA"/>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2E44BA"/>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1A19D9"/>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1A19D9"/>
    <w:pPr>
      <w:spacing w:after="100"/>
    </w:pPr>
  </w:style>
  <w:style w:type="paragraph" w:styleId="TOC2">
    <w:name w:val="toc 2"/>
    <w:basedOn w:val="Normal"/>
    <w:next w:val="Normal"/>
    <w:autoRedefine/>
    <w:uiPriority w:val="39"/>
    <w:unhideWhenUsed/>
    <w:rsid w:val="001A19D9"/>
    <w:pPr>
      <w:spacing w:after="100"/>
      <w:ind w:left="240"/>
    </w:pPr>
  </w:style>
  <w:style w:type="character" w:styleId="Hyperlink">
    <w:name w:val="Hyperlink"/>
    <w:basedOn w:val="DefaultParagraphFont"/>
    <w:uiPriority w:val="99"/>
    <w:unhideWhenUsed/>
    <w:rsid w:val="001A19D9"/>
    <w:rPr>
      <w:color w:val="0000FF" w:themeColor="hyperlink"/>
      <w:u w:val="single"/>
    </w:rPr>
  </w:style>
  <w:style w:type="paragraph" w:styleId="BalloonText">
    <w:name w:val="Balloon Text"/>
    <w:basedOn w:val="Normal"/>
    <w:link w:val="BalloonTextChar"/>
    <w:uiPriority w:val="99"/>
    <w:semiHidden/>
    <w:unhideWhenUsed/>
    <w:rsid w:val="001A19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19D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774058969">
      <w:bodyDiv w:val="1"/>
      <w:marLeft w:val="0"/>
      <w:marRight w:val="0"/>
      <w:marTop w:val="0"/>
      <w:marBottom w:val="0"/>
      <w:divBdr>
        <w:top w:val="none" w:sz="0" w:space="0" w:color="auto"/>
        <w:left w:val="none" w:sz="0" w:space="0" w:color="auto"/>
        <w:bottom w:val="none" w:sz="0" w:space="0" w:color="auto"/>
        <w:right w:val="none" w:sz="0" w:space="0" w:color="auto"/>
      </w:divBdr>
    </w:div>
    <w:div w:id="1946571521">
      <w:bodyDiv w:val="1"/>
      <w:marLeft w:val="0"/>
      <w:marRight w:val="0"/>
      <w:marTop w:val="0"/>
      <w:marBottom w:val="0"/>
      <w:divBdr>
        <w:top w:val="none" w:sz="0" w:space="0" w:color="auto"/>
        <w:left w:val="none" w:sz="0" w:space="0" w:color="auto"/>
        <w:bottom w:val="none" w:sz="0" w:space="0" w:color="auto"/>
        <w:right w:val="none" w:sz="0" w:space="0" w:color="auto"/>
      </w:divBdr>
    </w:div>
    <w:div w:id="1963069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0E8EF8-BD56-4D95-A167-13D5E9182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9</Pages>
  <Words>1885</Words>
  <Characters>10750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2021-08-27T09:23:00Z</dcterms:created>
  <dcterms:modified xsi:type="dcterms:W3CDTF">2021-08-27T12:53:00Z</dcterms:modified>
</cp:coreProperties>
</file>