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ackground w:color="F6C5AC"/>
  <w:body>
    <w:p>
      <w:pPr>
        <w:jc w:val="both"/>
        <w:rPr>
          <w:b/>
          <w:bCs/>
          <w:sz w:val="28"/>
          <w:szCs w:val="28"/>
        </w:rPr>
      </w:pPr>
      <w:r>
        <w:rPr>
          <w:b/>
          <w:bCs/>
          <w:sz w:val="28"/>
          <w:szCs w:val="28"/>
        </w:rPr>
        <w:t xml:space="preserve">NAME OF PROGRAME : MSC PUBLIC HEALTH AND SOCIAL CARE IN PRATICE </w:t>
      </w:r>
    </w:p>
    <w:p>
      <w:pPr>
        <w:jc w:val="both"/>
        <w:rPr>
          <w:b/>
          <w:bCs/>
          <w:sz w:val="28"/>
          <w:szCs w:val="28"/>
        </w:rPr>
      </w:pPr>
      <w:r>
        <w:rPr>
          <w:b/>
          <w:bCs/>
          <w:sz w:val="28"/>
          <w:szCs w:val="28"/>
        </w:rPr>
        <w:t>NAME OF MODULE : POPULATION HEALTH AND DIGITIAL HEALTH PROMOTION</w:t>
      </w:r>
    </w:p>
    <w:p>
      <w:pPr>
        <w:jc w:val="both"/>
        <w:rPr>
          <w:b/>
          <w:bCs/>
          <w:sz w:val="28"/>
          <w:szCs w:val="28"/>
        </w:rPr>
      </w:pPr>
      <w:r>
        <w:rPr>
          <w:b/>
          <w:bCs/>
          <w:sz w:val="28"/>
          <w:szCs w:val="28"/>
        </w:rPr>
        <w:t xml:space="preserve">LECTURER </w:t>
      </w:r>
      <w:bookmarkStart w:id="0" w:name="_Int_K2MDfUBA"/>
      <w:r>
        <w:rPr>
          <w:b/>
          <w:bCs/>
          <w:sz w:val="28"/>
          <w:szCs w:val="28"/>
        </w:rPr>
        <w:t>NAME :</w:t>
      </w:r>
      <w:bookmarkEnd w:id="0"/>
      <w:r>
        <w:rPr>
          <w:b/>
          <w:bCs/>
          <w:sz w:val="28"/>
          <w:szCs w:val="28"/>
        </w:rPr>
        <w:t xml:space="preserve"> DR PING WU</w:t>
      </w:r>
    </w:p>
    <w:p>
      <w:pPr>
        <w:jc w:val="both"/>
        <w:rPr>
          <w:b/>
          <w:bCs/>
          <w:sz w:val="28"/>
          <w:szCs w:val="28"/>
        </w:rPr>
      </w:pPr>
      <w:r>
        <w:rPr>
          <w:b/>
          <w:bCs/>
          <w:sz w:val="28"/>
          <w:szCs w:val="28"/>
        </w:rPr>
        <w:t>NAME OF STUDENT : VIDHI PATEL</w:t>
      </w:r>
    </w:p>
    <w:p>
      <w:r>
        <w:rPr>
          <w:b/>
          <w:bCs/>
          <w:sz w:val="28"/>
          <w:szCs w:val="28"/>
        </w:rPr>
        <w:t>STUDENT ID : 2523554</w:t>
      </w:r>
    </w:p>
    <w:p>
      <w:pPr>
        <w:rPr>
          <w:b/>
          <w:bCs/>
          <w:sz w:val="28"/>
          <w:szCs w:val="28"/>
        </w:rPr>
      </w:pPr>
    </w:p>
    <w:p>
      <w:pPr>
        <w:rPr>
          <w:b/>
          <w:bCs/>
          <w:sz w:val="28"/>
          <w:szCs w:val="28"/>
        </w:rPr>
      </w:pPr>
    </w:p>
    <w:p>
      <w:r>
        <w:drawing>
          <wp:inline distT="0" distB="0" distL="0" distR="0">
            <wp:extent cx="4200525" cy="2328834"/>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4"/>
                    <a:stretch>
                      <a:fillRect/>
                    </a:stretch>
                  </pic:blipFill>
                  <pic:spPr>
                    <a:xfrm rot="0">
                      <a:off x="0" y="0"/>
                      <a:ext cx="4200525" cy="2328834"/>
                    </a:xfrm>
                    <a:prstGeom prst="rect"/>
                    <a:noFill/>
                    <a:ln w="12700" cmpd="sng" cap="flat">
                      <a:noFill/>
                      <a:prstDash val="solid"/>
                      <a:miter/>
                    </a:ln>
                  </pic:spPr>
                </pic:pic>
              </a:graphicData>
            </a:graphic>
          </wp:inline>
        </w:drawing>
      </w:r>
    </w:p>
    <w:p>
      <w:pPr>
        <w:rPr>
          <w:b/>
          <w:bCs/>
          <w:sz w:val="28"/>
          <w:szCs w:val="28"/>
        </w:rPr>
      </w:pPr>
    </w:p>
    <w:p>
      <w:pPr>
        <w:jc w:val="both"/>
        <w:rPr>
          <w:b/>
          <w:bCs/>
        </w:rPr>
      </w:pPr>
    </w:p>
    <w:p>
      <w:pPr>
        <w:rPr>
          <w:rFonts w:ascii="Aptos" w:eastAsia="Aptos" w:cs="Aptos" w:hAnsi="Aptos"/>
        </w:rPr>
      </w:pPr>
      <w:bookmarkStart w:id="1" w:name="_GoBack"/>
      <w:bookmarkEnd w:id="1"/>
      <w:r>
        <w:rPr>
          <w:b/>
          <w:bCs/>
          <w:sz w:val="32"/>
          <w:szCs w:val="32"/>
        </w:rPr>
        <w:t>Blog 1 :</w:t>
      </w:r>
      <w:r>
        <w:rPr>
          <w:rFonts w:ascii="Arial" w:eastAsia="Arial" w:cs="Arial" w:hAnsi="Arial"/>
          <w:b/>
          <w:bCs/>
          <w:color w:val="000000"/>
          <w:sz w:val="32"/>
          <w:szCs w:val="32"/>
        </w:rPr>
        <w:t xml:space="preserve"> Staying Safe and Independent: Memory Support Apps and GPS Trackers in Dementia Care</w:t>
      </w:r>
    </w:p>
    <w:p>
      <w:pPr>
        <w:rPr>
          <w:b/>
          <w:bCs/>
        </w:rPr>
      </w:pPr>
    </w:p>
    <w:p>
      <w:r>
        <w:rPr>
          <w:b/>
          <w:bCs/>
        </w:rPr>
        <w:t>Introduction</w:t>
      </w:r>
    </w:p>
    <w:p>
      <w:r>
        <w:t>Dementia is a progressive condition that affects memory, thinking, communication and the ability to complete everyday activities. It is a major public health concern because it increases disability, dependence on caregivers and demand for health and social care services. More than 55 million people worldwide are living with dementia, and the number continues to increase as populations age (World Health Organization, 2023). This blog critically examines how memory-support applications and GPS trackers promote safety, independence and wellbeing among people living with dementia.</w:t>
      </w:r>
    </w:p>
    <w:p/>
    <w:p>
      <w:r>
        <w:rPr>
          <w:b/>
          <w:bCs/>
        </w:rPr>
        <w:t>Why Is Dementia a Public Health Concern?</w:t>
      </w:r>
    </w:p>
    <w:p>
      <w:r>
        <w:rPr>
          <w:lang w:val="en-US"/>
        </w:rPr>
        <w:t>Dementia affects not only individuals but also families, caregivers and healthcare systems. In the UK, around one million people are estimated to be living with dementia, and this number is expected to increase substantially in the coming decades (Alzheimer’s Society, 2024). Memory loss and disorientation can cause people to miss medication, forget appointments or become lost outside their homes. These risks may result in injury, emergency service use, hospital admission and increased caregiver stress.</w:t>
      </w:r>
    </w:p>
    <w:p>
      <w:r>
        <w:drawing>
          <wp:inline distT="0" distB="0" distL="0" distR="0">
            <wp:extent cx="2835798" cy="1554271"/>
            <wp:effectExtent l="0" t="0" r="0" b="0"/>
            <wp:docPr id="4" name="图片 4" descr="Generated image: Dementia statistics: global and UK insights"/>
            <wp:cNvGraphicFramePr>
              <a:graphicFrameLocks noChangeAspect="1"/>
            </wp:cNvGraphicFramePr>
            <a:graphic>
              <a:graphicData uri="http://schemas.openxmlformats.org/drawingml/2006/picture">
                <pic:pic>
                  <pic:nvPicPr>
                    <pic:cNvPr id="6" name="图片 6"/>
                    <pic:cNvPicPr/>
                  </pic:nvPicPr>
                  <pic:blipFill>
                    <a:blip r:embed="rId5"/>
                    <a:srcRect t="14346" b="19662" l="2891" r="3381"/>
                    <a:stretch>
                      <a:fillRect/>
                    </a:stretch>
                  </pic:blipFill>
                  <pic:spPr>
                    <a:xfrm rot="0">
                      <a:off x="0" y="0"/>
                      <a:ext cx="2835798" cy="1554271"/>
                    </a:xfrm>
                    <a:prstGeom prst="rect"/>
                    <a:noFill/>
                    <a:ln w="12700" cmpd="sng" cap="flat">
                      <a:noFill/>
                      <a:prstDash val="solid"/>
                      <a:miter/>
                    </a:ln>
                  </pic:spPr>
                </pic:pic>
              </a:graphicData>
            </a:graphic>
          </wp:inline>
        </w:drawing>
      </w:r>
    </w:p>
    <w:p>
      <w:r>
        <w:rPr>
          <w:lang w:val="en-US"/>
        </w:rPr>
        <w:t>Figure 1. Global and UK dementia statistics (World Health Organization, 2023; Alzheimer's Society, 2024).</w:t>
      </w:r>
    </w:p>
    <w:p/>
    <w:p>
      <w:pPr>
        <w:rPr>
          <w:b/>
          <w:bCs/>
        </w:rPr>
      </w:pPr>
    </w:p>
    <w:p>
      <w:r>
        <w:rPr>
          <w:b/>
          <w:bCs/>
        </w:rPr>
        <w:t>How Do Memory Apps and GPS Trackers Work?</w:t>
      </w:r>
    </w:p>
    <w:p>
      <w:r>
        <w:t>Memory-support applications provide reminders for medication, appointments, meals and daily activities. They may include digital calendars, voice prompts, photographs and personalised alerts. These tools support self-management and help people maintain familiar routines.</w:t>
      </w:r>
    </w:p>
    <w:p>
      <w:r>
        <w:t>GPS trackers are available as smartwatches, pendants, mobile applications or wearable devices. They allow authorised caregivers to locate a person who becomes lost. Some devices use geofencing, which sends an alert when the user leaves a predetermined safe area (Neubauer et al., 2018).</w:t>
      </w:r>
    </w:p>
    <w:p>
      <w:pPr>
        <w:rPr>
          <w:b/>
          <w:bCs/>
        </w:rPr>
      </w:pPr>
    </w:p>
    <w:p>
      <w:r>
        <w:rPr>
          <w:b/>
          <w:bCs/>
        </w:rPr>
        <w:t>What Does the Evidence Show?</w:t>
      </w:r>
    </w:p>
    <w:p>
      <w:r>
        <w:t xml:space="preserve">Research indicates that assistive technologies can support daily activities, safety and independence among people living with dementia. Memory aids may help users follow routines and remember important tasks, while GPS devices may reduce the time required to locate someone who has become lost (Meiland et al., 2017). Digital interventions can also provide reassurance to caregivers and may help people remain safely at home for longer rather than moving prematurely into residential care. </w:t>
      </w:r>
      <w:r>
        <w:drawing>
          <wp:inline distT="0" distB="0" distL="0" distR="0">
            <wp:extent cx="2279904" cy="1597404"/>
            <wp:effectExtent l="0" t="0" r="0" b="0"/>
            <wp:docPr id="7" name="图片 7" descr="Evidence-based digital tools for dementia care"/>
            <wp:cNvGraphicFramePr>
              <a:graphicFrameLocks noChangeAspect="1"/>
            </wp:cNvGraphicFramePr>
            <a:graphic>
              <a:graphicData uri="http://schemas.openxmlformats.org/drawingml/2006/picture">
                <pic:pic>
                  <pic:nvPicPr>
                    <pic:cNvPr id="9" name="图片 9"/>
                    <pic:cNvPicPr/>
                  </pic:nvPicPr>
                  <pic:blipFill>
                    <a:blip r:embed="rId6"/>
                    <a:srcRect t="12259" b="15559" l="2785" r="3245"/>
                    <a:stretch>
                      <a:fillRect/>
                    </a:stretch>
                  </pic:blipFill>
                  <pic:spPr>
                    <a:xfrm rot="0">
                      <a:off x="0" y="0"/>
                      <a:ext cx="2279904" cy="1597404"/>
                    </a:xfrm>
                    <a:prstGeom prst="rect"/>
                    <a:noFill/>
                    <a:ln w="12700" cmpd="sng" cap="flat">
                      <a:noFill/>
                      <a:prstDash val="solid"/>
                      <a:miter/>
                    </a:ln>
                  </pic:spPr>
                </pic:pic>
              </a:graphicData>
            </a:graphic>
          </wp:inline>
        </w:drawing>
      </w:r>
    </w:p>
    <w:p>
      <w:r>
        <w:rPr>
          <w:lang w:val="en-US"/>
        </w:rPr>
        <w:t>Figure 2. Benefits of digital technologies for dementia care (Boots </w:t>
      </w:r>
      <w:r>
        <w:rPr>
          <w:i/>
          <w:iCs/>
          <w:lang w:val="en-US"/>
        </w:rPr>
        <w:t>et al</w:t>
      </w:r>
      <w:r>
        <w:rPr>
          <w:lang w:val="en-US"/>
        </w:rPr>
        <w:t>., 2021; Neubauer </w:t>
      </w:r>
      <w:r>
        <w:rPr>
          <w:i/>
          <w:iCs/>
          <w:lang w:val="en-US"/>
        </w:rPr>
        <w:t>et al</w:t>
      </w:r>
      <w:r>
        <w:rPr>
          <w:lang w:val="en-US"/>
        </w:rPr>
        <w:t>., 2018; Lauriks </w:t>
      </w:r>
      <w:r>
        <w:rPr>
          <w:i/>
          <w:iCs/>
          <w:lang w:val="en-US"/>
        </w:rPr>
        <w:t>et al</w:t>
      </w:r>
      <w:r>
        <w:rPr>
          <w:lang w:val="en-US"/>
        </w:rPr>
        <w:t>., 2021).</w:t>
      </w:r>
    </w:p>
    <w:p/>
    <w:p>
      <w:pPr>
        <w:rPr>
          <w:b/>
          <w:bCs/>
        </w:rPr>
      </w:pPr>
    </w:p>
    <w:p>
      <w:r>
        <w:rPr>
          <w:b/>
          <w:bCs/>
        </w:rPr>
        <w:t>Advantages and Limitations</w:t>
      </w:r>
    </w:p>
    <w:p>
      <w:r>
        <w:t xml:space="preserve">Memory-support apps and GPS trackers can promote independence, safety and confidence. They may reduce missed medication, support everyday routines and allow caregivers to respond more quickly during emergencies. Remote monitoring can also reduce caregiver anxiety and support ageing in place. </w:t>
      </w:r>
      <w:r>
        <w:rPr>
          <w:lang w:val="en-US"/>
        </w:rPr>
        <w:t>The benefits of digital technology are not experienced equally. Some people with dementia may have difficulty using smartphones because of cognitive impairment, poor eyesight or limited digital skills.</w:t>
      </w:r>
    </w:p>
    <w:p>
      <w:r>
        <w:rPr>
          <w:b/>
          <w:bCs/>
        </w:rPr>
        <w:t>How Can the Technology Be Improved?</w:t>
      </w:r>
    </w:p>
    <w:p>
      <w:r>
        <w:t xml:space="preserve">Devices should be designed with simple menus, large icons, voice instructions and long battery life. People with dementia and caregivers should receive training before using the technology. Consent and data-sharing arrangements should be reviewed regularly, particularly as dementia progresses. </w:t>
      </w:r>
    </w:p>
    <w:p>
      <w:pPr>
        <w:rPr>
          <w:b/>
          <w:bCs/>
        </w:rPr>
      </w:pPr>
    </w:p>
    <w:p>
      <w:r>
        <w:rPr>
          <w:b/>
          <w:bCs/>
        </w:rPr>
        <w:t>Conclusion</w:t>
      </w:r>
    </w:p>
    <w:p>
      <w:r>
        <w:t>Memory-support applications and GPS trackers can improve safety, support independence and reduce caregiver anxiety among people living with dementia. However, their effectiveness depends on usability, affordability, consent and reliable technical performance. These technologies should complement rather than replace professional care, family support and meaningful human interaction.</w:t>
      </w:r>
    </w:p>
    <w:p>
      <w:pPr>
        <w:rPr>
          <w:b/>
          <w:bCs/>
          <w:lang w:val="en-US"/>
        </w:rPr>
      </w:pPr>
    </w:p>
    <w:p>
      <w:pPr>
        <w:rPr>
          <w:b/>
          <w:bCs/>
          <w:lang w:val="en-US"/>
        </w:rPr>
      </w:pPr>
    </w:p>
    <w:p>
      <w:pPr>
        <w:rPr>
          <w:b/>
          <w:bCs/>
          <w:lang w:val="en-US"/>
        </w:rPr>
      </w:pPr>
    </w:p>
    <w:p>
      <w:r>
        <w:rPr>
          <w:b/>
          <w:bCs/>
          <w:lang w:val="en-US"/>
        </w:rPr>
        <w:t>References</w:t>
      </w:r>
    </w:p>
    <w:p>
      <w:r>
        <w:rPr>
          <w:lang w:val="en-US"/>
        </w:rPr>
        <w:t>Alzheimer’s Society (2024) </w:t>
      </w:r>
      <w:r>
        <w:rPr>
          <w:i/>
          <w:iCs/>
          <w:lang w:val="en-US"/>
        </w:rPr>
        <w:t>Dementia UK: Overview and statistics</w:t>
      </w:r>
      <w:r>
        <w:rPr>
          <w:lang w:val="en-US"/>
        </w:rPr>
        <w:t>. London: Alzheimer’s Society.</w:t>
      </w:r>
    </w:p>
    <w:p>
      <w:r>
        <w:rPr>
          <w:lang w:val="en-US"/>
        </w:rPr>
        <w:t>Meiland, F., Innes, A., Mountain, G., Robinson, L., van der Roest, H., García-Casal, J.A., Gove, D., Thyrian, J.R., Evans, S., Dröes, R.M. and Franco-Martin, M. (2017) ‘Technologies to support community-dwelling persons with dementia: A position paper on issues regarding development, usability, effectiveness and cost-effectiveness’, </w:t>
      </w:r>
      <w:r>
        <w:rPr>
          <w:i/>
          <w:iCs/>
          <w:lang w:val="en-US"/>
        </w:rPr>
        <w:t>Journal of Medical Internet Research</w:t>
      </w:r>
      <w:r>
        <w:rPr>
          <w:lang w:val="en-US"/>
        </w:rPr>
        <w:t>, 19(1), e1.</w:t>
      </w:r>
    </w:p>
    <w:p>
      <w:pPr>
        <w:rPr>
          <w:lang w:val="en-US"/>
        </w:rPr>
      </w:pPr>
      <w:r>
        <w:rPr>
          <w:lang w:val="en-US"/>
        </w:rPr>
        <w:t>Neubauer, N.A., Azad-Khaneghah, P., Miguel-Cruz, A. and Liu, L. (2018) ‘What do we know about technologies for dementia-</w:t>
      </w:r>
    </w:p>
    <w:p>
      <w:r>
        <w:rPr>
          <w:lang w:val="en-US"/>
        </w:rPr>
        <w:t>related wandering? A scoping review’, </w:t>
      </w:r>
      <w:r>
        <w:rPr>
          <w:i/>
          <w:iCs/>
          <w:lang w:val="en-US"/>
        </w:rPr>
        <w:t>Canadian Journal of Occupational Therapy</w:t>
      </w:r>
      <w:r>
        <w:rPr>
          <w:lang w:val="en-US"/>
        </w:rPr>
        <w:t>, 85(3), pp. 196–208.</w:t>
      </w:r>
    </w:p>
    <w:p>
      <w:r>
        <w:rPr>
          <w:lang w:val="en-US"/>
        </w:rPr>
        <w:t>Nuffield Council on Bioethics (2009) </w:t>
      </w:r>
      <w:r>
        <w:rPr>
          <w:i/>
          <w:iCs/>
          <w:lang w:val="en-US"/>
        </w:rPr>
        <w:t>Dementia: Ethical issues</w:t>
      </w:r>
      <w:r>
        <w:rPr>
          <w:lang w:val="en-US"/>
        </w:rPr>
        <w:t>. London: Nuffield Council on Bioethics.</w:t>
      </w:r>
    </w:p>
    <w:p>
      <w:r>
        <w:rPr>
          <w:lang w:val="en-US"/>
        </w:rPr>
        <w:t>World Health Organization (2023) </w:t>
      </w:r>
      <w:r>
        <w:rPr>
          <w:i/>
          <w:iCs/>
          <w:lang w:val="en-US"/>
        </w:rPr>
        <w:t>Dementia</w:t>
      </w:r>
      <w:r>
        <w:rPr>
          <w:lang w:val="en-US"/>
        </w:rPr>
        <w:t>. Geneva: World Health Organization.</w:t>
      </w:r>
    </w:p>
    <w:p/>
    <w:p>
      <w:pPr>
        <w:pStyle w:val="1"/>
        <w:rPr>
          <w:rFonts w:ascii="Aptos" w:eastAsia="Aptos" w:cs="Aptos" w:hAnsi="Aptos"/>
          <w:b/>
          <w:bCs/>
          <w:color w:val="000000"/>
          <w:sz w:val="32"/>
          <w:szCs w:val="32"/>
        </w:rPr>
      </w:pPr>
      <w:r>
        <w:rPr>
          <w:rFonts w:ascii="Aptos" w:eastAsia="Aptos" w:cs="Aptos" w:hAnsi="Aptos"/>
          <w:b/>
          <w:bCs/>
          <w:color w:val="000000"/>
          <w:sz w:val="32"/>
          <w:szCs w:val="32"/>
        </w:rPr>
        <w:t>BLOG 2</w:t>
      </w:r>
    </w:p>
    <w:p>
      <w:pPr>
        <w:pStyle w:val="1"/>
        <w:spacing w:before="322" w:after="322"/>
        <w:rPr>
          <w:rFonts w:ascii="Aptos" w:eastAsia="Aptos" w:cs="Aptos" w:hAnsi="Aptos"/>
          <w:b/>
          <w:bCs/>
          <w:color w:val="000000"/>
          <w:sz w:val="32"/>
          <w:szCs w:val="32"/>
        </w:rPr>
      </w:pPr>
      <w:r>
        <w:rPr>
          <w:rFonts w:ascii="Aptos" w:eastAsia="Aptos" w:cs="Aptos" w:hAnsi="Aptos"/>
          <w:b/>
          <w:bCs/>
          <w:color w:val="000000"/>
          <w:sz w:val="32"/>
          <w:szCs w:val="32"/>
        </w:rPr>
        <w:t>DementiaCare+ AI: A Smart Digital Health Solution for Independent Dementia Care</w:t>
      </w:r>
    </w:p>
    <w:p>
      <w:pPr>
        <w:rPr>
          <w:rFonts w:ascii="Aptos" w:eastAsia="Aptos" w:cs="Aptos" w:hAnsi="Aptos"/>
          <w:b/>
          <w:bCs/>
          <w:color w:val="000000"/>
          <w:sz w:val="32"/>
          <w:szCs w:val="32"/>
        </w:rPr>
      </w:pPr>
    </w:p>
    <w:p>
      <w:pPr>
        <w:spacing w:before="240" w:after="240"/>
        <w:rPr>
          <w:rFonts w:ascii="Aptos" w:eastAsia="Aptos" w:cs="Aptos" w:hAnsi="Aptos"/>
          <w:b/>
          <w:bCs/>
        </w:rPr>
      </w:pPr>
      <w:r>
        <w:rPr>
          <w:rFonts w:ascii="Aptos" w:eastAsia="Aptos" w:cs="Aptos" w:hAnsi="Aptos"/>
          <w:b/>
          <w:bCs/>
        </w:rPr>
        <w:t>Introduction</w:t>
      </w:r>
    </w:p>
    <w:p>
      <w:pPr>
        <w:spacing w:before="240" w:after="240"/>
      </w:pPr>
      <w:r>
        <w:rPr>
          <w:rFonts w:ascii="Aptos" w:eastAsia="Aptos" w:cs="Aptos" w:hAnsi="Aptos"/>
        </w:rPr>
        <w:t xml:space="preserve">Dementia is one of the fastest-growing public health challenges worldwide, affecting more than </w:t>
      </w:r>
      <w:r>
        <w:rPr>
          <w:rFonts w:ascii="Aptos" w:eastAsia="Aptos" w:cs="Aptos" w:hAnsi="Aptos"/>
          <w:b/>
          <w:bCs/>
        </w:rPr>
        <w:t>57 million people</w:t>
      </w:r>
      <w:r>
        <w:rPr>
          <w:rFonts w:ascii="Aptos" w:eastAsia="Aptos" w:cs="Aptos" w:hAnsi="Aptos"/>
        </w:rPr>
        <w:t xml:space="preserve">, with nearly </w:t>
      </w:r>
      <w:r>
        <w:rPr>
          <w:rFonts w:ascii="Aptos" w:eastAsia="Aptos" w:cs="Aptos" w:hAnsi="Aptos"/>
          <w:b/>
          <w:bCs/>
        </w:rPr>
        <w:t>10 million new cases</w:t>
      </w:r>
      <w:r>
        <w:rPr>
          <w:rFonts w:ascii="Aptos" w:eastAsia="Aptos" w:cs="Aptos" w:hAnsi="Aptos"/>
        </w:rPr>
        <w:t xml:space="preserve"> each year (World Health Organization (WHO), 2023). In the UK, approximately </w:t>
      </w:r>
      <w:r>
        <w:rPr>
          <w:rFonts w:ascii="Aptos" w:eastAsia="Aptos" w:cs="Aptos" w:hAnsi="Aptos"/>
          <w:b/>
          <w:bCs/>
        </w:rPr>
        <w:t>982,000 people</w:t>
      </w:r>
      <w:r>
        <w:rPr>
          <w:rFonts w:ascii="Aptos" w:eastAsia="Aptos" w:cs="Aptos" w:hAnsi="Aptos"/>
        </w:rPr>
        <w:t xml:space="preserve"> are living with dementia, and this number is projected to increase to </w:t>
      </w:r>
      <w:r>
        <w:rPr>
          <w:rFonts w:ascii="Aptos" w:eastAsia="Aptos" w:cs="Aptos" w:hAnsi="Aptos"/>
          <w:b/>
          <w:bCs/>
        </w:rPr>
        <w:t>1.4 million by 2040</w:t>
      </w:r>
      <w:r>
        <w:rPr>
          <w:rFonts w:ascii="Aptos" w:eastAsia="Aptos" w:cs="Aptos" w:hAnsi="Aptos"/>
        </w:rPr>
        <w:t xml:space="preserve"> (Alzheimer's Society, 2024). Memory loss, wandering and medication errors reduce independence while increasing pressure on health and social care services. </w:t>
      </w:r>
    </w:p>
    <w:p>
      <w:pPr>
        <w:spacing w:before="240" w:after="240"/>
      </w:pPr>
      <w:r>
        <w:rPr>
          <w:rFonts w:ascii="Aptos" w:eastAsia="Aptos" w:cs="Aptos" w:hAnsi="Aptos"/>
        </w:rPr>
        <w:t>Innovative digital health technologies are therefore needed to promote safer and healthier ageing.</w:t>
      </w:r>
      <w:r>
        <w:drawing>
          <wp:inline distT="0" distB="0" distL="0" distR="0">
            <wp:extent cx="1396341" cy="2419741"/>
            <wp:effectExtent l="0" t="0" r="0" b="0"/>
            <wp:docPr id="10" name="图片 10"/>
            <wp:cNvGraphicFramePr>
              <a:graphicFrameLocks noChangeAspect="1"/>
            </wp:cNvGraphicFramePr>
            <a:graphic>
              <a:graphicData uri="http://schemas.openxmlformats.org/drawingml/2006/picture">
                <pic:pic>
                  <pic:nvPicPr>
                    <pic:cNvPr id="12" name="图片 12"/>
                    <pic:cNvPicPr/>
                  </pic:nvPicPr>
                  <pic:blipFill>
                    <a:blip r:embed="rId7"/>
                    <a:stretch>
                      <a:fillRect/>
                    </a:stretch>
                  </pic:blipFill>
                  <pic:spPr>
                    <a:xfrm rot="0">
                      <a:off x="0" y="0"/>
                      <a:ext cx="1396341" cy="2419741"/>
                    </a:xfrm>
                    <a:prstGeom prst="rect"/>
                    <a:noFill/>
                    <a:ln w="12700" cmpd="sng" cap="flat">
                      <a:noFill/>
                      <a:prstDash val="solid"/>
                      <a:miter/>
                    </a:ln>
                  </pic:spPr>
                </pic:pic>
              </a:graphicData>
            </a:graphic>
          </wp:inline>
        </w:drawing>
      </w:r>
    </w:p>
    <w:p>
      <w:pPr>
        <w:spacing w:before="240" w:after="240"/>
      </w:pPr>
      <w:r>
        <w:rPr>
          <w:rFonts w:ascii="Aptos" w:eastAsia="Aptos" w:cs="Aptos" w:hAnsi="Aptos"/>
          <w:i/>
          <w:iCs/>
        </w:rPr>
        <w:t>(WHO, 2023; Alzheimer's Society, 2024)</w:t>
      </w:r>
    </w:p>
    <w:p>
      <w:pPr>
        <w:spacing w:before="240" w:after="240"/>
      </w:pPr>
      <w:r>
        <w:rPr>
          <w:rFonts w:ascii="Aptos" w:eastAsia="Aptos" w:cs="Aptos" w:hAnsi="Aptos"/>
          <w:b/>
          <w:bCs/>
        </w:rPr>
        <w:t>Public Health Problems</w:t>
      </w:r>
    </w:p>
    <w:p>
      <w:pPr>
        <w:spacing w:before="240" w:after="240"/>
      </w:pPr>
      <w:r>
        <w:rPr>
          <w:rFonts w:ascii="Aptos" w:eastAsia="Aptos" w:cs="Aptos" w:hAnsi="Aptos"/>
        </w:rPr>
        <w:t>People living with dementia frequently experience:</w:t>
      </w:r>
    </w:p>
    <w:p>
      <w:pPr>
        <w:pStyle w:val="18"/>
        <w:numPr>
          <w:ilvl w:val="0"/>
          <w:numId w:val="1"/>
        </w:numPr>
        <w:spacing w:after="0"/>
        <w:rPr>
          <w:rFonts w:ascii="Aptos" w:eastAsia="Aptos" w:cs="Aptos" w:hAnsi="Aptos"/>
        </w:rPr>
      </w:pPr>
      <w:r>
        <w:rPr>
          <w:rFonts w:ascii="Aptos" w:eastAsia="Aptos" w:cs="Aptos" w:hAnsi="Aptos"/>
        </w:rPr>
        <w:t xml:space="preserve">Memory loss </w:t>
      </w:r>
    </w:p>
    <w:p>
      <w:pPr>
        <w:pStyle w:val="18"/>
        <w:numPr>
          <w:ilvl w:val="0"/>
          <w:numId w:val="1"/>
        </w:numPr>
        <w:spacing w:after="0"/>
        <w:rPr>
          <w:rFonts w:ascii="Aptos" w:eastAsia="Aptos" w:cs="Aptos" w:hAnsi="Aptos"/>
        </w:rPr>
      </w:pPr>
      <w:r>
        <w:rPr>
          <w:rFonts w:ascii="Aptos" w:eastAsia="Aptos" w:cs="Aptos" w:hAnsi="Aptos"/>
        </w:rPr>
        <w:t xml:space="preserve">Medication non-adherence </w:t>
      </w:r>
    </w:p>
    <w:p>
      <w:pPr>
        <w:pStyle w:val="18"/>
        <w:numPr>
          <w:ilvl w:val="0"/>
          <w:numId w:val="1"/>
        </w:numPr>
        <w:spacing w:after="0"/>
        <w:rPr>
          <w:rFonts w:ascii="Aptos" w:eastAsia="Aptos" w:cs="Aptos" w:hAnsi="Aptos"/>
        </w:rPr>
      </w:pPr>
      <w:r>
        <w:rPr>
          <w:rFonts w:ascii="Aptos" w:eastAsia="Aptos" w:cs="Aptos" w:hAnsi="Aptos"/>
        </w:rPr>
        <w:t xml:space="preserve">Wandering </w:t>
      </w:r>
    </w:p>
    <w:p>
      <w:pPr>
        <w:pStyle w:val="18"/>
        <w:numPr>
          <w:ilvl w:val="0"/>
          <w:numId w:val="1"/>
        </w:numPr>
        <w:spacing w:after="0"/>
        <w:rPr>
          <w:rFonts w:ascii="Aptos" w:eastAsia="Aptos" w:cs="Aptos" w:hAnsi="Aptos"/>
        </w:rPr>
      </w:pPr>
      <w:r>
        <w:rPr>
          <w:rFonts w:ascii="Aptos" w:eastAsia="Aptos" w:cs="Aptos" w:hAnsi="Aptos"/>
        </w:rPr>
        <w:t xml:space="preserve">Falls </w:t>
      </w:r>
    </w:p>
    <w:p>
      <w:pPr>
        <w:pStyle w:val="18"/>
        <w:numPr>
          <w:ilvl w:val="0"/>
          <w:numId w:val="1"/>
        </w:numPr>
        <w:spacing w:after="0"/>
        <w:rPr>
          <w:rFonts w:ascii="Aptos" w:eastAsia="Aptos" w:cs="Aptos" w:hAnsi="Aptos"/>
        </w:rPr>
      </w:pPr>
      <w:r>
        <w:rPr>
          <w:rFonts w:ascii="Aptos" w:eastAsia="Aptos" w:cs="Aptos" w:hAnsi="Aptos"/>
        </w:rPr>
        <w:t xml:space="preserve">Social isolation </w:t>
      </w:r>
    </w:p>
    <w:p>
      <w:pPr>
        <w:pStyle w:val="18"/>
        <w:numPr>
          <w:ilvl w:val="0"/>
          <w:numId w:val="1"/>
        </w:numPr>
        <w:spacing w:after="0"/>
        <w:rPr>
          <w:rFonts w:ascii="Aptos" w:eastAsia="Aptos" w:cs="Aptos" w:hAnsi="Aptos"/>
        </w:rPr>
      </w:pPr>
      <w:r>
        <w:rPr>
          <w:rFonts w:ascii="Aptos" w:eastAsia="Aptos" w:cs="Aptos" w:hAnsi="Aptos"/>
        </w:rPr>
        <w:t xml:space="preserve">Increased emergency admissions </w:t>
      </w:r>
    </w:p>
    <w:p>
      <w:pPr>
        <w:spacing w:before="240" w:after="240"/>
      </w:pPr>
      <w:r>
        <w:rPr>
          <w:rFonts w:ascii="Aptos" w:eastAsia="Aptos" w:cs="Aptos" w:hAnsi="Aptos"/>
        </w:rPr>
        <w:t>These challenges reduce quality of life and increase healthcare costs. Current technologies often address only one issue, highlighting the need for a more comprehensive digital solution (NICE, 2022).</w:t>
      </w:r>
    </w:p>
    <w:p>
      <w:pPr>
        <w:spacing w:before="240" w:after="240"/>
      </w:pPr>
      <w:r>
        <w:drawing>
          <wp:inline distT="0" distB="0" distL="0" distR="0">
            <wp:extent cx="2729732" cy="2271757"/>
            <wp:effectExtent l="0" t="0" r="0" b="0"/>
            <wp:docPr id="13" name="图片 13"/>
            <wp:cNvGraphicFramePr>
              <a:graphicFrameLocks noChangeAspect="1"/>
            </wp:cNvGraphicFramePr>
            <a:graphic>
              <a:graphicData uri="http://schemas.openxmlformats.org/drawingml/2006/picture">
                <pic:pic>
                  <pic:nvPicPr>
                    <pic:cNvPr id="15" name="图片 15"/>
                    <pic:cNvPicPr/>
                  </pic:nvPicPr>
                  <pic:blipFill>
                    <a:blip r:embed="rId8"/>
                    <a:stretch>
                      <a:fillRect/>
                    </a:stretch>
                  </pic:blipFill>
                  <pic:spPr>
                    <a:xfrm rot="0">
                      <a:off x="0" y="0"/>
                      <a:ext cx="2729732" cy="2271757"/>
                    </a:xfrm>
                    <a:prstGeom prst="rect"/>
                    <a:noFill/>
                    <a:ln w="12700" cmpd="sng" cap="flat">
                      <a:noFill/>
                      <a:prstDash val="solid"/>
                      <a:miter/>
                    </a:ln>
                  </pic:spPr>
                </pic:pic>
              </a:graphicData>
            </a:graphic>
          </wp:inline>
        </w:drawing>
      </w:r>
      <w:r>
        <w:rPr>
          <w:rFonts w:ascii="Aptos" w:eastAsia="Aptos" w:cs="Aptos" w:hAnsi="Aptos"/>
        </w:rPr>
        <w:t xml:space="preserve">(Meiland </w:t>
      </w:r>
      <w:r>
        <w:rPr>
          <w:rFonts w:ascii="Aptos" w:eastAsia="Aptos" w:cs="Aptos" w:hAnsi="Aptos"/>
          <w:i/>
          <w:iCs/>
        </w:rPr>
        <w:t>et al</w:t>
      </w:r>
      <w:r>
        <w:rPr>
          <w:rFonts w:ascii="Aptos" w:eastAsia="Aptos" w:cs="Aptos" w:hAnsi="Aptos"/>
        </w:rPr>
        <w:t>., 2017)</w:t>
      </w:r>
    </w:p>
    <w:p>
      <w:pPr>
        <w:pStyle w:val="1"/>
        <w:spacing w:before="322" w:after="322"/>
        <w:rPr>
          <w:rFonts w:ascii="Aptos" w:eastAsia="Aptos" w:cs="Aptos" w:hAnsi="Aptos"/>
          <w:b/>
          <w:bCs/>
          <w:color w:val="auto"/>
          <w:sz w:val="28"/>
          <w:szCs w:val="28"/>
        </w:rPr>
      </w:pPr>
      <w:r>
        <w:rPr>
          <w:rFonts w:ascii="Aptos" w:eastAsia="Aptos" w:cs="Aptos" w:hAnsi="Aptos"/>
          <w:b/>
          <w:bCs/>
          <w:color w:val="auto"/>
          <w:sz w:val="28"/>
          <w:szCs w:val="28"/>
        </w:rPr>
        <w:t>My Designed Digital Technology</w:t>
      </w:r>
    </w:p>
    <w:p>
      <w:pPr>
        <w:pStyle w:val="2"/>
        <w:spacing w:before="299" w:after="299"/>
        <w:rPr>
          <w:rFonts w:ascii="Aptos" w:eastAsia="Aptos" w:cs="Aptos" w:hAnsi="Aptos"/>
          <w:b/>
          <w:bCs/>
          <w:color w:val="auto"/>
          <w:sz w:val="28"/>
          <w:szCs w:val="28"/>
        </w:rPr>
      </w:pPr>
      <w:r>
        <w:rPr>
          <w:rFonts w:ascii="Aptos" w:eastAsia="Aptos" w:cs="Aptos" w:hAnsi="Aptos"/>
          <w:b/>
          <w:bCs/>
          <w:color w:val="auto"/>
          <w:sz w:val="28"/>
          <w:szCs w:val="28"/>
        </w:rPr>
        <w:t>DementiaCare+ AI</w:t>
      </w:r>
    </w:p>
    <w:p>
      <w:pPr>
        <w:spacing w:before="240" w:after="240"/>
      </w:pPr>
      <w:r>
        <w:rPr>
          <w:rFonts w:ascii="Aptos" w:eastAsia="Aptos" w:cs="Aptos" w:hAnsi="Aptos"/>
        </w:rPr>
        <w:t xml:space="preserve">This proposed digital platform combines a </w:t>
      </w:r>
      <w:r>
        <w:rPr>
          <w:rFonts w:ascii="Aptos" w:eastAsia="Aptos" w:cs="Aptos" w:hAnsi="Aptos"/>
          <w:b/>
          <w:bCs/>
        </w:rPr>
        <w:t>smartphone application</w:t>
      </w:r>
      <w:r>
        <w:rPr>
          <w:rFonts w:ascii="Aptos" w:eastAsia="Aptos" w:cs="Aptos" w:hAnsi="Aptos"/>
        </w:rPr>
        <w:t xml:space="preserve"> with a </w:t>
      </w:r>
      <w:r>
        <w:rPr>
          <w:rFonts w:ascii="Aptos" w:eastAsia="Aptos" w:cs="Aptos" w:hAnsi="Aptos"/>
          <w:b/>
          <w:bCs/>
        </w:rPr>
        <w:t>wearable smartwatch</w:t>
      </w:r>
      <w:r>
        <w:rPr>
          <w:rFonts w:ascii="Aptos" w:eastAsia="Aptos" w:cs="Aptos" w:hAnsi="Aptos"/>
        </w:rPr>
        <w:t xml:space="preserve"> to support people living with dementia.</w:t>
      </w:r>
    </w:p>
    <w:p>
      <w:pPr>
        <w:pStyle w:val="3"/>
        <w:spacing w:before="281" w:after="281"/>
      </w:pPr>
      <w:r>
        <w:rPr>
          <w:rFonts w:ascii="Aptos" w:eastAsia="Aptos" w:cs="Aptos" w:hAnsi="Aptos"/>
          <w:b/>
          <w:bCs/>
          <w:color w:val="auto"/>
        </w:rPr>
        <w:t>Key Features</w:t>
      </w:r>
    </w:p>
    <w:p>
      <w:pPr>
        <w:pStyle w:val="18"/>
        <w:numPr>
          <w:ilvl w:val="0"/>
          <w:numId w:val="2"/>
        </w:numPr>
        <w:spacing w:after="0"/>
        <w:rPr>
          <w:rFonts w:ascii="Aptos" w:eastAsia="Aptos" w:cs="Aptos" w:hAnsi="Aptos"/>
        </w:rPr>
      </w:pPr>
      <w:r>
        <w:rPr>
          <w:rFonts w:ascii="Aptos" w:eastAsia="Aptos" w:cs="Aptos" w:hAnsi="Aptos"/>
        </w:rPr>
        <w:t xml:space="preserve"> AI memory assistant </w:t>
      </w:r>
    </w:p>
    <w:p>
      <w:pPr>
        <w:pStyle w:val="18"/>
        <w:numPr>
          <w:ilvl w:val="0"/>
          <w:numId w:val="2"/>
        </w:numPr>
        <w:spacing w:after="0"/>
        <w:rPr>
          <w:rFonts w:ascii="Aptos" w:eastAsia="Aptos" w:cs="Aptos" w:hAnsi="Aptos"/>
        </w:rPr>
      </w:pPr>
      <w:r>
        <w:rPr>
          <w:rFonts w:ascii="Aptos" w:eastAsia="Aptos" w:cs="Aptos" w:hAnsi="Aptos"/>
        </w:rPr>
        <w:t xml:space="preserve"> Medication reminders </w:t>
      </w:r>
    </w:p>
    <w:p>
      <w:pPr>
        <w:pStyle w:val="18"/>
        <w:numPr>
          <w:ilvl w:val="0"/>
          <w:numId w:val="2"/>
        </w:numPr>
        <w:spacing w:after="0"/>
        <w:rPr>
          <w:rFonts w:ascii="Aptos" w:eastAsia="Aptos" w:cs="Aptos" w:hAnsi="Aptos"/>
        </w:rPr>
      </w:pPr>
      <w:r>
        <w:rPr>
          <w:rFonts w:ascii="Aptos" w:eastAsia="Aptos" w:cs="Aptos" w:hAnsi="Aptos"/>
        </w:rPr>
        <w:t xml:space="preserve"> GPS tracking with geofencing </w:t>
      </w:r>
    </w:p>
    <w:p>
      <w:pPr>
        <w:pStyle w:val="18"/>
        <w:numPr>
          <w:ilvl w:val="0"/>
          <w:numId w:val="2"/>
        </w:numPr>
        <w:spacing w:after="0"/>
        <w:rPr>
          <w:rFonts w:ascii="Aptos" w:eastAsia="Aptos" w:cs="Aptos" w:hAnsi="Aptos"/>
        </w:rPr>
      </w:pPr>
      <w:r>
        <w:rPr>
          <w:rFonts w:ascii="Aptos" w:eastAsia="Aptos" w:cs="Aptos" w:hAnsi="Aptos"/>
        </w:rPr>
        <w:t xml:space="preserve"> Heart rate and sleep monitoring </w:t>
      </w:r>
    </w:p>
    <w:p>
      <w:pPr>
        <w:pStyle w:val="18"/>
        <w:numPr>
          <w:ilvl w:val="0"/>
          <w:numId w:val="2"/>
        </w:numPr>
        <w:spacing w:after="0"/>
        <w:rPr>
          <w:rFonts w:ascii="Aptos" w:eastAsia="Aptos" w:cs="Aptos" w:hAnsi="Aptos"/>
        </w:rPr>
      </w:pPr>
      <w:r>
        <w:rPr>
          <w:rFonts w:ascii="Aptos" w:eastAsia="Aptos" w:cs="Aptos" w:hAnsi="Aptos"/>
        </w:rPr>
        <w:t xml:space="preserve"> Fall detection </w:t>
      </w:r>
    </w:p>
    <w:p>
      <w:pPr>
        <w:pStyle w:val="18"/>
        <w:numPr>
          <w:ilvl w:val="0"/>
          <w:numId w:val="2"/>
        </w:numPr>
        <w:spacing w:after="0"/>
        <w:rPr>
          <w:rFonts w:ascii="Aptos" w:eastAsia="Aptos" w:cs="Aptos" w:hAnsi="Aptos"/>
        </w:rPr>
      </w:pPr>
      <w:r>
        <w:rPr>
          <w:rFonts w:ascii="Aptos" w:eastAsia="Aptos" w:cs="Aptos" w:hAnsi="Aptos"/>
        </w:rPr>
        <w:t xml:space="preserve"> Emergency SOS </w:t>
      </w:r>
    </w:p>
    <w:p>
      <w:pPr>
        <w:pStyle w:val="18"/>
        <w:numPr>
          <w:ilvl w:val="0"/>
          <w:numId w:val="2"/>
        </w:numPr>
        <w:spacing w:after="0"/>
        <w:rPr>
          <w:rFonts w:ascii="Aptos" w:eastAsia="Aptos" w:cs="Aptos" w:hAnsi="Aptos"/>
        </w:rPr>
      </w:pPr>
      <w:r>
        <w:rPr>
          <w:rFonts w:ascii="Aptos" w:eastAsia="Aptos" w:cs="Aptos" w:hAnsi="Aptos"/>
        </w:rPr>
        <w:t xml:space="preserve"> Caregiver dashboard </w:t>
      </w:r>
    </w:p>
    <w:p>
      <w:pPr>
        <w:pStyle w:val="18"/>
        <w:numPr>
          <w:ilvl w:val="0"/>
          <w:numId w:val="2"/>
        </w:numPr>
        <w:spacing w:after="0"/>
        <w:rPr>
          <w:rFonts w:ascii="Aptos" w:eastAsia="Aptos" w:cs="Aptos" w:hAnsi="Aptos"/>
        </w:rPr>
      </w:pPr>
      <w:r>
        <w:rPr>
          <w:rFonts w:ascii="Aptos" w:eastAsia="Aptos" w:cs="Aptos" w:hAnsi="Aptos"/>
        </w:rPr>
        <w:t xml:space="preserve">AI prediction of wandering behaviour </w:t>
      </w:r>
    </w:p>
    <w:p>
      <w:pPr>
        <w:spacing w:before="240" w:after="240"/>
      </w:pPr>
      <w:r>
        <w:drawing>
          <wp:inline distT="0" distB="0" distL="0" distR="0">
            <wp:extent cx="3741593" cy="2494395"/>
            <wp:effectExtent l="0" t="0" r="0" b="0"/>
            <wp:docPr id="16" name="图片 16"/>
            <wp:cNvGraphicFramePr>
              <a:graphicFrameLocks noChangeAspect="1"/>
            </wp:cNvGraphicFramePr>
            <a:graphic>
              <a:graphicData uri="http://schemas.openxmlformats.org/drawingml/2006/picture">
                <pic:pic>
                  <pic:nvPicPr>
                    <pic:cNvPr id="18" name="图片 18"/>
                    <pic:cNvPicPr/>
                  </pic:nvPicPr>
                  <pic:blipFill>
                    <a:blip r:embed="rId9"/>
                    <a:stretch>
                      <a:fillRect/>
                    </a:stretch>
                  </pic:blipFill>
                  <pic:spPr>
                    <a:xfrm rot="0">
                      <a:off x="0" y="0"/>
                      <a:ext cx="3741593" cy="2494395"/>
                    </a:xfrm>
                    <a:prstGeom prst="rect"/>
                    <a:noFill/>
                    <a:ln w="12700" cmpd="sng" cap="flat">
                      <a:noFill/>
                      <a:prstDash val="solid"/>
                      <a:miter/>
                    </a:ln>
                  </pic:spPr>
                </pic:pic>
              </a:graphicData>
            </a:graphic>
          </wp:inline>
        </w:drawing>
      </w:r>
    </w:p>
    <w:p>
      <w:pPr>
        <w:spacing w:before="240" w:after="240"/>
      </w:pPr>
      <w:r>
        <w:rPr>
          <w:rFonts w:ascii="Aptos" w:eastAsia="Aptos" w:cs="Aptos" w:hAnsi="Aptos"/>
          <w:b/>
          <w:bCs/>
        </w:rPr>
        <w:t>Figure 1.</w:t>
      </w:r>
      <w:r>
        <w:rPr>
          <w:rFonts w:ascii="Aptos" w:eastAsia="Aptos" w:cs="Aptos" w:hAnsi="Aptos"/>
        </w:rPr>
        <w:t xml:space="preserve"> DementiaCare+ AI platform architecture </w:t>
      </w:r>
      <w:r>
        <w:rPr>
          <w:rFonts w:ascii="Aptos" w:eastAsia="Aptos" w:cs="Aptos" w:hAnsi="Aptos"/>
          <w:i/>
          <w:iCs/>
        </w:rPr>
        <w:t>(Created by the author, 2026; informed by Meiland et al., 2017; NICE, 2022).</w:t>
      </w:r>
    </w:p>
    <w:p>
      <w:pPr>
        <w:spacing w:before="240" w:after="240"/>
      </w:pPr>
    </w:p>
    <w:p>
      <w:pPr>
        <w:spacing w:before="240" w:after="240"/>
      </w:pPr>
      <w:r>
        <w:drawing>
          <wp:inline distT="0" distB="0" distL="0" distR="0">
            <wp:extent cx="2711161" cy="2170159"/>
            <wp:effectExtent l="0" t="0" r="0" b="0"/>
            <wp:docPr id="19" name="图片 19"/>
            <wp:cNvGraphicFramePr>
              <a:graphicFrameLocks noChangeAspect="1"/>
            </wp:cNvGraphicFramePr>
            <a:graphic>
              <a:graphicData uri="http://schemas.openxmlformats.org/drawingml/2006/picture">
                <pic:pic>
                  <pic:nvPicPr>
                    <pic:cNvPr id="21" name="图片 21"/>
                    <pic:cNvPicPr/>
                  </pic:nvPicPr>
                  <pic:blipFill>
                    <a:blip r:embed="rId10"/>
                    <a:stretch>
                      <a:fillRect/>
                    </a:stretch>
                  </pic:blipFill>
                  <pic:spPr>
                    <a:xfrm rot="0">
                      <a:off x="0" y="0"/>
                      <a:ext cx="2711161" cy="2170159"/>
                    </a:xfrm>
                    <a:prstGeom prst="rect"/>
                    <a:noFill/>
                    <a:ln w="12700" cmpd="sng" cap="flat">
                      <a:noFill/>
                      <a:prstDash val="solid"/>
                      <a:miter/>
                    </a:ln>
                  </pic:spPr>
                </pic:pic>
              </a:graphicData>
            </a:graphic>
          </wp:inline>
        </w:drawing>
      </w:r>
    </w:p>
    <w:p>
      <w:pPr>
        <w:spacing w:before="240" w:after="240"/>
      </w:pPr>
      <w:r>
        <w:rPr>
          <w:rFonts w:ascii="Aptos" w:eastAsia="Aptos" w:cs="Aptos" w:hAnsi="Aptos"/>
          <w:b/>
          <w:bCs/>
        </w:rPr>
        <w:t>Figure 2.</w:t>
      </w:r>
      <w:r>
        <w:rPr>
          <w:rFonts w:ascii="Aptos" w:eastAsia="Aptos" w:cs="Aptos" w:hAnsi="Aptos"/>
        </w:rPr>
        <w:t xml:space="preserve"> Workflow of the DementiaCare+ AI digital health intervention </w:t>
      </w:r>
      <w:r>
        <w:rPr>
          <w:rFonts w:ascii="Aptos" w:eastAsia="Aptos" w:cs="Aptos" w:hAnsi="Aptos"/>
          <w:i/>
          <w:iCs/>
        </w:rPr>
        <w:t>(Created by the author, 2026; informed by Meiland et al., 2017).</w:t>
      </w:r>
    </w:p>
    <w:p>
      <w:pPr>
        <w:pStyle w:val="1"/>
        <w:spacing w:before="322" w:after="322"/>
        <w:rPr>
          <w:rFonts w:ascii="Aptos" w:eastAsia="Aptos" w:cs="Aptos" w:hAnsi="Aptos"/>
          <w:b/>
          <w:bCs/>
          <w:color w:val="auto"/>
          <w:sz w:val="28"/>
          <w:szCs w:val="28"/>
        </w:rPr>
      </w:pPr>
      <w:r>
        <w:rPr>
          <w:rFonts w:ascii="Aptos" w:eastAsia="Aptos" w:cs="Aptos" w:hAnsi="Aptos"/>
          <w:b/>
          <w:bCs/>
          <w:color w:val="auto"/>
          <w:sz w:val="28"/>
          <w:szCs w:val="28"/>
        </w:rPr>
        <w:t>Advantages</w:t>
      </w:r>
    </w:p>
    <w:p>
      <w:pPr>
        <w:spacing w:before="240" w:after="240"/>
      </w:pPr>
      <w:r>
        <w:rPr>
          <w:rFonts w:ascii="Aptos" w:eastAsia="Aptos" w:cs="Aptos" w:hAnsi="Aptos"/>
        </w:rPr>
        <w:t>Research suggests integrated digital health technologies can improve safety and independence for people living with dementia (Meiland et al., 2017).</w:t>
      </w:r>
    </w:p>
    <w:p>
      <w:pPr>
        <w:pStyle w:val="3"/>
        <w:spacing w:before="281" w:after="281"/>
      </w:pPr>
      <w:r>
        <w:rPr>
          <w:rFonts w:ascii="Aptos" w:eastAsia="Aptos" w:cs="Aptos" w:hAnsi="Aptos"/>
          <w:b/>
          <w:bCs/>
          <w:color w:val="auto"/>
        </w:rPr>
        <w:t>Benefits</w:t>
      </w:r>
    </w:p>
    <w:p>
      <w:pPr>
        <w:pStyle w:val="18"/>
        <w:numPr>
          <w:ilvl w:val="0"/>
          <w:numId w:val="3"/>
        </w:numPr>
        <w:spacing w:after="0"/>
        <w:rPr>
          <w:rFonts w:ascii="Aptos" w:eastAsia="Aptos" w:cs="Aptos" w:hAnsi="Aptos"/>
        </w:rPr>
      </w:pPr>
      <w:r>
        <w:rPr>
          <w:rFonts w:ascii="Aptos" w:eastAsia="Aptos" w:cs="Aptos" w:hAnsi="Aptos"/>
        </w:rPr>
        <w:t xml:space="preserve">Improves patient safety </w:t>
      </w:r>
    </w:p>
    <w:p>
      <w:pPr>
        <w:pStyle w:val="18"/>
        <w:numPr>
          <w:ilvl w:val="0"/>
          <w:numId w:val="3"/>
        </w:numPr>
        <w:spacing w:after="0"/>
        <w:rPr>
          <w:rFonts w:ascii="Aptos" w:eastAsia="Aptos" w:cs="Aptos" w:hAnsi="Aptos"/>
        </w:rPr>
      </w:pPr>
      <w:r>
        <w:rPr>
          <w:rFonts w:ascii="Aptos" w:eastAsia="Aptos" w:cs="Aptos" w:hAnsi="Aptos"/>
        </w:rPr>
        <w:t xml:space="preserve">Supports independent living </w:t>
      </w:r>
    </w:p>
    <w:p>
      <w:pPr>
        <w:pStyle w:val="18"/>
        <w:numPr>
          <w:ilvl w:val="0"/>
          <w:numId w:val="3"/>
        </w:numPr>
        <w:spacing w:after="0"/>
        <w:rPr>
          <w:rFonts w:ascii="Aptos" w:eastAsia="Aptos" w:cs="Aptos" w:hAnsi="Aptos"/>
        </w:rPr>
      </w:pPr>
      <w:r>
        <w:rPr>
          <w:rFonts w:ascii="Aptos" w:eastAsia="Aptos" w:cs="Aptos" w:hAnsi="Aptos"/>
        </w:rPr>
        <w:t xml:space="preserve">Reduces caregiver burden </w:t>
      </w:r>
    </w:p>
    <w:p>
      <w:pPr>
        <w:pStyle w:val="18"/>
        <w:numPr>
          <w:ilvl w:val="0"/>
          <w:numId w:val="3"/>
        </w:numPr>
        <w:spacing w:after="0"/>
        <w:rPr>
          <w:rFonts w:ascii="Aptos" w:eastAsia="Aptos" w:cs="Aptos" w:hAnsi="Aptos"/>
        </w:rPr>
      </w:pPr>
      <w:r>
        <w:rPr>
          <w:rFonts w:ascii="Aptos" w:eastAsia="Aptos" w:cs="Aptos" w:hAnsi="Aptos"/>
        </w:rPr>
        <w:t xml:space="preserve">Encourages medication adherence </w:t>
      </w:r>
    </w:p>
    <w:p>
      <w:pPr>
        <w:pStyle w:val="18"/>
        <w:numPr>
          <w:ilvl w:val="0"/>
          <w:numId w:val="3"/>
        </w:numPr>
        <w:spacing w:after="0"/>
        <w:rPr>
          <w:rFonts w:ascii="Aptos" w:eastAsia="Aptos" w:cs="Aptos" w:hAnsi="Aptos"/>
        </w:rPr>
      </w:pPr>
      <w:r>
        <w:rPr>
          <w:rFonts w:ascii="Aptos" w:eastAsia="Aptos" w:cs="Aptos" w:hAnsi="Aptos"/>
        </w:rPr>
        <w:t xml:space="preserve">Enables early intervention </w:t>
      </w:r>
    </w:p>
    <w:p>
      <w:pPr>
        <w:pStyle w:val="18"/>
        <w:numPr>
          <w:ilvl w:val="0"/>
          <w:numId w:val="3"/>
        </w:numPr>
        <w:spacing w:after="0"/>
        <w:rPr>
          <w:rFonts w:ascii="Aptos" w:eastAsia="Aptos" w:cs="Aptos" w:hAnsi="Aptos"/>
        </w:rPr>
      </w:pPr>
      <w:r>
        <w:rPr>
          <w:rFonts w:ascii="Aptos" w:eastAsia="Aptos" w:cs="Aptos" w:hAnsi="Aptos"/>
        </w:rPr>
        <w:t xml:space="preserve">May reduce hospital admissions </w:t>
      </w:r>
    </w:p>
    <w:p>
      <w:pPr>
        <w:pStyle w:val="18"/>
        <w:numPr>
          <w:ilvl w:val="0"/>
          <w:numId w:val="3"/>
        </w:numPr>
        <w:spacing w:after="0"/>
        <w:rPr>
          <w:rFonts w:ascii="Aptos" w:eastAsia="Aptos" w:cs="Aptos" w:hAnsi="Aptos"/>
        </w:rPr>
      </w:pPr>
      <w:r>
        <w:rPr>
          <w:rFonts w:ascii="Aptos" w:eastAsia="Aptos" w:cs="Aptos" w:hAnsi="Aptos"/>
        </w:rPr>
        <w:t>Provides personalised care</w:t>
      </w:r>
    </w:p>
    <w:p>
      <w:pPr>
        <w:pStyle w:val="18"/>
        <w:spacing w:after="0"/>
        <w:rPr>
          <w:rFonts w:ascii="Aptos" w:eastAsia="Aptos" w:cs="Aptos" w:hAnsi="Aptos"/>
        </w:rPr>
      </w:pPr>
    </w:p>
    <w:p>
      <w:pPr>
        <w:pStyle w:val="18"/>
        <w:spacing w:after="0"/>
        <w:rPr>
          <w:rFonts w:ascii="Aptos" w:eastAsia="Aptos" w:cs="Aptos" w:hAnsi="Aptos"/>
        </w:rPr>
      </w:pPr>
    </w:p>
    <w:p>
      <w:pPr>
        <w:pStyle w:val="1"/>
        <w:spacing w:before="322" w:after="322"/>
        <w:rPr>
          <w:rFonts w:ascii="Aptos" w:eastAsia="Aptos" w:cs="Aptos" w:hAnsi="Aptos"/>
          <w:b/>
          <w:bCs/>
          <w:color w:val="auto"/>
          <w:sz w:val="28"/>
          <w:szCs w:val="28"/>
        </w:rPr>
      </w:pPr>
      <w:r>
        <w:rPr>
          <w:rFonts w:ascii="Aptos" w:eastAsia="Aptos" w:cs="Aptos" w:hAnsi="Aptos"/>
          <w:b/>
          <w:bCs/>
          <w:color w:val="auto"/>
          <w:sz w:val="28"/>
          <w:szCs w:val="28"/>
        </w:rPr>
        <w:t>Limitations</w:t>
      </w:r>
    </w:p>
    <w:p>
      <w:pPr>
        <w:spacing w:before="240" w:after="240"/>
      </w:pPr>
      <w:r>
        <w:rPr>
          <w:rFonts w:ascii="Aptos" w:eastAsia="Aptos" w:cs="Aptos" w:hAnsi="Aptos"/>
        </w:rPr>
        <w:t>Despite its benefits, several challenges remain.</w:t>
      </w:r>
    </w:p>
    <w:p>
      <w:pPr>
        <w:pStyle w:val="18"/>
        <w:numPr>
          <w:ilvl w:val="0"/>
          <w:numId w:val="4"/>
        </w:numPr>
        <w:spacing w:after="0"/>
        <w:rPr>
          <w:rFonts w:ascii="Aptos" w:eastAsia="Aptos" w:cs="Aptos" w:hAnsi="Aptos"/>
        </w:rPr>
      </w:pPr>
      <w:r>
        <w:rPr>
          <w:rFonts w:ascii="Aptos" w:eastAsia="Aptos" w:cs="Aptos" w:hAnsi="Aptos"/>
        </w:rPr>
        <w:t xml:space="preserve">High implementation cost </w:t>
      </w:r>
    </w:p>
    <w:p>
      <w:pPr>
        <w:pStyle w:val="18"/>
        <w:numPr>
          <w:ilvl w:val="0"/>
          <w:numId w:val="4"/>
        </w:numPr>
        <w:spacing w:after="0"/>
        <w:rPr>
          <w:rFonts w:ascii="Aptos" w:eastAsia="Aptos" w:cs="Aptos" w:hAnsi="Aptos"/>
        </w:rPr>
      </w:pPr>
      <w:r>
        <w:rPr>
          <w:rFonts w:ascii="Aptos" w:eastAsia="Aptos" w:cs="Aptos" w:hAnsi="Aptos"/>
        </w:rPr>
        <w:t xml:space="preserve">Digital literacy barriers </w:t>
      </w:r>
    </w:p>
    <w:p>
      <w:pPr>
        <w:pStyle w:val="18"/>
        <w:numPr>
          <w:ilvl w:val="0"/>
          <w:numId w:val="4"/>
        </w:numPr>
        <w:spacing w:after="0"/>
        <w:rPr>
          <w:rFonts w:ascii="Aptos" w:eastAsia="Aptos" w:cs="Aptos" w:hAnsi="Aptos"/>
        </w:rPr>
      </w:pPr>
      <w:r>
        <w:rPr>
          <w:rFonts w:ascii="Aptos" w:eastAsia="Aptos" w:cs="Aptos" w:hAnsi="Aptos"/>
        </w:rPr>
        <w:t xml:space="preserve">Battery and internet dependence </w:t>
      </w:r>
    </w:p>
    <w:p>
      <w:pPr>
        <w:pStyle w:val="18"/>
        <w:numPr>
          <w:ilvl w:val="0"/>
          <w:numId w:val="4"/>
        </w:numPr>
        <w:spacing w:after="0"/>
        <w:rPr>
          <w:rFonts w:ascii="Aptos" w:eastAsia="Aptos" w:cs="Aptos" w:hAnsi="Aptos"/>
        </w:rPr>
      </w:pPr>
      <w:r>
        <w:rPr>
          <w:rFonts w:ascii="Aptos" w:eastAsia="Aptos" w:cs="Aptos" w:hAnsi="Aptos"/>
        </w:rPr>
        <w:t xml:space="preserve">Privacy and cybersecurity concerns </w:t>
      </w:r>
    </w:p>
    <w:p>
      <w:pPr>
        <w:pStyle w:val="18"/>
        <w:numPr>
          <w:ilvl w:val="0"/>
          <w:numId w:val="4"/>
        </w:numPr>
        <w:spacing w:after="0"/>
        <w:rPr>
          <w:rFonts w:ascii="Aptos" w:eastAsia="Aptos" w:cs="Aptos" w:hAnsi="Aptos"/>
        </w:rPr>
      </w:pPr>
      <w:r>
        <w:rPr>
          <w:rFonts w:ascii="Aptos" w:eastAsia="Aptos" w:cs="Aptos" w:hAnsi="Aptos"/>
        </w:rPr>
        <w:t xml:space="preserve">Ethical issues regarding informed consent </w:t>
      </w:r>
    </w:p>
    <w:p>
      <w:pPr>
        <w:pStyle w:val="18"/>
        <w:numPr>
          <w:ilvl w:val="0"/>
          <w:numId w:val="4"/>
        </w:numPr>
        <w:spacing w:after="0"/>
        <w:rPr>
          <w:rFonts w:ascii="Aptos" w:eastAsia="Aptos" w:cs="Aptos" w:hAnsi="Aptos"/>
        </w:rPr>
      </w:pPr>
      <w:r>
        <w:rPr>
          <w:rFonts w:ascii="Aptos" w:eastAsia="Aptos" w:cs="Aptos" w:hAnsi="Aptos"/>
        </w:rPr>
        <w:t xml:space="preserve">AI may occasionally generate false alerts </w:t>
      </w:r>
    </w:p>
    <w:p>
      <w:pPr>
        <w:spacing w:before="240" w:after="240"/>
      </w:pPr>
      <w:r>
        <w:rPr>
          <w:rFonts w:ascii="Aptos" w:eastAsia="Aptos" w:cs="Aptos" w:hAnsi="Aptos"/>
        </w:rPr>
        <w:t>These issues may reduce user confidence if not addressed appropriately (Nuffield Council on Bioethics, 2009).</w:t>
      </w:r>
    </w:p>
    <w:p>
      <w:pPr>
        <w:pStyle w:val="1"/>
        <w:spacing w:before="322" w:after="322"/>
        <w:rPr>
          <w:rFonts w:ascii="Aptos" w:eastAsia="Aptos" w:cs="Aptos" w:hAnsi="Aptos"/>
          <w:b/>
          <w:bCs/>
          <w:color w:val="auto"/>
          <w:sz w:val="28"/>
          <w:szCs w:val="28"/>
        </w:rPr>
      </w:pPr>
      <w:r>
        <w:rPr>
          <w:rFonts w:ascii="Aptos" w:eastAsia="Aptos" w:cs="Aptos" w:hAnsi="Aptos"/>
          <w:b/>
          <w:bCs/>
          <w:color w:val="auto"/>
          <w:sz w:val="28"/>
          <w:szCs w:val="28"/>
        </w:rPr>
        <w:t>How Can These Shortfalls Be Addressed?</w:t>
      </w:r>
    </w:p>
    <w:p>
      <w:pPr>
        <w:spacing w:before="240" w:after="240"/>
      </w:pPr>
      <w:r>
        <w:rPr>
          <w:rFonts w:ascii="Aptos" w:eastAsia="Aptos" w:cs="Aptos" w:hAnsi="Aptos"/>
        </w:rPr>
        <w:t>The effectiveness of DementiaCare+ AI could be improved by:</w:t>
      </w:r>
    </w:p>
    <w:p>
      <w:pPr>
        <w:spacing w:before="240" w:after="240"/>
      </w:pPr>
      <w:r>
        <w:rPr>
          <w:rFonts w:ascii="Aptos" w:eastAsia="Aptos" w:cs="Aptos" w:hAnsi="Aptos"/>
        </w:rPr>
        <w:t>✔ Larger icons and voice guidance</w:t>
      </w:r>
    </w:p>
    <w:p>
      <w:pPr>
        <w:spacing w:before="240" w:after="240"/>
      </w:pPr>
      <w:r>
        <w:rPr>
          <w:rFonts w:ascii="Aptos" w:eastAsia="Aptos" w:cs="Aptos" w:hAnsi="Aptos"/>
        </w:rPr>
        <w:t>✔ Training for users and caregivers</w:t>
      </w:r>
    </w:p>
    <w:p>
      <w:pPr>
        <w:spacing w:before="240" w:after="240"/>
      </w:pPr>
      <w:r>
        <w:rPr>
          <w:rFonts w:ascii="Aptos" w:eastAsia="Aptos" w:cs="Aptos" w:hAnsi="Aptos"/>
        </w:rPr>
        <w:t>✔ GDPR-compliant data protection</w:t>
      </w:r>
    </w:p>
    <w:p>
      <w:pPr>
        <w:spacing w:before="240" w:after="240"/>
      </w:pPr>
      <w:r>
        <w:rPr>
          <w:rFonts w:ascii="Aptos" w:eastAsia="Aptos" w:cs="Aptos" w:hAnsi="Aptos"/>
        </w:rPr>
        <w:t>✔ End-to-end encryption</w:t>
      </w:r>
    </w:p>
    <w:p>
      <w:pPr>
        <w:spacing w:before="240" w:after="240"/>
      </w:pPr>
      <w:r>
        <w:rPr>
          <w:rFonts w:ascii="Aptos" w:eastAsia="Aptos" w:cs="Aptos" w:hAnsi="Aptos"/>
        </w:rPr>
        <w:t>✔ Longer battery life</w:t>
      </w:r>
    </w:p>
    <w:p>
      <w:pPr>
        <w:spacing w:before="240" w:after="240"/>
      </w:pPr>
      <w:r>
        <w:rPr>
          <w:rFonts w:ascii="Aptos" w:eastAsia="Aptos" w:cs="Aptos" w:hAnsi="Aptos"/>
        </w:rPr>
        <w:t>✔ Regular AI updates</w:t>
      </w:r>
    </w:p>
    <w:p>
      <w:pPr>
        <w:spacing w:before="240" w:after="240"/>
      </w:pPr>
      <w:r>
        <w:rPr>
          <w:rFonts w:ascii="Aptos" w:eastAsia="Aptos" w:cs="Aptos" w:hAnsi="Aptos"/>
        </w:rPr>
        <w:t>✔ Human oversight for clinical decisions</w:t>
      </w:r>
    </w:p>
    <w:p>
      <w:pPr>
        <w:spacing w:before="240" w:after="240"/>
      </w:pPr>
      <w:r>
        <w:rPr>
          <w:rFonts w:ascii="Aptos" w:eastAsia="Aptos" w:cs="Aptos" w:hAnsi="Aptos"/>
        </w:rPr>
        <w:t>Technology should complement—not replace—professional healthcare and family caregiving.</w:t>
      </w:r>
    </w:p>
    <w:p>
      <w:pPr>
        <w:pStyle w:val="1"/>
        <w:spacing w:before="322" w:after="322"/>
        <w:rPr>
          <w:rFonts w:ascii="Aptos" w:eastAsia="Aptos" w:cs="Aptos" w:hAnsi="Aptos"/>
          <w:b/>
          <w:bCs/>
          <w:color w:val="auto"/>
          <w:sz w:val="28"/>
          <w:szCs w:val="28"/>
        </w:rPr>
      </w:pPr>
      <w:r>
        <w:rPr>
          <w:rFonts w:ascii="Aptos" w:eastAsia="Aptos" w:cs="Aptos" w:hAnsi="Aptos"/>
          <w:b/>
          <w:bCs/>
          <w:color w:val="auto"/>
          <w:sz w:val="28"/>
          <w:szCs w:val="28"/>
        </w:rPr>
        <w:t>Conclusion</w:t>
      </w:r>
    </w:p>
    <w:p>
      <w:pPr>
        <w:spacing w:before="240" w:after="240"/>
      </w:pPr>
      <w:r>
        <w:rPr>
          <w:rFonts w:ascii="Aptos" w:eastAsia="Aptos" w:cs="Aptos" w:hAnsi="Aptos"/>
        </w:rPr>
        <w:t>DementiaCare+ AI has the potential to improve safety, independence and quality of life by combining artificial intelligence, wearable technology and remote monitoring into one platform. With strong ethical safeguards, user-friendly design and professional support, it could become an effective digital health promotion intervention for people living with dementia.</w:t>
      </w:r>
    </w:p>
    <w:p>
      <w:pPr>
        <w:spacing w:before="240" w:after="240"/>
        <w:rPr>
          <w:rFonts w:ascii="Aptos" w:eastAsia="Aptos" w:cs="Aptos" w:hAnsi="Aptos"/>
        </w:rPr>
      </w:pPr>
    </w:p>
    <w:p>
      <w:pPr>
        <w:spacing w:before="240" w:after="240"/>
        <w:rPr>
          <w:rFonts w:ascii="Aptos" w:eastAsia="Aptos" w:cs="Aptos" w:hAnsi="Aptos"/>
        </w:rPr>
      </w:pPr>
    </w:p>
    <w:p>
      <w:pPr>
        <w:spacing w:before="240" w:after="240"/>
        <w:rPr>
          <w:rFonts w:ascii="Aptos" w:eastAsia="Aptos" w:cs="Aptos" w:hAnsi="Aptos"/>
          <w:b/>
          <w:bCs/>
        </w:rPr>
      </w:pPr>
      <w:r>
        <w:rPr>
          <w:rFonts w:ascii="Aptos" w:eastAsia="Aptos" w:cs="Aptos" w:hAnsi="Aptos"/>
          <w:b/>
          <w:bCs/>
        </w:rPr>
        <w:t>References</w:t>
      </w:r>
    </w:p>
    <w:p>
      <w:pPr>
        <w:spacing w:before="240" w:after="240"/>
      </w:pPr>
      <w:r>
        <w:rPr>
          <w:rFonts w:ascii="Aptos" w:eastAsia="Aptos" w:cs="Aptos" w:hAnsi="Aptos"/>
        </w:rPr>
        <w:t xml:space="preserve">alzheimer's Society (2024) </w:t>
      </w:r>
      <w:r>
        <w:rPr>
          <w:rFonts w:ascii="Aptos" w:eastAsia="Aptos" w:cs="Aptos" w:hAnsi="Aptos"/>
          <w:i/>
          <w:iCs/>
        </w:rPr>
        <w:t>Dementia facts and figures</w:t>
      </w:r>
      <w:r>
        <w:rPr>
          <w:rFonts w:ascii="Aptos" w:eastAsia="Aptos" w:cs="Aptos" w:hAnsi="Aptos"/>
        </w:rPr>
        <w:t xml:space="preserve">. Available at: </w:t>
      </w:r>
      <w:r>
        <w:rPr>
          <w:rStyle w:val="26"/>
        </w:rPr>
        <w:fldChar w:fldCharType="begin"/>
      </w:r>
      <w:r>
        <w:instrText>HYPERLINK "https://www.alzheimers.org.uk/about-dementia/dementia-facts-and-figures"</w:instrText>
      </w:r>
      <w:r>
        <w:rPr>
          <w:rStyle w:val="26"/>
        </w:rPr>
        <w:fldChar w:fldCharType="separate"/>
      </w:r>
      <w:r>
        <w:rPr>
          <w:rStyle w:val="26"/>
        </w:rPr>
        <w:t>https://www.alzheimers.org.uk/about-dementia/dementia-facts-and-figures</w:t>
      </w:r>
      <w:r>
        <w:rPr>
          <w:rStyle w:val="26"/>
        </w:rPr>
        <w:fldChar w:fldCharType="end"/>
      </w:r>
      <w:r>
        <w:rPr>
          <w:rFonts w:ascii="Aptos" w:eastAsia="Aptos" w:cs="Aptos" w:hAnsi="Aptos"/>
        </w:rPr>
        <w:t xml:space="preserve"> (Accessed: 24 July 2026).</w:t>
      </w:r>
    </w:p>
    <w:p>
      <w:pPr>
        <w:spacing w:before="240" w:after="240"/>
      </w:pPr>
      <w:r>
        <w:rPr>
          <w:rFonts w:ascii="Aptos" w:eastAsia="Aptos" w:cs="Aptos" w:hAnsi="Aptos"/>
        </w:rPr>
        <w:t xml:space="preserve">Meiland, F., Innes, A., Mountain, G., Robinson, L., van der Roest, H., García-Casal, J.A., Gove, D., Thyrian, J.R., Evans, S., Dröes, R.M. and Franco-Martin, M. (2017) ‘Technologies to support community-dwelling persons with dementia: A position paper on issues regarding development, usability, effectiveness and cost-effectiveness’, </w:t>
      </w:r>
      <w:r>
        <w:rPr>
          <w:rFonts w:ascii="Aptos" w:eastAsia="Aptos" w:cs="Aptos" w:hAnsi="Aptos"/>
          <w:i/>
          <w:iCs/>
        </w:rPr>
        <w:t>Journal of Medical Internet Research</w:t>
      </w:r>
      <w:r>
        <w:rPr>
          <w:rFonts w:ascii="Aptos" w:eastAsia="Aptos" w:cs="Aptos" w:hAnsi="Aptos"/>
        </w:rPr>
        <w:t>, 19(1), e1.</w:t>
      </w:r>
    </w:p>
    <w:p>
      <w:pPr>
        <w:spacing w:before="240" w:after="240"/>
      </w:pPr>
      <w:r>
        <w:rPr>
          <w:rFonts w:ascii="Aptos" w:eastAsia="Aptos" w:cs="Aptos" w:hAnsi="Aptos"/>
        </w:rPr>
        <w:t xml:space="preserve">National Institute for Health and Care Excellence (NICE) (2022) </w:t>
      </w:r>
      <w:r>
        <w:rPr>
          <w:rFonts w:ascii="Aptos" w:eastAsia="Aptos" w:cs="Aptos" w:hAnsi="Aptos"/>
          <w:i/>
          <w:iCs/>
        </w:rPr>
        <w:t>Dementia: Assessment, management and support for people living with dementia and their carers (NG97).</w:t>
      </w:r>
      <w:r>
        <w:rPr>
          <w:rFonts w:ascii="Aptos" w:eastAsia="Aptos" w:cs="Aptos" w:hAnsi="Aptos"/>
        </w:rPr>
        <w:t xml:space="preserve"> London: NICE.</w:t>
      </w:r>
    </w:p>
    <w:p>
      <w:pPr>
        <w:spacing w:before="240" w:after="240"/>
      </w:pPr>
      <w:r>
        <w:rPr>
          <w:rFonts w:ascii="Aptos" w:eastAsia="Aptos" w:cs="Aptos" w:hAnsi="Aptos"/>
        </w:rPr>
        <w:t xml:space="preserve">Nuffield Council on Bioethics (2009) </w:t>
      </w:r>
      <w:r>
        <w:rPr>
          <w:rFonts w:ascii="Aptos" w:eastAsia="Aptos" w:cs="Aptos" w:hAnsi="Aptos"/>
          <w:i/>
          <w:iCs/>
        </w:rPr>
        <w:t>Dementia: Ethical Issues</w:t>
      </w:r>
      <w:r>
        <w:rPr>
          <w:rFonts w:ascii="Aptos" w:eastAsia="Aptos" w:cs="Aptos" w:hAnsi="Aptos"/>
        </w:rPr>
        <w:t>. London: Nuffield Council on Bioethics.</w:t>
      </w:r>
    </w:p>
    <w:p>
      <w:pPr>
        <w:spacing w:before="240" w:after="240"/>
      </w:pPr>
      <w:r>
        <w:rPr>
          <w:rFonts w:ascii="Aptos" w:eastAsia="Aptos" w:cs="Aptos" w:hAnsi="Aptos"/>
        </w:rPr>
        <w:t xml:space="preserve">World Health Organization (2023) </w:t>
      </w:r>
      <w:r>
        <w:rPr>
          <w:rFonts w:ascii="Aptos" w:eastAsia="Aptos" w:cs="Aptos" w:hAnsi="Aptos"/>
          <w:i/>
          <w:iCs/>
        </w:rPr>
        <w:t>Dementia</w:t>
      </w:r>
      <w:r>
        <w:rPr>
          <w:rFonts w:ascii="Aptos" w:eastAsia="Aptos" w:cs="Aptos" w:hAnsi="Aptos"/>
        </w:rPr>
        <w:t>. Geneva: World Health Organization.</w:t>
      </w:r>
    </w:p>
    <w:p>
      <w:pPr>
        <w:spacing w:before="240" w:after="240"/>
        <w:rPr>
          <w:rFonts w:ascii="Aptos" w:eastAsia="Aptos" w:cs="Aptos" w:hAnsi="Aptos"/>
        </w:rPr>
      </w:pPr>
    </w:p>
    <w:p>
      <w:pPr>
        <w:spacing w:after="0"/>
        <w:rPr>
          <w:rFonts w:ascii="Aptos" w:eastAsia="Aptos" w:cs="Aptos" w:hAnsi="Aptos"/>
        </w:rPr>
      </w:pPr>
    </w:p>
    <w:p/>
    <w:p>
      <w:r>
        <w:br w:type="page"/>
      </w:r>
    </w:p>
    <w:p/>
    <w:sectPr>
      <w:footerReference w:type="default" r:id="rId2"/>
      <w:footerReference w:type="first" r:id="rId3"/>
      <w:pgSz w:w="16838" w:h="11906" w:orient="landscape"/>
      <w:pgMar w:top="1440" w:right="1440" w:bottom="1440" w:left="1440" w:header="708" w:footer="708" w:gutter="0"/>
      <w:titlePg/>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Aptos">
    <w:altName w:val="Times New Roman"/>
    <w:panose1 w:val="00000000000000000000"/>
    <w:charset w:val="00"/>
    <w:family w:val="roman"/>
    <w:pitch w:val="variable"/>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ptos Display">
    <w:altName w:val="Times New Roman"/>
    <w:panose1 w:val="00000000000000000000"/>
    <w:charset w:val="00"/>
    <w:family w:val="roman"/>
    <w:pitch w:val="variable"/>
  </w:font>
  <w:font w:name="游ゴシック Light">
    <w:altName w:val="Droid Sans"/>
    <w:panose1 w:val="00000000000000000000"/>
    <w:charset w:val="00"/>
    <w:family w:val="auto"/>
    <w:pitch w:val="variable"/>
    <w:sig w:usb0="00000000" w:usb1="00000000" w:usb2="00000000" w:usb3="00000000" w:csb0="00000000" w:csb1="00000000"/>
  </w:font>
  <w:font w:name="游明朝">
    <w:altName w:val="Droid Sans"/>
    <w:panose1 w:val="00000000000000000000"/>
    <w:charset w:val="00"/>
    <w:family w:val="auto"/>
    <w:pitch w:val="variable"/>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tbl>
    <w:tblPr>
      <w:jc w:val="left"/>
      <w:tblBorders>
        <w:top w:val="none" w:sz="0" w:space="0" w:color="auto"/>
        <w:left w:val="none" w:sz="0" w:space="0" w:color="auto"/>
        <w:bottom w:val="none" w:sz="0" w:space="0" w:color="auto"/>
        <w:right w:val="none" w:sz="0" w:space="0" w:color="auto"/>
      </w:tblBorders>
      <w:tblCellMar>
        <w:top w:w="0" w:type="dxa"/>
        <w:left w:w="108" w:type="dxa"/>
        <w:bottom w:w="0" w:type="dxa"/>
        <w:right w:w="108" w:type="dxa"/>
      </w:tblCellMar>
    </w:tblPr>
    <w:tblGrid>
      <w:gridCol w:w="4650"/>
      <w:gridCol w:w="4650"/>
      <w:gridCol w:w="4650"/>
    </w:tblGrid>
    <w:tr>
      <w:trPr>
        <w:trHeight w:val="300"/>
      </w:trPr>
      <w:tc>
        <w:tcPr>
          <w:tcW w:w="4650" w:type="dxa"/>
        </w:tcPr>
        <w:p>
          <w:pPr>
            <w:pStyle w:val="22"/>
            <w:tabs>
              <w:tab w:val="center" w:pos="4513"/>
              <w:tab w:val="right" w:pos="9026"/>
            </w:tabs>
            <w:ind w:left="-115"/>
          </w:pPr>
        </w:p>
      </w:tc>
      <w:tc>
        <w:tcPr>
          <w:tcW w:w="4650" w:type="dxa"/>
        </w:tcPr>
        <w:p>
          <w:pPr>
            <w:pStyle w:val="22"/>
            <w:tabs>
              <w:tab w:val="center" w:pos="4513"/>
              <w:tab w:val="right" w:pos="9026"/>
            </w:tabs>
            <w:jc w:val="center"/>
          </w:pPr>
        </w:p>
      </w:tc>
      <w:tc>
        <w:tcPr>
          <w:tcW w:w="4650" w:type="dxa"/>
        </w:tcPr>
        <w:p>
          <w:pPr>
            <w:pStyle w:val="22"/>
            <w:tabs>
              <w:tab w:val="center" w:pos="4513"/>
              <w:tab w:val="right" w:pos="9026"/>
            </w:tabs>
            <w:ind w:right="-115"/>
            <w:jc w:val="right"/>
          </w:pPr>
        </w:p>
      </w:tc>
    </w:tr>
  </w:tbl>
  <w:p>
    <w:pPr>
      <w:pStyle w:val="23"/>
      <w:tabs>
        <w:tab w:val="center" w:pos="4513"/>
        <w:tab w:val="right" w:pos="9026"/>
      </w:tabs>
    </w:pPr>
  </w:p>
</w:ftr>
</file>

<file path=word/footer2.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tbl>
    <w:tblPr>
      <w:jc w:val="left"/>
      <w:tblBorders>
        <w:top w:val="none" w:sz="0" w:space="0" w:color="auto"/>
        <w:left w:val="none" w:sz="0" w:space="0" w:color="auto"/>
        <w:bottom w:val="none" w:sz="0" w:space="0" w:color="auto"/>
        <w:right w:val="none" w:sz="0" w:space="0" w:color="auto"/>
      </w:tblBorders>
      <w:tblCellMar>
        <w:top w:w="0" w:type="dxa"/>
        <w:left w:w="108" w:type="dxa"/>
        <w:bottom w:w="0" w:type="dxa"/>
        <w:right w:w="108" w:type="dxa"/>
      </w:tblCellMar>
    </w:tblPr>
    <w:tblGrid>
      <w:gridCol w:w="4650"/>
      <w:gridCol w:w="4650"/>
      <w:gridCol w:w="4650"/>
    </w:tblGrid>
    <w:tr>
      <w:trPr>
        <w:trHeight w:val="300"/>
      </w:trPr>
      <w:tc>
        <w:tcPr>
          <w:tcW w:w="4650" w:type="dxa"/>
        </w:tcPr>
        <w:p>
          <w:pPr>
            <w:pStyle w:val="22"/>
            <w:tabs>
              <w:tab w:val="center" w:pos="4513"/>
              <w:tab w:val="right" w:pos="9026"/>
            </w:tabs>
            <w:ind w:left="-115"/>
          </w:pPr>
        </w:p>
      </w:tc>
      <w:tc>
        <w:tcPr>
          <w:tcW w:w="4650" w:type="dxa"/>
        </w:tcPr>
        <w:p>
          <w:pPr>
            <w:pStyle w:val="22"/>
            <w:tabs>
              <w:tab w:val="center" w:pos="4513"/>
              <w:tab w:val="right" w:pos="9026"/>
            </w:tabs>
            <w:jc w:val="center"/>
          </w:pPr>
        </w:p>
      </w:tc>
      <w:tc>
        <w:tcPr>
          <w:tcW w:w="4650" w:type="dxa"/>
        </w:tcPr>
        <w:p>
          <w:pPr>
            <w:pStyle w:val="22"/>
            <w:tabs>
              <w:tab w:val="center" w:pos="4513"/>
              <w:tab w:val="right" w:pos="9026"/>
            </w:tabs>
            <w:ind w:right="-115"/>
            <w:jc w:val="right"/>
          </w:pPr>
        </w:p>
      </w:tc>
    </w:tr>
  </w:tbl>
  <w:p>
    <w:pPr>
      <w:pStyle w:val="23"/>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1E930604"/>
    <w:multiLevelType w:val="hybridMultilevel"/>
    <w:tmpl w:val="FFFFFFFF"/>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nsid w:val="0B6FF4E4"/>
    <w:multiLevelType w:val="hybridMultilevel"/>
    <w:tmpl w:val="FFFFFFFF"/>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nsid w:val="77312B9E"/>
    <w:multiLevelType w:val="hybridMultilevel"/>
    <w:tmpl w:val="FFFFFFFF"/>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3">
    <w:nsid w:val="3739DCBC"/>
    <w:multiLevelType w:val="hybridMultilevel"/>
    <w:tmpl w:val="FFFFFFFF"/>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96"/>
  <w:displayBackgroundShape/>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78" w:lineRule="auto"/>
    </w:pPr>
    <w:rPr>
      <w:rFonts w:ascii="Aptos" w:eastAsia="Aptos" w:cs="Arial" w:hAnsi="Aptos"/>
      <w:kern w:val="2"/>
      <w:sz w:val="24"/>
      <w:szCs w:val="24"/>
      <w:lang w:val="en-GB" w:eastAsia="en-US" w:bidi="ar-SA"/>
    </w:rPr>
  </w:style>
  <w:style w:type="paragraph" w:styleId="1">
    <w:name w:val="heading 1"/>
    <w:basedOn w:val="0"/>
    <w:next w:val="0"/>
    <w:pPr>
      <w:keepNext/>
      <w:keepLines/>
      <w:spacing w:before="360" w:after="80"/>
      <w:outlineLvl w:val="0"/>
    </w:pPr>
    <w:rPr>
      <w:rFonts w:ascii="Aptos Display" w:eastAsia="游ゴシック Light" w:cs="Times New Roman" w:hAnsi="Aptos Display"/>
      <w:color w:val="0F4761"/>
      <w:sz w:val="40"/>
      <w:szCs w:val="40"/>
    </w:rPr>
  </w:style>
  <w:style w:type="paragraph" w:styleId="2">
    <w:name w:val="heading 2"/>
    <w:basedOn w:val="0"/>
    <w:next w:val="0"/>
    <w:pPr>
      <w:keepNext/>
      <w:keepLines/>
      <w:spacing w:before="160" w:after="80"/>
      <w:outlineLvl w:val="1"/>
    </w:pPr>
    <w:rPr>
      <w:rFonts w:ascii="Aptos Display" w:eastAsia="游ゴシック Light" w:cs="Times New Roman" w:hAnsi="Aptos Display"/>
      <w:color w:val="0F4761"/>
      <w:sz w:val="32"/>
      <w:szCs w:val="32"/>
    </w:rPr>
  </w:style>
  <w:style w:type="paragraph" w:styleId="3">
    <w:name w:val="heading 3"/>
    <w:basedOn w:val="0"/>
    <w:next w:val="0"/>
    <w:pPr>
      <w:keepNext/>
      <w:keepLines/>
      <w:spacing w:before="160" w:after="80"/>
      <w:outlineLvl w:val="2"/>
    </w:pPr>
    <w:rPr>
      <w:rFonts w:eastAsia="游ゴシック Light" w:cs="Times New Roman"/>
      <w:color w:val="0F4761"/>
      <w:sz w:val="28"/>
      <w:szCs w:val="28"/>
    </w:rPr>
  </w:style>
  <w:style w:type="paragraph" w:styleId="4">
    <w:name w:val="heading 4"/>
    <w:basedOn w:val="0"/>
    <w:next w:val="0"/>
    <w:pPr>
      <w:keepNext/>
      <w:keepLines/>
      <w:spacing w:before="80" w:after="40"/>
      <w:outlineLvl w:val="3"/>
    </w:pPr>
    <w:rPr>
      <w:rFonts w:eastAsia="游ゴシック Light" w:cs="Times New Roman"/>
      <w:i/>
      <w:iCs/>
      <w:color w:val="0F4761"/>
    </w:rPr>
  </w:style>
  <w:style w:type="paragraph" w:styleId="5">
    <w:name w:val="heading 5"/>
    <w:basedOn w:val="0"/>
    <w:next w:val="0"/>
    <w:pPr>
      <w:keepNext/>
      <w:keepLines/>
      <w:spacing w:before="80" w:after="40"/>
      <w:outlineLvl w:val="4"/>
    </w:pPr>
    <w:rPr>
      <w:rFonts w:eastAsia="游ゴシック Light" w:cs="Times New Roman"/>
      <w:color w:val="0F4761"/>
    </w:rPr>
  </w:style>
  <w:style w:type="paragraph" w:styleId="6">
    <w:name w:val="heading 6"/>
    <w:basedOn w:val="0"/>
    <w:next w:val="0"/>
    <w:pPr>
      <w:keepNext/>
      <w:keepLines/>
      <w:spacing w:before="40" w:after="0"/>
      <w:outlineLvl w:val="5"/>
    </w:pPr>
    <w:rPr>
      <w:rFonts w:eastAsia="游ゴシック Light" w:cs="Times New Roman"/>
      <w:i/>
      <w:iCs/>
      <w:color w:val="595959"/>
    </w:rPr>
  </w:style>
  <w:style w:type="paragraph" w:styleId="7">
    <w:name w:val="heading 7"/>
    <w:basedOn w:val="0"/>
    <w:next w:val="0"/>
    <w:pPr>
      <w:keepNext/>
      <w:keepLines/>
      <w:spacing w:before="40" w:after="0"/>
      <w:outlineLvl w:val="6"/>
    </w:pPr>
    <w:rPr>
      <w:rFonts w:eastAsia="游ゴシック Light" w:cs="Times New Roman"/>
      <w:color w:val="595959"/>
    </w:rPr>
  </w:style>
  <w:style w:type="paragraph" w:styleId="8">
    <w:name w:val="heading 8"/>
    <w:basedOn w:val="0"/>
    <w:next w:val="0"/>
    <w:pPr>
      <w:keepNext/>
      <w:keepLines/>
      <w:spacing w:after="0"/>
      <w:outlineLvl w:val="7"/>
    </w:pPr>
    <w:rPr>
      <w:rFonts w:eastAsia="游ゴシック Light" w:cs="Times New Roman"/>
      <w:i/>
      <w:iCs/>
      <w:color w:val="272727"/>
    </w:rPr>
  </w:style>
  <w:style w:type="paragraph" w:styleId="9">
    <w:name w:val="heading 9"/>
    <w:basedOn w:val="0"/>
    <w:next w:val="0"/>
    <w:pPr>
      <w:keepNext/>
      <w:keepLines/>
      <w:spacing w:after="0"/>
      <w:outlineLvl w:val="8"/>
    </w:pPr>
    <w:rPr>
      <w:rFonts w:eastAsia="游ゴシック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Aptos Display" w:eastAsia="游ゴシック Light" w:cs="Times New Roman" w:hAnsi="Aptos Display"/>
      <w:spacing w:val="-10"/>
      <w:kern w:val="28"/>
      <w:sz w:val="56"/>
      <w:szCs w:val="56"/>
    </w:rPr>
  </w:style>
  <w:style w:type="paragraph" w:styleId="16">
    <w:name w:val="Subtitle"/>
    <w:basedOn w:val="0"/>
    <w:next w:val="0"/>
    <w:rPr>
      <w:rFonts w:eastAsia="游ゴシック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0F4761"/>
    </w:rPr>
  </w:style>
  <w:style w:type="paragraph" w:customStyle="1" w:styleId="20">
    <w:name w:val="Intense Quote"/>
    <w:basedOn w:val="0"/>
    <w:next w:val="0"/>
    <w:pPr>
      <w:pBdr>
        <w:top w:val="single" w:sz="4" w:space="10" w:color="0F4761"/>
        <w:bottom w:val="single" w:sz="4" w:space="10" w:color="0F4761"/>
      </w:pBdr>
      <w:spacing w:before="360" w:after="360"/>
      <w:ind w:left="864" w:right="864"/>
      <w:jc w:val="center"/>
    </w:pPr>
    <w:rPr>
      <w:i/>
      <w:iCs/>
      <w:color w:val="0F4761"/>
    </w:rPr>
  </w:style>
  <w:style w:type="character" w:customStyle="1" w:styleId="21">
    <w:name w:val="Intense Reference"/>
    <w:basedOn w:val="10"/>
    <w:rPr>
      <w:b/>
      <w:bCs/>
      <w:caps w:val="0"/>
      <w:smallCaps/>
      <w:color w:val="0F4761"/>
      <w:spacing w:val="5"/>
    </w:rPr>
  </w:style>
  <w:style w:type="paragraph" w:styleId="22">
    <w:name w:val="header"/>
    <w:basedOn w:val="0"/>
    <w:pPr>
      <w:tabs>
        <w:tab w:val="center" w:pos="4513"/>
        <w:tab w:val="right" w:pos="9026"/>
      </w:tabs>
      <w:spacing w:after="0" w:line="240" w:lineRule="auto"/>
    </w:pPr>
  </w:style>
  <w:style w:type="paragraph" w:styleId="23">
    <w:name w:val="footer"/>
    <w:basedOn w:val="0"/>
    <w:pPr>
      <w:tabs>
        <w:tab w:val="center" w:pos="4513"/>
        <w:tab w:val="right" w:pos="9026"/>
      </w:tabs>
      <w:spacing w:after="0" w:line="240" w:lineRule="auto"/>
    </w:pPr>
  </w:style>
  <w:style w:type="paragraph" w:customStyle="1" w:styleId="24">
    <w:name w:val="No Spacing"/>
    <w:pPr>
      <w:spacing w:after="0" w:line="240" w:lineRule="auto"/>
    </w:pPr>
    <w:rPr>
      <w:rFonts w:ascii="Aptos" w:eastAsia="游明朝" w:cs="Arial" w:hAnsi="Aptos"/>
      <w:kern w:val="0"/>
      <w:sz w:val="22"/>
      <w:szCs w:val="22"/>
      <w:lang w:val="en-US" w:eastAsia="zh-CN" w:bidi="ar-SA"/>
    </w:rPr>
  </w:style>
  <w:style w:type="paragraph" w:styleId="25">
    <w:name w:val="Normal (Web)"/>
    <w:basedOn w:val="0"/>
    <w:pPr>
      <w:spacing w:before="100" w:beforeAutospacing="1" w:after="100" w:afterAutospacing="1" w:line="240" w:lineRule="auto"/>
    </w:pPr>
    <w:rPr>
      <w:rFonts w:ascii="Times New Roman" w:eastAsia="Times New Roman" w:cs="Times New Roman" w:hAnsi="Times New Roman"/>
      <w:kern w:val="0"/>
      <w:lang w:eastAsia="en-GB"/>
    </w:rPr>
  </w:style>
  <w:style w:type="character" w:styleId="26">
    <w:name w:val="Hyperlink"/>
    <w:basedOn w:val="10"/>
    <w:rPr>
      <w:color w:val="467886"/>
      <w:u w:val="single"/>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image" Target="media/2.png"/><Relationship Id="rId5" Type="http://schemas.openxmlformats.org/officeDocument/2006/relationships/image" Target="media/5.png"/><Relationship Id="rId6" Type="http://schemas.openxmlformats.org/officeDocument/2006/relationships/image" Target="media/8.png"/><Relationship Id="rId7" Type="http://schemas.openxmlformats.org/officeDocument/2006/relationships/image" Target="media/11.png"/><Relationship Id="rId8" Type="http://schemas.openxmlformats.org/officeDocument/2006/relationships/image" Target="media/14.png"/><Relationship Id="rId9" Type="http://schemas.openxmlformats.org/officeDocument/2006/relationships/image" Target="media/17.png"/><Relationship Id="rId10" Type="http://schemas.openxmlformats.org/officeDocument/2006/relationships/image" Target="media/20.png"/><Relationship Id="rId11" Type="http://schemas.openxmlformats.org/officeDocument/2006/relationships/styles" Target="styles.xml"/><Relationship Id="rId12" Type="http://schemas.openxmlformats.org/officeDocument/2006/relationships/numbering" Target="numbering.xml"/><Relationship Id="rId13" Type="http://schemas.openxmlformats.org/officeDocument/2006/relationships/fontTable" Target="fontTable.xml"/></Relationships>
</file>

<file path=docProps/app.xml><?xml version="1.0" encoding="utf-8"?>
<Properties xmlns="http://schemas.openxmlformats.org/officeDocument/2006/extended-properties">
  <Template>Normal.eit</Template>
  <TotalTime>0</TotalTime>
  <Application>Yozo_Office</Application>
  <Pages>14</Pages>
  <Words>1292</Words>
  <Characters>7914</Characters>
  <Lines>164</Lines>
  <Paragraphs>98</Paragraphs>
  <CharactersWithSpaces>9128</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Amit Tiwari (2526931)</dc:creator>
  <cp:lastModifiedBy>vivo user</cp:lastModifiedBy>
  <cp:revision>4</cp:revision>
  <dcterms:created xsi:type="dcterms:W3CDTF">2026-07-24T12:11:00Z</dcterms:created>
  <dcterms:modified xsi:type="dcterms:W3CDTF">2026-07-27T16:08:34Z</dcterms:modified>
</cp:coreProperties>
</file>