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563504" w14:textId="6D2ED37A" w:rsidR="008C5C33" w:rsidRPr="003F76A8" w:rsidRDefault="003F76A8" w:rsidP="008C5C33">
      <w:pPr>
        <w:spacing w:line="360" w:lineRule="auto"/>
        <w:rPr>
          <w:rFonts w:ascii="Times New Roman" w:hAnsi="Times New Roman" w:cs="Times New Roman"/>
          <w:b/>
          <w:bCs/>
          <w:sz w:val="32"/>
          <w:szCs w:val="32"/>
        </w:rPr>
      </w:pPr>
      <w:r w:rsidRPr="003F76A8">
        <w:rPr>
          <w:rFonts w:ascii="Times New Roman" w:hAnsi="Times New Roman" w:cs="Times New Roman"/>
          <w:b/>
          <w:bCs/>
          <w:sz w:val="32"/>
          <w:szCs w:val="32"/>
        </w:rPr>
        <w:t>T</w:t>
      </w:r>
      <w:r w:rsidR="008C5C33" w:rsidRPr="003F76A8">
        <w:rPr>
          <w:rFonts w:ascii="Times New Roman" w:hAnsi="Times New Roman" w:cs="Times New Roman"/>
          <w:b/>
          <w:bCs/>
          <w:sz w:val="32"/>
          <w:szCs w:val="32"/>
        </w:rPr>
        <w:t>he changes in British policy towards Northern Ireland between 1968 and 1979. What accounts for the shift in policy from March 1972?</w:t>
      </w:r>
    </w:p>
    <w:p w14:paraId="743CB8C9" w14:textId="77777777" w:rsidR="008C5C33" w:rsidRPr="008C5C33" w:rsidRDefault="008C5C33" w:rsidP="008C5C33">
      <w:pPr>
        <w:spacing w:line="360" w:lineRule="auto"/>
        <w:rPr>
          <w:rFonts w:ascii="Times New Roman" w:hAnsi="Times New Roman" w:cs="Times New Roman"/>
        </w:rPr>
      </w:pPr>
    </w:p>
    <w:p w14:paraId="3E0F4C5A" w14:textId="1CF54FC2" w:rsidR="008C5C33" w:rsidRPr="008C5C33" w:rsidRDefault="008C5C33" w:rsidP="008C5C33">
      <w:pPr>
        <w:spacing w:line="360" w:lineRule="auto"/>
        <w:rPr>
          <w:rFonts w:ascii="Times New Roman" w:hAnsi="Times New Roman" w:cs="Times New Roman"/>
        </w:rPr>
      </w:pPr>
      <w:r w:rsidRPr="008C5C33">
        <w:rPr>
          <w:rFonts w:ascii="Times New Roman" w:hAnsi="Times New Roman" w:cs="Times New Roman"/>
        </w:rPr>
        <w:t xml:space="preserve">In the late 1960s, Northern Ireland stood on the brink of a violent conflict that would reshape its political landscape and challenge British governance for decades. The emergence of the civil rights movement in 1968, demanding equality for the Catholic minority, exposed deep-seated sectarian divisions and the limitations of the unionist-dominated Stormont government. As protests escalated into riots and violence, British policy towards Northern Ireland underwent a profound transformation between 1968 and 1979, shifting from a largely detached approach to direct intervention. This essay explores these changes, with a particular focus on the pivotal shift to direct rule in March 1972, when the British government suspended Stormont and assumed control from Westminster. This dramatic policy change was driven by </w:t>
      </w:r>
      <w:r w:rsidR="00962212">
        <w:rPr>
          <w:rFonts w:ascii="Times New Roman" w:hAnsi="Times New Roman" w:cs="Times New Roman"/>
        </w:rPr>
        <w:t>different</w:t>
      </w:r>
      <w:r w:rsidRPr="008C5C33">
        <w:rPr>
          <w:rFonts w:ascii="Times New Roman" w:hAnsi="Times New Roman" w:cs="Times New Roman"/>
        </w:rPr>
        <w:t xml:space="preserve"> factors: the intensification of violence, notably after Bloody Sunday in January 1972, the collapse of Stormont’s political legitimacy, and mounting international pressure to address human rights concerns. By examining key events, security measures, and political initiatives like the Sunningdale Agreement, this essay argues that the 1972 shift marked a strategic reassessment, as Britain sought to stabilize a deteriorating situation while navigating competing unionist and nationalist demands. The evolution of British policy during this period not only changed the way Northern Ireland was governed but also laid the groundwork for future peace efforts. Through a detailed analysis of internal and external pressures, this essay </w:t>
      </w:r>
      <w:r w:rsidR="00952DFD">
        <w:rPr>
          <w:rFonts w:ascii="Times New Roman" w:hAnsi="Times New Roman" w:cs="Times New Roman"/>
        </w:rPr>
        <w:t>will attempt to reveal</w:t>
      </w:r>
      <w:r w:rsidRPr="008C5C33">
        <w:rPr>
          <w:rFonts w:ascii="Times New Roman" w:hAnsi="Times New Roman" w:cs="Times New Roman"/>
        </w:rPr>
        <w:t xml:space="preserve"> the complexities of managing a divided society amidst a spiraling conflict.</w:t>
      </w:r>
    </w:p>
    <w:p w14:paraId="29BB03CF" w14:textId="77777777" w:rsidR="0090601F" w:rsidRDefault="008C5C33" w:rsidP="008C5C33">
      <w:pPr>
        <w:spacing w:line="360" w:lineRule="auto"/>
        <w:rPr>
          <w:rFonts w:ascii="Times New Roman" w:hAnsi="Times New Roman" w:cs="Times New Roman"/>
        </w:rPr>
      </w:pPr>
      <w:r w:rsidRPr="008C5C33">
        <w:rPr>
          <w:rFonts w:ascii="Times New Roman" w:hAnsi="Times New Roman" w:cs="Times New Roman"/>
        </w:rPr>
        <w:t>In 1968, Northern Ireland’s political and social fabric began to unravel as the civil rights movement emerged, demanding an end to systemic discrimination against the Catholic minority in housing, employment, and voting rights.</w:t>
      </w:r>
    </w:p>
    <w:p w14:paraId="01BE428E" w14:textId="77777777" w:rsidR="000C3D3C" w:rsidRDefault="0090601F" w:rsidP="0090601F">
      <w:pPr>
        <w:spacing w:line="360" w:lineRule="auto"/>
        <w:rPr>
          <w:rFonts w:ascii="Times New Roman" w:hAnsi="Times New Roman" w:cs="Times New Roman"/>
        </w:rPr>
      </w:pPr>
      <w:r w:rsidRPr="000C3D3C">
        <w:rPr>
          <w:rFonts w:ascii="Times New Roman" w:hAnsi="Times New Roman" w:cs="Times New Roman"/>
          <w:sz w:val="20"/>
          <w:szCs w:val="20"/>
        </w:rPr>
        <w:lastRenderedPageBreak/>
        <w:t>FOUR THOUSAND PEOPLE took part in the march on 24 August 1968. It was the first time in the Six Counties that the civil rights song ‘We Shall Overcome’ was heard…Here it should be explained that it was not merely the idea of marching for civil rights that was new, it was the idea of Catholics marching</w:t>
      </w:r>
      <w:r w:rsidRPr="0090601F">
        <w:rPr>
          <w:rFonts w:ascii="Times New Roman" w:hAnsi="Times New Roman" w:cs="Times New Roman"/>
        </w:rPr>
        <w:t>.</w:t>
      </w:r>
      <w:r w:rsidR="00BE2E14">
        <w:rPr>
          <w:rStyle w:val="FootnoteReference"/>
          <w:rFonts w:ascii="Times New Roman" w:hAnsi="Times New Roman" w:cs="Times New Roman"/>
        </w:rPr>
        <w:footnoteReference w:id="1"/>
      </w:r>
      <w:r w:rsidR="008C5C33" w:rsidRPr="008C5C33">
        <w:rPr>
          <w:rFonts w:ascii="Times New Roman" w:hAnsi="Times New Roman" w:cs="Times New Roman"/>
        </w:rPr>
        <w:t xml:space="preserve"> </w:t>
      </w:r>
    </w:p>
    <w:p w14:paraId="138CFADA" w14:textId="5E4B1700" w:rsidR="008C5C33" w:rsidRPr="008C5C33" w:rsidRDefault="008C5C33" w:rsidP="0090601F">
      <w:pPr>
        <w:spacing w:line="360" w:lineRule="auto"/>
        <w:rPr>
          <w:rFonts w:ascii="Times New Roman" w:hAnsi="Times New Roman" w:cs="Times New Roman"/>
        </w:rPr>
      </w:pPr>
      <w:r w:rsidRPr="008C5C33">
        <w:rPr>
          <w:rFonts w:ascii="Times New Roman" w:hAnsi="Times New Roman" w:cs="Times New Roman"/>
        </w:rPr>
        <w:t xml:space="preserve">The British government, under </w:t>
      </w:r>
      <w:proofErr w:type="spellStart"/>
      <w:r w:rsidRPr="008C5C33">
        <w:rPr>
          <w:rFonts w:ascii="Times New Roman" w:hAnsi="Times New Roman" w:cs="Times New Roman"/>
        </w:rPr>
        <w:t>Labour</w:t>
      </w:r>
      <w:proofErr w:type="spellEnd"/>
      <w:r w:rsidRPr="008C5C33">
        <w:rPr>
          <w:rFonts w:ascii="Times New Roman" w:hAnsi="Times New Roman" w:cs="Times New Roman"/>
        </w:rPr>
        <w:t xml:space="preserve"> Prime Minister Harold Wilson, initially adopted a hands-off approach</w:t>
      </w:r>
      <w:r w:rsidR="004B2EE3">
        <w:rPr>
          <w:rStyle w:val="FootnoteReference"/>
          <w:rFonts w:ascii="Times New Roman" w:hAnsi="Times New Roman" w:cs="Times New Roman"/>
        </w:rPr>
        <w:footnoteReference w:id="2"/>
      </w:r>
      <w:r w:rsidRPr="008C5C33">
        <w:rPr>
          <w:rFonts w:ascii="Times New Roman" w:hAnsi="Times New Roman" w:cs="Times New Roman"/>
        </w:rPr>
        <w:t>, relying on the unionist-controlled Stormont government to manage local affairs. This devolved system, established by the 1920 Government of Ireland Act, allowed Stormont significant autonomy, with Westminster intervening only minimally. However, as civil rights protests, modeled on the U.S. movement, gained momentum, they met fierce resistance from unionists and loyalist groups, exposing the fragility of this arrangement.</w:t>
      </w:r>
    </w:p>
    <w:p w14:paraId="2280414F" w14:textId="4C67709A" w:rsidR="008C5C33" w:rsidRPr="008C5C33" w:rsidRDefault="008C5C33" w:rsidP="008C5C33">
      <w:pPr>
        <w:spacing w:line="360" w:lineRule="auto"/>
        <w:rPr>
          <w:rFonts w:ascii="Times New Roman" w:hAnsi="Times New Roman" w:cs="Times New Roman"/>
        </w:rPr>
      </w:pPr>
      <w:r w:rsidRPr="008C5C33">
        <w:rPr>
          <w:rFonts w:ascii="Times New Roman" w:hAnsi="Times New Roman" w:cs="Times New Roman"/>
        </w:rPr>
        <w:t xml:space="preserve">The British government’s early response was to pressure Stormont for reforms. In 1968–69, Prime Minister James Chichester-Clark introduced measures like fairer housing allocation and the abolition of the business vote, which disproportionately favored unionists. Yet, these reforms were too slow for nationalists and too radical for hardline unionists, deepening divisions. By August 1969, escalating riots in Derry’s Bogside and Belfast, fueled by sectarian clashes, forced Britain to deploy troops to restore order. This marked a shift from political </w:t>
      </w:r>
      <w:r w:rsidR="000F1C56">
        <w:rPr>
          <w:rFonts w:ascii="Times New Roman" w:hAnsi="Times New Roman" w:cs="Times New Roman"/>
        </w:rPr>
        <w:t>pressure</w:t>
      </w:r>
      <w:r w:rsidRPr="008C5C33">
        <w:rPr>
          <w:rFonts w:ascii="Times New Roman" w:hAnsi="Times New Roman" w:cs="Times New Roman"/>
        </w:rPr>
        <w:t xml:space="preserve"> to military involvement, though the initial aim was containment rather than resolution. British soldiers were welcomed by some Catholics as protectors, but this goodwill soon eroded.</w:t>
      </w:r>
    </w:p>
    <w:p w14:paraId="2D562B73" w14:textId="649FDEA4" w:rsidR="008C5C33" w:rsidRPr="008C5C33" w:rsidRDefault="008C5C33" w:rsidP="008C5C33">
      <w:pPr>
        <w:spacing w:line="360" w:lineRule="auto"/>
        <w:rPr>
          <w:rFonts w:ascii="Times New Roman" w:hAnsi="Times New Roman" w:cs="Times New Roman"/>
        </w:rPr>
      </w:pPr>
      <w:r w:rsidRPr="008C5C33">
        <w:rPr>
          <w:rFonts w:ascii="Times New Roman" w:hAnsi="Times New Roman" w:cs="Times New Roman"/>
        </w:rPr>
        <w:t>From 1969 to 1971, British policy grappled with balancing unionist demands for security with growing Catholic alienation. The introduction of internment without trial in August 1971, under Operation Demetrius</w:t>
      </w:r>
      <w:r w:rsidR="000F1C56">
        <w:rPr>
          <w:rStyle w:val="FootnoteReference"/>
          <w:rFonts w:ascii="Times New Roman" w:hAnsi="Times New Roman" w:cs="Times New Roman"/>
        </w:rPr>
        <w:footnoteReference w:id="3"/>
      </w:r>
      <w:r w:rsidRPr="008C5C33">
        <w:rPr>
          <w:rFonts w:ascii="Times New Roman" w:hAnsi="Times New Roman" w:cs="Times New Roman"/>
        </w:rPr>
        <w:t xml:space="preserve">, </w:t>
      </w:r>
      <w:r w:rsidR="00FD4210">
        <w:rPr>
          <w:rFonts w:ascii="Times New Roman" w:hAnsi="Times New Roman" w:cs="Times New Roman"/>
        </w:rPr>
        <w:t>was a prime example of</w:t>
      </w:r>
      <w:r w:rsidRPr="008C5C33">
        <w:rPr>
          <w:rFonts w:ascii="Times New Roman" w:hAnsi="Times New Roman" w:cs="Times New Roman"/>
        </w:rPr>
        <w:t xml:space="preserve"> this tension. Approved by Westminster and implemented by Stormont, internment targeted suspected IRA members but disproportionately affected many innocent Catholics. The policy backfired, intensifying IRA recruitment and sparking widespread protests</w:t>
      </w:r>
      <w:r w:rsidR="00B37702">
        <w:rPr>
          <w:rFonts w:ascii="Times New Roman" w:hAnsi="Times New Roman" w:cs="Times New Roman"/>
        </w:rPr>
        <w:t xml:space="preserve"> </w:t>
      </w:r>
      <w:proofErr w:type="gramStart"/>
      <w:r w:rsidR="00B37702">
        <w:rPr>
          <w:rFonts w:ascii="Times New Roman" w:hAnsi="Times New Roman" w:cs="Times New Roman"/>
        </w:rPr>
        <w:t>as a result of</w:t>
      </w:r>
      <w:proofErr w:type="gramEnd"/>
      <w:r w:rsidR="00B37702">
        <w:rPr>
          <w:rFonts w:ascii="Times New Roman" w:hAnsi="Times New Roman" w:cs="Times New Roman"/>
        </w:rPr>
        <w:t xml:space="preserve"> which</w:t>
      </w:r>
      <w:r w:rsidRPr="008C5C33">
        <w:rPr>
          <w:rFonts w:ascii="Times New Roman" w:hAnsi="Times New Roman" w:cs="Times New Roman"/>
        </w:rPr>
        <w:t xml:space="preserve"> </w:t>
      </w:r>
      <w:r w:rsidR="00B37702">
        <w:rPr>
          <w:rFonts w:ascii="Times New Roman" w:hAnsi="Times New Roman" w:cs="Times New Roman"/>
        </w:rPr>
        <w:t>v</w:t>
      </w:r>
      <w:r w:rsidRPr="008C5C33">
        <w:rPr>
          <w:rFonts w:ascii="Times New Roman" w:hAnsi="Times New Roman" w:cs="Times New Roman"/>
        </w:rPr>
        <w:t>iolence surged. Internment highlighted Britain’s reliance on Stormont’s flawed security measures, which failed to curb the IRA while alienating moderates.</w:t>
      </w:r>
    </w:p>
    <w:p w14:paraId="5DCD93A5" w14:textId="48947D02" w:rsidR="008C5C33" w:rsidRPr="008C5C33" w:rsidRDefault="008C5C33" w:rsidP="008C5C33">
      <w:pPr>
        <w:spacing w:line="360" w:lineRule="auto"/>
        <w:rPr>
          <w:rFonts w:ascii="Times New Roman" w:hAnsi="Times New Roman" w:cs="Times New Roman"/>
        </w:rPr>
      </w:pPr>
      <w:r w:rsidRPr="008C5C33">
        <w:rPr>
          <w:rFonts w:ascii="Times New Roman" w:hAnsi="Times New Roman" w:cs="Times New Roman"/>
        </w:rPr>
        <w:t xml:space="preserve">Westminster’s challenges were </w:t>
      </w:r>
      <w:r w:rsidR="00A33D98">
        <w:rPr>
          <w:rFonts w:ascii="Times New Roman" w:hAnsi="Times New Roman" w:cs="Times New Roman"/>
        </w:rPr>
        <w:t>made even more difficult</w:t>
      </w:r>
      <w:r w:rsidRPr="008C5C33">
        <w:rPr>
          <w:rFonts w:ascii="Times New Roman" w:hAnsi="Times New Roman" w:cs="Times New Roman"/>
        </w:rPr>
        <w:t xml:space="preserve"> by the IRA’s escalating campaign and the hardening of unionist resistance to reform. The British government faced a dilemma: </w:t>
      </w:r>
      <w:r w:rsidRPr="008C5C33">
        <w:rPr>
          <w:rFonts w:ascii="Times New Roman" w:hAnsi="Times New Roman" w:cs="Times New Roman"/>
        </w:rPr>
        <w:lastRenderedPageBreak/>
        <w:t xml:space="preserve">supporting Stormont risked perpetuating a biased </w:t>
      </w:r>
      <w:r w:rsidR="005451FD" w:rsidRPr="008C5C33">
        <w:rPr>
          <w:rFonts w:ascii="Times New Roman" w:hAnsi="Times New Roman" w:cs="Times New Roman"/>
        </w:rPr>
        <w:t>system</w:t>
      </w:r>
      <w:r w:rsidR="005451FD">
        <w:rPr>
          <w:rFonts w:ascii="Times New Roman" w:hAnsi="Times New Roman" w:cs="Times New Roman"/>
        </w:rPr>
        <w:t xml:space="preserve"> </w:t>
      </w:r>
      <w:r w:rsidRPr="008C5C33">
        <w:rPr>
          <w:rFonts w:ascii="Times New Roman" w:hAnsi="Times New Roman" w:cs="Times New Roman"/>
        </w:rPr>
        <w:t xml:space="preserve">while undermining it threatened unionist backlash. By late 1971, the Conservative government under Edward Heath recognized that devolved governance was </w:t>
      </w:r>
      <w:r w:rsidR="00C06957">
        <w:rPr>
          <w:rFonts w:ascii="Times New Roman" w:hAnsi="Times New Roman" w:cs="Times New Roman"/>
        </w:rPr>
        <w:t>not possible</w:t>
      </w:r>
      <w:r w:rsidRPr="008C5C33">
        <w:rPr>
          <w:rFonts w:ascii="Times New Roman" w:hAnsi="Times New Roman" w:cs="Times New Roman"/>
        </w:rPr>
        <w:t xml:space="preserve">, as Stormont lacked the legitimacy to bridge sectarian divides. This period </w:t>
      </w:r>
      <w:r w:rsidR="005428E2">
        <w:rPr>
          <w:rFonts w:ascii="Times New Roman" w:hAnsi="Times New Roman" w:cs="Times New Roman"/>
        </w:rPr>
        <w:t>showed</w:t>
      </w:r>
      <w:r w:rsidRPr="008C5C33">
        <w:rPr>
          <w:rFonts w:ascii="Times New Roman" w:hAnsi="Times New Roman" w:cs="Times New Roman"/>
        </w:rPr>
        <w:t xml:space="preserve"> the limitations of Britain’s indirect approach, setting the stage for a radical policy shift in 1972. The failure to address underlying grievances and the reliance on military solutions over political dialogue entrenched the conflict, pushing Northern Ireland toward a crisis that demanded direct British intervention.</w:t>
      </w:r>
    </w:p>
    <w:p w14:paraId="7B5D5977" w14:textId="7635D91A" w:rsidR="008C5C33" w:rsidRPr="001A5BA4" w:rsidRDefault="008C5C33" w:rsidP="001A5BA4">
      <w:pPr>
        <w:spacing w:line="360" w:lineRule="auto"/>
      </w:pPr>
      <w:r w:rsidRPr="008C5C33">
        <w:rPr>
          <w:rFonts w:ascii="Times New Roman" w:hAnsi="Times New Roman" w:cs="Times New Roman"/>
        </w:rPr>
        <w:t>The year 1972 marked a watershed in British policy towards Northern Ireland, as escalating violence and political collapse culminated in the suspension of the Stormont parliament and the imposition of direct rule from Westminster in March.</w:t>
      </w:r>
      <w:r w:rsidR="000B4ECD">
        <w:rPr>
          <w:rFonts w:ascii="Times New Roman" w:hAnsi="Times New Roman" w:cs="Times New Roman"/>
        </w:rPr>
        <w:t>”</w:t>
      </w:r>
      <w:r w:rsidR="000B4ECD" w:rsidRPr="000B4ECD">
        <w:t xml:space="preserve"> </w:t>
      </w:r>
      <w:r w:rsidR="001A5BA4" w:rsidRPr="00BC64B3">
        <w:rPr>
          <w:rFonts w:ascii="Times New Roman" w:hAnsi="Times New Roman" w:cs="Times New Roman"/>
        </w:rPr>
        <w:t xml:space="preserve">Part of the message here was a warning to Britain not to bring down Stormont, but Heath was undeterred… </w:t>
      </w:r>
      <w:r w:rsidR="000B4ECD" w:rsidRPr="000B4ECD">
        <w:rPr>
          <w:rFonts w:ascii="Times New Roman" w:hAnsi="Times New Roman" w:cs="Times New Roman"/>
        </w:rPr>
        <w:t>We decided that Heath was bluffing.’ Heath in turn was to write</w:t>
      </w:r>
      <w:r w:rsidR="000B4ECD">
        <w:rPr>
          <w:rFonts w:ascii="Times New Roman" w:hAnsi="Times New Roman" w:cs="Times New Roman"/>
        </w:rPr>
        <w:t xml:space="preserve"> </w:t>
      </w:r>
      <w:r w:rsidR="000B4ECD" w:rsidRPr="000B4ECD">
        <w:rPr>
          <w:rFonts w:ascii="Times New Roman" w:hAnsi="Times New Roman" w:cs="Times New Roman"/>
        </w:rPr>
        <w:t>of Faulkner: ‘Initially he seemed to think that we were bluffing.’</w:t>
      </w:r>
      <w:r w:rsidR="000B4ECD" w:rsidRPr="000B4ECD">
        <w:rPr>
          <w:rStyle w:val="FootnoteReference"/>
          <w:rFonts w:ascii="Times New Roman" w:hAnsi="Times New Roman" w:cs="Times New Roman"/>
        </w:rPr>
        <w:t xml:space="preserve"> </w:t>
      </w:r>
      <w:r w:rsidR="009831A5">
        <w:rPr>
          <w:rStyle w:val="FootnoteReference"/>
          <w:rFonts w:ascii="Times New Roman" w:hAnsi="Times New Roman" w:cs="Times New Roman"/>
        </w:rPr>
        <w:footnoteReference w:id="4"/>
      </w:r>
      <w:r w:rsidRPr="008C5C33">
        <w:rPr>
          <w:rFonts w:ascii="Times New Roman" w:hAnsi="Times New Roman" w:cs="Times New Roman"/>
        </w:rPr>
        <w:t xml:space="preserve"> This dramatic shift, prompted by a series of cata</w:t>
      </w:r>
      <w:r w:rsidR="005428E2">
        <w:rPr>
          <w:rFonts w:ascii="Times New Roman" w:hAnsi="Times New Roman" w:cs="Times New Roman"/>
        </w:rPr>
        <w:t>clysmic</w:t>
      </w:r>
      <w:r w:rsidRPr="008C5C33">
        <w:rPr>
          <w:rFonts w:ascii="Times New Roman" w:hAnsi="Times New Roman" w:cs="Times New Roman"/>
        </w:rPr>
        <w:t xml:space="preserve"> events, notably Bloody Sunday, reflected a strategic reassessment driven by a worsening security crisis, the erosion of Stormont’s legitimacy, international pressure, and the recognition that devolved governance could no longer contain the spiraling conflict. The move to direct rule fundamentally altered Britain’s approach, centralizing control and setting the stage for new political and security strategies.</w:t>
      </w:r>
    </w:p>
    <w:p w14:paraId="473E2B55" w14:textId="7CB72A6E" w:rsidR="008C5C33" w:rsidRPr="008C5C33" w:rsidRDefault="008C5C33" w:rsidP="008C5C33">
      <w:pPr>
        <w:spacing w:line="360" w:lineRule="auto"/>
        <w:rPr>
          <w:rFonts w:ascii="Times New Roman" w:hAnsi="Times New Roman" w:cs="Times New Roman"/>
        </w:rPr>
      </w:pPr>
      <w:r w:rsidRPr="008C5C33">
        <w:rPr>
          <w:rFonts w:ascii="Times New Roman" w:hAnsi="Times New Roman" w:cs="Times New Roman"/>
        </w:rPr>
        <w:t>The immediate catalyst for this policy shift</w:t>
      </w:r>
      <w:r w:rsidR="00E93714">
        <w:rPr>
          <w:rFonts w:ascii="Times New Roman" w:hAnsi="Times New Roman" w:cs="Times New Roman"/>
        </w:rPr>
        <w:t xml:space="preserve">, as I </w:t>
      </w:r>
      <w:r w:rsidR="008C5EFC">
        <w:rPr>
          <w:rFonts w:ascii="Times New Roman" w:hAnsi="Times New Roman" w:cs="Times New Roman"/>
        </w:rPr>
        <w:t xml:space="preserve">said, </w:t>
      </w:r>
      <w:r w:rsidR="008C5EFC" w:rsidRPr="008C5C33">
        <w:rPr>
          <w:rFonts w:ascii="Times New Roman" w:hAnsi="Times New Roman" w:cs="Times New Roman"/>
        </w:rPr>
        <w:t>was</w:t>
      </w:r>
      <w:r w:rsidRPr="008C5C33">
        <w:rPr>
          <w:rFonts w:ascii="Times New Roman" w:hAnsi="Times New Roman" w:cs="Times New Roman"/>
        </w:rPr>
        <w:t xml:space="preserve"> Bloody Sunday, January 30, 1972, when </w:t>
      </w:r>
      <w:r w:rsidR="00E93714">
        <w:rPr>
          <w:rFonts w:ascii="Times New Roman" w:hAnsi="Times New Roman" w:cs="Times New Roman"/>
        </w:rPr>
        <w:t>“</w:t>
      </w:r>
      <w:r w:rsidR="00E93714" w:rsidRPr="00E93714">
        <w:rPr>
          <w:rFonts w:ascii="Times New Roman" w:hAnsi="Times New Roman" w:cs="Times New Roman"/>
        </w:rPr>
        <w:t>thirteen men, all unarmed, were shot dead and seventeen were wounded by the Parachute Regiment in Londonderry. Another man died later</w:t>
      </w:r>
      <w:r w:rsidR="008C5EFC">
        <w:rPr>
          <w:rFonts w:ascii="Times New Roman" w:hAnsi="Times New Roman" w:cs="Times New Roman"/>
        </w:rPr>
        <w:t>”.</w:t>
      </w:r>
      <w:r w:rsidR="00E93714">
        <w:rPr>
          <w:rStyle w:val="FootnoteReference"/>
          <w:rFonts w:ascii="Times New Roman" w:hAnsi="Times New Roman" w:cs="Times New Roman"/>
        </w:rPr>
        <w:footnoteReference w:id="5"/>
      </w:r>
      <w:r w:rsidR="008C5EFC" w:rsidRPr="008C5EFC">
        <w:t xml:space="preserve"> </w:t>
      </w:r>
      <w:r w:rsidR="008C5EFC" w:rsidRPr="008C5EFC">
        <w:rPr>
          <w:rFonts w:ascii="Times New Roman" w:hAnsi="Times New Roman" w:cs="Times New Roman"/>
        </w:rPr>
        <w:t>This horrific massacre took place during a civil rights march in Derry.</w:t>
      </w:r>
      <w:r w:rsidR="008C5EFC">
        <w:rPr>
          <w:rFonts w:ascii="Times New Roman" w:hAnsi="Times New Roman" w:cs="Times New Roman"/>
        </w:rPr>
        <w:t xml:space="preserve"> </w:t>
      </w:r>
      <w:r w:rsidRPr="008C5C33">
        <w:rPr>
          <w:rFonts w:ascii="Times New Roman" w:hAnsi="Times New Roman" w:cs="Times New Roman"/>
        </w:rPr>
        <w:t>The incident, widely publicized, provoked outrage across Ireland and beyond, shattering any remaining Catholic trust in British forces, previously deployed as peacekeepers in 1969. Bloody Sunday galvanized nationalist sentiment, swelled IRA ranks, and intensified violence, with bombings and shootings reaching unprecedented levels.</w:t>
      </w:r>
      <w:r w:rsidR="006D2CCE" w:rsidRPr="006D2CCE">
        <w:t xml:space="preserve"> </w:t>
      </w:r>
      <w:r w:rsidR="006D2CCE">
        <w:t>“</w:t>
      </w:r>
      <w:r w:rsidR="006D2CCE" w:rsidRPr="006D2CCE">
        <w:rPr>
          <w:rFonts w:ascii="Times New Roman" w:hAnsi="Times New Roman" w:cs="Times New Roman"/>
        </w:rPr>
        <w:t>Northern Ireland was convulsed by frenetic levels of violence in 1972 and 197</w:t>
      </w:r>
      <w:r w:rsidR="006412C9">
        <w:rPr>
          <w:rFonts w:ascii="Times New Roman" w:hAnsi="Times New Roman" w:cs="Times New Roman"/>
        </w:rPr>
        <w:t xml:space="preserve">3. </w:t>
      </w:r>
      <w:r w:rsidR="00EC0C78" w:rsidRPr="00EC0C78">
        <w:rPr>
          <w:rFonts w:ascii="Times New Roman" w:hAnsi="Times New Roman" w:cs="Times New Roman"/>
        </w:rPr>
        <w:t>This orgy of murder</w:t>
      </w:r>
      <w:r w:rsidR="006412C9">
        <w:rPr>
          <w:rFonts w:ascii="Times New Roman" w:hAnsi="Times New Roman" w:cs="Times New Roman"/>
        </w:rPr>
        <w:t xml:space="preserve"> </w:t>
      </w:r>
      <w:r w:rsidR="006D2CCE" w:rsidRPr="006D2CCE">
        <w:rPr>
          <w:rFonts w:ascii="Times New Roman" w:hAnsi="Times New Roman" w:cs="Times New Roman"/>
        </w:rPr>
        <w:t xml:space="preserve">was never to be repeated; these two years account for over a quarter of all deaths from political </w:t>
      </w:r>
      <w:r w:rsidR="006D2CCE" w:rsidRPr="006D2CCE">
        <w:rPr>
          <w:rFonts w:ascii="Times New Roman" w:hAnsi="Times New Roman" w:cs="Times New Roman"/>
        </w:rPr>
        <w:lastRenderedPageBreak/>
        <w:t>violence between 1969 and 1990.</w:t>
      </w:r>
      <w:r w:rsidR="006D2CCE">
        <w:rPr>
          <w:rStyle w:val="FootnoteReference"/>
          <w:rFonts w:ascii="Times New Roman" w:hAnsi="Times New Roman" w:cs="Times New Roman"/>
          <w:vertAlign w:val="baseline"/>
        </w:rPr>
        <w:t>”</w:t>
      </w:r>
      <w:r w:rsidR="006D2CCE">
        <w:rPr>
          <w:rStyle w:val="FootnoteReference"/>
          <w:rFonts w:ascii="Times New Roman" w:hAnsi="Times New Roman" w:cs="Times New Roman"/>
        </w:rPr>
        <w:footnoteReference w:id="6"/>
      </w:r>
      <w:r w:rsidRPr="008C5C33">
        <w:rPr>
          <w:rFonts w:ascii="Times New Roman" w:hAnsi="Times New Roman" w:cs="Times New Roman"/>
        </w:rPr>
        <w:t xml:space="preserve"> The Widgery Inquiry, hastily established by the British government, was criticized as a whitewash for exonerating the soldiers, further inflaming tensions.</w:t>
      </w:r>
      <w:r w:rsidR="00BC64B3">
        <w:rPr>
          <w:rStyle w:val="FootnoteReference"/>
          <w:rFonts w:ascii="Times New Roman" w:hAnsi="Times New Roman" w:cs="Times New Roman"/>
        </w:rPr>
        <w:footnoteReference w:id="7"/>
      </w:r>
      <w:r w:rsidRPr="008C5C33">
        <w:rPr>
          <w:rFonts w:ascii="Times New Roman" w:hAnsi="Times New Roman" w:cs="Times New Roman"/>
        </w:rPr>
        <w:t xml:space="preserve"> The event exposed the failure of Britain’s reliance on military containment and Stormont’s unionist-led policies, which had alienated the Catholic minority while failing to curb the IRA</w:t>
      </w:r>
      <w:r w:rsidR="00FF6D31">
        <w:rPr>
          <w:rFonts w:ascii="Times New Roman" w:hAnsi="Times New Roman" w:cs="Times New Roman"/>
        </w:rPr>
        <w:t>.</w:t>
      </w:r>
    </w:p>
    <w:p w14:paraId="37113485" w14:textId="77777777" w:rsidR="008C5C33" w:rsidRPr="008C5C33" w:rsidRDefault="008C5C33" w:rsidP="008C5C33">
      <w:pPr>
        <w:spacing w:line="360" w:lineRule="auto"/>
        <w:rPr>
          <w:rFonts w:ascii="Times New Roman" w:hAnsi="Times New Roman" w:cs="Times New Roman"/>
        </w:rPr>
      </w:pPr>
      <w:r w:rsidRPr="008C5C33">
        <w:rPr>
          <w:rFonts w:ascii="Times New Roman" w:hAnsi="Times New Roman" w:cs="Times New Roman"/>
        </w:rPr>
        <w:t>Stormont’s political legitimacy collapsed in the wake of Bloody Sunday. The unionist government, led by Brian Faulkner, resisted reforms like power-sharing, which Westminster increasingly saw as essential to stabilizing the region. Internment without trial, introduced in 1971, had already deepened Catholic grievances, and its continuation despite evident failure underscored Stormont’s inability to govern impartially. Unionist intransigence, coupled with nationalist boycotts of Stormont, rendered the devolved system untenable. By early 1972, the British government, under Conservative Prime Minister Edward Heath, faced a stark reality: Stormont could neither implement reforms nor maintain order, forcing Westminster to reconsider its hands-off approach.</w:t>
      </w:r>
    </w:p>
    <w:p w14:paraId="2A18A796" w14:textId="13F37710" w:rsidR="008C5C33" w:rsidRPr="008C5C33" w:rsidRDefault="008C5C33" w:rsidP="008C5C33">
      <w:pPr>
        <w:spacing w:line="360" w:lineRule="auto"/>
        <w:rPr>
          <w:rFonts w:ascii="Times New Roman" w:hAnsi="Times New Roman" w:cs="Times New Roman"/>
        </w:rPr>
      </w:pPr>
      <w:r w:rsidRPr="008C5C33">
        <w:rPr>
          <w:rFonts w:ascii="Times New Roman" w:hAnsi="Times New Roman" w:cs="Times New Roman"/>
        </w:rPr>
        <w:t>The security crisis of 1972, the deadliest year of the Troubles with 479 deaths, underscored the urgency of intervention. The IRA’s bombing campaign, including attacks</w:t>
      </w:r>
      <w:r w:rsidR="000D0724">
        <w:rPr>
          <w:rFonts w:ascii="Times New Roman" w:hAnsi="Times New Roman" w:cs="Times New Roman"/>
        </w:rPr>
        <w:t xml:space="preserve"> on members of the Royal family</w:t>
      </w:r>
      <w:r w:rsidRPr="008C5C33">
        <w:rPr>
          <w:rFonts w:ascii="Times New Roman" w:hAnsi="Times New Roman" w:cs="Times New Roman"/>
        </w:rPr>
        <w:t xml:space="preserve">, overwhelmed </w:t>
      </w:r>
      <w:r w:rsidR="000D0724">
        <w:rPr>
          <w:rFonts w:ascii="Times New Roman" w:hAnsi="Times New Roman" w:cs="Times New Roman"/>
        </w:rPr>
        <w:t xml:space="preserve">the </w:t>
      </w:r>
      <w:r w:rsidRPr="008C5C33">
        <w:rPr>
          <w:rFonts w:ascii="Times New Roman" w:hAnsi="Times New Roman" w:cs="Times New Roman"/>
        </w:rPr>
        <w:t>security forces.</w:t>
      </w:r>
      <w:r w:rsidR="000D0724">
        <w:rPr>
          <w:rStyle w:val="FootnoteReference"/>
          <w:rFonts w:ascii="Times New Roman" w:hAnsi="Times New Roman" w:cs="Times New Roman"/>
        </w:rPr>
        <w:footnoteReference w:id="8"/>
      </w:r>
      <w:r w:rsidRPr="008C5C33">
        <w:rPr>
          <w:rFonts w:ascii="Times New Roman" w:hAnsi="Times New Roman" w:cs="Times New Roman"/>
        </w:rPr>
        <w:t xml:space="preserve"> Loyalist paramilitaries, like the Ulster Volunteer Force, escalated retaliatory violence, further destabilizing the region. The British Army, now viewed as an occupying force by many Catholics, struggled to contain the dual threats. This escalation convinced Westminster that centralized control was necessary to coordinate security and prevent Northern Ireland from descending into all-out civil war.</w:t>
      </w:r>
    </w:p>
    <w:p w14:paraId="0EE1F418" w14:textId="43E462C1" w:rsidR="008C5C33" w:rsidRPr="008C5C33" w:rsidRDefault="008C5C33" w:rsidP="007C680C">
      <w:pPr>
        <w:spacing w:line="360" w:lineRule="auto"/>
        <w:rPr>
          <w:rFonts w:ascii="Times New Roman" w:hAnsi="Times New Roman" w:cs="Times New Roman"/>
        </w:rPr>
      </w:pPr>
      <w:r w:rsidRPr="008C5C33">
        <w:rPr>
          <w:rFonts w:ascii="Times New Roman" w:hAnsi="Times New Roman" w:cs="Times New Roman"/>
        </w:rPr>
        <w:t>International pressure also played a critical role. The Republic of Ireland, led by Taoiseach Jack Lynch, condemned Bloody Sunday and demanded British accountability, while Dublin’s diplomatic efforts highlighted cross-border security concerns. In the United States, Irish</w:t>
      </w:r>
      <w:r w:rsidR="007C680C">
        <w:rPr>
          <w:rFonts w:ascii="Times New Roman" w:hAnsi="Times New Roman" w:cs="Times New Roman"/>
        </w:rPr>
        <w:t xml:space="preserve"> w</w:t>
      </w:r>
      <w:r w:rsidR="002B3E2B">
        <w:rPr>
          <w:rFonts w:ascii="Times New Roman" w:hAnsi="Times New Roman" w:cs="Times New Roman"/>
        </w:rPr>
        <w:t>o</w:t>
      </w:r>
      <w:r w:rsidR="007C680C">
        <w:rPr>
          <w:rFonts w:ascii="Times New Roman" w:hAnsi="Times New Roman" w:cs="Times New Roman"/>
        </w:rPr>
        <w:t>rried of British withdrawal were seeking American help to persuade”</w:t>
      </w:r>
      <w:r w:rsidR="007C680C" w:rsidRPr="007C680C">
        <w:rPr>
          <w:rFonts w:ascii="Times New Roman" w:hAnsi="Times New Roman" w:cs="Times New Roman"/>
        </w:rPr>
        <w:t xml:space="preserve"> ‘Britain not to embark</w:t>
      </w:r>
      <w:r w:rsidR="007C680C">
        <w:rPr>
          <w:rFonts w:ascii="Times New Roman" w:hAnsi="Times New Roman" w:cs="Times New Roman"/>
        </w:rPr>
        <w:t xml:space="preserve"> </w:t>
      </w:r>
      <w:r w:rsidR="007C680C" w:rsidRPr="007C680C">
        <w:rPr>
          <w:rFonts w:ascii="Times New Roman" w:hAnsi="Times New Roman" w:cs="Times New Roman"/>
        </w:rPr>
        <w:t xml:space="preserve">on a </w:t>
      </w:r>
      <w:r w:rsidR="007C680C" w:rsidRPr="007C680C">
        <w:rPr>
          <w:rFonts w:ascii="Times New Roman" w:hAnsi="Times New Roman" w:cs="Times New Roman"/>
        </w:rPr>
        <w:lastRenderedPageBreak/>
        <w:t>course of action that could be so fraught with dangers’</w:t>
      </w:r>
      <w:r w:rsidR="007C680C">
        <w:rPr>
          <w:rFonts w:ascii="Times New Roman" w:hAnsi="Times New Roman" w:cs="Times New Roman"/>
        </w:rPr>
        <w:t>”</w:t>
      </w:r>
      <w:r w:rsidR="007C680C" w:rsidRPr="007C680C">
        <w:rPr>
          <w:rFonts w:ascii="Times New Roman" w:hAnsi="Times New Roman" w:cs="Times New Roman"/>
        </w:rPr>
        <w:t>.</w:t>
      </w:r>
      <w:r w:rsidR="007C680C">
        <w:rPr>
          <w:rStyle w:val="FootnoteReference"/>
          <w:rFonts w:ascii="Times New Roman" w:hAnsi="Times New Roman" w:cs="Times New Roman"/>
        </w:rPr>
        <w:footnoteReference w:id="9"/>
      </w:r>
      <w:r w:rsidRPr="008C5C33">
        <w:rPr>
          <w:rFonts w:ascii="Times New Roman" w:hAnsi="Times New Roman" w:cs="Times New Roman"/>
        </w:rPr>
        <w:t xml:space="preserve"> Global media coverage of Bloody Sunday and internment fueled human rights criticisms, embarrassing Britain on the world stage. This external scrutiny pressured Heath’s government to act decisively to restore credibility and address the humanitarian crisis.</w:t>
      </w:r>
    </w:p>
    <w:p w14:paraId="0D5E04F4" w14:textId="0E3432F1" w:rsidR="008C5C33" w:rsidRPr="008C5C33" w:rsidRDefault="008C5C33" w:rsidP="008C5C33">
      <w:pPr>
        <w:spacing w:line="360" w:lineRule="auto"/>
        <w:rPr>
          <w:rFonts w:ascii="Times New Roman" w:hAnsi="Times New Roman" w:cs="Times New Roman"/>
        </w:rPr>
      </w:pPr>
      <w:r w:rsidRPr="008C5C33">
        <w:rPr>
          <w:rFonts w:ascii="Times New Roman" w:hAnsi="Times New Roman" w:cs="Times New Roman"/>
        </w:rPr>
        <w:t xml:space="preserve">On March 24, 1972, the British government suspended Stormont and introduced direct rule, transferring legislative and executive powers to Westminster. </w:t>
      </w:r>
      <w:r w:rsidR="00BC64B3">
        <w:rPr>
          <w:rStyle w:val="FootnoteReference"/>
          <w:rFonts w:ascii="Times New Roman" w:hAnsi="Times New Roman" w:cs="Times New Roman"/>
        </w:rPr>
        <w:footnoteReference w:id="10"/>
      </w:r>
      <w:r w:rsidRPr="008C5C33">
        <w:rPr>
          <w:rFonts w:ascii="Times New Roman" w:hAnsi="Times New Roman" w:cs="Times New Roman"/>
        </w:rPr>
        <w:t>A new Secretary of State for Northern Ireland, William Whitelaw,</w:t>
      </w:r>
      <w:r w:rsidR="00D46399">
        <w:rPr>
          <w:rStyle w:val="FootnoteReference"/>
          <w:rFonts w:ascii="Times New Roman" w:hAnsi="Times New Roman" w:cs="Times New Roman"/>
        </w:rPr>
        <w:footnoteReference w:id="11"/>
      </w:r>
      <w:r w:rsidRPr="008C5C33">
        <w:rPr>
          <w:rFonts w:ascii="Times New Roman" w:hAnsi="Times New Roman" w:cs="Times New Roman"/>
        </w:rPr>
        <w:t xml:space="preserve"> was appointed to oversee governance, marking a shift from devolved to centralized authority. This move dismantled the unionist monopoly on power, a system that had governed Northern Ireland since 1921, and signaled Britain’s intent to take direct responsibility for the crisis.</w:t>
      </w:r>
    </w:p>
    <w:p w14:paraId="5F2E38E4" w14:textId="0693B3EE" w:rsidR="00B2559C" w:rsidRDefault="008C5C33" w:rsidP="008C5C33">
      <w:pPr>
        <w:spacing w:line="360" w:lineRule="auto"/>
        <w:rPr>
          <w:rFonts w:ascii="Times New Roman" w:hAnsi="Times New Roman" w:cs="Times New Roman"/>
        </w:rPr>
      </w:pPr>
      <w:r w:rsidRPr="008C5C33">
        <w:rPr>
          <w:rFonts w:ascii="Times New Roman" w:hAnsi="Times New Roman" w:cs="Times New Roman"/>
        </w:rPr>
        <w:t>The immediate impacts of direct rule were profound. Security policy was centralized, with the British Army and intelligence services intensifying operations against the IRA. Whitelaw initiated secret talks with both nationalist and unionist leaders, signaling a willingness to explore political solutions, though these early efforts met resistance.</w:t>
      </w:r>
      <w:r w:rsidR="00B2559C">
        <w:rPr>
          <w:rFonts w:ascii="Times New Roman" w:hAnsi="Times New Roman" w:cs="Times New Roman"/>
        </w:rPr>
        <w:t xml:space="preserve"> </w:t>
      </w:r>
      <w:proofErr w:type="gramStart"/>
      <w:r w:rsidR="00B2559C">
        <w:rPr>
          <w:rFonts w:ascii="Times New Roman" w:hAnsi="Times New Roman" w:cs="Times New Roman"/>
        </w:rPr>
        <w:t>”</w:t>
      </w:r>
      <w:r w:rsidR="00B2559C" w:rsidRPr="00B2559C">
        <w:rPr>
          <w:rFonts w:ascii="Times New Roman" w:hAnsi="Times New Roman" w:cs="Times New Roman"/>
        </w:rPr>
        <w:t>Whitelaw</w:t>
      </w:r>
      <w:proofErr w:type="gramEnd"/>
      <w:r w:rsidR="00B2559C" w:rsidRPr="00B2559C">
        <w:rPr>
          <w:rFonts w:ascii="Times New Roman" w:hAnsi="Times New Roman" w:cs="Times New Roman"/>
        </w:rPr>
        <w:t xml:space="preserve"> </w:t>
      </w:r>
      <w:proofErr w:type="gramStart"/>
      <w:r w:rsidR="00B2559C" w:rsidRPr="00B2559C">
        <w:rPr>
          <w:rFonts w:ascii="Times New Roman" w:hAnsi="Times New Roman" w:cs="Times New Roman"/>
        </w:rPr>
        <w:t>quickly found,</w:t>
      </w:r>
      <w:proofErr w:type="gramEnd"/>
      <w:r w:rsidR="00B2559C" w:rsidRPr="00B2559C">
        <w:rPr>
          <w:rFonts w:ascii="Times New Roman" w:hAnsi="Times New Roman" w:cs="Times New Roman"/>
        </w:rPr>
        <w:t xml:space="preserve"> that government action</w:t>
      </w:r>
      <w:r w:rsidR="00B2559C">
        <w:rPr>
          <w:rFonts w:ascii="Times New Roman" w:hAnsi="Times New Roman" w:cs="Times New Roman"/>
        </w:rPr>
        <w:t xml:space="preserve"> </w:t>
      </w:r>
      <w:r w:rsidR="00B2559C" w:rsidRPr="00B2559C">
        <w:rPr>
          <w:rFonts w:ascii="Times New Roman" w:hAnsi="Times New Roman" w:cs="Times New Roman"/>
        </w:rPr>
        <w:t>became almost impossible for ‘any moves</w:t>
      </w:r>
      <w:r w:rsidR="00B2559C">
        <w:rPr>
          <w:rFonts w:ascii="Times New Roman" w:hAnsi="Times New Roman" w:cs="Times New Roman"/>
        </w:rPr>
        <w:t xml:space="preserve"> </w:t>
      </w:r>
      <w:r w:rsidR="00B2559C" w:rsidRPr="00B2559C">
        <w:rPr>
          <w:rFonts w:ascii="Times New Roman" w:hAnsi="Times New Roman" w:cs="Times New Roman"/>
        </w:rPr>
        <w:t>which were likely to</w:t>
      </w:r>
      <w:r w:rsidR="00B2559C">
        <w:rPr>
          <w:rFonts w:ascii="Times New Roman" w:hAnsi="Times New Roman" w:cs="Times New Roman"/>
        </w:rPr>
        <w:t xml:space="preserve"> </w:t>
      </w:r>
      <w:r w:rsidR="00B2559C" w:rsidRPr="00B2559C">
        <w:rPr>
          <w:rFonts w:ascii="Times New Roman" w:hAnsi="Times New Roman" w:cs="Times New Roman"/>
        </w:rPr>
        <w:t>encourage the Catholics were almost certain to infuriate</w:t>
      </w:r>
      <w:r w:rsidR="00B2559C">
        <w:rPr>
          <w:rFonts w:ascii="Times New Roman" w:hAnsi="Times New Roman" w:cs="Times New Roman"/>
        </w:rPr>
        <w:t xml:space="preserve"> </w:t>
      </w:r>
      <w:r w:rsidR="00B2559C" w:rsidRPr="00B2559C">
        <w:rPr>
          <w:rFonts w:ascii="Times New Roman" w:hAnsi="Times New Roman" w:cs="Times New Roman"/>
        </w:rPr>
        <w:t>Protestants still further’</w:t>
      </w:r>
      <w:r w:rsidR="00B2559C">
        <w:rPr>
          <w:rFonts w:ascii="Times New Roman" w:hAnsi="Times New Roman" w:cs="Times New Roman"/>
        </w:rPr>
        <w:t>.”</w:t>
      </w:r>
      <w:r w:rsidR="00B2559C">
        <w:rPr>
          <w:rStyle w:val="FootnoteReference"/>
          <w:rFonts w:ascii="Times New Roman" w:hAnsi="Times New Roman" w:cs="Times New Roman"/>
        </w:rPr>
        <w:footnoteReference w:id="12"/>
      </w:r>
    </w:p>
    <w:p w14:paraId="6AF0BC03" w14:textId="2F154CC0" w:rsidR="008C5C33" w:rsidRPr="008C5C33" w:rsidRDefault="008C5C33" w:rsidP="008C5C33">
      <w:pPr>
        <w:spacing w:line="360" w:lineRule="auto"/>
        <w:rPr>
          <w:rFonts w:ascii="Times New Roman" w:hAnsi="Times New Roman" w:cs="Times New Roman"/>
        </w:rPr>
      </w:pPr>
      <w:r w:rsidRPr="008C5C33">
        <w:rPr>
          <w:rFonts w:ascii="Times New Roman" w:hAnsi="Times New Roman" w:cs="Times New Roman"/>
        </w:rPr>
        <w:t>Direct rule also strained unionist loyalty, with some accusing Britain of betraying the Ulster cause, while nationalists remained skeptical of Westminster’s intentions.</w:t>
      </w:r>
    </w:p>
    <w:p w14:paraId="1145349E" w14:textId="270059DB" w:rsidR="00B2559C" w:rsidRPr="008C5C33" w:rsidRDefault="008C5C33" w:rsidP="008C5C33">
      <w:pPr>
        <w:spacing w:line="360" w:lineRule="auto"/>
        <w:rPr>
          <w:rFonts w:ascii="Times New Roman" w:hAnsi="Times New Roman" w:cs="Times New Roman"/>
        </w:rPr>
      </w:pPr>
      <w:r w:rsidRPr="008C5C33">
        <w:rPr>
          <w:rFonts w:ascii="Times New Roman" w:hAnsi="Times New Roman" w:cs="Times New Roman"/>
        </w:rPr>
        <w:t>The shift to direct rule in March 1972 was a pragmatic response to a</w:t>
      </w:r>
      <w:r w:rsidR="00FE6A3E">
        <w:rPr>
          <w:rFonts w:ascii="Times New Roman" w:hAnsi="Times New Roman" w:cs="Times New Roman"/>
        </w:rPr>
        <w:t xml:space="preserve"> growing</w:t>
      </w:r>
      <w:r w:rsidRPr="008C5C33">
        <w:rPr>
          <w:rFonts w:ascii="Times New Roman" w:hAnsi="Times New Roman" w:cs="Times New Roman"/>
        </w:rPr>
        <w:t xml:space="preserve"> crisis. The collapse of Stormont, fueled by Bloody Sunday and intractable violence, left Britain with little choice but to intervene directly. This turning point marked a departure from indirect governance, reflecting a strategic recognition that only centralized authority could address the security, political, and international dimensions of the Troubles, setting the course for Britain’s evolving role in Northern Ireland.</w:t>
      </w:r>
    </w:p>
    <w:p w14:paraId="60E74428" w14:textId="4B67EF65" w:rsidR="008C5C33" w:rsidRPr="008C5C33" w:rsidRDefault="008C5C33" w:rsidP="008C5C33">
      <w:pPr>
        <w:spacing w:line="360" w:lineRule="auto"/>
        <w:rPr>
          <w:rFonts w:ascii="Times New Roman" w:hAnsi="Times New Roman" w:cs="Times New Roman"/>
        </w:rPr>
      </w:pPr>
      <w:r w:rsidRPr="008C5C33">
        <w:rPr>
          <w:rFonts w:ascii="Times New Roman" w:hAnsi="Times New Roman" w:cs="Times New Roman"/>
        </w:rPr>
        <w:t xml:space="preserve">Following the imposition of direct rule in March 1972, British policy towards Northern Ireland from 1973 to 1979 focused on stabilizing the region through intensified security measures and </w:t>
      </w:r>
      <w:r w:rsidRPr="008C5C33">
        <w:rPr>
          <w:rFonts w:ascii="Times New Roman" w:hAnsi="Times New Roman" w:cs="Times New Roman"/>
        </w:rPr>
        <w:lastRenderedPageBreak/>
        <w:t>experimenting with political initiatives to bridge sectarian divides. Under direct rule Westminster sought to manage the escalating conflict while exploring power-sharing arrangements to restore devolved governance. Despite efforts like the Sunningdale Agreement</w:t>
      </w:r>
      <w:r w:rsidR="007A26EE">
        <w:rPr>
          <w:rStyle w:val="FootnoteReference"/>
          <w:rFonts w:ascii="Times New Roman" w:hAnsi="Times New Roman" w:cs="Times New Roman"/>
        </w:rPr>
        <w:footnoteReference w:id="13"/>
      </w:r>
      <w:r w:rsidRPr="008C5C33">
        <w:rPr>
          <w:rFonts w:ascii="Times New Roman" w:hAnsi="Times New Roman" w:cs="Times New Roman"/>
        </w:rPr>
        <w:t xml:space="preserve"> and the Constitutional Convention</w:t>
      </w:r>
      <w:r w:rsidR="000C5D7C">
        <w:rPr>
          <w:rStyle w:val="FootnoteReference"/>
          <w:rFonts w:ascii="Times New Roman" w:hAnsi="Times New Roman" w:cs="Times New Roman"/>
        </w:rPr>
        <w:footnoteReference w:id="14"/>
      </w:r>
      <w:r w:rsidRPr="008C5C33">
        <w:rPr>
          <w:rFonts w:ascii="Times New Roman" w:hAnsi="Times New Roman" w:cs="Times New Roman"/>
        </w:rPr>
        <w:t>, persistent violence, unionist resistance, and nationalist skepticism frustrated these initiatives, leading Britain to prioritize conflict management over resolution by the decade’s end. This period revealed the complexities of balancing security imperatives with political progress in a deeply divided society.</w:t>
      </w:r>
    </w:p>
    <w:p w14:paraId="232EA852" w14:textId="440ABC0B" w:rsidR="008C5C33" w:rsidRPr="008C5C33" w:rsidRDefault="008C5C33" w:rsidP="008C5C33">
      <w:pPr>
        <w:spacing w:line="360" w:lineRule="auto"/>
        <w:rPr>
          <w:rFonts w:ascii="Times New Roman" w:hAnsi="Times New Roman" w:cs="Times New Roman"/>
        </w:rPr>
      </w:pPr>
      <w:r w:rsidRPr="008C5C33">
        <w:rPr>
          <w:rFonts w:ascii="Times New Roman" w:hAnsi="Times New Roman" w:cs="Times New Roman"/>
        </w:rPr>
        <w:t xml:space="preserve">The British government intensified its security operations to counter the IRA’s campaign, which peaked in 1972 but remained lethal, with </w:t>
      </w:r>
      <w:r w:rsidR="00965A6B">
        <w:rPr>
          <w:rFonts w:ascii="Times New Roman" w:hAnsi="Times New Roman" w:cs="Times New Roman"/>
        </w:rPr>
        <w:t>many</w:t>
      </w:r>
      <w:r w:rsidRPr="008C5C33">
        <w:rPr>
          <w:rFonts w:ascii="Times New Roman" w:hAnsi="Times New Roman" w:cs="Times New Roman"/>
        </w:rPr>
        <w:t xml:space="preserve"> deaths between 1973 and 1979. The Army, alongside the Royal Ulster Constabulary (RUC), conducted large-scale operations, including house searches and arrests, targeting paramilitaries on both sides. Controversial measures, such as Diplock courts, judge-only trials for terrorism-related offenses, were introduced in 1973 to expedite convictions, though they drew criticism for undermining judicial fairness. The use of informants and covert units, like the Military Reaction Force, increased, aiming to disrupt IRA networks but often escalating tensions through extrajudicial actions.</w:t>
      </w:r>
    </w:p>
    <w:p w14:paraId="272441F2" w14:textId="4D995139" w:rsidR="005478B3" w:rsidRDefault="008C5C33" w:rsidP="008C5C33">
      <w:pPr>
        <w:spacing w:line="360" w:lineRule="auto"/>
        <w:rPr>
          <w:rFonts w:ascii="Times New Roman" w:hAnsi="Times New Roman" w:cs="Times New Roman"/>
        </w:rPr>
      </w:pPr>
      <w:r w:rsidRPr="008C5C33">
        <w:rPr>
          <w:rFonts w:ascii="Times New Roman" w:hAnsi="Times New Roman" w:cs="Times New Roman"/>
        </w:rPr>
        <w:t>By the mid-1970s, Britain adopted “</w:t>
      </w:r>
      <w:proofErr w:type="spellStart"/>
      <w:r w:rsidRPr="008C5C33">
        <w:rPr>
          <w:rFonts w:ascii="Times New Roman" w:hAnsi="Times New Roman" w:cs="Times New Roman"/>
        </w:rPr>
        <w:t>Ulsterization</w:t>
      </w:r>
      <w:proofErr w:type="spellEnd"/>
      <w:r w:rsidRPr="008C5C33">
        <w:rPr>
          <w:rFonts w:ascii="Times New Roman" w:hAnsi="Times New Roman" w:cs="Times New Roman"/>
        </w:rPr>
        <w:t xml:space="preserve">,” a policy to reduce the Army’s visibility by shifting security responsibilities to local forces, primarily the RUC and Ulster </w:t>
      </w:r>
      <w:proofErr w:type="spellStart"/>
      <w:r w:rsidRPr="008C5C33">
        <w:rPr>
          <w:rFonts w:ascii="Times New Roman" w:hAnsi="Times New Roman" w:cs="Times New Roman"/>
        </w:rPr>
        <w:t>Defence</w:t>
      </w:r>
      <w:proofErr w:type="spellEnd"/>
      <w:r w:rsidRPr="008C5C33">
        <w:rPr>
          <w:rFonts w:ascii="Times New Roman" w:hAnsi="Times New Roman" w:cs="Times New Roman"/>
        </w:rPr>
        <w:t xml:space="preserve"> Regiment.</w:t>
      </w:r>
      <w:r w:rsidR="0093408E">
        <w:rPr>
          <w:rStyle w:val="FootnoteReference"/>
          <w:rFonts w:ascii="Times New Roman" w:hAnsi="Times New Roman" w:cs="Times New Roman"/>
        </w:rPr>
        <w:footnoteReference w:id="15"/>
      </w:r>
      <w:r w:rsidRPr="008C5C33">
        <w:rPr>
          <w:rFonts w:ascii="Times New Roman" w:hAnsi="Times New Roman" w:cs="Times New Roman"/>
        </w:rPr>
        <w:t xml:space="preserve"> This strategy, formalized under </w:t>
      </w:r>
      <w:proofErr w:type="spellStart"/>
      <w:r w:rsidRPr="008C5C33">
        <w:rPr>
          <w:rFonts w:ascii="Times New Roman" w:hAnsi="Times New Roman" w:cs="Times New Roman"/>
        </w:rPr>
        <w:t>Labour’s</w:t>
      </w:r>
      <w:proofErr w:type="spellEnd"/>
      <w:r w:rsidRPr="008C5C33">
        <w:rPr>
          <w:rFonts w:ascii="Times New Roman" w:hAnsi="Times New Roman" w:cs="Times New Roman"/>
        </w:rPr>
        <w:t xml:space="preserve"> Roy Mason as Secretary of State (1976–1979), aimed to normalize the conflict by presenting it as a local law-and-order issue, reducing political pressure on Westminster.</w:t>
      </w:r>
      <w:r w:rsidR="005478B3">
        <w:rPr>
          <w:rFonts w:ascii="Times New Roman" w:hAnsi="Times New Roman" w:cs="Times New Roman"/>
        </w:rPr>
        <w:t xml:space="preserve"> One of the reasons was the fact that  “(m)</w:t>
      </w:r>
      <w:proofErr w:type="spellStart"/>
      <w:r w:rsidR="005478B3" w:rsidRPr="005478B3">
        <w:rPr>
          <w:rFonts w:ascii="Times New Roman" w:hAnsi="Times New Roman" w:cs="Times New Roman"/>
        </w:rPr>
        <w:t>urdering</w:t>
      </w:r>
      <w:proofErr w:type="spellEnd"/>
      <w:r w:rsidR="005478B3" w:rsidRPr="005478B3">
        <w:rPr>
          <w:rFonts w:ascii="Times New Roman" w:hAnsi="Times New Roman" w:cs="Times New Roman"/>
        </w:rPr>
        <w:t xml:space="preserve"> fellow Irish men and women, even if they were</w:t>
      </w:r>
      <w:r w:rsidR="005478B3">
        <w:rPr>
          <w:rFonts w:ascii="Times New Roman" w:hAnsi="Times New Roman" w:cs="Times New Roman"/>
        </w:rPr>
        <w:t xml:space="preserve"> </w:t>
      </w:r>
      <w:r w:rsidR="005478B3" w:rsidRPr="005478B3">
        <w:rPr>
          <w:rFonts w:ascii="Times New Roman" w:hAnsi="Times New Roman" w:cs="Times New Roman"/>
        </w:rPr>
        <w:t>mostly Protestant and wearing a police uniform, had always sat</w:t>
      </w:r>
      <w:r w:rsidR="005478B3">
        <w:rPr>
          <w:rFonts w:ascii="Times New Roman" w:hAnsi="Times New Roman" w:cs="Times New Roman"/>
        </w:rPr>
        <w:t xml:space="preserve"> </w:t>
      </w:r>
      <w:r w:rsidR="005478B3" w:rsidRPr="005478B3">
        <w:rPr>
          <w:rFonts w:ascii="Times New Roman" w:hAnsi="Times New Roman" w:cs="Times New Roman"/>
        </w:rPr>
        <w:t>uncomfortably with the IRA’s aspiration to liberate all the Irish</w:t>
      </w:r>
      <w:r w:rsidR="005478B3">
        <w:rPr>
          <w:rFonts w:ascii="Times New Roman" w:hAnsi="Times New Roman" w:cs="Times New Roman"/>
        </w:rPr>
        <w:t xml:space="preserve"> </w:t>
      </w:r>
      <w:r w:rsidR="005478B3" w:rsidRPr="005478B3">
        <w:rPr>
          <w:rFonts w:ascii="Times New Roman" w:hAnsi="Times New Roman" w:cs="Times New Roman"/>
        </w:rPr>
        <w:t>people from colonial oppression</w:t>
      </w:r>
      <w:r w:rsidR="005478B3">
        <w:rPr>
          <w:rFonts w:ascii="Times New Roman" w:hAnsi="Times New Roman" w:cs="Times New Roman"/>
        </w:rPr>
        <w:t>.”</w:t>
      </w:r>
      <w:r w:rsidR="005478B3">
        <w:rPr>
          <w:rStyle w:val="FootnoteReference"/>
          <w:rFonts w:ascii="Times New Roman" w:hAnsi="Times New Roman" w:cs="Times New Roman"/>
        </w:rPr>
        <w:footnoteReference w:id="16"/>
      </w:r>
      <w:r w:rsidR="005478B3">
        <w:rPr>
          <w:rFonts w:ascii="Times New Roman" w:hAnsi="Times New Roman" w:cs="Times New Roman"/>
        </w:rPr>
        <w:t xml:space="preserve"> But “(m)</w:t>
      </w:r>
      <w:proofErr w:type="spellStart"/>
      <w:r w:rsidR="005478B3" w:rsidRPr="005478B3">
        <w:rPr>
          <w:rFonts w:ascii="Times New Roman" w:hAnsi="Times New Roman" w:cs="Times New Roman"/>
        </w:rPr>
        <w:t>urdering</w:t>
      </w:r>
      <w:proofErr w:type="spellEnd"/>
      <w:r w:rsidR="005478B3" w:rsidRPr="005478B3">
        <w:rPr>
          <w:rFonts w:ascii="Times New Roman" w:hAnsi="Times New Roman" w:cs="Times New Roman"/>
        </w:rPr>
        <w:t xml:space="preserve"> the soldiers of what they could represent as an</w:t>
      </w:r>
      <w:r w:rsidR="005478B3">
        <w:rPr>
          <w:rFonts w:ascii="Times New Roman" w:hAnsi="Times New Roman" w:cs="Times New Roman"/>
        </w:rPr>
        <w:t xml:space="preserve"> </w:t>
      </w:r>
      <w:r w:rsidR="005478B3" w:rsidRPr="005478B3">
        <w:rPr>
          <w:rFonts w:ascii="Times New Roman" w:hAnsi="Times New Roman" w:cs="Times New Roman"/>
        </w:rPr>
        <w:t>oppressive colonial regime held fewer ideological or propagandist</w:t>
      </w:r>
      <w:r w:rsidR="005478B3">
        <w:rPr>
          <w:rFonts w:ascii="Times New Roman" w:hAnsi="Times New Roman" w:cs="Times New Roman"/>
        </w:rPr>
        <w:t xml:space="preserve"> </w:t>
      </w:r>
      <w:r w:rsidR="005478B3" w:rsidRPr="005478B3">
        <w:rPr>
          <w:rFonts w:ascii="Times New Roman" w:hAnsi="Times New Roman" w:cs="Times New Roman"/>
        </w:rPr>
        <w:t>difficulties.</w:t>
      </w:r>
      <w:r w:rsidR="005478B3">
        <w:rPr>
          <w:rFonts w:ascii="Times New Roman" w:hAnsi="Times New Roman" w:cs="Times New Roman"/>
        </w:rPr>
        <w:t>”</w:t>
      </w:r>
      <w:r w:rsidR="005478B3">
        <w:rPr>
          <w:rStyle w:val="FootnoteReference"/>
          <w:rFonts w:ascii="Times New Roman" w:hAnsi="Times New Roman" w:cs="Times New Roman"/>
        </w:rPr>
        <w:footnoteReference w:id="17"/>
      </w:r>
      <w:r w:rsidR="005478B3">
        <w:rPr>
          <w:rFonts w:ascii="Times New Roman" w:hAnsi="Times New Roman" w:cs="Times New Roman"/>
        </w:rPr>
        <w:t xml:space="preserve"> So, in an essence by imposing direct rule, London had helped IRA to enlarge its base and portray its terrorist activities as a noble struggle against foreign occupation.</w:t>
      </w:r>
    </w:p>
    <w:p w14:paraId="4FFC19F2" w14:textId="15C3475C" w:rsidR="008C5C33" w:rsidRPr="008C5C33" w:rsidRDefault="008C5C33" w:rsidP="008C5C33">
      <w:pPr>
        <w:spacing w:line="360" w:lineRule="auto"/>
        <w:rPr>
          <w:rFonts w:ascii="Times New Roman" w:hAnsi="Times New Roman" w:cs="Times New Roman"/>
        </w:rPr>
      </w:pPr>
      <w:r w:rsidRPr="008C5C33">
        <w:rPr>
          <w:rFonts w:ascii="Times New Roman" w:hAnsi="Times New Roman" w:cs="Times New Roman"/>
        </w:rPr>
        <w:lastRenderedPageBreak/>
        <w:t xml:space="preserve"> </w:t>
      </w:r>
      <w:proofErr w:type="spellStart"/>
      <w:r w:rsidRPr="008C5C33">
        <w:rPr>
          <w:rFonts w:ascii="Times New Roman" w:hAnsi="Times New Roman" w:cs="Times New Roman"/>
        </w:rPr>
        <w:t>Ulsterization</w:t>
      </w:r>
      <w:proofErr w:type="spellEnd"/>
      <w:r w:rsidRPr="008C5C33">
        <w:rPr>
          <w:rFonts w:ascii="Times New Roman" w:hAnsi="Times New Roman" w:cs="Times New Roman"/>
        </w:rPr>
        <w:t xml:space="preserve"> lowered British troop casualties but placed local forces, often perceived as unionist-leaning, at the forefront, complicating community relations. While security measures disrupted paramilitary activities, they failed to end the violence, with atrocities like the 1976 Kingsmill massacre </w:t>
      </w:r>
      <w:r w:rsidR="0093408E">
        <w:rPr>
          <w:rFonts w:ascii="Times New Roman" w:hAnsi="Times New Roman" w:cs="Times New Roman"/>
        </w:rPr>
        <w:t>and the wave of bombings in London</w:t>
      </w:r>
      <w:r w:rsidR="008D0DB4">
        <w:rPr>
          <w:rFonts w:ascii="Times New Roman" w:hAnsi="Times New Roman" w:cs="Times New Roman"/>
        </w:rPr>
        <w:t xml:space="preserve"> (1974-1975)</w:t>
      </w:r>
      <w:r w:rsidR="0093408E">
        <w:rPr>
          <w:rFonts w:ascii="Times New Roman" w:hAnsi="Times New Roman" w:cs="Times New Roman"/>
        </w:rPr>
        <w:t xml:space="preserve">, </w:t>
      </w:r>
      <w:r w:rsidRPr="008C5C33">
        <w:rPr>
          <w:rFonts w:ascii="Times New Roman" w:hAnsi="Times New Roman" w:cs="Times New Roman"/>
        </w:rPr>
        <w:t>underscoring the conflict’s intractability.</w:t>
      </w:r>
      <w:r w:rsidR="008D0DB4">
        <w:rPr>
          <w:rStyle w:val="FootnoteReference"/>
          <w:rFonts w:ascii="Times New Roman" w:hAnsi="Times New Roman" w:cs="Times New Roman"/>
        </w:rPr>
        <w:footnoteReference w:id="18"/>
      </w:r>
    </w:p>
    <w:p w14:paraId="583E0D16" w14:textId="17B8728C" w:rsidR="008C5C33" w:rsidRPr="008C5C33" w:rsidRDefault="008C5C33" w:rsidP="008C5C33">
      <w:pPr>
        <w:spacing w:line="360" w:lineRule="auto"/>
        <w:rPr>
          <w:rFonts w:ascii="Times New Roman" w:hAnsi="Times New Roman" w:cs="Times New Roman"/>
        </w:rPr>
      </w:pPr>
      <w:r w:rsidRPr="008C5C33">
        <w:rPr>
          <w:rFonts w:ascii="Times New Roman" w:hAnsi="Times New Roman" w:cs="Times New Roman"/>
        </w:rPr>
        <w:t>Politically, Britain sought to establish a power-sharing framework to replace Stormont’s unionist dominance. The Sunningdale Agreement of December 1973 was a landmark attempt, brokered by Whitelaw’s successor, Francis Pym, and involving the British and Irish governments, moderate unionists (led by Brian Faulkner), and nationalists (SDLP). It proposed a devolved assembly with power-sharing and a Council of Ireland to foster cross-border cooperation. However, the agreement faced immediate unionist backlash, with hardliners like Ian Paisley denouncing the Irish dimension as a step toward unification. The Ulster Workers’ Council strike in May 1974, a loyalist-led protest that paralyzed Northern Ireland, forced the collapse of the power-sharing executive, highlighting the limits of imposing reform without broad unionist support.</w:t>
      </w:r>
      <w:r w:rsidR="00E17C99">
        <w:rPr>
          <w:rStyle w:val="FootnoteReference"/>
          <w:rFonts w:ascii="Times New Roman" w:hAnsi="Times New Roman" w:cs="Times New Roman"/>
        </w:rPr>
        <w:footnoteReference w:id="19"/>
      </w:r>
    </w:p>
    <w:p w14:paraId="5F88EDE4" w14:textId="13749DC1" w:rsidR="008C5C33" w:rsidRPr="008C5C33" w:rsidRDefault="008C5C33" w:rsidP="008C5C33">
      <w:pPr>
        <w:spacing w:line="360" w:lineRule="auto"/>
        <w:rPr>
          <w:rFonts w:ascii="Times New Roman" w:hAnsi="Times New Roman" w:cs="Times New Roman"/>
        </w:rPr>
      </w:pPr>
      <w:r w:rsidRPr="008C5C33">
        <w:rPr>
          <w:rFonts w:ascii="Times New Roman" w:hAnsi="Times New Roman" w:cs="Times New Roman"/>
        </w:rPr>
        <w:t xml:space="preserve">Undeterred, Britain pursued further political experiments. The Constitutional Convention (1975–1976), initiated by </w:t>
      </w:r>
      <w:proofErr w:type="spellStart"/>
      <w:r w:rsidRPr="008C5C33">
        <w:rPr>
          <w:rFonts w:ascii="Times New Roman" w:hAnsi="Times New Roman" w:cs="Times New Roman"/>
        </w:rPr>
        <w:t>Labour’s</w:t>
      </w:r>
      <w:proofErr w:type="spellEnd"/>
      <w:r w:rsidRPr="008C5C33">
        <w:rPr>
          <w:rFonts w:ascii="Times New Roman" w:hAnsi="Times New Roman" w:cs="Times New Roman"/>
        </w:rPr>
        <w:t xml:space="preserve"> Merlyn Rees, aimed to let Northern Irish parties devise a new devolved structure. However, unionist demands for majority rule clashed with nationalist calls for power-sharing, and the convention dissolved without agreement.</w:t>
      </w:r>
      <w:r w:rsidR="00C8672E">
        <w:rPr>
          <w:rStyle w:val="FootnoteReference"/>
          <w:rFonts w:ascii="Times New Roman" w:hAnsi="Times New Roman" w:cs="Times New Roman"/>
        </w:rPr>
        <w:footnoteReference w:id="20"/>
      </w:r>
      <w:r w:rsidRPr="008C5C33">
        <w:rPr>
          <w:rFonts w:ascii="Times New Roman" w:hAnsi="Times New Roman" w:cs="Times New Roman"/>
        </w:rPr>
        <w:t xml:space="preserve"> These failures shifted British policy toward pragmatism, with Mason focusing on economic investment and security over ambitious political solutions. By 1979, direct rule had become entrenched, with Westminster accepting that deep sectarian divisions precluded a quick return to devolution.</w:t>
      </w:r>
    </w:p>
    <w:p w14:paraId="6402E722" w14:textId="09376767" w:rsidR="008C5C33" w:rsidRPr="008C5C33" w:rsidRDefault="008C5C33" w:rsidP="008C5C33">
      <w:pPr>
        <w:spacing w:line="360" w:lineRule="auto"/>
        <w:rPr>
          <w:rFonts w:ascii="Times New Roman" w:hAnsi="Times New Roman" w:cs="Times New Roman"/>
        </w:rPr>
      </w:pPr>
      <w:r w:rsidRPr="008C5C33">
        <w:rPr>
          <w:rFonts w:ascii="Times New Roman" w:hAnsi="Times New Roman" w:cs="Times New Roman"/>
        </w:rPr>
        <w:t xml:space="preserve">The collapse of Sunningdale and the Convention prompted Britain to adjust its approach. Engagement with Dublin intensified, with Anglo-Irish talks exploring cross-border security and economic cooperation, though unionist suspicions of Irish influence persisted. Internationally, Britain faced pressure from the U.S. and Ireland to address human rights concerns, particularly over internment and prison conditions, as seen in the 1976–1979 H-Block protests by republican </w:t>
      </w:r>
      <w:r w:rsidRPr="008C5C33">
        <w:rPr>
          <w:rFonts w:ascii="Times New Roman" w:hAnsi="Times New Roman" w:cs="Times New Roman"/>
        </w:rPr>
        <w:lastRenderedPageBreak/>
        <w:t>prisoners.</w:t>
      </w:r>
      <w:r w:rsidR="009A2AD0">
        <w:rPr>
          <w:rStyle w:val="FootnoteReference"/>
          <w:rFonts w:ascii="Times New Roman" w:hAnsi="Times New Roman" w:cs="Times New Roman"/>
        </w:rPr>
        <w:footnoteReference w:id="21"/>
      </w:r>
      <w:r w:rsidRPr="008C5C33">
        <w:rPr>
          <w:rFonts w:ascii="Times New Roman" w:hAnsi="Times New Roman" w:cs="Times New Roman"/>
        </w:rPr>
        <w:t xml:space="preserve"> Domestically, </w:t>
      </w:r>
      <w:proofErr w:type="spellStart"/>
      <w:r w:rsidRPr="008C5C33">
        <w:rPr>
          <w:rFonts w:ascii="Times New Roman" w:hAnsi="Times New Roman" w:cs="Times New Roman"/>
        </w:rPr>
        <w:t>Labour</w:t>
      </w:r>
      <w:proofErr w:type="spellEnd"/>
      <w:r w:rsidRPr="008C5C33">
        <w:rPr>
          <w:rFonts w:ascii="Times New Roman" w:hAnsi="Times New Roman" w:cs="Times New Roman"/>
        </w:rPr>
        <w:t xml:space="preserve"> and Conservative governments grappled with balancing nationalist aspirations for inclusion with unionist fears of abandonment, a tension exacerbated by the IRA’s ongoing campaign and loyalist retaliation.</w:t>
      </w:r>
    </w:p>
    <w:p w14:paraId="5E69F684" w14:textId="594BBFB5" w:rsidR="008C5C33" w:rsidRPr="008C5C33" w:rsidRDefault="008C5C33" w:rsidP="008C5C33">
      <w:pPr>
        <w:spacing w:line="360" w:lineRule="auto"/>
        <w:rPr>
          <w:rFonts w:ascii="Times New Roman" w:hAnsi="Times New Roman" w:cs="Times New Roman"/>
        </w:rPr>
      </w:pPr>
      <w:r w:rsidRPr="008C5C33">
        <w:rPr>
          <w:rFonts w:ascii="Times New Roman" w:hAnsi="Times New Roman" w:cs="Times New Roman"/>
        </w:rPr>
        <w:t>The period revealed the challenges of governing a polarized society. Britain’s security policies, while effective in containing violence, alienated Catholics, who viewed measures like Diplock courts as oppressive</w:t>
      </w:r>
      <w:r w:rsidR="00536FB0">
        <w:rPr>
          <w:rFonts w:ascii="Times New Roman" w:hAnsi="Times New Roman" w:cs="Times New Roman"/>
        </w:rPr>
        <w:t xml:space="preserve"> or “</w:t>
      </w:r>
      <w:r w:rsidR="00536FB0" w:rsidRPr="00536FB0">
        <w:rPr>
          <w:rFonts w:ascii="Times New Roman" w:hAnsi="Times New Roman" w:cs="Times New Roman"/>
        </w:rPr>
        <w:t>as an American observer saw in the late 1980s, ‘the result of years of life under the Diplock rules is entirely predictable: no one in the Catholic ghettos believes that a fair trial is possible in the special courts’</w:t>
      </w:r>
      <w:r w:rsidR="00536FB0">
        <w:rPr>
          <w:rFonts w:ascii="Times New Roman" w:hAnsi="Times New Roman" w:cs="Times New Roman"/>
        </w:rPr>
        <w:t>”.</w:t>
      </w:r>
      <w:r w:rsidR="00536FB0">
        <w:rPr>
          <w:rStyle w:val="FootnoteReference"/>
          <w:rFonts w:ascii="Times New Roman" w:hAnsi="Times New Roman" w:cs="Times New Roman"/>
        </w:rPr>
        <w:footnoteReference w:id="22"/>
      </w:r>
      <w:r w:rsidRPr="008C5C33">
        <w:rPr>
          <w:rFonts w:ascii="Times New Roman" w:hAnsi="Times New Roman" w:cs="Times New Roman"/>
        </w:rPr>
        <w:t xml:space="preserve"> Political initiatives, though innovative, underestimated unionist resistance and overestimated moderate support. By 1979, with Margaret Thatcher’s election, British policy leaned toward a hardline security stance, though the seeds of future diplomacy were sown through Anglo-Irish dialogue.</w:t>
      </w:r>
    </w:p>
    <w:p w14:paraId="34C73464" w14:textId="67A94DAC" w:rsidR="008C5C33" w:rsidRPr="008C5C33" w:rsidRDefault="008C5C33" w:rsidP="008C5C33">
      <w:pPr>
        <w:spacing w:line="360" w:lineRule="auto"/>
        <w:rPr>
          <w:rFonts w:ascii="Times New Roman" w:hAnsi="Times New Roman" w:cs="Times New Roman"/>
        </w:rPr>
      </w:pPr>
      <w:r w:rsidRPr="008C5C33">
        <w:rPr>
          <w:rFonts w:ascii="Times New Roman" w:hAnsi="Times New Roman" w:cs="Times New Roman"/>
        </w:rPr>
        <w:t xml:space="preserve">From 1973 to 1979, British policy oscillated between bold political experiments and robust security </w:t>
      </w:r>
      <w:r w:rsidR="00674ECB" w:rsidRPr="008C5C33">
        <w:rPr>
          <w:rFonts w:ascii="Times New Roman" w:hAnsi="Times New Roman" w:cs="Times New Roman"/>
        </w:rPr>
        <w:t>measures.</w:t>
      </w:r>
      <w:r w:rsidR="00674ECB">
        <w:rPr>
          <w:rFonts w:ascii="Times New Roman" w:hAnsi="Times New Roman" w:cs="Times New Roman"/>
        </w:rPr>
        <w:t xml:space="preserve"> The British political leadership </w:t>
      </w:r>
      <w:r w:rsidR="00536FB0">
        <w:rPr>
          <w:rFonts w:ascii="Times New Roman" w:hAnsi="Times New Roman" w:cs="Times New Roman"/>
        </w:rPr>
        <w:t xml:space="preserve">at some point </w:t>
      </w:r>
      <w:r w:rsidR="00674ECB">
        <w:rPr>
          <w:rFonts w:ascii="Times New Roman" w:hAnsi="Times New Roman" w:cs="Times New Roman"/>
        </w:rPr>
        <w:t>floated the idea of essentially abandoning Northern Ireland by granting it Dominion status.</w:t>
      </w:r>
      <w:r w:rsidR="00674ECB">
        <w:rPr>
          <w:rStyle w:val="FootnoteReference"/>
          <w:rFonts w:ascii="Times New Roman" w:hAnsi="Times New Roman" w:cs="Times New Roman"/>
        </w:rPr>
        <w:footnoteReference w:id="23"/>
      </w:r>
      <w:r w:rsidR="00674ECB">
        <w:rPr>
          <w:rFonts w:ascii="Times New Roman" w:hAnsi="Times New Roman" w:cs="Times New Roman"/>
        </w:rPr>
        <w:t xml:space="preserve"> In response the Irish even considered an invasion of the North in order to prevent the bloodshed that would have followed such </w:t>
      </w:r>
      <w:r w:rsidR="00536FB0">
        <w:rPr>
          <w:rFonts w:ascii="Times New Roman" w:hAnsi="Times New Roman" w:cs="Times New Roman"/>
        </w:rPr>
        <w:t xml:space="preserve">a </w:t>
      </w:r>
      <w:r w:rsidR="00674ECB">
        <w:rPr>
          <w:rFonts w:ascii="Times New Roman" w:hAnsi="Times New Roman" w:cs="Times New Roman"/>
        </w:rPr>
        <w:t>move by London.</w:t>
      </w:r>
      <w:r w:rsidR="00674ECB">
        <w:rPr>
          <w:rStyle w:val="FootnoteReference"/>
          <w:rFonts w:ascii="Times New Roman" w:hAnsi="Times New Roman" w:cs="Times New Roman"/>
        </w:rPr>
        <w:footnoteReference w:id="24"/>
      </w:r>
      <w:r w:rsidRPr="008C5C33">
        <w:rPr>
          <w:rFonts w:ascii="Times New Roman" w:hAnsi="Times New Roman" w:cs="Times New Roman"/>
        </w:rPr>
        <w:t xml:space="preserve"> The failure of Sunningdale and the Convention underscored the difficulty of achieving consensus in a divided society, while </w:t>
      </w:r>
      <w:proofErr w:type="spellStart"/>
      <w:r w:rsidRPr="008C5C33">
        <w:rPr>
          <w:rFonts w:ascii="Times New Roman" w:hAnsi="Times New Roman" w:cs="Times New Roman"/>
        </w:rPr>
        <w:t>Ulsterization</w:t>
      </w:r>
      <w:proofErr w:type="spellEnd"/>
      <w:r w:rsidRPr="008C5C33">
        <w:rPr>
          <w:rFonts w:ascii="Times New Roman" w:hAnsi="Times New Roman" w:cs="Times New Roman"/>
        </w:rPr>
        <w:t xml:space="preserve"> reflected a pragmatic retreat to conflict management. These efforts, though unsuccessful in resolving the Troubles, shaped Britain’s long-term strategy, highlighting the need for inclusive governance and external cooperation to address Northern Ireland’s complex crisis.</w:t>
      </w:r>
    </w:p>
    <w:p w14:paraId="63BCF56C" w14:textId="77777777" w:rsidR="008C5C33" w:rsidRPr="008C5C33" w:rsidRDefault="008C5C33" w:rsidP="008C5C33">
      <w:pPr>
        <w:spacing w:line="360" w:lineRule="auto"/>
        <w:rPr>
          <w:rFonts w:ascii="Times New Roman" w:hAnsi="Times New Roman" w:cs="Times New Roman"/>
        </w:rPr>
      </w:pPr>
      <w:r w:rsidRPr="008C5C33">
        <w:rPr>
          <w:rFonts w:ascii="Times New Roman" w:hAnsi="Times New Roman" w:cs="Times New Roman"/>
        </w:rPr>
        <w:t>The transition from indirect governance to direct rule in 1972, followed by security-driven stabilization and failed political experiments, reflected responses to escalating violence, political failures, international scrutiny, and changing governmental priorities. These factors not only drove the pivotal policy shift in March 1972 but also defined Britain’s approach throughout the decade, laying the groundwork for future peace efforts.</w:t>
      </w:r>
    </w:p>
    <w:p w14:paraId="5FBC263C" w14:textId="58A69D89" w:rsidR="008C5C33" w:rsidRPr="008C5C33" w:rsidRDefault="008C5C33" w:rsidP="008C5C33">
      <w:pPr>
        <w:spacing w:line="360" w:lineRule="auto"/>
        <w:rPr>
          <w:rFonts w:ascii="Times New Roman" w:hAnsi="Times New Roman" w:cs="Times New Roman"/>
        </w:rPr>
      </w:pPr>
      <w:r w:rsidRPr="008C5C33">
        <w:rPr>
          <w:rFonts w:ascii="Times New Roman" w:hAnsi="Times New Roman" w:cs="Times New Roman"/>
        </w:rPr>
        <w:lastRenderedPageBreak/>
        <w:t xml:space="preserve">The rising death toll and economic costs of the Troubles were primary drivers of policy change. By 1972, with 479 deaths, Northern Ireland was spiraling into chaos, straining British military and financial resources. The failure of internment and events like Bloody Sunday eroded public support in Britain, where both </w:t>
      </w:r>
      <w:proofErr w:type="spellStart"/>
      <w:r w:rsidRPr="008C5C33">
        <w:rPr>
          <w:rFonts w:ascii="Times New Roman" w:hAnsi="Times New Roman" w:cs="Times New Roman"/>
        </w:rPr>
        <w:t>Labour</w:t>
      </w:r>
      <w:proofErr w:type="spellEnd"/>
      <w:r w:rsidRPr="008C5C33">
        <w:rPr>
          <w:rFonts w:ascii="Times New Roman" w:hAnsi="Times New Roman" w:cs="Times New Roman"/>
        </w:rPr>
        <w:t xml:space="preserve"> and Conservative governments faced pressure to act decisively. Westminster’s political dynamics also played a role: </w:t>
      </w:r>
      <w:proofErr w:type="spellStart"/>
      <w:r w:rsidRPr="008C5C33">
        <w:rPr>
          <w:rFonts w:ascii="Times New Roman" w:hAnsi="Times New Roman" w:cs="Times New Roman"/>
        </w:rPr>
        <w:t>Labour’s</w:t>
      </w:r>
      <w:proofErr w:type="spellEnd"/>
      <w:r w:rsidRPr="008C5C33">
        <w:rPr>
          <w:rFonts w:ascii="Times New Roman" w:hAnsi="Times New Roman" w:cs="Times New Roman"/>
        </w:rPr>
        <w:t xml:space="preserve"> reformist instincts under Harold Wilson clashed with Conservative priorities under Edward Heath, who favored </w:t>
      </w:r>
      <w:r w:rsidR="00536FB0" w:rsidRPr="008C5C33">
        <w:rPr>
          <w:rFonts w:ascii="Times New Roman" w:hAnsi="Times New Roman" w:cs="Times New Roman"/>
        </w:rPr>
        <w:t>stability,</w:t>
      </w:r>
      <w:r w:rsidRPr="008C5C33">
        <w:rPr>
          <w:rFonts w:ascii="Times New Roman" w:hAnsi="Times New Roman" w:cs="Times New Roman"/>
        </w:rPr>
        <w:t xml:space="preserve"> but recognized Stormont’s collapse necessitated direct rule. The economic burden of sustaining troops and rebuilding infrastructure further pushed Britain toward centralized control to streamline governance and security, as seen in the </w:t>
      </w:r>
      <w:proofErr w:type="spellStart"/>
      <w:r w:rsidRPr="008C5C33">
        <w:rPr>
          <w:rFonts w:ascii="Times New Roman" w:hAnsi="Times New Roman" w:cs="Times New Roman"/>
        </w:rPr>
        <w:t>Ulsterization</w:t>
      </w:r>
      <w:proofErr w:type="spellEnd"/>
      <w:r w:rsidRPr="008C5C33">
        <w:rPr>
          <w:rFonts w:ascii="Times New Roman" w:hAnsi="Times New Roman" w:cs="Times New Roman"/>
        </w:rPr>
        <w:t xml:space="preserve"> policy by the mid-1970s. These internal pressures compelled a shift from supporting unionist dominance to exploring inclusive governance, though political experiments like Sunningdale faltered due to local resistance.</w:t>
      </w:r>
    </w:p>
    <w:p w14:paraId="20F09FE9" w14:textId="75883B2C" w:rsidR="008C5C33" w:rsidRPr="008C5C33" w:rsidRDefault="00EA2954" w:rsidP="008C5C33">
      <w:pPr>
        <w:spacing w:line="360" w:lineRule="auto"/>
        <w:rPr>
          <w:rFonts w:ascii="Times New Roman" w:hAnsi="Times New Roman" w:cs="Times New Roman"/>
        </w:rPr>
      </w:pPr>
      <w:r>
        <w:rPr>
          <w:rFonts w:ascii="Times New Roman" w:hAnsi="Times New Roman" w:cs="Times New Roman"/>
        </w:rPr>
        <w:t xml:space="preserve">So, the </w:t>
      </w:r>
      <w:r w:rsidR="008C5C33" w:rsidRPr="008C5C33">
        <w:rPr>
          <w:rFonts w:ascii="Times New Roman" w:hAnsi="Times New Roman" w:cs="Times New Roman"/>
        </w:rPr>
        <w:t xml:space="preserve">British policy evolved from tacit support for unionist rule to a tentative embrace of power-sharing and inclusivity. The civil rights movement exposed the inequities of Stormont’s system, forcing Westminster to reconsider its non-interventionist stance. By 1972, the recognition that unionist </w:t>
      </w:r>
      <w:r w:rsidR="00A51FB5" w:rsidRPr="00A51FB5">
        <w:rPr>
          <w:rFonts w:ascii="Times New Roman" w:hAnsi="Times New Roman" w:cs="Times New Roman"/>
        </w:rPr>
        <w:t>stubbornness</w:t>
      </w:r>
      <w:r w:rsidR="008C5C33" w:rsidRPr="008C5C33">
        <w:rPr>
          <w:rFonts w:ascii="Times New Roman" w:hAnsi="Times New Roman" w:cs="Times New Roman"/>
        </w:rPr>
        <w:t xml:space="preserve"> fueled </w:t>
      </w:r>
      <w:proofErr w:type="gramStart"/>
      <w:r w:rsidR="008C5C33" w:rsidRPr="008C5C33">
        <w:rPr>
          <w:rFonts w:ascii="Times New Roman" w:hAnsi="Times New Roman" w:cs="Times New Roman"/>
        </w:rPr>
        <w:t>conflict</w:t>
      </w:r>
      <w:r w:rsidR="00A51FB5">
        <w:rPr>
          <w:rFonts w:ascii="Times New Roman" w:hAnsi="Times New Roman" w:cs="Times New Roman"/>
        </w:rPr>
        <w:t>,</w:t>
      </w:r>
      <w:proofErr w:type="gramEnd"/>
      <w:r w:rsidR="008C5C33" w:rsidRPr="008C5C33">
        <w:rPr>
          <w:rFonts w:ascii="Times New Roman" w:hAnsi="Times New Roman" w:cs="Times New Roman"/>
        </w:rPr>
        <w:t xml:space="preserve"> led to direct rule and attempts at </w:t>
      </w:r>
      <w:r w:rsidR="00091F69">
        <w:rPr>
          <w:rFonts w:ascii="Times New Roman" w:hAnsi="Times New Roman" w:cs="Times New Roman"/>
        </w:rPr>
        <w:t>more even-handed</w:t>
      </w:r>
      <w:r w:rsidR="008C5C33" w:rsidRPr="008C5C33">
        <w:rPr>
          <w:rFonts w:ascii="Times New Roman" w:hAnsi="Times New Roman" w:cs="Times New Roman"/>
        </w:rPr>
        <w:t xml:space="preserve"> governance. However, tensions persisted between security-driven approaches, prioritizing IRA containment, and diplomatic efforts, seeking nationalist inclusion. The failure of Sunningdale and the Constitutional Convention highlighted the limits of imposing ideological shifts on a polarized society, pushing Britain toward pragmatic conflict management by 1979.</w:t>
      </w:r>
    </w:p>
    <w:p w14:paraId="512CF732" w14:textId="0E41F128" w:rsidR="008C5C33" w:rsidRPr="008C5C33" w:rsidRDefault="008C5C33" w:rsidP="008C5C33">
      <w:pPr>
        <w:spacing w:line="360" w:lineRule="auto"/>
        <w:rPr>
          <w:rFonts w:ascii="Times New Roman" w:hAnsi="Times New Roman" w:cs="Times New Roman"/>
        </w:rPr>
      </w:pPr>
      <w:r w:rsidRPr="008C5C33">
        <w:rPr>
          <w:rFonts w:ascii="Times New Roman" w:hAnsi="Times New Roman" w:cs="Times New Roman"/>
        </w:rPr>
        <w:t>By 1979, direct rule had become entrenched, with Britain prioritizing conflict management over resolution amid deep sectarian divisions.</w:t>
      </w:r>
    </w:p>
    <w:p w14:paraId="41F90672" w14:textId="7DCA9C9E" w:rsidR="00A51FB5" w:rsidRDefault="008C5C33" w:rsidP="00A51FB5">
      <w:pPr>
        <w:spacing w:line="360" w:lineRule="auto"/>
        <w:rPr>
          <w:rFonts w:ascii="Times New Roman" w:hAnsi="Times New Roman" w:cs="Times New Roman"/>
        </w:rPr>
      </w:pPr>
      <w:r w:rsidRPr="008C5C33">
        <w:rPr>
          <w:rFonts w:ascii="Times New Roman" w:hAnsi="Times New Roman" w:cs="Times New Roman"/>
        </w:rPr>
        <w:t xml:space="preserve">The 1972 shift was a critical juncture, reshaping governance and exposing the complexities of balancing unionist and nationalist aspirations. While security policies curbed some violence, they alienated communities, and political initiatives struggled against </w:t>
      </w:r>
      <w:r w:rsidR="007B56CA">
        <w:rPr>
          <w:rFonts w:ascii="Times New Roman" w:hAnsi="Times New Roman" w:cs="Times New Roman"/>
        </w:rPr>
        <w:t>deep-seated</w:t>
      </w:r>
      <w:r w:rsidRPr="008C5C33">
        <w:rPr>
          <w:rFonts w:ascii="Times New Roman" w:hAnsi="Times New Roman" w:cs="Times New Roman"/>
        </w:rPr>
        <w:t xml:space="preserve"> mistrust. Nevertheless, this period laid essential groundwork for future negotiations, notably the Anglo-Irish Agreement and the Good Friday Agreement, by fostering Anglo-Irish dialogue and exploring power-sharing. The challenges of addressing security, political legitimacy, and human rights in a divided society underscored the limits of unilateral intervention, highlighting the need for inclusive, cooperative approaches to achieve lasting peace in Northern Ireland.</w:t>
      </w:r>
    </w:p>
    <w:p w14:paraId="47AF394F" w14:textId="5B6161FD" w:rsidR="008C5C33" w:rsidRPr="00A51FB5" w:rsidRDefault="008C5C33" w:rsidP="00A51FB5">
      <w:pPr>
        <w:spacing w:line="360" w:lineRule="auto"/>
        <w:jc w:val="center"/>
        <w:rPr>
          <w:rFonts w:ascii="Times New Roman" w:hAnsi="Times New Roman" w:cs="Times New Roman"/>
        </w:rPr>
      </w:pPr>
      <w:r>
        <w:rPr>
          <w:rFonts w:ascii="Times New Roman" w:hAnsi="Times New Roman" w:cs="Times New Roman"/>
          <w:b/>
          <w:bCs/>
        </w:rPr>
        <w:lastRenderedPageBreak/>
        <w:t>BIBLIOGRAPHY</w:t>
      </w:r>
    </w:p>
    <w:p w14:paraId="22C2E01D" w14:textId="77777777" w:rsidR="008F2C4C" w:rsidRPr="008C5C33" w:rsidRDefault="008F2C4C" w:rsidP="008F2C4C">
      <w:pPr>
        <w:spacing w:line="360" w:lineRule="auto"/>
        <w:jc w:val="center"/>
        <w:rPr>
          <w:rFonts w:ascii="Times New Roman" w:hAnsi="Times New Roman" w:cs="Times New Roman"/>
          <w:b/>
          <w:bCs/>
        </w:rPr>
      </w:pPr>
    </w:p>
    <w:p w14:paraId="039976BB" w14:textId="77777777" w:rsidR="009A2AD0" w:rsidRPr="009A2AD0" w:rsidRDefault="009A2AD0" w:rsidP="009A2AD0">
      <w:pPr>
        <w:spacing w:line="360" w:lineRule="auto"/>
        <w:rPr>
          <w:rFonts w:ascii="Times New Roman" w:hAnsi="Times New Roman" w:cs="Times New Roman"/>
        </w:rPr>
      </w:pPr>
      <w:r w:rsidRPr="009A2AD0">
        <w:rPr>
          <w:rFonts w:ascii="Times New Roman" w:hAnsi="Times New Roman" w:cs="Times New Roman"/>
        </w:rPr>
        <w:t xml:space="preserve">Paul Bew, </w:t>
      </w:r>
      <w:r w:rsidRPr="00033C24">
        <w:rPr>
          <w:rFonts w:ascii="Times New Roman" w:hAnsi="Times New Roman" w:cs="Times New Roman"/>
          <w:i/>
          <w:iCs/>
        </w:rPr>
        <w:t>Ireland: The Politics of Enmity 1789–2006</w:t>
      </w:r>
      <w:r w:rsidRPr="009A2AD0">
        <w:rPr>
          <w:rFonts w:ascii="Times New Roman" w:hAnsi="Times New Roman" w:cs="Times New Roman"/>
        </w:rPr>
        <w:t xml:space="preserve"> (Oxford, UK: Oxford University Press, 2007), </w:t>
      </w:r>
    </w:p>
    <w:p w14:paraId="316C856E" w14:textId="77777777" w:rsidR="009A2AD0" w:rsidRPr="009A2AD0" w:rsidRDefault="009A2AD0" w:rsidP="009A2AD0">
      <w:pPr>
        <w:spacing w:line="360" w:lineRule="auto"/>
        <w:rPr>
          <w:rFonts w:ascii="Times New Roman" w:hAnsi="Times New Roman" w:cs="Times New Roman"/>
        </w:rPr>
      </w:pPr>
      <w:r w:rsidRPr="009A2AD0">
        <w:rPr>
          <w:rFonts w:ascii="Times New Roman" w:hAnsi="Times New Roman" w:cs="Times New Roman"/>
        </w:rPr>
        <w:t xml:space="preserve">Tim Coogan, </w:t>
      </w:r>
      <w:r w:rsidRPr="00033C24">
        <w:rPr>
          <w:rFonts w:ascii="Times New Roman" w:hAnsi="Times New Roman" w:cs="Times New Roman"/>
          <w:i/>
          <w:iCs/>
        </w:rPr>
        <w:t>The Troubles: Ireland’s Ordeal and the Search for Peace</w:t>
      </w:r>
      <w:r w:rsidRPr="009A2AD0">
        <w:rPr>
          <w:rFonts w:ascii="Times New Roman" w:hAnsi="Times New Roman" w:cs="Times New Roman"/>
        </w:rPr>
        <w:t xml:space="preserve"> (London: Hutchinson, 1995).</w:t>
      </w:r>
    </w:p>
    <w:p w14:paraId="2B4787DB" w14:textId="77777777" w:rsidR="009A2AD0" w:rsidRPr="009A2AD0" w:rsidRDefault="009A2AD0" w:rsidP="009A2AD0">
      <w:pPr>
        <w:spacing w:line="360" w:lineRule="auto"/>
        <w:rPr>
          <w:rFonts w:ascii="Times New Roman" w:hAnsi="Times New Roman" w:cs="Times New Roman"/>
        </w:rPr>
      </w:pPr>
      <w:r w:rsidRPr="009A2AD0">
        <w:rPr>
          <w:rFonts w:ascii="Times New Roman" w:hAnsi="Times New Roman" w:cs="Times New Roman"/>
        </w:rPr>
        <w:t xml:space="preserve">Alvin Jackson, </w:t>
      </w:r>
      <w:r w:rsidRPr="00033C24">
        <w:rPr>
          <w:rFonts w:ascii="Times New Roman" w:hAnsi="Times New Roman" w:cs="Times New Roman"/>
          <w:i/>
          <w:iCs/>
        </w:rPr>
        <w:t>Ireland 1798–1998: War, Peace and Beyond</w:t>
      </w:r>
      <w:r w:rsidRPr="009A2AD0">
        <w:rPr>
          <w:rFonts w:ascii="Times New Roman" w:hAnsi="Times New Roman" w:cs="Times New Roman"/>
        </w:rPr>
        <w:t xml:space="preserve"> (Oxford: Wiley-Blackwell, 2010).</w:t>
      </w:r>
    </w:p>
    <w:p w14:paraId="7233AD8E" w14:textId="77777777" w:rsidR="009A2AD0" w:rsidRPr="009A2AD0" w:rsidRDefault="009A2AD0" w:rsidP="009A2AD0">
      <w:pPr>
        <w:spacing w:line="360" w:lineRule="auto"/>
        <w:rPr>
          <w:rFonts w:ascii="Times New Roman" w:hAnsi="Times New Roman" w:cs="Times New Roman"/>
        </w:rPr>
      </w:pPr>
      <w:r w:rsidRPr="009A2AD0">
        <w:rPr>
          <w:rFonts w:ascii="Times New Roman" w:hAnsi="Times New Roman" w:cs="Times New Roman"/>
        </w:rPr>
        <w:t xml:space="preserve"> Jeremy Smith, </w:t>
      </w:r>
      <w:r w:rsidRPr="00033C24">
        <w:rPr>
          <w:rFonts w:ascii="Times New Roman" w:hAnsi="Times New Roman" w:cs="Times New Roman"/>
          <w:i/>
          <w:iCs/>
        </w:rPr>
        <w:t>Making the Peace in Ireland</w:t>
      </w:r>
      <w:r w:rsidRPr="009A2AD0">
        <w:rPr>
          <w:rFonts w:ascii="Times New Roman" w:hAnsi="Times New Roman" w:cs="Times New Roman"/>
        </w:rPr>
        <w:t xml:space="preserve"> (New York: Routledge, 2014).</w:t>
      </w:r>
    </w:p>
    <w:p w14:paraId="439607FD" w14:textId="49C8DB34" w:rsidR="009A2AD0" w:rsidRPr="009A2AD0" w:rsidRDefault="00033C24" w:rsidP="009A2AD0">
      <w:pPr>
        <w:spacing w:line="360" w:lineRule="auto"/>
        <w:rPr>
          <w:rFonts w:ascii="Times New Roman" w:hAnsi="Times New Roman" w:cs="Times New Roman"/>
        </w:rPr>
      </w:pPr>
      <w:r>
        <w:rPr>
          <w:rFonts w:ascii="Times New Roman" w:hAnsi="Times New Roman" w:cs="Times New Roman"/>
        </w:rPr>
        <w:t xml:space="preserve">Paul </w:t>
      </w:r>
      <w:r w:rsidR="009A2AD0" w:rsidRPr="009A2AD0">
        <w:rPr>
          <w:rFonts w:ascii="Times New Roman" w:hAnsi="Times New Roman" w:cs="Times New Roman"/>
        </w:rPr>
        <w:t xml:space="preserve">Dixon, </w:t>
      </w:r>
      <w:r w:rsidR="009A2AD0" w:rsidRPr="00033C24">
        <w:rPr>
          <w:rFonts w:ascii="Times New Roman" w:hAnsi="Times New Roman" w:cs="Times New Roman"/>
          <w:i/>
          <w:iCs/>
        </w:rPr>
        <w:t>Northern Ireland: The Politics of War and Peace</w:t>
      </w:r>
      <w:r>
        <w:rPr>
          <w:rFonts w:ascii="Times New Roman" w:hAnsi="Times New Roman" w:cs="Times New Roman"/>
        </w:rPr>
        <w:t xml:space="preserve"> (</w:t>
      </w:r>
      <w:r w:rsidR="009A2AD0" w:rsidRPr="009A2AD0">
        <w:rPr>
          <w:rFonts w:ascii="Times New Roman" w:hAnsi="Times New Roman" w:cs="Times New Roman"/>
        </w:rPr>
        <w:t>Basingstoke: Palgrave Macmillan, 2008</w:t>
      </w:r>
      <w:r>
        <w:rPr>
          <w:rFonts w:ascii="Times New Roman" w:hAnsi="Times New Roman" w:cs="Times New Roman"/>
        </w:rPr>
        <w:t>)</w:t>
      </w:r>
      <w:r w:rsidR="009A2AD0" w:rsidRPr="009A2AD0">
        <w:rPr>
          <w:rFonts w:ascii="Times New Roman" w:hAnsi="Times New Roman" w:cs="Times New Roman"/>
        </w:rPr>
        <w:t>.</w:t>
      </w:r>
    </w:p>
    <w:p w14:paraId="6DBD41DC" w14:textId="7E75EB18" w:rsidR="009A2AD0" w:rsidRPr="009A2AD0" w:rsidRDefault="00033C24" w:rsidP="009A2AD0">
      <w:pPr>
        <w:spacing w:line="360" w:lineRule="auto"/>
        <w:rPr>
          <w:rFonts w:ascii="Times New Roman" w:hAnsi="Times New Roman" w:cs="Times New Roman"/>
        </w:rPr>
      </w:pPr>
      <w:r>
        <w:rPr>
          <w:rFonts w:ascii="Times New Roman" w:hAnsi="Times New Roman" w:cs="Times New Roman"/>
        </w:rPr>
        <w:t xml:space="preserve">Thomas </w:t>
      </w:r>
      <w:r w:rsidR="009A2AD0" w:rsidRPr="009A2AD0">
        <w:rPr>
          <w:rFonts w:ascii="Times New Roman" w:hAnsi="Times New Roman" w:cs="Times New Roman"/>
        </w:rPr>
        <w:t xml:space="preserve">Hennessey, </w:t>
      </w:r>
      <w:r w:rsidR="009A2AD0" w:rsidRPr="00145137">
        <w:rPr>
          <w:rFonts w:ascii="Times New Roman" w:hAnsi="Times New Roman" w:cs="Times New Roman"/>
          <w:i/>
          <w:iCs/>
        </w:rPr>
        <w:t>The Northern Ireland Peace Process: Ending the Troubles?</w:t>
      </w:r>
      <w:r w:rsidR="009A2AD0" w:rsidRPr="009A2AD0">
        <w:rPr>
          <w:rFonts w:ascii="Times New Roman" w:hAnsi="Times New Roman" w:cs="Times New Roman"/>
        </w:rPr>
        <w:t xml:space="preserve"> </w:t>
      </w:r>
      <w:r>
        <w:rPr>
          <w:rFonts w:ascii="Times New Roman" w:hAnsi="Times New Roman" w:cs="Times New Roman"/>
        </w:rPr>
        <w:t>(</w:t>
      </w:r>
      <w:r w:rsidR="009A2AD0" w:rsidRPr="009A2AD0">
        <w:rPr>
          <w:rFonts w:ascii="Times New Roman" w:hAnsi="Times New Roman" w:cs="Times New Roman"/>
        </w:rPr>
        <w:t>Dublin: Gill &amp; Macmillan, 2000</w:t>
      </w:r>
      <w:r>
        <w:rPr>
          <w:rFonts w:ascii="Times New Roman" w:hAnsi="Times New Roman" w:cs="Times New Roman"/>
        </w:rPr>
        <w:t>)</w:t>
      </w:r>
      <w:r w:rsidR="009A2AD0" w:rsidRPr="009A2AD0">
        <w:rPr>
          <w:rFonts w:ascii="Times New Roman" w:hAnsi="Times New Roman" w:cs="Times New Roman"/>
        </w:rPr>
        <w:t>.</w:t>
      </w:r>
    </w:p>
    <w:p w14:paraId="109483AB" w14:textId="3F278143" w:rsidR="009A2AD0" w:rsidRPr="009A2AD0" w:rsidRDefault="00145137" w:rsidP="009A2AD0">
      <w:pPr>
        <w:spacing w:line="360" w:lineRule="auto"/>
        <w:rPr>
          <w:rFonts w:ascii="Times New Roman" w:hAnsi="Times New Roman" w:cs="Times New Roman"/>
        </w:rPr>
      </w:pPr>
      <w:r>
        <w:rPr>
          <w:rFonts w:ascii="Times New Roman" w:hAnsi="Times New Roman" w:cs="Times New Roman"/>
        </w:rPr>
        <w:t xml:space="preserve">Alvin </w:t>
      </w:r>
      <w:r w:rsidR="009A2AD0" w:rsidRPr="009A2AD0">
        <w:rPr>
          <w:rFonts w:ascii="Times New Roman" w:hAnsi="Times New Roman" w:cs="Times New Roman"/>
        </w:rPr>
        <w:t>Jackson,</w:t>
      </w:r>
      <w:r>
        <w:rPr>
          <w:rFonts w:ascii="Times New Roman" w:hAnsi="Times New Roman" w:cs="Times New Roman"/>
        </w:rPr>
        <w:t xml:space="preserve"> </w:t>
      </w:r>
      <w:r w:rsidR="009A2AD0" w:rsidRPr="00145137">
        <w:rPr>
          <w:rFonts w:ascii="Times New Roman" w:hAnsi="Times New Roman" w:cs="Times New Roman"/>
          <w:i/>
          <w:iCs/>
        </w:rPr>
        <w:t>Ireland 1798–1998: War, Peace and Beyond</w:t>
      </w:r>
      <w:r>
        <w:rPr>
          <w:rFonts w:ascii="Times New Roman" w:hAnsi="Times New Roman" w:cs="Times New Roman"/>
        </w:rPr>
        <w:t xml:space="preserve"> (</w:t>
      </w:r>
      <w:r w:rsidR="009A2AD0" w:rsidRPr="009A2AD0">
        <w:rPr>
          <w:rFonts w:ascii="Times New Roman" w:hAnsi="Times New Roman" w:cs="Times New Roman"/>
        </w:rPr>
        <w:t>Oxford: Wiley-Blackwell, 2010</w:t>
      </w:r>
      <w:r>
        <w:rPr>
          <w:rFonts w:ascii="Times New Roman" w:hAnsi="Times New Roman" w:cs="Times New Roman"/>
        </w:rPr>
        <w:t>)</w:t>
      </w:r>
      <w:r w:rsidR="009A2AD0" w:rsidRPr="009A2AD0">
        <w:rPr>
          <w:rFonts w:ascii="Times New Roman" w:hAnsi="Times New Roman" w:cs="Times New Roman"/>
        </w:rPr>
        <w:t>.</w:t>
      </w:r>
    </w:p>
    <w:p w14:paraId="2C8BFC95" w14:textId="77777777" w:rsidR="009A2AD0" w:rsidRPr="009A2AD0" w:rsidRDefault="009A2AD0" w:rsidP="009A2AD0">
      <w:pPr>
        <w:spacing w:line="360" w:lineRule="auto"/>
        <w:rPr>
          <w:rFonts w:ascii="Times New Roman" w:hAnsi="Times New Roman" w:cs="Times New Roman"/>
        </w:rPr>
      </w:pPr>
      <w:r w:rsidRPr="009A2AD0">
        <w:rPr>
          <w:rFonts w:ascii="Times New Roman" w:hAnsi="Times New Roman" w:cs="Times New Roman"/>
        </w:rPr>
        <w:t xml:space="preserve">David McKittrick and David McVea, </w:t>
      </w:r>
      <w:r w:rsidRPr="00145137">
        <w:rPr>
          <w:rFonts w:ascii="Times New Roman" w:hAnsi="Times New Roman" w:cs="Times New Roman"/>
          <w:i/>
          <w:iCs/>
        </w:rPr>
        <w:t>Making Sense of the Troubles: A History of the Northern Ireland Conflict</w:t>
      </w:r>
      <w:r w:rsidRPr="009A2AD0">
        <w:rPr>
          <w:rFonts w:ascii="Times New Roman" w:hAnsi="Times New Roman" w:cs="Times New Roman"/>
        </w:rPr>
        <w:t xml:space="preserve"> (London: Penguin, 2001). </w:t>
      </w:r>
    </w:p>
    <w:p w14:paraId="1165A238" w14:textId="5874C7CB" w:rsidR="009A2AD0" w:rsidRPr="009A2AD0" w:rsidRDefault="00145137" w:rsidP="009A2AD0">
      <w:pPr>
        <w:spacing w:line="360" w:lineRule="auto"/>
        <w:rPr>
          <w:rFonts w:ascii="Times New Roman" w:hAnsi="Times New Roman" w:cs="Times New Roman"/>
        </w:rPr>
      </w:pPr>
      <w:r w:rsidRPr="00145137">
        <w:rPr>
          <w:rFonts w:ascii="Times New Roman" w:hAnsi="Times New Roman" w:cs="Times New Roman"/>
        </w:rPr>
        <w:t xml:space="preserve">Brendan </w:t>
      </w:r>
      <w:r w:rsidR="009A2AD0" w:rsidRPr="009A2AD0">
        <w:rPr>
          <w:rFonts w:ascii="Times New Roman" w:hAnsi="Times New Roman" w:cs="Times New Roman"/>
        </w:rPr>
        <w:t>O’Leary</w:t>
      </w:r>
      <w:r>
        <w:rPr>
          <w:rFonts w:ascii="Times New Roman" w:hAnsi="Times New Roman" w:cs="Times New Roman"/>
        </w:rPr>
        <w:t xml:space="preserve"> </w:t>
      </w:r>
      <w:r w:rsidR="009A2AD0" w:rsidRPr="009A2AD0">
        <w:rPr>
          <w:rFonts w:ascii="Times New Roman" w:hAnsi="Times New Roman" w:cs="Times New Roman"/>
        </w:rPr>
        <w:t>and John McGarry</w:t>
      </w:r>
      <w:r>
        <w:rPr>
          <w:rFonts w:ascii="Times New Roman" w:hAnsi="Times New Roman" w:cs="Times New Roman"/>
        </w:rPr>
        <w:t xml:space="preserve">, </w:t>
      </w:r>
      <w:r w:rsidR="009A2AD0" w:rsidRPr="00145137">
        <w:rPr>
          <w:rFonts w:ascii="Times New Roman" w:hAnsi="Times New Roman" w:cs="Times New Roman"/>
          <w:i/>
          <w:iCs/>
        </w:rPr>
        <w:t>The Politics of Antagonism: Understanding Northern Ireland</w:t>
      </w:r>
      <w:r>
        <w:rPr>
          <w:rFonts w:ascii="Times New Roman" w:hAnsi="Times New Roman" w:cs="Times New Roman"/>
        </w:rPr>
        <w:t xml:space="preserve"> (</w:t>
      </w:r>
      <w:r w:rsidR="009A2AD0" w:rsidRPr="009A2AD0">
        <w:rPr>
          <w:rFonts w:ascii="Times New Roman" w:hAnsi="Times New Roman" w:cs="Times New Roman"/>
        </w:rPr>
        <w:t>London: Athlone Press, 1996</w:t>
      </w:r>
      <w:r>
        <w:rPr>
          <w:rFonts w:ascii="Times New Roman" w:hAnsi="Times New Roman" w:cs="Times New Roman"/>
        </w:rPr>
        <w:t>)</w:t>
      </w:r>
      <w:r w:rsidR="009A2AD0" w:rsidRPr="009A2AD0">
        <w:rPr>
          <w:rFonts w:ascii="Times New Roman" w:hAnsi="Times New Roman" w:cs="Times New Roman"/>
        </w:rPr>
        <w:t>.</w:t>
      </w:r>
    </w:p>
    <w:p w14:paraId="11E84BBE" w14:textId="030CF9C4" w:rsidR="009A2AD0" w:rsidRPr="000C6F81" w:rsidRDefault="009A2AD0" w:rsidP="009A2AD0">
      <w:pPr>
        <w:spacing w:line="360" w:lineRule="auto"/>
        <w:rPr>
          <w:rFonts w:ascii="Times New Roman" w:hAnsi="Times New Roman" w:cs="Times New Roman"/>
        </w:rPr>
      </w:pPr>
      <w:r w:rsidRPr="009A2AD0">
        <w:rPr>
          <w:rFonts w:ascii="Times New Roman" w:hAnsi="Times New Roman" w:cs="Times New Roman"/>
        </w:rPr>
        <w:t xml:space="preserve">Charles Townshend, </w:t>
      </w:r>
      <w:r w:rsidRPr="00145137">
        <w:rPr>
          <w:rFonts w:ascii="Times New Roman" w:hAnsi="Times New Roman" w:cs="Times New Roman"/>
          <w:i/>
          <w:iCs/>
        </w:rPr>
        <w:t>Ireland: the 20th Century</w:t>
      </w:r>
      <w:r w:rsidRPr="009A2AD0">
        <w:rPr>
          <w:rFonts w:ascii="Times New Roman" w:hAnsi="Times New Roman" w:cs="Times New Roman"/>
        </w:rPr>
        <w:t xml:space="preserve"> (New York: Oxford University Press, 1999).</w:t>
      </w:r>
    </w:p>
    <w:sectPr w:rsidR="009A2AD0" w:rsidRPr="000C6F81">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BB391D" w14:textId="77777777" w:rsidR="002C6067" w:rsidRDefault="002C6067" w:rsidP="008C5C33">
      <w:pPr>
        <w:spacing w:after="0" w:line="240" w:lineRule="auto"/>
      </w:pPr>
      <w:r>
        <w:separator/>
      </w:r>
    </w:p>
  </w:endnote>
  <w:endnote w:type="continuationSeparator" w:id="0">
    <w:p w14:paraId="27157683" w14:textId="77777777" w:rsidR="002C6067" w:rsidRDefault="002C6067" w:rsidP="008C5C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3562530"/>
      <w:docPartObj>
        <w:docPartGallery w:val="Page Numbers (Bottom of Page)"/>
        <w:docPartUnique/>
      </w:docPartObj>
    </w:sdtPr>
    <w:sdtEndPr>
      <w:rPr>
        <w:noProof/>
      </w:rPr>
    </w:sdtEndPr>
    <w:sdtContent>
      <w:p w14:paraId="15280CEF" w14:textId="54694FEE" w:rsidR="00346173" w:rsidRDefault="003461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68BEEE" w14:textId="77777777" w:rsidR="00346173" w:rsidRDefault="003461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A2DA3C" w14:textId="77777777" w:rsidR="002C6067" w:rsidRDefault="002C6067" w:rsidP="008C5C33">
      <w:pPr>
        <w:spacing w:after="0" w:line="240" w:lineRule="auto"/>
      </w:pPr>
      <w:r>
        <w:separator/>
      </w:r>
    </w:p>
  </w:footnote>
  <w:footnote w:type="continuationSeparator" w:id="0">
    <w:p w14:paraId="09027222" w14:textId="77777777" w:rsidR="002C6067" w:rsidRDefault="002C6067" w:rsidP="008C5C33">
      <w:pPr>
        <w:spacing w:after="0" w:line="240" w:lineRule="auto"/>
      </w:pPr>
      <w:r>
        <w:continuationSeparator/>
      </w:r>
    </w:p>
  </w:footnote>
  <w:footnote w:id="1">
    <w:p w14:paraId="25CAF15F" w14:textId="527A4B73" w:rsidR="00BE2E14" w:rsidRDefault="00BE2E14">
      <w:pPr>
        <w:pStyle w:val="FootnoteText"/>
      </w:pPr>
      <w:r>
        <w:rPr>
          <w:rStyle w:val="FootnoteReference"/>
        </w:rPr>
        <w:footnoteRef/>
      </w:r>
      <w:r>
        <w:t xml:space="preserve"> </w:t>
      </w:r>
      <w:bookmarkStart w:id="0" w:name="_Hlk202727670"/>
      <w:r w:rsidR="00035A56">
        <w:t xml:space="preserve">Tim </w:t>
      </w:r>
      <w:bookmarkStart w:id="1" w:name="_Hlk202723208"/>
      <w:r w:rsidR="00035A56" w:rsidRPr="00035A56">
        <w:t>Coogan,</w:t>
      </w:r>
      <w:r w:rsidR="00035A56">
        <w:t xml:space="preserve"> </w:t>
      </w:r>
      <w:r w:rsidR="00035A56" w:rsidRPr="00035A56">
        <w:rPr>
          <w:i/>
          <w:iCs/>
        </w:rPr>
        <w:t>The Troubles</w:t>
      </w:r>
      <w:bookmarkEnd w:id="1"/>
      <w:r w:rsidR="00035A56" w:rsidRPr="00035A56">
        <w:rPr>
          <w:i/>
          <w:iCs/>
        </w:rPr>
        <w:t>: Ireland’s Ordeal and the Search for Peace</w:t>
      </w:r>
      <w:r w:rsidR="00035A56">
        <w:t xml:space="preserve"> (</w:t>
      </w:r>
      <w:r w:rsidR="00035A56" w:rsidRPr="00035A56">
        <w:t>London: Hutchinson, 199</w:t>
      </w:r>
      <w:r w:rsidR="00035A56">
        <w:t>5)</w:t>
      </w:r>
      <w:bookmarkEnd w:id="0"/>
      <w:r w:rsidR="00035A56">
        <w:t xml:space="preserve">, </w:t>
      </w:r>
      <w:r w:rsidR="00264144">
        <w:t>95.</w:t>
      </w:r>
    </w:p>
  </w:footnote>
  <w:footnote w:id="2">
    <w:p w14:paraId="6D9D88A3" w14:textId="35177A9C" w:rsidR="004B2EE3" w:rsidRDefault="004B2EE3">
      <w:pPr>
        <w:pStyle w:val="FootnoteText"/>
      </w:pPr>
      <w:r>
        <w:rPr>
          <w:rStyle w:val="FootnoteReference"/>
        </w:rPr>
        <w:footnoteRef/>
      </w:r>
      <w:r>
        <w:t xml:space="preserve"> </w:t>
      </w:r>
      <w:r w:rsidRPr="004B2EE3">
        <w:t xml:space="preserve">Coogan, </w:t>
      </w:r>
      <w:r w:rsidRPr="004B2EE3">
        <w:rPr>
          <w:i/>
          <w:iCs/>
        </w:rPr>
        <w:t>The Troubles</w:t>
      </w:r>
      <w:r>
        <w:t>, 102.</w:t>
      </w:r>
    </w:p>
  </w:footnote>
  <w:footnote w:id="3">
    <w:p w14:paraId="18C99C95" w14:textId="14D3F3E0" w:rsidR="000F1C56" w:rsidRDefault="000F1C56">
      <w:pPr>
        <w:pStyle w:val="FootnoteText"/>
      </w:pPr>
      <w:r>
        <w:rPr>
          <w:rStyle w:val="FootnoteReference"/>
        </w:rPr>
        <w:footnoteRef/>
      </w:r>
      <w:r>
        <w:t xml:space="preserve"> </w:t>
      </w:r>
      <w:bookmarkStart w:id="2" w:name="_Hlk202727549"/>
      <w:r>
        <w:t xml:space="preserve">David </w:t>
      </w:r>
      <w:bookmarkStart w:id="3" w:name="_Hlk202728100"/>
      <w:r w:rsidRPr="000F1C56">
        <w:t>McKittrick</w:t>
      </w:r>
      <w:r>
        <w:t xml:space="preserve"> </w:t>
      </w:r>
      <w:r w:rsidRPr="000F1C56">
        <w:t>and David McVea</w:t>
      </w:r>
      <w:r>
        <w:t xml:space="preserve">, </w:t>
      </w:r>
      <w:r w:rsidRPr="000F1C56">
        <w:rPr>
          <w:i/>
          <w:iCs/>
        </w:rPr>
        <w:t>Making Sense of the Troubles</w:t>
      </w:r>
      <w:bookmarkEnd w:id="3"/>
      <w:r w:rsidRPr="000F1C56">
        <w:rPr>
          <w:i/>
          <w:iCs/>
        </w:rPr>
        <w:t>: A History of the Northern Ireland Conflict</w:t>
      </w:r>
      <w:r>
        <w:t xml:space="preserve"> (</w:t>
      </w:r>
      <w:r w:rsidRPr="000F1C56">
        <w:t>London: Penguin, 2001</w:t>
      </w:r>
      <w:r>
        <w:t>), 84.</w:t>
      </w:r>
      <w:bookmarkEnd w:id="2"/>
    </w:p>
  </w:footnote>
  <w:footnote w:id="4">
    <w:p w14:paraId="07F66973" w14:textId="4C3DBE67" w:rsidR="009831A5" w:rsidRDefault="009831A5">
      <w:pPr>
        <w:pStyle w:val="FootnoteText"/>
      </w:pPr>
      <w:r>
        <w:rPr>
          <w:rStyle w:val="FootnoteReference"/>
        </w:rPr>
        <w:footnoteRef/>
      </w:r>
      <w:r>
        <w:t xml:space="preserve"> </w:t>
      </w:r>
      <w:r w:rsidRPr="009831A5">
        <w:t xml:space="preserve">McKittrick and McVea, </w:t>
      </w:r>
      <w:r w:rsidRPr="000B4ECD">
        <w:rPr>
          <w:i/>
          <w:iCs/>
        </w:rPr>
        <w:t>Making Sense of the Troubles</w:t>
      </w:r>
      <w:r>
        <w:t xml:space="preserve">, </w:t>
      </w:r>
      <w:r w:rsidR="001A5BA4">
        <w:t>97-</w:t>
      </w:r>
      <w:r w:rsidR="000B4ECD">
        <w:t>98.</w:t>
      </w:r>
    </w:p>
  </w:footnote>
  <w:footnote w:id="5">
    <w:p w14:paraId="41BBD575" w14:textId="14165E65" w:rsidR="00E93714" w:rsidRDefault="00E93714">
      <w:pPr>
        <w:pStyle w:val="FootnoteText"/>
      </w:pPr>
      <w:r>
        <w:rPr>
          <w:rStyle w:val="FootnoteReference"/>
        </w:rPr>
        <w:footnoteRef/>
      </w:r>
      <w:r>
        <w:t xml:space="preserve"> </w:t>
      </w:r>
      <w:bookmarkStart w:id="4" w:name="_Hlk202729923"/>
      <w:r>
        <w:t xml:space="preserve">Paul </w:t>
      </w:r>
      <w:bookmarkStart w:id="5" w:name="_Hlk202731228"/>
      <w:r w:rsidRPr="00E93714">
        <w:t>Bew,</w:t>
      </w:r>
      <w:r>
        <w:t xml:space="preserve"> </w:t>
      </w:r>
      <w:r w:rsidRPr="00E93714">
        <w:rPr>
          <w:i/>
          <w:iCs/>
        </w:rPr>
        <w:t xml:space="preserve">Ireland: The Politics of Enmity </w:t>
      </w:r>
      <w:bookmarkEnd w:id="5"/>
      <w:r w:rsidRPr="00E93714">
        <w:rPr>
          <w:i/>
          <w:iCs/>
        </w:rPr>
        <w:t>1789–2006</w:t>
      </w:r>
      <w:r>
        <w:t xml:space="preserve"> (</w:t>
      </w:r>
      <w:r w:rsidRPr="00E93714">
        <w:t>Oxford, UK: Oxford University Press, 2007</w:t>
      </w:r>
      <w:r>
        <w:t xml:space="preserve">), </w:t>
      </w:r>
      <w:bookmarkEnd w:id="4"/>
      <w:r>
        <w:t>506.</w:t>
      </w:r>
    </w:p>
  </w:footnote>
  <w:footnote w:id="6">
    <w:p w14:paraId="0C63483D" w14:textId="7BAF57FC" w:rsidR="006D2CCE" w:rsidRDefault="006D2CCE">
      <w:pPr>
        <w:pStyle w:val="FootnoteText"/>
      </w:pPr>
      <w:r>
        <w:rPr>
          <w:rStyle w:val="FootnoteReference"/>
        </w:rPr>
        <w:footnoteRef/>
      </w:r>
      <w:r>
        <w:t xml:space="preserve"> </w:t>
      </w:r>
      <w:bookmarkStart w:id="6" w:name="_Hlk202732573"/>
      <w:r w:rsidRPr="006D2CCE">
        <w:t xml:space="preserve">Bew, </w:t>
      </w:r>
      <w:r w:rsidRPr="006D2CCE">
        <w:rPr>
          <w:i/>
          <w:iCs/>
        </w:rPr>
        <w:t>Ireland: The Politics of Enmity</w:t>
      </w:r>
      <w:bookmarkEnd w:id="6"/>
      <w:r>
        <w:t>, 510.</w:t>
      </w:r>
    </w:p>
  </w:footnote>
  <w:footnote w:id="7">
    <w:p w14:paraId="76693F60" w14:textId="10CF5889" w:rsidR="00BC64B3" w:rsidRDefault="00BC64B3">
      <w:pPr>
        <w:pStyle w:val="FootnoteText"/>
      </w:pPr>
      <w:r>
        <w:rPr>
          <w:rStyle w:val="FootnoteReference"/>
        </w:rPr>
        <w:footnoteRef/>
      </w:r>
      <w:r>
        <w:t xml:space="preserve"> </w:t>
      </w:r>
      <w:r w:rsidRPr="00BC64B3">
        <w:t>Report of the Tribunal appointed to enquire into the Events on January 1972, which led to loss of</w:t>
      </w:r>
      <w:r w:rsidR="006D2CCE">
        <w:t xml:space="preserve"> </w:t>
      </w:r>
      <w:r w:rsidRPr="00BC64B3">
        <w:t>Life in Connection with the Procession in Londonderry on that Day by the Rt Hon Lord Widgery, OBE, TD (London, 1972)</w:t>
      </w:r>
      <w:r>
        <w:t>.</w:t>
      </w:r>
    </w:p>
  </w:footnote>
  <w:footnote w:id="8">
    <w:p w14:paraId="7E2B6E5C" w14:textId="7E017471" w:rsidR="000D0724" w:rsidRDefault="000D0724">
      <w:pPr>
        <w:pStyle w:val="FootnoteText"/>
      </w:pPr>
      <w:r>
        <w:rPr>
          <w:rStyle w:val="FootnoteReference"/>
        </w:rPr>
        <w:footnoteRef/>
      </w:r>
      <w:r>
        <w:t xml:space="preserve"> </w:t>
      </w:r>
      <w:r w:rsidRPr="000D0724">
        <w:t>Bew</w:t>
      </w:r>
      <w:r w:rsidRPr="000D0724">
        <w:rPr>
          <w:i/>
          <w:iCs/>
        </w:rPr>
        <w:t>, Ireland: The Politics of Enmity</w:t>
      </w:r>
      <w:r>
        <w:t>, 525.</w:t>
      </w:r>
    </w:p>
  </w:footnote>
  <w:footnote w:id="9">
    <w:p w14:paraId="2638D8D7" w14:textId="5D7FD07D" w:rsidR="007C680C" w:rsidRDefault="007C680C">
      <w:pPr>
        <w:pStyle w:val="FootnoteText"/>
      </w:pPr>
      <w:r>
        <w:rPr>
          <w:rStyle w:val="FootnoteReference"/>
        </w:rPr>
        <w:footnoteRef/>
      </w:r>
      <w:r>
        <w:t xml:space="preserve"> </w:t>
      </w:r>
      <w:r w:rsidRPr="007C680C">
        <w:t xml:space="preserve">McKittrick and McVea, </w:t>
      </w:r>
      <w:r w:rsidRPr="007C680C">
        <w:rPr>
          <w:i/>
          <w:iCs/>
        </w:rPr>
        <w:t>Making Sense of the Troubles</w:t>
      </w:r>
      <w:r>
        <w:t>, 133.</w:t>
      </w:r>
    </w:p>
  </w:footnote>
  <w:footnote w:id="10">
    <w:p w14:paraId="2B4ABA89" w14:textId="307A5706" w:rsidR="00BC64B3" w:rsidRDefault="00BC64B3">
      <w:pPr>
        <w:pStyle w:val="FootnoteText"/>
      </w:pPr>
      <w:bookmarkStart w:id="7" w:name="_Hlk202901966"/>
      <w:r>
        <w:rPr>
          <w:rStyle w:val="FootnoteReference"/>
        </w:rPr>
        <w:footnoteRef/>
      </w:r>
      <w:r>
        <w:t xml:space="preserve"> </w:t>
      </w:r>
      <w:r w:rsidR="00E47C9C">
        <w:t xml:space="preserve">Jeremy </w:t>
      </w:r>
      <w:bookmarkStart w:id="8" w:name="_Hlk202879262"/>
      <w:r w:rsidR="00E47C9C">
        <w:t xml:space="preserve">Smith, </w:t>
      </w:r>
      <w:r w:rsidR="00E47C9C" w:rsidRPr="00F45B33">
        <w:rPr>
          <w:i/>
          <w:iCs/>
        </w:rPr>
        <w:t>Making the P</w:t>
      </w:r>
      <w:r w:rsidR="00441AB3">
        <w:rPr>
          <w:i/>
          <w:iCs/>
        </w:rPr>
        <w:t>ea</w:t>
      </w:r>
      <w:r w:rsidR="00E47C9C" w:rsidRPr="00F45B33">
        <w:rPr>
          <w:i/>
          <w:iCs/>
        </w:rPr>
        <w:t xml:space="preserve">ce in </w:t>
      </w:r>
      <w:r w:rsidR="00F45B33" w:rsidRPr="00F45B33">
        <w:rPr>
          <w:i/>
          <w:iCs/>
        </w:rPr>
        <w:t>Ireland</w:t>
      </w:r>
      <w:r w:rsidR="00F45B33">
        <w:rPr>
          <w:i/>
          <w:iCs/>
        </w:rPr>
        <w:t xml:space="preserve"> </w:t>
      </w:r>
      <w:bookmarkEnd w:id="8"/>
      <w:r w:rsidR="00F45B33">
        <w:t>(New</w:t>
      </w:r>
      <w:r w:rsidR="00E47C9C">
        <w:t xml:space="preserve"> York: </w:t>
      </w:r>
      <w:r w:rsidR="00E47C9C" w:rsidRPr="00E47C9C">
        <w:t>Routledge</w:t>
      </w:r>
      <w:r w:rsidR="00E47C9C">
        <w:t>, 2014</w:t>
      </w:r>
      <w:bookmarkEnd w:id="7"/>
      <w:r w:rsidR="00E47C9C">
        <w:t>),93-94.</w:t>
      </w:r>
    </w:p>
  </w:footnote>
  <w:footnote w:id="11">
    <w:p w14:paraId="039310C2" w14:textId="050FDCEC" w:rsidR="00D46399" w:rsidRDefault="00D46399">
      <w:pPr>
        <w:pStyle w:val="FootnoteText"/>
      </w:pPr>
      <w:r>
        <w:rPr>
          <w:rStyle w:val="FootnoteReference"/>
        </w:rPr>
        <w:footnoteRef/>
      </w:r>
      <w:r>
        <w:t xml:space="preserve"> </w:t>
      </w:r>
      <w:bookmarkStart w:id="9" w:name="_Hlk202901121"/>
      <w:r w:rsidRPr="00D46399">
        <w:t xml:space="preserve">Smith, </w:t>
      </w:r>
      <w:r w:rsidRPr="00D46399">
        <w:rPr>
          <w:i/>
          <w:iCs/>
        </w:rPr>
        <w:t>Making the Peace in Ireland</w:t>
      </w:r>
      <w:bookmarkEnd w:id="9"/>
      <w:r w:rsidRPr="00D46399">
        <w:t>, 96-97.</w:t>
      </w:r>
    </w:p>
  </w:footnote>
  <w:footnote w:id="12">
    <w:p w14:paraId="5A928DC6" w14:textId="0200C5DA" w:rsidR="00B2559C" w:rsidRDefault="00B2559C">
      <w:pPr>
        <w:pStyle w:val="FootnoteText"/>
      </w:pPr>
      <w:r>
        <w:rPr>
          <w:rStyle w:val="FootnoteReference"/>
        </w:rPr>
        <w:footnoteRef/>
      </w:r>
      <w:r>
        <w:t xml:space="preserve"> Id, 97.</w:t>
      </w:r>
    </w:p>
  </w:footnote>
  <w:footnote w:id="13">
    <w:p w14:paraId="257927C0" w14:textId="0C304A73" w:rsidR="007A26EE" w:rsidRDefault="007A26EE">
      <w:pPr>
        <w:pStyle w:val="FootnoteText"/>
      </w:pPr>
      <w:r>
        <w:rPr>
          <w:rStyle w:val="FootnoteReference"/>
        </w:rPr>
        <w:footnoteRef/>
      </w:r>
      <w:r>
        <w:t xml:space="preserve"> Id,107.</w:t>
      </w:r>
    </w:p>
  </w:footnote>
  <w:footnote w:id="14">
    <w:p w14:paraId="6D57E269" w14:textId="5ED275C5" w:rsidR="000C5D7C" w:rsidRDefault="000C5D7C">
      <w:pPr>
        <w:pStyle w:val="FootnoteText"/>
      </w:pPr>
      <w:r>
        <w:rPr>
          <w:rStyle w:val="FootnoteReference"/>
        </w:rPr>
        <w:footnoteRef/>
      </w:r>
      <w:r>
        <w:t xml:space="preserve"> Id,112.</w:t>
      </w:r>
    </w:p>
  </w:footnote>
  <w:footnote w:id="15">
    <w:p w14:paraId="0DCDCA0E" w14:textId="4E4C12F7" w:rsidR="0093408E" w:rsidRDefault="0093408E">
      <w:pPr>
        <w:pStyle w:val="FootnoteText"/>
      </w:pPr>
      <w:r>
        <w:rPr>
          <w:rStyle w:val="FootnoteReference"/>
        </w:rPr>
        <w:footnoteRef/>
      </w:r>
      <w:r>
        <w:t xml:space="preserve"> </w:t>
      </w:r>
      <w:bookmarkStart w:id="10" w:name="_Hlk202901789"/>
      <w:r>
        <w:t xml:space="preserve">Alvin </w:t>
      </w:r>
      <w:r w:rsidRPr="0093408E">
        <w:t>Jackson,</w:t>
      </w:r>
      <w:r>
        <w:t xml:space="preserve"> </w:t>
      </w:r>
      <w:r w:rsidRPr="0093408E">
        <w:rPr>
          <w:i/>
          <w:iCs/>
        </w:rPr>
        <w:t>Ireland 1798–1998: War, Peace and Beyond</w:t>
      </w:r>
      <w:r>
        <w:t xml:space="preserve"> (</w:t>
      </w:r>
      <w:r w:rsidRPr="0093408E">
        <w:t>Oxford: Wiley-Blackwell, 2010</w:t>
      </w:r>
      <w:bookmarkEnd w:id="10"/>
      <w:r>
        <w:t>), 398.</w:t>
      </w:r>
    </w:p>
  </w:footnote>
  <w:footnote w:id="16">
    <w:p w14:paraId="38E537BB" w14:textId="57807282" w:rsidR="005478B3" w:rsidRDefault="005478B3">
      <w:pPr>
        <w:pStyle w:val="FootnoteText"/>
      </w:pPr>
      <w:r>
        <w:rPr>
          <w:rStyle w:val="FootnoteReference"/>
        </w:rPr>
        <w:footnoteRef/>
      </w:r>
      <w:r>
        <w:t xml:space="preserve"> </w:t>
      </w:r>
      <w:r w:rsidR="0093408E" w:rsidRPr="0093408E">
        <w:t xml:space="preserve">Smith, </w:t>
      </w:r>
      <w:r w:rsidR="0093408E" w:rsidRPr="0093408E">
        <w:rPr>
          <w:i/>
          <w:iCs/>
        </w:rPr>
        <w:t>Making the Peace in Ireland</w:t>
      </w:r>
      <w:r>
        <w:t>,</w:t>
      </w:r>
      <w:r w:rsidR="0093408E">
        <w:t xml:space="preserve"> </w:t>
      </w:r>
      <w:r>
        <w:t>98.</w:t>
      </w:r>
    </w:p>
  </w:footnote>
  <w:footnote w:id="17">
    <w:p w14:paraId="5D61A8B0" w14:textId="5F436DBD" w:rsidR="005478B3" w:rsidRDefault="005478B3">
      <w:pPr>
        <w:pStyle w:val="FootnoteText"/>
      </w:pPr>
      <w:r>
        <w:rPr>
          <w:rStyle w:val="FootnoteReference"/>
        </w:rPr>
        <w:footnoteRef/>
      </w:r>
      <w:r>
        <w:t xml:space="preserve"> Id.</w:t>
      </w:r>
    </w:p>
  </w:footnote>
  <w:footnote w:id="18">
    <w:p w14:paraId="7F95480B" w14:textId="54FE1A94" w:rsidR="008D0DB4" w:rsidRDefault="008D0DB4">
      <w:pPr>
        <w:pStyle w:val="FootnoteText"/>
      </w:pPr>
      <w:r>
        <w:rPr>
          <w:rStyle w:val="FootnoteReference"/>
        </w:rPr>
        <w:footnoteRef/>
      </w:r>
      <w:r>
        <w:t xml:space="preserve"> </w:t>
      </w:r>
      <w:r w:rsidRPr="008D0DB4">
        <w:t>McKittrick and</w:t>
      </w:r>
      <w:r>
        <w:t xml:space="preserve"> </w:t>
      </w:r>
      <w:r w:rsidRPr="008D0DB4">
        <w:t xml:space="preserve">McVea, </w:t>
      </w:r>
      <w:r w:rsidRPr="008D0DB4">
        <w:rPr>
          <w:i/>
          <w:iCs/>
        </w:rPr>
        <w:t>Making Sense of the Troubles</w:t>
      </w:r>
      <w:r>
        <w:t>,135.</w:t>
      </w:r>
    </w:p>
  </w:footnote>
  <w:footnote w:id="19">
    <w:p w14:paraId="1A0F2620" w14:textId="7140C335" w:rsidR="00E17C99" w:rsidRDefault="00E17C99">
      <w:pPr>
        <w:pStyle w:val="FootnoteText"/>
      </w:pPr>
      <w:r>
        <w:rPr>
          <w:rStyle w:val="FootnoteReference"/>
        </w:rPr>
        <w:footnoteRef/>
      </w:r>
      <w:r>
        <w:t xml:space="preserve"> Id, 114</w:t>
      </w:r>
      <w:r w:rsidR="008E69F1">
        <w:t>-123.</w:t>
      </w:r>
    </w:p>
  </w:footnote>
  <w:footnote w:id="20">
    <w:p w14:paraId="7BD4BC4B" w14:textId="40BCC94A" w:rsidR="00C8672E" w:rsidRDefault="00C8672E">
      <w:pPr>
        <w:pStyle w:val="FootnoteText"/>
      </w:pPr>
      <w:r>
        <w:rPr>
          <w:rStyle w:val="FootnoteReference"/>
        </w:rPr>
        <w:footnoteRef/>
      </w:r>
      <w:r>
        <w:t xml:space="preserve"> Charles </w:t>
      </w:r>
      <w:bookmarkStart w:id="11" w:name="_Hlk203108425"/>
      <w:r>
        <w:t xml:space="preserve">Townshend, </w:t>
      </w:r>
      <w:r w:rsidRPr="00C8672E">
        <w:rPr>
          <w:i/>
          <w:iCs/>
        </w:rPr>
        <w:t>Ireland: the 20</w:t>
      </w:r>
      <w:r w:rsidRPr="00C8672E">
        <w:rPr>
          <w:i/>
          <w:iCs/>
          <w:vertAlign w:val="superscript"/>
        </w:rPr>
        <w:t>th</w:t>
      </w:r>
      <w:r w:rsidRPr="00C8672E">
        <w:rPr>
          <w:i/>
          <w:iCs/>
        </w:rPr>
        <w:t xml:space="preserve"> Centu</w:t>
      </w:r>
      <w:r w:rsidRPr="00C8672E">
        <w:t>ry</w:t>
      </w:r>
      <w:r w:rsidR="00D710FB">
        <w:t xml:space="preserve"> </w:t>
      </w:r>
      <w:bookmarkEnd w:id="11"/>
      <w:r w:rsidR="00D710FB">
        <w:t>(New York: Oxford University Press, 1999),</w:t>
      </w:r>
      <w:r>
        <w:t xml:space="preserve"> 226.</w:t>
      </w:r>
    </w:p>
  </w:footnote>
  <w:footnote w:id="21">
    <w:p w14:paraId="2D86A2CD" w14:textId="53438B36" w:rsidR="009A2AD0" w:rsidRDefault="009A2AD0">
      <w:pPr>
        <w:pStyle w:val="FootnoteText"/>
      </w:pPr>
      <w:r>
        <w:rPr>
          <w:rStyle w:val="FootnoteReference"/>
        </w:rPr>
        <w:footnoteRef/>
      </w:r>
      <w:r>
        <w:t xml:space="preserve"> </w:t>
      </w:r>
      <w:r w:rsidRPr="009A2AD0">
        <w:t xml:space="preserve">Townshend, </w:t>
      </w:r>
      <w:r w:rsidRPr="009A2AD0">
        <w:rPr>
          <w:i/>
          <w:iCs/>
        </w:rPr>
        <w:t>Ireland: the 20th Century</w:t>
      </w:r>
      <w:r>
        <w:t>, 225.</w:t>
      </w:r>
    </w:p>
  </w:footnote>
  <w:footnote w:id="22">
    <w:p w14:paraId="4A066EE0" w14:textId="0D640FAE" w:rsidR="00536FB0" w:rsidRDefault="00536FB0">
      <w:pPr>
        <w:pStyle w:val="FootnoteText"/>
      </w:pPr>
      <w:r>
        <w:rPr>
          <w:rStyle w:val="FootnoteReference"/>
        </w:rPr>
        <w:footnoteRef/>
      </w:r>
      <w:r>
        <w:t xml:space="preserve"> Id, 224.</w:t>
      </w:r>
    </w:p>
  </w:footnote>
  <w:footnote w:id="23">
    <w:p w14:paraId="5ED59A3A" w14:textId="307A5358" w:rsidR="00674ECB" w:rsidRDefault="00674ECB">
      <w:pPr>
        <w:pStyle w:val="FootnoteText"/>
      </w:pPr>
      <w:r>
        <w:rPr>
          <w:rStyle w:val="FootnoteReference"/>
        </w:rPr>
        <w:footnoteRef/>
      </w:r>
      <w:r>
        <w:t xml:space="preserve"> </w:t>
      </w:r>
      <w:r w:rsidRPr="00674ECB">
        <w:t>Bew, Ireland: The Politics of Enmity</w:t>
      </w:r>
      <w:r>
        <w:t>, 516.</w:t>
      </w:r>
    </w:p>
  </w:footnote>
  <w:footnote w:id="24">
    <w:p w14:paraId="0E7BFFCC" w14:textId="78A26A42" w:rsidR="00674ECB" w:rsidRDefault="00674ECB">
      <w:pPr>
        <w:pStyle w:val="FootnoteText"/>
      </w:pPr>
      <w:r>
        <w:rPr>
          <w:rStyle w:val="FootnoteReference"/>
        </w:rPr>
        <w:footnoteRef/>
      </w:r>
      <w:r>
        <w:t xml:space="preserve"> 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F81"/>
    <w:rsid w:val="00033C24"/>
    <w:rsid w:val="00035A56"/>
    <w:rsid w:val="00085B00"/>
    <w:rsid w:val="00091F69"/>
    <w:rsid w:val="000B4ECD"/>
    <w:rsid w:val="000C3D3C"/>
    <w:rsid w:val="000C5D7C"/>
    <w:rsid w:val="000C6F81"/>
    <w:rsid w:val="000D0724"/>
    <w:rsid w:val="000F1C56"/>
    <w:rsid w:val="00145137"/>
    <w:rsid w:val="001A5BA4"/>
    <w:rsid w:val="00264144"/>
    <w:rsid w:val="002B3E2B"/>
    <w:rsid w:val="002C6067"/>
    <w:rsid w:val="002D2486"/>
    <w:rsid w:val="002E1E98"/>
    <w:rsid w:val="00346173"/>
    <w:rsid w:val="003F76A8"/>
    <w:rsid w:val="00441AB3"/>
    <w:rsid w:val="004B2EE3"/>
    <w:rsid w:val="004E4EB4"/>
    <w:rsid w:val="00536FB0"/>
    <w:rsid w:val="005428E2"/>
    <w:rsid w:val="005451FD"/>
    <w:rsid w:val="005478B3"/>
    <w:rsid w:val="00552173"/>
    <w:rsid w:val="0057434B"/>
    <w:rsid w:val="00620EBC"/>
    <w:rsid w:val="00632E08"/>
    <w:rsid w:val="006412C9"/>
    <w:rsid w:val="00651FA7"/>
    <w:rsid w:val="00674ECB"/>
    <w:rsid w:val="006D2CCE"/>
    <w:rsid w:val="007A26EE"/>
    <w:rsid w:val="007B56CA"/>
    <w:rsid w:val="007C680C"/>
    <w:rsid w:val="00856C3F"/>
    <w:rsid w:val="008C5C33"/>
    <w:rsid w:val="008C5EFC"/>
    <w:rsid w:val="008D0DB4"/>
    <w:rsid w:val="008E69F1"/>
    <w:rsid w:val="008F2C4C"/>
    <w:rsid w:val="0090601F"/>
    <w:rsid w:val="00927FC6"/>
    <w:rsid w:val="0093408E"/>
    <w:rsid w:val="00952DFD"/>
    <w:rsid w:val="00962212"/>
    <w:rsid w:val="00965A6B"/>
    <w:rsid w:val="00980590"/>
    <w:rsid w:val="009831A5"/>
    <w:rsid w:val="009A2AD0"/>
    <w:rsid w:val="009B0245"/>
    <w:rsid w:val="009E5B90"/>
    <w:rsid w:val="00A33D98"/>
    <w:rsid w:val="00A51FB5"/>
    <w:rsid w:val="00A83A2E"/>
    <w:rsid w:val="00A90539"/>
    <w:rsid w:val="00B2559C"/>
    <w:rsid w:val="00B37702"/>
    <w:rsid w:val="00B659D7"/>
    <w:rsid w:val="00B96782"/>
    <w:rsid w:val="00BC64B3"/>
    <w:rsid w:val="00BE2E14"/>
    <w:rsid w:val="00C06957"/>
    <w:rsid w:val="00C14869"/>
    <w:rsid w:val="00C8672E"/>
    <w:rsid w:val="00D46399"/>
    <w:rsid w:val="00D710FB"/>
    <w:rsid w:val="00DB573D"/>
    <w:rsid w:val="00E17C99"/>
    <w:rsid w:val="00E47C9C"/>
    <w:rsid w:val="00E93714"/>
    <w:rsid w:val="00EA2954"/>
    <w:rsid w:val="00EC0C78"/>
    <w:rsid w:val="00F459CA"/>
    <w:rsid w:val="00F45B33"/>
    <w:rsid w:val="00F72CED"/>
    <w:rsid w:val="00F97486"/>
    <w:rsid w:val="00FD4210"/>
    <w:rsid w:val="00FE6A3E"/>
    <w:rsid w:val="00FF6D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B407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F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F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F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F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F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F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F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F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F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F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F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F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F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F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F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F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F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F81"/>
    <w:rPr>
      <w:rFonts w:eastAsiaTheme="majorEastAsia" w:cstheme="majorBidi"/>
      <w:color w:val="272727" w:themeColor="text1" w:themeTint="D8"/>
    </w:rPr>
  </w:style>
  <w:style w:type="paragraph" w:styleId="Title">
    <w:name w:val="Title"/>
    <w:basedOn w:val="Normal"/>
    <w:next w:val="Normal"/>
    <w:link w:val="TitleChar"/>
    <w:uiPriority w:val="10"/>
    <w:qFormat/>
    <w:rsid w:val="000C6F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F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F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F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F81"/>
    <w:pPr>
      <w:spacing w:before="160"/>
      <w:jc w:val="center"/>
    </w:pPr>
    <w:rPr>
      <w:i/>
      <w:iCs/>
      <w:color w:val="404040" w:themeColor="text1" w:themeTint="BF"/>
    </w:rPr>
  </w:style>
  <w:style w:type="character" w:customStyle="1" w:styleId="QuoteChar">
    <w:name w:val="Quote Char"/>
    <w:basedOn w:val="DefaultParagraphFont"/>
    <w:link w:val="Quote"/>
    <w:uiPriority w:val="29"/>
    <w:rsid w:val="000C6F81"/>
    <w:rPr>
      <w:i/>
      <w:iCs/>
      <w:color w:val="404040" w:themeColor="text1" w:themeTint="BF"/>
    </w:rPr>
  </w:style>
  <w:style w:type="paragraph" w:styleId="ListParagraph">
    <w:name w:val="List Paragraph"/>
    <w:basedOn w:val="Normal"/>
    <w:uiPriority w:val="34"/>
    <w:qFormat/>
    <w:rsid w:val="000C6F81"/>
    <w:pPr>
      <w:ind w:left="720"/>
      <w:contextualSpacing/>
    </w:pPr>
  </w:style>
  <w:style w:type="character" w:styleId="IntenseEmphasis">
    <w:name w:val="Intense Emphasis"/>
    <w:basedOn w:val="DefaultParagraphFont"/>
    <w:uiPriority w:val="21"/>
    <w:qFormat/>
    <w:rsid w:val="000C6F81"/>
    <w:rPr>
      <w:i/>
      <w:iCs/>
      <w:color w:val="0F4761" w:themeColor="accent1" w:themeShade="BF"/>
    </w:rPr>
  </w:style>
  <w:style w:type="paragraph" w:styleId="IntenseQuote">
    <w:name w:val="Intense Quote"/>
    <w:basedOn w:val="Normal"/>
    <w:next w:val="Normal"/>
    <w:link w:val="IntenseQuoteChar"/>
    <w:uiPriority w:val="30"/>
    <w:qFormat/>
    <w:rsid w:val="000C6F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F81"/>
    <w:rPr>
      <w:i/>
      <w:iCs/>
      <w:color w:val="0F4761" w:themeColor="accent1" w:themeShade="BF"/>
    </w:rPr>
  </w:style>
  <w:style w:type="character" w:styleId="IntenseReference">
    <w:name w:val="Intense Reference"/>
    <w:basedOn w:val="DefaultParagraphFont"/>
    <w:uiPriority w:val="32"/>
    <w:qFormat/>
    <w:rsid w:val="000C6F81"/>
    <w:rPr>
      <w:b/>
      <w:bCs/>
      <w:smallCaps/>
      <w:color w:val="0F4761" w:themeColor="accent1" w:themeShade="BF"/>
      <w:spacing w:val="5"/>
    </w:rPr>
  </w:style>
  <w:style w:type="paragraph" w:styleId="Header">
    <w:name w:val="header"/>
    <w:basedOn w:val="Normal"/>
    <w:link w:val="HeaderChar"/>
    <w:uiPriority w:val="99"/>
    <w:unhideWhenUsed/>
    <w:rsid w:val="008C5C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5C33"/>
  </w:style>
  <w:style w:type="paragraph" w:styleId="Footer">
    <w:name w:val="footer"/>
    <w:basedOn w:val="Normal"/>
    <w:link w:val="FooterChar"/>
    <w:uiPriority w:val="99"/>
    <w:unhideWhenUsed/>
    <w:rsid w:val="008C5C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5C33"/>
  </w:style>
  <w:style w:type="paragraph" w:styleId="FootnoteText">
    <w:name w:val="footnote text"/>
    <w:basedOn w:val="Normal"/>
    <w:link w:val="FootnoteTextChar"/>
    <w:uiPriority w:val="99"/>
    <w:semiHidden/>
    <w:unhideWhenUsed/>
    <w:rsid w:val="00BE2E1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E2E14"/>
    <w:rPr>
      <w:sz w:val="20"/>
      <w:szCs w:val="20"/>
    </w:rPr>
  </w:style>
  <w:style w:type="character" w:styleId="FootnoteReference">
    <w:name w:val="footnote reference"/>
    <w:basedOn w:val="DefaultParagraphFont"/>
    <w:uiPriority w:val="99"/>
    <w:semiHidden/>
    <w:unhideWhenUsed/>
    <w:rsid w:val="00BE2E1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B888DB-8ECC-4632-B2F1-E6D781047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3250</Words>
  <Characters>18529</Characters>
  <Application>Microsoft Office Word</Application>
  <DocSecurity>0</DocSecurity>
  <Lines>154</Lines>
  <Paragraphs>43</Paragraphs>
  <ScaleCrop>false</ScaleCrop>
  <Company/>
  <LinksUpToDate>false</LinksUpToDate>
  <CharactersWithSpaces>21736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2025-07-28T10:41:00Z</dcterms:created>
  <dcterms:modified xsi:type="dcterms:W3CDTF">2025-07-28T10:44:00Z</dcterms:modified>
</cp:coreProperties>
</file>