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7DC41" w14:textId="103778CC" w:rsidR="000170AA" w:rsidRPr="00BC3CD5" w:rsidRDefault="002B1872" w:rsidP="00BC3CD5">
      <w:pPr>
        <w:spacing w:after="0" w:line="360" w:lineRule="auto"/>
        <w:ind w:firstLine="720"/>
        <w:rPr>
          <w:rFonts w:asciiTheme="minorHAnsi" w:eastAsia="Times New Roman" w:hAnsiTheme="minorHAnsi" w:cstheme="majorHAnsi"/>
          <w:sz w:val="24"/>
          <w:szCs w:val="24"/>
        </w:rPr>
      </w:pPr>
      <w:r w:rsidRPr="00BC3CD5">
        <w:rPr>
          <w:rFonts w:asciiTheme="minorHAnsi" w:hAnsiTheme="minorHAnsi" w:cstheme="majorHAnsi"/>
          <w:sz w:val="24"/>
          <w:szCs w:val="24"/>
        </w:rPr>
        <w:t xml:space="preserve">The United Kingdom’s health care sector, called the National Health Service (NHS), covering around 58 million citizens, is guided by fundamental principles such as comprehensive, publicly funded, and patient-centred care service delivery (Chang et al., 2011; Cylus et al., 2015). As accessibility to new therapy options and patient demands evolves, pressures on healthcare services are increasing, with the novelty of addressing medical challenges in areas like mental health, chronic and epidemic diseases, and providing qualitative assistance to vulnerable people (NHS England, 2014). To tackle these shifts, the need for change was </w:t>
      </w:r>
      <w:r w:rsidR="004E3F25">
        <w:rPr>
          <w:rFonts w:asciiTheme="minorHAnsi" w:hAnsiTheme="minorHAnsi" w:cstheme="majorHAnsi"/>
          <w:sz w:val="24"/>
          <w:szCs w:val="24"/>
        </w:rPr>
        <w:t>mirror</w:t>
      </w:r>
      <w:r w:rsidRPr="00BC3CD5">
        <w:rPr>
          <w:rFonts w:asciiTheme="minorHAnsi" w:hAnsiTheme="minorHAnsi" w:cstheme="majorHAnsi"/>
          <w:sz w:val="24"/>
          <w:szCs w:val="24"/>
        </w:rPr>
        <w:t>ed in the "NHS Long Term Plan" (NHS England, 2019) and "A Healthier Wales: our Plan for Health and Social Care" (Welsh Government, 2019), both nations' current policies that underline that the appropriate procedures should be carried out in a way that promotes prophylactic care, pledges for collaborative and cross-disciplinary teamwork, and customised and prioritised care delivery (Simpson</w:t>
      </w:r>
      <w:r w:rsidR="002E048D" w:rsidRPr="00BC3CD5">
        <w:rPr>
          <w:rFonts w:asciiTheme="minorHAnsi" w:hAnsiTheme="minorHAnsi" w:cstheme="majorHAnsi"/>
          <w:sz w:val="24"/>
          <w:szCs w:val="24"/>
        </w:rPr>
        <w:t xml:space="preserve"> et al.</w:t>
      </w:r>
      <w:r w:rsidRPr="00BC3CD5">
        <w:rPr>
          <w:rFonts w:asciiTheme="minorHAnsi" w:hAnsiTheme="minorHAnsi" w:cstheme="majorHAnsi"/>
          <w:sz w:val="24"/>
          <w:szCs w:val="24"/>
        </w:rPr>
        <w:t xml:space="preserve">, 2016; Alderwick and Dixon, 2019). Healthcare organisations dispense </w:t>
      </w:r>
      <w:r w:rsidR="00CC2B2D" w:rsidRPr="00BC3CD5">
        <w:rPr>
          <w:rFonts w:asciiTheme="minorHAnsi" w:hAnsiTheme="minorHAnsi" w:cstheme="majorHAnsi"/>
          <w:sz w:val="24"/>
          <w:szCs w:val="24"/>
        </w:rPr>
        <w:t>many</w:t>
      </w:r>
      <w:r w:rsidRPr="00BC3CD5">
        <w:rPr>
          <w:rFonts w:asciiTheme="minorHAnsi" w:hAnsiTheme="minorHAnsi" w:cstheme="majorHAnsi"/>
          <w:sz w:val="24"/>
          <w:szCs w:val="24"/>
        </w:rPr>
        <w:t xml:space="preserve"> specialised services (Walshe and Smith, 2011), entailing a high level of logistics and ad-hoc scenarios, which may generate confusion and uncertainty, but also demand a plethora of interactions, connections, expenditure of time, and effort (</w:t>
      </w:r>
      <w:proofErr w:type="spellStart"/>
      <w:r w:rsidRPr="00BC3CD5">
        <w:rPr>
          <w:rFonts w:asciiTheme="minorHAnsi" w:hAnsiTheme="minorHAnsi" w:cstheme="majorHAnsi"/>
          <w:sz w:val="24"/>
          <w:szCs w:val="24"/>
        </w:rPr>
        <w:t>Engelseth</w:t>
      </w:r>
      <w:proofErr w:type="spellEnd"/>
      <w:r w:rsidRPr="00BC3CD5">
        <w:rPr>
          <w:rFonts w:asciiTheme="minorHAnsi" w:hAnsiTheme="minorHAnsi" w:cstheme="majorHAnsi"/>
          <w:sz w:val="24"/>
          <w:szCs w:val="24"/>
        </w:rPr>
        <w:t xml:space="preserve"> et al., 2021). For the effective running of these services offered, the human part is an essential component to </w:t>
      </w:r>
      <w:r w:rsidR="00177E25" w:rsidRPr="00BC3CD5">
        <w:rPr>
          <w:rFonts w:asciiTheme="minorHAnsi" w:hAnsiTheme="minorHAnsi" w:cstheme="majorHAnsi"/>
          <w:sz w:val="24"/>
          <w:szCs w:val="24"/>
        </w:rPr>
        <w:t>assure</w:t>
      </w:r>
      <w:r w:rsidRPr="00BC3CD5">
        <w:rPr>
          <w:rFonts w:asciiTheme="minorHAnsi" w:hAnsiTheme="minorHAnsi" w:cstheme="majorHAnsi"/>
          <w:sz w:val="24"/>
          <w:szCs w:val="24"/>
        </w:rPr>
        <w:t xml:space="preserve"> that the patients </w:t>
      </w:r>
      <w:r w:rsidR="00177E25" w:rsidRPr="00BC3CD5">
        <w:rPr>
          <w:rFonts w:asciiTheme="minorHAnsi" w:hAnsiTheme="minorHAnsi" w:cstheme="majorHAnsi"/>
          <w:sz w:val="24"/>
          <w:szCs w:val="24"/>
        </w:rPr>
        <w:t>get t</w:t>
      </w:r>
      <w:r w:rsidRPr="00BC3CD5">
        <w:rPr>
          <w:rFonts w:asciiTheme="minorHAnsi" w:hAnsiTheme="minorHAnsi" w:cstheme="majorHAnsi"/>
          <w:sz w:val="24"/>
          <w:szCs w:val="24"/>
        </w:rPr>
        <w:t xml:space="preserve">he best possible care and have a fulfilling experience in every aspect. This means that the workforce in healthcare organisations needs to be managed carefully so that they can stay motivated. However, keeping the workforce engaged during organisational change becomes more challenging and requires management’s ability to properly respond with motivational stimulants like hard-working appreciation, balanced working conditions, and monetary rewards (Afolabi, Fernando, and Bottiglieri, 2018). Based on specialised </w:t>
      </w:r>
      <w:r w:rsidR="005848EC">
        <w:rPr>
          <w:rFonts w:asciiTheme="minorHAnsi" w:hAnsiTheme="minorHAnsi" w:cstheme="majorHAnsi"/>
          <w:sz w:val="24"/>
          <w:szCs w:val="24"/>
        </w:rPr>
        <w:t xml:space="preserve">scientific </w:t>
      </w:r>
      <w:r w:rsidRPr="00BC3CD5">
        <w:rPr>
          <w:rFonts w:asciiTheme="minorHAnsi" w:hAnsiTheme="minorHAnsi" w:cstheme="majorHAnsi"/>
          <w:sz w:val="24"/>
          <w:szCs w:val="24"/>
        </w:rPr>
        <w:t>evidence, this assignment will cover human resource management and its functions; organisational culture and its components; organisational change and the role of managers; and lastly, emerging technologies and their corresponding benefits and challenges. </w:t>
      </w:r>
    </w:p>
    <w:p w14:paraId="00D27016" w14:textId="6B4C8261" w:rsidR="00E21985" w:rsidRPr="00BC3CD5" w:rsidRDefault="00E21985" w:rsidP="00BC3CD5">
      <w:pPr>
        <w:spacing w:after="0" w:line="360" w:lineRule="auto"/>
        <w:ind w:firstLine="720"/>
        <w:rPr>
          <w:rFonts w:asciiTheme="minorHAnsi" w:hAnsiTheme="minorHAnsi" w:cstheme="majorHAnsi"/>
          <w:sz w:val="24"/>
          <w:szCs w:val="24"/>
        </w:rPr>
      </w:pPr>
      <w:r w:rsidRPr="00BC3CD5">
        <w:rPr>
          <w:rFonts w:asciiTheme="minorHAnsi" w:hAnsiTheme="minorHAnsi" w:cstheme="majorHAnsi"/>
          <w:sz w:val="24"/>
          <w:szCs w:val="24"/>
        </w:rPr>
        <w:t xml:space="preserve">The essence of Human Resource Management (HRM) refers to successful companies that manage to connect people from all backgrounds to achieve a collective goal (Snell, Morris, and Bohlander, 2015). In a wider sense, HRM is a strategy for supervising employee relations, shaped by a unique set of integrated organisation goals that emphasises the </w:t>
      </w:r>
      <w:r w:rsidRPr="00BC3CD5">
        <w:rPr>
          <w:rFonts w:asciiTheme="minorHAnsi" w:hAnsiTheme="minorHAnsi" w:cstheme="majorHAnsi"/>
          <w:sz w:val="24"/>
          <w:szCs w:val="24"/>
        </w:rPr>
        <w:lastRenderedPageBreak/>
        <w:t>following: ensure pleasant work experiences through attractive legal salaries and career progression for employees; obtain individual performance through constructive dedication and ideas contribution, also known as "employee engagement"; managers and employees' entailment in creating ethical behaviour knowledge and mutual trust; successfully manage the change process, avoiding conflict, via carefully monitoring expectations and including employees in the decision-making process (Torrington</w:t>
      </w:r>
      <w:r w:rsidR="002E048D" w:rsidRPr="00BC3CD5">
        <w:rPr>
          <w:rFonts w:asciiTheme="minorHAnsi" w:hAnsiTheme="minorHAnsi" w:cstheme="majorHAnsi"/>
          <w:sz w:val="24"/>
          <w:szCs w:val="24"/>
        </w:rPr>
        <w:t xml:space="preserve"> et al.</w:t>
      </w:r>
      <w:r w:rsidRPr="00BC3CD5">
        <w:rPr>
          <w:rFonts w:asciiTheme="minorHAnsi" w:hAnsiTheme="minorHAnsi" w:cstheme="majorHAnsi"/>
          <w:sz w:val="24"/>
          <w:szCs w:val="24"/>
        </w:rPr>
        <w:t xml:space="preserve">, 2020). Moreover, from a "unitarist perspective" (Bach and Edwards, 2013), the HRM model has a central idea that procedural, strategic, and supervisory actions require a high level of expertise in line management for developing and managing work and its related conditions to maximise stakeholders' contributions to the organization's goals and objectives (Purcell and Hutchinson, 2007). Considering Coster, Watkins, and Norman (2017)’s findings, any health professional working to the best of their </w:t>
      </w:r>
      <w:r w:rsidR="00E00ECB">
        <w:rPr>
          <w:rFonts w:asciiTheme="minorHAnsi" w:hAnsiTheme="minorHAnsi" w:cstheme="majorHAnsi"/>
          <w:sz w:val="24"/>
          <w:szCs w:val="24"/>
        </w:rPr>
        <w:t xml:space="preserve">understanding </w:t>
      </w:r>
      <w:r w:rsidR="00B70938">
        <w:rPr>
          <w:rFonts w:asciiTheme="minorHAnsi" w:hAnsiTheme="minorHAnsi" w:cstheme="majorHAnsi"/>
          <w:sz w:val="24"/>
          <w:szCs w:val="24"/>
        </w:rPr>
        <w:t xml:space="preserve">both academic and </w:t>
      </w:r>
      <w:r w:rsidR="00E00ECB">
        <w:rPr>
          <w:rFonts w:asciiTheme="minorHAnsi" w:hAnsiTheme="minorHAnsi" w:cstheme="majorHAnsi"/>
          <w:sz w:val="24"/>
          <w:szCs w:val="24"/>
        </w:rPr>
        <w:t>clinical</w:t>
      </w:r>
      <w:r w:rsidR="00E00ECB" w:rsidRPr="00BC3CD5">
        <w:rPr>
          <w:rFonts w:asciiTheme="minorHAnsi" w:hAnsiTheme="minorHAnsi" w:cstheme="majorHAnsi"/>
          <w:sz w:val="24"/>
          <w:szCs w:val="24"/>
        </w:rPr>
        <w:t xml:space="preserve"> has</w:t>
      </w:r>
      <w:r w:rsidRPr="00BC3CD5">
        <w:rPr>
          <w:rFonts w:asciiTheme="minorHAnsi" w:hAnsiTheme="minorHAnsi" w:cstheme="majorHAnsi"/>
          <w:sz w:val="24"/>
          <w:szCs w:val="24"/>
        </w:rPr>
        <w:t xml:space="preserve"> the necessary capabilities to provide safe and effective care at every step of the patient’s journey by forming therapeutic connections that have significant value in terms of helping patients gain a better understanding and self-manage their condition, even reducing the risk of mortality.</w:t>
      </w:r>
    </w:p>
    <w:p w14:paraId="357C3B13" w14:textId="1BE74C25" w:rsidR="00D25985" w:rsidRPr="00BC3CD5" w:rsidRDefault="00E21985" w:rsidP="00BC3CD5">
      <w:pPr>
        <w:spacing w:after="0" w:line="360" w:lineRule="auto"/>
        <w:ind w:firstLine="720"/>
        <w:rPr>
          <w:rFonts w:asciiTheme="minorHAnsi" w:hAnsiTheme="minorHAnsi"/>
          <w:sz w:val="24"/>
          <w:szCs w:val="24"/>
        </w:rPr>
      </w:pPr>
      <w:r w:rsidRPr="00BC3CD5">
        <w:rPr>
          <w:rFonts w:asciiTheme="minorHAnsi" w:hAnsiTheme="minorHAnsi" w:cstheme="majorHAnsi"/>
          <w:sz w:val="24"/>
          <w:szCs w:val="24"/>
        </w:rPr>
        <w:t xml:space="preserve">In an increasingly challenging environment, the healthcare sector employs </w:t>
      </w:r>
      <w:r w:rsidR="00F733D4" w:rsidRPr="00BC3CD5">
        <w:rPr>
          <w:rFonts w:asciiTheme="minorHAnsi" w:hAnsiTheme="minorHAnsi" w:cstheme="majorHAnsi"/>
          <w:sz w:val="24"/>
          <w:szCs w:val="24"/>
        </w:rPr>
        <w:t>a vast number</w:t>
      </w:r>
      <w:r w:rsidRPr="00BC3CD5">
        <w:rPr>
          <w:rFonts w:asciiTheme="minorHAnsi" w:hAnsiTheme="minorHAnsi" w:cstheme="majorHAnsi"/>
          <w:sz w:val="24"/>
          <w:szCs w:val="24"/>
        </w:rPr>
        <w:t xml:space="preserve"> of intensive activities and highly qualified personnel, who are required to display altruistic conduct rather than a conventional attitude to give excellent health care service (Shi, 2007). To place the right people where </w:t>
      </w:r>
      <w:r w:rsidR="0037713F" w:rsidRPr="00BC3CD5">
        <w:rPr>
          <w:rFonts w:asciiTheme="minorHAnsi" w:hAnsiTheme="minorHAnsi" w:cstheme="majorHAnsi"/>
          <w:sz w:val="24"/>
          <w:szCs w:val="24"/>
        </w:rPr>
        <w:t>they will</w:t>
      </w:r>
      <w:r w:rsidRPr="00BC3CD5">
        <w:rPr>
          <w:rFonts w:asciiTheme="minorHAnsi" w:hAnsiTheme="minorHAnsi" w:cstheme="majorHAnsi"/>
          <w:sz w:val="24"/>
          <w:szCs w:val="24"/>
        </w:rPr>
        <w:t xml:space="preserve"> be most useful, the human resource team and line management within an organisation need to engage in a multi-task recruitment process, such as: attracting candidates via job advertisements; evaluating applications and resumes; scheduling and conducting interviews; making an offer; and negotiating compensation and incentives with applicants (Ahammad, 2017). However, according to the Society of Human Resource Management (2018), </w:t>
      </w:r>
      <w:r w:rsidR="00FE5BF5" w:rsidRPr="00BC3CD5">
        <w:rPr>
          <w:rFonts w:asciiTheme="minorHAnsi" w:hAnsiTheme="minorHAnsi"/>
          <w:sz w:val="24"/>
          <w:szCs w:val="24"/>
        </w:rPr>
        <w:t>organizations that implement successful recruiting tactics reap the benefits of higher outcomes by hiring workers that suit their culture rather than just focusing on their abilities.</w:t>
      </w:r>
    </w:p>
    <w:p w14:paraId="53776FA4" w14:textId="41E4EBCB" w:rsidR="00E21985" w:rsidRPr="00BC3CD5" w:rsidRDefault="00E21985" w:rsidP="00BC3CD5">
      <w:pPr>
        <w:pStyle w:val="root-block-node"/>
        <w:spacing w:before="0" w:beforeAutospacing="0" w:after="0" w:afterAutospacing="0" w:line="360" w:lineRule="auto"/>
        <w:ind w:firstLine="720"/>
        <w:rPr>
          <w:rFonts w:asciiTheme="minorHAnsi" w:hAnsiTheme="minorHAnsi" w:cstheme="majorHAnsi"/>
        </w:rPr>
      </w:pPr>
      <w:r w:rsidRPr="00BC3CD5">
        <w:rPr>
          <w:rFonts w:asciiTheme="minorHAnsi" w:hAnsiTheme="minorHAnsi" w:cstheme="majorHAnsi"/>
        </w:rPr>
        <w:t xml:space="preserve">According to Afolabi, Fernando, and Bottiglieri (2018), in the healthcare industry, the benefits of employee training are reflected not only in providing medical care for residents and patients but also in enhancing an organization’s reputation and developing a more professional and motivated workforce. Moreover, Aini, Solihin, and Muda (2021) </w:t>
      </w:r>
      <w:r w:rsidRPr="00BC3CD5">
        <w:rPr>
          <w:rFonts w:asciiTheme="minorHAnsi" w:hAnsiTheme="minorHAnsi" w:cstheme="majorHAnsi"/>
        </w:rPr>
        <w:lastRenderedPageBreak/>
        <w:t xml:space="preserve">state that responsibility for training is </w:t>
      </w:r>
      <w:r w:rsidR="0037713F" w:rsidRPr="00BC3CD5">
        <w:rPr>
          <w:rFonts w:asciiTheme="minorHAnsi" w:hAnsiTheme="minorHAnsi" w:cstheme="majorHAnsi"/>
        </w:rPr>
        <w:t>related</w:t>
      </w:r>
      <w:r w:rsidRPr="00BC3CD5">
        <w:rPr>
          <w:rFonts w:asciiTheme="minorHAnsi" w:hAnsiTheme="minorHAnsi" w:cstheme="majorHAnsi"/>
        </w:rPr>
        <w:t xml:space="preserve"> to the HRM department’s action plan for organising up-to-date learning activities to prevent new and existing employees from being frustrated by not having an equal chance for personal development within the organisation. As a result, all training processes must be simplified to make it easier for people to communicate and share materials (</w:t>
      </w:r>
      <w:proofErr w:type="spellStart"/>
      <w:r w:rsidRPr="00BC3CD5">
        <w:rPr>
          <w:rFonts w:asciiTheme="minorHAnsi" w:hAnsiTheme="minorHAnsi" w:cstheme="majorHAnsi"/>
        </w:rPr>
        <w:t>Ahammad</w:t>
      </w:r>
      <w:proofErr w:type="spellEnd"/>
      <w:r w:rsidRPr="00BC3CD5">
        <w:rPr>
          <w:rFonts w:asciiTheme="minorHAnsi" w:hAnsiTheme="minorHAnsi" w:cstheme="majorHAnsi"/>
        </w:rPr>
        <w:t>, 2017)</w:t>
      </w:r>
      <w:r w:rsidR="00126794">
        <w:rPr>
          <w:rFonts w:asciiTheme="minorHAnsi" w:hAnsiTheme="minorHAnsi" w:cstheme="majorHAnsi"/>
        </w:rPr>
        <w:t>.</w:t>
      </w:r>
    </w:p>
    <w:p w14:paraId="10B316D9" w14:textId="6898AF01" w:rsidR="006B5E03" w:rsidRPr="00BC3CD5" w:rsidRDefault="00E21985" w:rsidP="00BC3CD5">
      <w:pPr>
        <w:pStyle w:val="root-block-node"/>
        <w:spacing w:before="0" w:beforeAutospacing="0" w:after="0" w:afterAutospacing="0" w:line="360" w:lineRule="auto"/>
        <w:ind w:firstLine="720"/>
        <w:rPr>
          <w:rFonts w:asciiTheme="minorHAnsi" w:hAnsiTheme="minorHAnsi" w:cstheme="majorHAnsi"/>
        </w:rPr>
      </w:pPr>
      <w:r w:rsidRPr="00BC3CD5">
        <w:rPr>
          <w:rFonts w:asciiTheme="minorHAnsi" w:hAnsiTheme="minorHAnsi" w:cstheme="majorHAnsi"/>
        </w:rPr>
        <w:t xml:space="preserve">The quality and effectiveness of care delivery depend on the experience, strengths, and commitment of the staff involved in the provision of care (World Health Organization, 2000), but also on the human resource management’s executive assistance, which fosters favourable results for healthcare workers and patients (Luthufi et al., 2021). As an essential managerial tool that facilitates health system reforms, performance management systems establish whether health workers are working assiduously, receiving appropriate training, and being </w:t>
      </w:r>
      <w:r w:rsidR="0099114C" w:rsidRPr="00BC3CD5">
        <w:rPr>
          <w:rFonts w:asciiTheme="minorHAnsi" w:hAnsiTheme="minorHAnsi" w:cstheme="majorHAnsi"/>
        </w:rPr>
        <w:t>a</w:t>
      </w:r>
      <w:r w:rsidR="0037713F" w:rsidRPr="00BC3CD5">
        <w:rPr>
          <w:rFonts w:asciiTheme="minorHAnsi" w:hAnsiTheme="minorHAnsi" w:cstheme="majorHAnsi"/>
        </w:rPr>
        <w:t>warded</w:t>
      </w:r>
      <w:r w:rsidRPr="00BC3CD5">
        <w:rPr>
          <w:rFonts w:asciiTheme="minorHAnsi" w:hAnsiTheme="minorHAnsi" w:cstheme="majorHAnsi"/>
        </w:rPr>
        <w:t xml:space="preserve"> for </w:t>
      </w:r>
      <w:r w:rsidR="00697A66" w:rsidRPr="00BC3CD5">
        <w:rPr>
          <w:rFonts w:asciiTheme="minorHAnsi" w:hAnsiTheme="minorHAnsi" w:cstheme="majorHAnsi"/>
        </w:rPr>
        <w:t xml:space="preserve">delivering </w:t>
      </w:r>
      <w:r w:rsidR="0099114C" w:rsidRPr="00BC3CD5">
        <w:rPr>
          <w:rFonts w:asciiTheme="minorHAnsi" w:hAnsiTheme="minorHAnsi" w:cstheme="majorHAnsi"/>
        </w:rPr>
        <w:t>superior</w:t>
      </w:r>
      <w:r w:rsidRPr="00BC3CD5">
        <w:rPr>
          <w:rFonts w:asciiTheme="minorHAnsi" w:hAnsiTheme="minorHAnsi" w:cstheme="majorHAnsi"/>
        </w:rPr>
        <w:t xml:space="preserve"> care practises in accordance with the reforms (</w:t>
      </w:r>
      <w:proofErr w:type="spellStart"/>
      <w:r w:rsidRPr="00BC3CD5">
        <w:rPr>
          <w:rFonts w:asciiTheme="minorHAnsi" w:hAnsiTheme="minorHAnsi" w:cstheme="majorHAnsi"/>
        </w:rPr>
        <w:t>Madlabana</w:t>
      </w:r>
      <w:proofErr w:type="spellEnd"/>
      <w:r w:rsidRPr="00BC3CD5">
        <w:rPr>
          <w:rFonts w:asciiTheme="minorHAnsi" w:hAnsiTheme="minorHAnsi" w:cstheme="majorHAnsi"/>
        </w:rPr>
        <w:t xml:space="preserve">, </w:t>
      </w:r>
      <w:proofErr w:type="spellStart"/>
      <w:r w:rsidRPr="00BC3CD5">
        <w:rPr>
          <w:rFonts w:asciiTheme="minorHAnsi" w:hAnsiTheme="minorHAnsi" w:cstheme="majorHAnsi"/>
        </w:rPr>
        <w:t>Mashamba</w:t>
      </w:r>
      <w:proofErr w:type="spellEnd"/>
      <w:r w:rsidRPr="00BC3CD5">
        <w:rPr>
          <w:rFonts w:asciiTheme="minorHAnsi" w:hAnsiTheme="minorHAnsi" w:cstheme="majorHAnsi"/>
        </w:rPr>
        <w:t>-Thompson, and Petersen, 2020)</w:t>
      </w:r>
      <w:r w:rsidR="00E87D1F">
        <w:rPr>
          <w:rFonts w:asciiTheme="minorHAnsi" w:hAnsiTheme="minorHAnsi" w:cstheme="majorHAnsi"/>
        </w:rPr>
        <w:t>.</w:t>
      </w:r>
      <w:r w:rsidRPr="00BC3CD5">
        <w:rPr>
          <w:rFonts w:asciiTheme="minorHAnsi" w:hAnsiTheme="minorHAnsi" w:cstheme="majorHAnsi"/>
        </w:rPr>
        <w:t xml:space="preserve"> To Elarabi and Johari (2014), hospitals, particularly public ones, have a</w:t>
      </w:r>
      <w:r w:rsidR="00DD234C">
        <w:rPr>
          <w:rFonts w:asciiTheme="minorHAnsi" w:hAnsiTheme="minorHAnsi" w:cstheme="majorHAnsi"/>
        </w:rPr>
        <w:t xml:space="preserve"> pressing</w:t>
      </w:r>
      <w:r w:rsidRPr="00BC3CD5">
        <w:rPr>
          <w:rFonts w:asciiTheme="minorHAnsi" w:hAnsiTheme="minorHAnsi" w:cstheme="majorHAnsi"/>
        </w:rPr>
        <w:t xml:space="preserve"> need to monitor the </w:t>
      </w:r>
      <w:r w:rsidR="00DD234C" w:rsidRPr="00BC3CD5">
        <w:rPr>
          <w:rFonts w:asciiTheme="minorHAnsi" w:hAnsiTheme="minorHAnsi" w:cstheme="majorHAnsi"/>
        </w:rPr>
        <w:t>effec</w:t>
      </w:r>
      <w:r w:rsidR="00DD234C">
        <w:rPr>
          <w:rFonts w:asciiTheme="minorHAnsi" w:hAnsiTheme="minorHAnsi" w:cstheme="majorHAnsi"/>
        </w:rPr>
        <w:t>tiveness</w:t>
      </w:r>
      <w:r w:rsidRPr="00BC3CD5">
        <w:rPr>
          <w:rFonts w:asciiTheme="minorHAnsi" w:hAnsiTheme="minorHAnsi" w:cstheme="majorHAnsi"/>
        </w:rPr>
        <w:t xml:space="preserve"> of their human resources, and taking exact measurements will assist hospital administrators in their efforts to</w:t>
      </w:r>
      <w:r w:rsidR="00AB1790">
        <w:rPr>
          <w:rFonts w:asciiTheme="minorHAnsi" w:hAnsiTheme="minorHAnsi" w:cstheme="majorHAnsi"/>
        </w:rPr>
        <w:t xml:space="preserve"> make</w:t>
      </w:r>
      <w:r w:rsidRPr="00BC3CD5">
        <w:rPr>
          <w:rFonts w:asciiTheme="minorHAnsi" w:hAnsiTheme="minorHAnsi" w:cstheme="majorHAnsi"/>
        </w:rPr>
        <w:t xml:space="preserve"> better </w:t>
      </w:r>
      <w:r w:rsidR="00F733D4" w:rsidRPr="00BC3CD5">
        <w:rPr>
          <w:rFonts w:asciiTheme="minorHAnsi" w:hAnsiTheme="minorHAnsi" w:cstheme="majorHAnsi"/>
        </w:rPr>
        <w:t>use</w:t>
      </w:r>
      <w:r w:rsidRPr="00BC3CD5">
        <w:rPr>
          <w:rFonts w:asciiTheme="minorHAnsi" w:hAnsiTheme="minorHAnsi" w:cstheme="majorHAnsi"/>
        </w:rPr>
        <w:t xml:space="preserve"> these resources.</w:t>
      </w:r>
    </w:p>
    <w:p w14:paraId="412908E9" w14:textId="063691A2" w:rsidR="00D2782A" w:rsidRPr="00BC3CD5" w:rsidRDefault="00D543C2" w:rsidP="00BC3CD5">
      <w:pPr>
        <w:spacing w:after="0" w:line="360" w:lineRule="auto"/>
        <w:rPr>
          <w:rFonts w:asciiTheme="minorHAnsi" w:hAnsiTheme="minorHAnsi" w:cstheme="majorHAnsi"/>
          <w:sz w:val="24"/>
          <w:szCs w:val="24"/>
        </w:rPr>
      </w:pPr>
      <w:r w:rsidRPr="00BC3CD5">
        <w:rPr>
          <w:rFonts w:asciiTheme="minorHAnsi" w:hAnsiTheme="minorHAnsi" w:cstheme="majorHAnsi"/>
          <w:sz w:val="24"/>
          <w:szCs w:val="24"/>
        </w:rPr>
        <w:tab/>
      </w:r>
      <w:r w:rsidR="00D2782A" w:rsidRPr="00BC3CD5">
        <w:rPr>
          <w:rFonts w:asciiTheme="minorHAnsi" w:hAnsiTheme="minorHAnsi" w:cstheme="majorHAnsi"/>
          <w:sz w:val="24"/>
          <w:szCs w:val="24"/>
        </w:rPr>
        <w:t xml:space="preserve">Organizational culture is a significant trait that develops into characteristics, establishes competitive advantages, and has an impact on a company's ability to achieve long-term financial success (Cameron and Quinn, 2011). Culture, one of the most </w:t>
      </w:r>
      <w:r w:rsidR="00F733D4" w:rsidRPr="00BC3CD5">
        <w:rPr>
          <w:rFonts w:asciiTheme="minorHAnsi" w:hAnsiTheme="minorHAnsi" w:cstheme="majorHAnsi"/>
          <w:sz w:val="24"/>
          <w:szCs w:val="24"/>
        </w:rPr>
        <w:t>key factors</w:t>
      </w:r>
      <w:r w:rsidR="00D2782A" w:rsidRPr="00BC3CD5">
        <w:rPr>
          <w:rFonts w:asciiTheme="minorHAnsi" w:hAnsiTheme="minorHAnsi" w:cstheme="majorHAnsi"/>
          <w:sz w:val="24"/>
          <w:szCs w:val="24"/>
        </w:rPr>
        <w:t xml:space="preserve"> in an organisation, is frequently visible, ethereal, and has a distinctive and dynamic life of its own, formed via a group’s social interactions (Wines and Hamilton, 2008; Bellot, 2011). On the other hand, a lack of a strong organisational culture can result in temporary changes in the behaviour of individuals when companies implement strategic plans without fully comprehending how the processes within their own cultures play a role in the organization's overall culture.</w:t>
      </w:r>
      <w:r w:rsidR="002E048D" w:rsidRPr="00BC3CD5">
        <w:rPr>
          <w:rFonts w:asciiTheme="minorHAnsi" w:hAnsiTheme="minorHAnsi" w:cstheme="majorHAnsi"/>
          <w:sz w:val="24"/>
          <w:szCs w:val="24"/>
        </w:rPr>
        <w:t xml:space="preserve"> </w:t>
      </w:r>
      <w:r w:rsidR="00EE1394" w:rsidRPr="00BC3CD5">
        <w:rPr>
          <w:rFonts w:asciiTheme="minorHAnsi" w:hAnsiTheme="minorHAnsi"/>
          <w:sz w:val="24"/>
          <w:szCs w:val="24"/>
        </w:rPr>
        <w:t xml:space="preserve">Even though diverting employees towards the intended organisational culture might be challenging, organisational culture can increase performance in the presence of a plan to convert the organisation into one that is more adaptive and sensitive to the external environment </w:t>
      </w:r>
      <w:r w:rsidR="00D2782A" w:rsidRPr="00BC3CD5">
        <w:rPr>
          <w:rFonts w:asciiTheme="minorHAnsi" w:hAnsiTheme="minorHAnsi" w:cstheme="majorHAnsi"/>
          <w:sz w:val="24"/>
          <w:szCs w:val="24"/>
        </w:rPr>
        <w:t>(Divan, 2012)</w:t>
      </w:r>
      <w:r w:rsidR="00126794">
        <w:rPr>
          <w:rFonts w:asciiTheme="minorHAnsi" w:hAnsiTheme="minorHAnsi" w:cstheme="majorHAnsi"/>
          <w:sz w:val="24"/>
          <w:szCs w:val="24"/>
        </w:rPr>
        <w:t>.</w:t>
      </w:r>
      <w:r w:rsidR="00D2782A" w:rsidRPr="00BC3CD5">
        <w:rPr>
          <w:rFonts w:asciiTheme="minorHAnsi" w:hAnsiTheme="minorHAnsi" w:cstheme="majorHAnsi"/>
          <w:sz w:val="24"/>
          <w:szCs w:val="24"/>
        </w:rPr>
        <w:t xml:space="preserve"> Recognizing the significance of organisational culture in a firm enables the organisation to examine its own culture and then identify what sort of organisational culture they wish to have </w:t>
      </w:r>
      <w:r w:rsidR="0037713F" w:rsidRPr="00BC3CD5">
        <w:rPr>
          <w:rFonts w:asciiTheme="minorHAnsi" w:hAnsiTheme="minorHAnsi" w:cstheme="majorHAnsi"/>
          <w:sz w:val="24"/>
          <w:szCs w:val="24"/>
        </w:rPr>
        <w:t>to</w:t>
      </w:r>
      <w:r w:rsidR="00D2782A" w:rsidRPr="00BC3CD5">
        <w:rPr>
          <w:rFonts w:asciiTheme="minorHAnsi" w:hAnsiTheme="minorHAnsi" w:cstheme="majorHAnsi"/>
          <w:sz w:val="24"/>
          <w:szCs w:val="24"/>
        </w:rPr>
        <w:t xml:space="preserve"> be acceptable and able to thrive in the business climate that they are in. Having a desire to </w:t>
      </w:r>
      <w:r w:rsidR="00D2782A" w:rsidRPr="00BC3CD5">
        <w:rPr>
          <w:rFonts w:asciiTheme="minorHAnsi" w:hAnsiTheme="minorHAnsi" w:cstheme="majorHAnsi"/>
          <w:sz w:val="24"/>
          <w:szCs w:val="24"/>
        </w:rPr>
        <w:lastRenderedPageBreak/>
        <w:t>create changes at the level of organisational culture, businesses are expecting to obtain access to a new paradigm based on values that will enable them to continue in business. For the aim of establishing organisational culture change to be achieved successfully, a diagnosis and the appropriate methodology based on the company's beliefs, vision, and missions are required (Anderson, Amodeo, and Hartzfeld, 2010).</w:t>
      </w:r>
    </w:p>
    <w:p w14:paraId="5E47A657" w14:textId="25FF59D0" w:rsidR="00D2782A" w:rsidRPr="00BC3CD5" w:rsidRDefault="00D2782A" w:rsidP="00BC3CD5">
      <w:pPr>
        <w:pStyle w:val="root-block-node"/>
        <w:spacing w:before="0" w:beforeAutospacing="0" w:after="0" w:afterAutospacing="0" w:line="360" w:lineRule="auto"/>
        <w:ind w:firstLine="720"/>
        <w:rPr>
          <w:rFonts w:asciiTheme="minorHAnsi" w:hAnsiTheme="minorHAnsi" w:cstheme="majorHAnsi"/>
        </w:rPr>
      </w:pPr>
      <w:r w:rsidRPr="00BC3CD5">
        <w:rPr>
          <w:rStyle w:val="Strong"/>
          <w:rFonts w:asciiTheme="minorHAnsi" w:hAnsiTheme="minorHAnsi" w:cstheme="majorHAnsi"/>
          <w:b w:val="0"/>
          <w:bCs w:val="0"/>
        </w:rPr>
        <w:t>Organizational culture</w:t>
      </w:r>
      <w:r w:rsidRPr="00BC3CD5">
        <w:rPr>
          <w:rFonts w:asciiTheme="minorHAnsi" w:hAnsiTheme="minorHAnsi" w:cstheme="majorHAnsi"/>
        </w:rPr>
        <w:t xml:space="preserve"> may be understood via the use of models and types of cultural aspects that are viewed differently by various people. Recognizing his contribution to culture, any individual who is aware of its visible and unseen characteristics finds it easier to engage in culture-shaping activities because the visible parts of culture are propelled and moulded by invisible features (Johnson, 2016). Schein and Schein’s (2016) metaphoric lily pond simplifies the core components of understanding the organisational culture illustrated as leaves and blossoms—the substantial, obvious appearance of routines, moral conduct, symbols, rules, language, called the artifacts; as the seeds and roots—the underlying assumptions, ideas, and principles; and as growing conditions: water and fertiliser—espoused beliefs and values, formed, accepted, and disseminated as normal that influence a social unit’s actions, emotions, and attitudes, guided by or aligned with the organisation’s ethos. Alluding to healthcare institutions, Mannion and Davies (2018) state these essential traits can be attained in completely different ways: amid early education programs, maintained by means of continuous professional collaboration, and then made evident as established guidelines, or externally formed or influenced, during motivation frameworks or performance evaluation, yet they can influence typical standpoints and, surprisingly, more basic conceptions through time. Hence, collectively, the culture’s features mirror a widespread and well-understood vision of the clinic’s life that has a deep impact on personnel care, safety, and risk.</w:t>
      </w:r>
    </w:p>
    <w:p w14:paraId="7DC52D52" w14:textId="720CFC18" w:rsidR="00D2782A" w:rsidRPr="00BC3CD5" w:rsidRDefault="00D2782A" w:rsidP="00BC3CD5">
      <w:pPr>
        <w:pStyle w:val="root-block-node"/>
        <w:tabs>
          <w:tab w:val="left" w:pos="8222"/>
        </w:tabs>
        <w:spacing w:before="0" w:beforeAutospacing="0" w:after="0" w:afterAutospacing="0" w:line="360" w:lineRule="auto"/>
        <w:ind w:firstLine="720"/>
        <w:rPr>
          <w:rFonts w:asciiTheme="minorHAnsi" w:hAnsiTheme="minorHAnsi" w:cstheme="majorHAnsi"/>
        </w:rPr>
      </w:pPr>
      <w:r w:rsidRPr="00BC3CD5">
        <w:rPr>
          <w:rFonts w:asciiTheme="minorHAnsi" w:hAnsiTheme="minorHAnsi" w:cstheme="majorHAnsi"/>
        </w:rPr>
        <w:t xml:space="preserve">According to Beardsmore and McSherry (2017), the organisational culture and working conditions, which respect employees in terms of clear communication, job satisfaction, and adequate staffing, are the keys to providing empathetic and high-quality care services. Similarly, Montgomery et al. (2009) consider hospital culture influences clinicians' activity in treating patients. Lee’s (2020) findings reveal that hospital personnel nurtured by a well-functioning ethical culture are more engaged and motivated to participate in quality care performance. These high ethical standards need to be learned via </w:t>
      </w:r>
      <w:r w:rsidRPr="00BC3CD5">
        <w:rPr>
          <w:rFonts w:asciiTheme="minorHAnsi" w:hAnsiTheme="minorHAnsi" w:cstheme="majorHAnsi"/>
        </w:rPr>
        <w:lastRenderedPageBreak/>
        <w:t xml:space="preserve">direct experience and must be explicitly set and followed by healthcare practitioners, institutions, and legislators in all interactions with patients and their families. According to Scott et al. (2003), performance is defined as: performance as performed behaviour related to socio-technical processes of care; performance assessed in terms of results; and performance as a </w:t>
      </w:r>
      <w:r w:rsidR="00DC7A53">
        <w:rPr>
          <w:rFonts w:asciiTheme="minorHAnsi" w:hAnsiTheme="minorHAnsi" w:cstheme="majorHAnsi"/>
        </w:rPr>
        <w:t>tragic incident</w:t>
      </w:r>
      <w:r w:rsidRPr="00BC3CD5">
        <w:rPr>
          <w:rFonts w:asciiTheme="minorHAnsi" w:hAnsiTheme="minorHAnsi" w:cstheme="majorHAnsi"/>
        </w:rPr>
        <w:t xml:space="preserve">. Each of these interpretations has a propensity to bring up the others. This means that surgical procedures include both technical execution and intended outcomes, as well as a dramatic production. Consultative rounds are both a social and a technical demonstration of vital capabilities, such as diagnostic abilities, communication abilities, and </w:t>
      </w:r>
      <w:r w:rsidR="009A0F2D">
        <w:rPr>
          <w:rFonts w:asciiTheme="minorHAnsi" w:hAnsiTheme="minorHAnsi" w:cstheme="majorHAnsi"/>
        </w:rPr>
        <w:t>curative education and understanding</w:t>
      </w:r>
      <w:r w:rsidRPr="00BC3CD5">
        <w:rPr>
          <w:rFonts w:asciiTheme="minorHAnsi" w:hAnsiTheme="minorHAnsi" w:cstheme="majorHAnsi"/>
        </w:rPr>
        <w:t xml:space="preserve">. </w:t>
      </w:r>
      <w:r w:rsidR="006E66FE">
        <w:rPr>
          <w:rFonts w:asciiTheme="minorHAnsi" w:hAnsiTheme="minorHAnsi" w:cstheme="majorHAnsi"/>
        </w:rPr>
        <w:t>In the end,</w:t>
      </w:r>
      <w:r w:rsidRPr="00BC3CD5">
        <w:rPr>
          <w:rFonts w:asciiTheme="minorHAnsi" w:hAnsiTheme="minorHAnsi" w:cstheme="majorHAnsi"/>
        </w:rPr>
        <w:t xml:space="preserve"> Scott et al (2003) points out that data on performance, such as wait times, medical mistakes, and mortality comparisons, suggests a set of socio-technical processes hidden underneath the numbers.</w:t>
      </w:r>
    </w:p>
    <w:p w14:paraId="7EDE0E00" w14:textId="1CE531B6" w:rsidR="00806283" w:rsidRPr="00BC3CD5" w:rsidRDefault="00F178F3" w:rsidP="00BC3CD5">
      <w:pPr>
        <w:pStyle w:val="root-block-node"/>
        <w:tabs>
          <w:tab w:val="left" w:pos="6663"/>
          <w:tab w:val="left" w:pos="6946"/>
          <w:tab w:val="left" w:pos="7088"/>
          <w:tab w:val="left" w:pos="7371"/>
          <w:tab w:val="left" w:pos="7938"/>
          <w:tab w:val="left" w:pos="8222"/>
          <w:tab w:val="left" w:pos="8364"/>
        </w:tabs>
        <w:spacing w:before="0" w:beforeAutospacing="0" w:after="0" w:afterAutospacing="0" w:line="360" w:lineRule="auto"/>
        <w:ind w:firstLine="720"/>
        <w:rPr>
          <w:rFonts w:asciiTheme="minorHAnsi" w:hAnsiTheme="minorHAnsi" w:cstheme="majorHAnsi"/>
        </w:rPr>
      </w:pPr>
      <w:r w:rsidRPr="00BC3CD5">
        <w:rPr>
          <w:rFonts w:asciiTheme="minorHAnsi" w:hAnsiTheme="minorHAnsi" w:cstheme="majorHAnsi"/>
        </w:rPr>
        <w:t xml:space="preserve">"Minimal change can be best option." (Burnes, 2017, p. 3) In the face of inner and outside challenges, organisations undergo character changes to be more compelling at achieving their objectives, which viability is inferred from variables such as policies and procedures, individuals, and authoritative culture. Likewise, Baesu and Bejinaru (2014) maintain that change is the act of adjusting existing standards and inclinations, behaviors, or any other viewpoint of an organisation by giving it specific </w:t>
      </w:r>
      <w:r w:rsidR="00806283" w:rsidRPr="00BC3CD5">
        <w:rPr>
          <w:rFonts w:asciiTheme="minorHAnsi" w:hAnsiTheme="minorHAnsi" w:cstheme="majorHAnsi"/>
        </w:rPr>
        <w:t>benchmarks</w:t>
      </w:r>
      <w:r w:rsidRPr="00BC3CD5">
        <w:rPr>
          <w:rFonts w:asciiTheme="minorHAnsi" w:hAnsiTheme="minorHAnsi" w:cstheme="majorHAnsi"/>
        </w:rPr>
        <w:t> or </w:t>
      </w:r>
    </w:p>
    <w:p w14:paraId="23140E0E" w14:textId="20A0E263" w:rsidR="00F178F3" w:rsidRPr="00BC3CD5" w:rsidRDefault="00F178F3" w:rsidP="00BC3CD5">
      <w:pPr>
        <w:pStyle w:val="root-block-node"/>
        <w:tabs>
          <w:tab w:val="left" w:pos="6663"/>
          <w:tab w:val="left" w:pos="6946"/>
          <w:tab w:val="left" w:pos="7088"/>
          <w:tab w:val="left" w:pos="7371"/>
          <w:tab w:val="left" w:pos="7938"/>
          <w:tab w:val="left" w:pos="8222"/>
          <w:tab w:val="left" w:pos="8364"/>
        </w:tabs>
        <w:spacing w:before="0" w:beforeAutospacing="0" w:after="0" w:afterAutospacing="0" w:line="360" w:lineRule="auto"/>
        <w:rPr>
          <w:rFonts w:asciiTheme="minorHAnsi" w:hAnsiTheme="minorHAnsi" w:cstheme="majorHAnsi"/>
        </w:rPr>
      </w:pPr>
      <w:r w:rsidRPr="00BC3CD5">
        <w:rPr>
          <w:rFonts w:asciiTheme="minorHAnsi" w:hAnsiTheme="minorHAnsi" w:cstheme="majorHAnsi"/>
        </w:rPr>
        <w:t xml:space="preserve">enlightenments. To some extent, throughout the course of an organization's life, there is always some degree of change taking place. To change its purpose or strategy, an organisation could, for example, introduce new goods or services, tweak production and sales tactics, merge </w:t>
      </w:r>
      <w:r w:rsidR="00F733D4" w:rsidRPr="00BC3CD5">
        <w:rPr>
          <w:rFonts w:asciiTheme="minorHAnsi" w:hAnsiTheme="minorHAnsi" w:cstheme="majorHAnsi"/>
        </w:rPr>
        <w:t>modern technology</w:t>
      </w:r>
      <w:r w:rsidRPr="00BC3CD5">
        <w:rPr>
          <w:rFonts w:asciiTheme="minorHAnsi" w:hAnsiTheme="minorHAnsi" w:cstheme="majorHAnsi"/>
        </w:rPr>
        <w:t>, enter new markets, sell industrial facilities or departments, or restructure its workforce. There are many ways to alter an organization. There is a wide range of ways in which change may be implemented. For instance, a company may decide to make changes that would either increase or decrease its size. For example, if an organisation completely transforms itself while keeping its name, this is known as a "radical transition" (Imran et al., 2017). Even though it is even expected or announced, fear of change frequently causes disturbances in companies, and people, aware or not, are terrified of it. So, managers, as "change agents," need to maintain stability by using tactical boarding to gain the employees’ buy-in for the benefit of organisational growth and competitive progress (Westover, 2010)</w:t>
      </w:r>
      <w:r w:rsidR="00FA0475">
        <w:rPr>
          <w:rFonts w:asciiTheme="minorHAnsi" w:hAnsiTheme="minorHAnsi" w:cstheme="majorHAnsi"/>
        </w:rPr>
        <w:t>.</w:t>
      </w:r>
    </w:p>
    <w:p w14:paraId="536BEE40" w14:textId="0C12785A" w:rsidR="00F178F3" w:rsidRPr="00BC3CD5" w:rsidRDefault="00F178F3" w:rsidP="00BC3CD5">
      <w:pPr>
        <w:pStyle w:val="root-block-node"/>
        <w:spacing w:before="0" w:beforeAutospacing="0" w:after="0" w:afterAutospacing="0" w:line="360" w:lineRule="auto"/>
        <w:ind w:firstLine="720"/>
        <w:rPr>
          <w:rFonts w:asciiTheme="minorHAnsi" w:hAnsiTheme="minorHAnsi" w:cstheme="majorHAnsi"/>
        </w:rPr>
      </w:pPr>
      <w:r w:rsidRPr="00BC3CD5">
        <w:rPr>
          <w:rFonts w:asciiTheme="minorHAnsi" w:hAnsiTheme="minorHAnsi" w:cstheme="majorHAnsi"/>
        </w:rPr>
        <w:lastRenderedPageBreak/>
        <w:t>Nowadays, healthcare organisations demand visionary and strategic CEOs able to face great impediments such as the deficiency of support workers; the ageing society; the need to strengthen data quality control procedures; digitalization that totally changes the essence and transfer of ideas; advanced therapeutic approaches that affect how and where medical care is performed; and the tension to control expenses and enhance collaborative relationships (Belasen, Eisenberg, and Huppertz</w:t>
      </w:r>
      <w:r w:rsidR="00987550" w:rsidRPr="00BC3CD5">
        <w:rPr>
          <w:rFonts w:asciiTheme="minorHAnsi" w:hAnsiTheme="minorHAnsi" w:cstheme="majorHAnsi"/>
        </w:rPr>
        <w:t>, 2016</w:t>
      </w:r>
      <w:r w:rsidRPr="00BC3CD5">
        <w:rPr>
          <w:rFonts w:asciiTheme="minorHAnsi" w:hAnsiTheme="minorHAnsi" w:cstheme="majorHAnsi"/>
        </w:rPr>
        <w:t>)</w:t>
      </w:r>
      <w:r w:rsidR="007F3019">
        <w:rPr>
          <w:rFonts w:asciiTheme="minorHAnsi" w:hAnsiTheme="minorHAnsi" w:cstheme="majorHAnsi"/>
        </w:rPr>
        <w:t>.</w:t>
      </w:r>
      <w:r w:rsidRPr="00BC3CD5">
        <w:rPr>
          <w:rFonts w:asciiTheme="minorHAnsi" w:hAnsiTheme="minorHAnsi" w:cstheme="majorHAnsi"/>
        </w:rPr>
        <w:t xml:space="preserve"> Considering these obstacles, the "NHS Long Term Plan" (NHS England, 2019) and "A Healthier Wales: our Plan for Health and Social Care" (Welsh Government, 2019) provide support to senior leaders through governmental regulations to ease the path of change in the health and care system. The implementation of new frameworks and service delivery models, as well as the need to produce quantifiable performance results, entails a significant shift in perception and operating procedures, urging medical managers and staff to reconsider their roles and responsibilities within the organization (McHugh, Johnston, and McLelland, 2007)</w:t>
      </w:r>
      <w:r w:rsidR="00FA0475">
        <w:rPr>
          <w:rFonts w:asciiTheme="minorHAnsi" w:hAnsiTheme="minorHAnsi" w:cstheme="majorHAnsi"/>
        </w:rPr>
        <w:t>.</w:t>
      </w:r>
      <w:r w:rsidRPr="00BC3CD5">
        <w:rPr>
          <w:rFonts w:asciiTheme="minorHAnsi" w:hAnsiTheme="minorHAnsi" w:cstheme="majorHAnsi"/>
        </w:rPr>
        <w:t xml:space="preserve"> </w:t>
      </w:r>
      <w:r w:rsidR="00E64B60" w:rsidRPr="00BC3CD5">
        <w:rPr>
          <w:rFonts w:asciiTheme="minorHAnsi" w:hAnsiTheme="minorHAnsi" w:cstheme="majorHAnsi"/>
        </w:rPr>
        <w:t>“Leaders are, themselves, evidence of change” (</w:t>
      </w:r>
      <w:r w:rsidRPr="00BC3CD5">
        <w:rPr>
          <w:rFonts w:asciiTheme="minorHAnsi" w:hAnsiTheme="minorHAnsi" w:cstheme="majorHAnsi"/>
        </w:rPr>
        <w:t xml:space="preserve">Breckenridge et al., 2019, p.6) that must consider </w:t>
      </w:r>
      <w:r w:rsidR="007F3019" w:rsidRPr="00BC3CD5">
        <w:rPr>
          <w:rFonts w:asciiTheme="minorHAnsi" w:hAnsiTheme="minorHAnsi" w:cstheme="majorHAnsi"/>
        </w:rPr>
        <w:t>several</w:t>
      </w:r>
      <w:r w:rsidRPr="00BC3CD5">
        <w:rPr>
          <w:rFonts w:asciiTheme="minorHAnsi" w:hAnsiTheme="minorHAnsi" w:cstheme="majorHAnsi"/>
        </w:rPr>
        <w:t xml:space="preserve"> relevant tactics to overcome instinctive human resistance to change (Rosenberg and Mosca, 2011; Baesu and Bejinaru, 201</w:t>
      </w:r>
      <w:r w:rsidR="00260AA5" w:rsidRPr="00BC3CD5">
        <w:rPr>
          <w:rFonts w:asciiTheme="minorHAnsi" w:hAnsiTheme="minorHAnsi" w:cstheme="majorHAnsi"/>
        </w:rPr>
        <w:t>3</w:t>
      </w:r>
      <w:r w:rsidRPr="00BC3CD5">
        <w:rPr>
          <w:rFonts w:asciiTheme="minorHAnsi" w:hAnsiTheme="minorHAnsi" w:cstheme="majorHAnsi"/>
        </w:rPr>
        <w:t xml:space="preserve">), such as not affecting personnel's mental state and increasing negative emotional reactions to the new organisational changes. (Nielsen et al., 2020). Mangundjaya, Utoyo, and Wulandari (2015) affirm that a leader as a </w:t>
      </w:r>
      <w:r w:rsidR="000D00D0">
        <w:rPr>
          <w:rFonts w:asciiTheme="minorHAnsi" w:hAnsiTheme="minorHAnsi" w:cstheme="majorHAnsi"/>
        </w:rPr>
        <w:t>“</w:t>
      </w:r>
      <w:r w:rsidRPr="00BC3CD5">
        <w:rPr>
          <w:rFonts w:asciiTheme="minorHAnsi" w:hAnsiTheme="minorHAnsi" w:cstheme="majorHAnsi"/>
        </w:rPr>
        <w:t>change agent</w:t>
      </w:r>
      <w:r w:rsidR="000D00D0">
        <w:rPr>
          <w:rFonts w:asciiTheme="minorHAnsi" w:hAnsiTheme="minorHAnsi" w:cstheme="majorHAnsi"/>
        </w:rPr>
        <w:t>”</w:t>
      </w:r>
      <w:r w:rsidRPr="00BC3CD5">
        <w:rPr>
          <w:rFonts w:asciiTheme="minorHAnsi" w:hAnsiTheme="minorHAnsi" w:cstheme="majorHAnsi"/>
        </w:rPr>
        <w:t xml:space="preserve"> should ensure that the optimal conditions for the employees are pleased and motivated for both willingness and engagement to change. </w:t>
      </w:r>
      <w:r w:rsidR="0037713F" w:rsidRPr="00BC3CD5">
        <w:rPr>
          <w:rFonts w:asciiTheme="minorHAnsi" w:hAnsiTheme="minorHAnsi" w:cstheme="majorHAnsi"/>
        </w:rPr>
        <w:t>The</w:t>
      </w:r>
      <w:r w:rsidRPr="00BC3CD5">
        <w:rPr>
          <w:rFonts w:asciiTheme="minorHAnsi" w:hAnsiTheme="minorHAnsi" w:cstheme="majorHAnsi"/>
        </w:rPr>
        <w:t xml:space="preserve"> leadership of change implies enhancing a team's competence and capacity by assisting people in developing their skills; promoting cooperative effort by rewarding team accomplishments; fostering a culture that nurtures personal and collective development by increasing employee trust and respect; and focusing on the consequences of change management. (Baesu and Bejinaru, 201</w:t>
      </w:r>
      <w:r w:rsidR="00907F7E" w:rsidRPr="00BC3CD5">
        <w:rPr>
          <w:rFonts w:asciiTheme="minorHAnsi" w:hAnsiTheme="minorHAnsi" w:cstheme="majorHAnsi"/>
        </w:rPr>
        <w:t>3</w:t>
      </w:r>
      <w:r w:rsidRPr="00BC3CD5">
        <w:rPr>
          <w:rFonts w:asciiTheme="minorHAnsi" w:hAnsiTheme="minorHAnsi" w:cstheme="majorHAnsi"/>
        </w:rPr>
        <w:t>).</w:t>
      </w:r>
    </w:p>
    <w:p w14:paraId="5F78A07A" w14:textId="5B78147F" w:rsidR="00F178F3" w:rsidRPr="00EF743D" w:rsidRDefault="005C5083" w:rsidP="00EF743D">
      <w:pPr>
        <w:spacing w:after="0" w:line="360" w:lineRule="auto"/>
        <w:rPr>
          <w:rFonts w:asciiTheme="minorHAnsi" w:hAnsiTheme="minorHAnsi" w:cstheme="majorHAnsi"/>
          <w:sz w:val="24"/>
          <w:szCs w:val="24"/>
        </w:rPr>
      </w:pPr>
      <w:r w:rsidRPr="00BC3CD5">
        <w:rPr>
          <w:rFonts w:asciiTheme="minorHAnsi" w:hAnsiTheme="minorHAnsi" w:cstheme="majorHAnsi"/>
          <w:sz w:val="24"/>
          <w:szCs w:val="24"/>
        </w:rPr>
        <w:t xml:space="preserve"> </w:t>
      </w:r>
      <w:r w:rsidR="000A4D97" w:rsidRPr="00BC3CD5">
        <w:rPr>
          <w:rFonts w:asciiTheme="minorHAnsi" w:hAnsiTheme="minorHAnsi" w:cstheme="majorHAnsi"/>
          <w:sz w:val="24"/>
          <w:szCs w:val="24"/>
        </w:rPr>
        <w:tab/>
      </w:r>
      <w:r w:rsidR="00F178F3" w:rsidRPr="00BC3CD5">
        <w:rPr>
          <w:rFonts w:asciiTheme="minorHAnsi" w:hAnsiTheme="minorHAnsi" w:cstheme="majorHAnsi"/>
          <w:sz w:val="24"/>
          <w:szCs w:val="24"/>
        </w:rPr>
        <w:t xml:space="preserve">The health service is on the verge of a radical shift that will shape the future of digital illness detection, prevention, and treatment; wearable medical management; smart monitoring; and smart decision-making. Smart healthcare uses digital technology to make it easier to browse health information, connect people, services, and organisations, and intelligently </w:t>
      </w:r>
      <w:r w:rsidR="00F733D4" w:rsidRPr="00BC3CD5">
        <w:rPr>
          <w:rFonts w:asciiTheme="minorHAnsi" w:hAnsiTheme="minorHAnsi" w:cstheme="majorHAnsi"/>
          <w:sz w:val="24"/>
          <w:szCs w:val="24"/>
        </w:rPr>
        <w:t>oversee</w:t>
      </w:r>
      <w:r w:rsidR="00F178F3" w:rsidRPr="00BC3CD5">
        <w:rPr>
          <w:rFonts w:asciiTheme="minorHAnsi" w:hAnsiTheme="minorHAnsi" w:cstheme="majorHAnsi"/>
          <w:sz w:val="24"/>
          <w:szCs w:val="24"/>
        </w:rPr>
        <w:t xml:space="preserve"> and respond to health-related needs. Patients, healthcare providers, organisations, and policymakers are all linked together in the intelligent healthcare system. </w:t>
      </w:r>
      <w:r w:rsidR="00F178F3" w:rsidRPr="00BC3CD5">
        <w:rPr>
          <w:rFonts w:asciiTheme="minorHAnsi" w:hAnsiTheme="minorHAnsi" w:cstheme="majorHAnsi"/>
          <w:sz w:val="24"/>
          <w:szCs w:val="24"/>
        </w:rPr>
        <w:lastRenderedPageBreak/>
        <w:t xml:space="preserve">(Mbunge et al., 2021) In fact, nanotechnology/nanomedicine, cloud computing, biotechnology, the Internet of things (IoT), GPS, augmented/virtual reality, chatbots, voice search, blockchain, social media, personalised medicine, electronic health records, biometrics, wearable computing devices, robotics, artificial intelligence, drones, and wearable computing devices are examples of emerging technologies in the healthcare industry today. Medical practitioners are using artificial intelligence in their practise to evaluate mammograms, monitor early-stage heart disease, and make precise decisions. The use of AI in medicine currently includes various fields, such as decision support systems, laboratory information systems, robotic surgical systems, treatment, and the </w:t>
      </w:r>
      <w:r w:rsidR="00307B48">
        <w:rPr>
          <w:rFonts w:asciiTheme="minorHAnsi" w:hAnsiTheme="minorHAnsi" w:cstheme="majorHAnsi"/>
          <w:sz w:val="24"/>
          <w:szCs w:val="24"/>
        </w:rPr>
        <w:t>decreasing</w:t>
      </w:r>
      <w:r w:rsidR="00F178F3" w:rsidRPr="00BC3CD5">
        <w:rPr>
          <w:rFonts w:asciiTheme="minorHAnsi" w:hAnsiTheme="minorHAnsi" w:cstheme="majorHAnsi"/>
          <w:sz w:val="24"/>
          <w:szCs w:val="24"/>
        </w:rPr>
        <w:t xml:space="preserve"> of human </w:t>
      </w:r>
      <w:r w:rsidR="00307B48">
        <w:rPr>
          <w:rFonts w:asciiTheme="minorHAnsi" w:hAnsiTheme="minorHAnsi" w:cstheme="majorHAnsi"/>
          <w:sz w:val="24"/>
          <w:szCs w:val="24"/>
        </w:rPr>
        <w:t>factor</w:t>
      </w:r>
      <w:r w:rsidR="00F178F3" w:rsidRPr="00BC3CD5">
        <w:rPr>
          <w:rFonts w:asciiTheme="minorHAnsi" w:hAnsiTheme="minorHAnsi" w:cstheme="majorHAnsi"/>
          <w:sz w:val="24"/>
          <w:szCs w:val="24"/>
        </w:rPr>
        <w:t xml:space="preserve"> in a variety of clinical settings. Created by technological advances, the electronic health record (HER) contains a detailed patient’s medical history, </w:t>
      </w:r>
      <w:r w:rsidR="00BC3CD5" w:rsidRPr="00BC3CD5">
        <w:rPr>
          <w:rFonts w:asciiTheme="minorHAnsi" w:hAnsiTheme="minorHAnsi" w:cstheme="majorHAnsi"/>
          <w:sz w:val="24"/>
          <w:szCs w:val="24"/>
        </w:rPr>
        <w:t>available</w:t>
      </w:r>
      <w:r w:rsidR="00F178F3" w:rsidRPr="00BC3CD5">
        <w:rPr>
          <w:rFonts w:asciiTheme="minorHAnsi" w:hAnsiTheme="minorHAnsi" w:cstheme="majorHAnsi"/>
          <w:sz w:val="24"/>
          <w:szCs w:val="24"/>
        </w:rPr>
        <w:t xml:space="preserve"> 24 hours a day, seven days a week, and includes built-in protections to ensure the confidentiality and security of patient health information. Moreover,</w:t>
      </w:r>
      <w:r w:rsidR="00AE5C0D" w:rsidRPr="00BC3CD5">
        <w:rPr>
          <w:rFonts w:asciiTheme="minorHAnsi" w:hAnsiTheme="minorHAnsi"/>
          <w:sz w:val="24"/>
          <w:szCs w:val="24"/>
        </w:rPr>
        <w:t xml:space="preserve"> </w:t>
      </w:r>
      <w:r w:rsidR="00AE5C0D" w:rsidRPr="00BC3CD5">
        <w:rPr>
          <w:rFonts w:asciiTheme="minorHAnsi" w:hAnsiTheme="minorHAnsi" w:cstheme="majorHAnsi"/>
          <w:sz w:val="24"/>
          <w:szCs w:val="24"/>
        </w:rPr>
        <w:t xml:space="preserve">nanotechnology is the study of small cells or the control of materials on an atomic or molecular scale. </w:t>
      </w:r>
      <w:r w:rsidR="00F178F3" w:rsidRPr="00BC3CD5">
        <w:rPr>
          <w:rFonts w:asciiTheme="minorHAnsi" w:hAnsiTheme="minorHAnsi" w:cstheme="majorHAnsi"/>
          <w:sz w:val="24"/>
          <w:szCs w:val="24"/>
        </w:rPr>
        <w:t xml:space="preserve">Hence, </w:t>
      </w:r>
      <w:r w:rsidR="00AE5C0D" w:rsidRPr="00EF743D">
        <w:rPr>
          <w:rFonts w:asciiTheme="minorHAnsi" w:hAnsiTheme="minorHAnsi" w:cstheme="majorHAnsi"/>
          <w:sz w:val="24"/>
          <w:szCs w:val="24"/>
        </w:rPr>
        <w:t>nanomedicine is the medical use of nanotechnology to illness diagnostics, control, and therapy.</w:t>
      </w:r>
      <w:r w:rsidR="00F178F3" w:rsidRPr="00EF743D">
        <w:rPr>
          <w:rFonts w:asciiTheme="minorHAnsi" w:hAnsiTheme="minorHAnsi" w:cstheme="majorHAnsi"/>
          <w:sz w:val="24"/>
          <w:szCs w:val="24"/>
        </w:rPr>
        <w:t xml:space="preserve"> (Sadiku, Akhare, and Musa, 2019)</w:t>
      </w:r>
    </w:p>
    <w:p w14:paraId="31B1447C" w14:textId="201741D3" w:rsidR="00F178F3" w:rsidRPr="00EF743D" w:rsidRDefault="00F178F3" w:rsidP="00EF743D">
      <w:pPr>
        <w:spacing w:after="0" w:line="360" w:lineRule="auto"/>
        <w:ind w:firstLine="720"/>
        <w:rPr>
          <w:rFonts w:asciiTheme="minorHAnsi" w:hAnsiTheme="minorHAnsi" w:cstheme="majorHAnsi"/>
          <w:sz w:val="24"/>
          <w:szCs w:val="24"/>
        </w:rPr>
      </w:pPr>
      <w:bookmarkStart w:id="0" w:name="_Hlk102721793"/>
      <w:r w:rsidRPr="00EF743D">
        <w:rPr>
          <w:rFonts w:asciiTheme="minorHAnsi" w:hAnsiTheme="minorHAnsi" w:cstheme="majorHAnsi"/>
          <w:sz w:val="24"/>
          <w:szCs w:val="24"/>
        </w:rPr>
        <w:t xml:space="preserve">Emerging technologies, such as artificial intelligence (AI), are being adopted by businesses with the expectation of benefiting from the competitive advantages that these technologies can provide. As an example, by quickly acquiring emerging technologies that are widely funded and implemented within the organization, companies save money by empowering the process owner to thrive in business, resulting in improved operational efficiency and quality analyses. (Young, 2021) From </w:t>
      </w:r>
      <w:r w:rsidR="00F733D4" w:rsidRPr="00EF743D">
        <w:rPr>
          <w:rFonts w:asciiTheme="minorHAnsi" w:hAnsiTheme="minorHAnsi" w:cstheme="majorHAnsi"/>
          <w:sz w:val="24"/>
          <w:szCs w:val="24"/>
        </w:rPr>
        <w:t>a distinct perspective</w:t>
      </w:r>
      <w:r w:rsidRPr="00EF743D">
        <w:rPr>
          <w:rFonts w:asciiTheme="minorHAnsi" w:hAnsiTheme="minorHAnsi" w:cstheme="majorHAnsi"/>
          <w:sz w:val="24"/>
          <w:szCs w:val="24"/>
        </w:rPr>
        <w:t xml:space="preserve">, the NHS's long-term goal is to accelerate its digital transformation </w:t>
      </w:r>
      <w:r w:rsidR="0037713F" w:rsidRPr="00EF743D">
        <w:rPr>
          <w:rFonts w:asciiTheme="minorHAnsi" w:hAnsiTheme="minorHAnsi" w:cstheme="majorHAnsi"/>
          <w:sz w:val="24"/>
          <w:szCs w:val="24"/>
        </w:rPr>
        <w:t>to</w:t>
      </w:r>
      <w:r w:rsidRPr="00EF743D">
        <w:rPr>
          <w:rFonts w:asciiTheme="minorHAnsi" w:hAnsiTheme="minorHAnsi" w:cstheme="majorHAnsi"/>
          <w:sz w:val="24"/>
          <w:szCs w:val="24"/>
        </w:rPr>
        <w:t xml:space="preserve"> take advantage of the many practical benefits AI may offer.</w:t>
      </w:r>
      <w:r w:rsidR="00EF743D" w:rsidRPr="00EF743D">
        <w:rPr>
          <w:rFonts w:asciiTheme="minorHAnsi" w:hAnsiTheme="minorHAnsi" w:cstheme="majorHAnsi"/>
          <w:sz w:val="24"/>
          <w:szCs w:val="24"/>
        </w:rPr>
        <w:t xml:space="preserve"> </w:t>
      </w:r>
      <w:r w:rsidR="00EF743D" w:rsidRPr="00EF743D">
        <w:rPr>
          <w:rFonts w:ascii="Cambria" w:hAnsi="Cambria"/>
          <w:sz w:val="24"/>
          <w:szCs w:val="24"/>
        </w:rPr>
        <w:t xml:space="preserve">The Welsh Clinical Portal (WCP) is an online network that allows health clinicians to interact, coordinate clinical decisions, and transmit medical data outside the confines of their institutions. Because all data is in one area, WCP ensures the confidentiality and safety of submitted information with a single log-on and offers access to up-to-date and reliable clinical notes and records. Time savings, avoidance of duplicated medical records, accuracy, and rapid access to people's healthcare information are all benefits of the "made in Wales" alternative for providing quality first-class digitised person-centred care. (Welsh NHS Confederation, 2020; Digital Health and Care Wales, </w:t>
      </w:r>
      <w:r w:rsidR="00EF743D" w:rsidRPr="00EF743D">
        <w:rPr>
          <w:rFonts w:ascii="Cambria" w:hAnsi="Cambria"/>
          <w:sz w:val="24"/>
          <w:szCs w:val="24"/>
        </w:rPr>
        <w:lastRenderedPageBreak/>
        <w:t>2018)</w:t>
      </w:r>
      <w:r w:rsidR="00EF743D">
        <w:rPr>
          <w:rFonts w:ascii="Cambria" w:hAnsi="Cambria"/>
          <w:sz w:val="24"/>
          <w:szCs w:val="24"/>
        </w:rPr>
        <w:t xml:space="preserve"> </w:t>
      </w:r>
      <w:r w:rsidRPr="00EF743D">
        <w:rPr>
          <w:rFonts w:asciiTheme="minorHAnsi" w:hAnsiTheme="minorHAnsi" w:cstheme="majorHAnsi"/>
          <w:sz w:val="24"/>
          <w:szCs w:val="24"/>
        </w:rPr>
        <w:t xml:space="preserve">As Mackay (2019) mentions, specialised AI technologies are used for early diagnostics, better and faster therapies to reduce associated diseases, and designing highly personalised treatment programs. For example, Gendius-forecasts diabetes development and subsequently assists in reducing the risks. Snoozeal – which both treats obstructive sleep apnea with moderate electric pulses and collects biosensor data for delivering personalised medications – and, </w:t>
      </w:r>
      <w:r w:rsidR="0037713F" w:rsidRPr="00EF743D">
        <w:rPr>
          <w:rFonts w:asciiTheme="minorHAnsi" w:hAnsiTheme="minorHAnsi" w:cstheme="majorHAnsi"/>
          <w:sz w:val="24"/>
          <w:szCs w:val="24"/>
        </w:rPr>
        <w:t>finally</w:t>
      </w:r>
      <w:r w:rsidRPr="00EF743D">
        <w:rPr>
          <w:rFonts w:asciiTheme="minorHAnsi" w:hAnsiTheme="minorHAnsi" w:cstheme="majorHAnsi"/>
          <w:sz w:val="24"/>
          <w:szCs w:val="24"/>
        </w:rPr>
        <w:t xml:space="preserve">, Mind over Matter – which </w:t>
      </w:r>
      <w:r w:rsidR="00952948">
        <w:rPr>
          <w:rFonts w:asciiTheme="minorHAnsi" w:hAnsiTheme="minorHAnsi" w:cstheme="majorHAnsi"/>
          <w:sz w:val="24"/>
          <w:szCs w:val="24"/>
        </w:rPr>
        <w:t>trialed</w:t>
      </w:r>
      <w:r w:rsidRPr="00EF743D">
        <w:rPr>
          <w:rFonts w:asciiTheme="minorHAnsi" w:hAnsiTheme="minorHAnsi" w:cstheme="majorHAnsi"/>
          <w:sz w:val="24"/>
          <w:szCs w:val="24"/>
        </w:rPr>
        <w:t xml:space="preserve"> innovative, low-cost, and mobile brain scan equipment to improve early dementia </w:t>
      </w:r>
      <w:r w:rsidR="00F733D4" w:rsidRPr="00EF743D">
        <w:rPr>
          <w:rFonts w:asciiTheme="minorHAnsi" w:hAnsiTheme="minorHAnsi" w:cstheme="majorHAnsi"/>
          <w:sz w:val="24"/>
          <w:szCs w:val="24"/>
        </w:rPr>
        <w:t>detection. However</w:t>
      </w:r>
      <w:r w:rsidRPr="00EF743D">
        <w:rPr>
          <w:rFonts w:asciiTheme="minorHAnsi" w:hAnsiTheme="minorHAnsi" w:cstheme="majorHAnsi"/>
          <w:sz w:val="24"/>
          <w:szCs w:val="24"/>
        </w:rPr>
        <w:t xml:space="preserve">, these technologies also bring some challenges that need to be mitigated. All these advancements minimise the pressure on the system, free up physicians’ time to focus on the human aspects of their jobs where they bring the greatest value and boost precision and effectiveness in the healthcare system. Conversely, due to normal human apprehension about technology, some concerns come ahead about security issues of data and privacy, decreasing human contact, and face-to-face interaction. Even so, Yang et al. (2015) </w:t>
      </w:r>
      <w:proofErr w:type="gramStart"/>
      <w:r w:rsidRPr="00EF743D">
        <w:rPr>
          <w:rFonts w:asciiTheme="minorHAnsi" w:hAnsiTheme="minorHAnsi" w:cstheme="majorHAnsi"/>
          <w:sz w:val="24"/>
          <w:szCs w:val="24"/>
        </w:rPr>
        <w:t>point</w:t>
      </w:r>
      <w:proofErr w:type="gramEnd"/>
      <w:r w:rsidRPr="00EF743D">
        <w:rPr>
          <w:rFonts w:asciiTheme="minorHAnsi" w:hAnsiTheme="minorHAnsi" w:cstheme="majorHAnsi"/>
          <w:sz w:val="24"/>
          <w:szCs w:val="24"/>
        </w:rPr>
        <w:t xml:space="preserve"> out that technology has surpassed ordinary medical goals by generating advanced and excellent improvements in big data and cloud computing analysis that identify useful trends in forecast medicine, as well as the considerable growth of quantitative and powerful sensors and smart sensor systems for monitoring chronic and acute medical conditions.</w:t>
      </w:r>
    </w:p>
    <w:bookmarkEnd w:id="0"/>
    <w:p w14:paraId="0A9EA4CE" w14:textId="205AA74E" w:rsidR="006B5E03" w:rsidRPr="008444FC" w:rsidRDefault="00F178F3" w:rsidP="00EF743D">
      <w:pPr>
        <w:spacing w:after="0" w:line="360" w:lineRule="auto"/>
        <w:rPr>
          <w:rFonts w:asciiTheme="minorHAnsi" w:hAnsiTheme="minorHAnsi" w:cstheme="majorHAnsi"/>
          <w:sz w:val="24"/>
          <w:szCs w:val="24"/>
        </w:rPr>
      </w:pPr>
      <w:r w:rsidRPr="00EF743D">
        <w:rPr>
          <w:rStyle w:val="Strong"/>
          <w:rFonts w:asciiTheme="minorHAnsi" w:hAnsiTheme="minorHAnsi" w:cstheme="majorHAnsi"/>
          <w:sz w:val="24"/>
          <w:szCs w:val="24"/>
        </w:rPr>
        <w:t> </w:t>
      </w:r>
      <w:r w:rsidR="000A4D97" w:rsidRPr="00EF743D">
        <w:rPr>
          <w:rFonts w:asciiTheme="minorHAnsi" w:hAnsiTheme="minorHAnsi" w:cstheme="majorHAnsi"/>
          <w:sz w:val="24"/>
          <w:szCs w:val="24"/>
        </w:rPr>
        <w:tab/>
      </w:r>
      <w:r w:rsidR="00A91752" w:rsidRPr="00EF743D">
        <w:rPr>
          <w:rFonts w:ascii="Cambria" w:hAnsi="Cambria"/>
          <w:sz w:val="24"/>
          <w:szCs w:val="24"/>
        </w:rPr>
        <w:t xml:space="preserve">Because all healthcare systems are run by and for individuals, a comprehensive grasp of human resource management concerns is critical to the </w:t>
      </w:r>
      <w:r w:rsidR="00F8058E" w:rsidRPr="00EF743D">
        <w:rPr>
          <w:rFonts w:ascii="Cambria" w:hAnsi="Cambria"/>
          <w:sz w:val="24"/>
          <w:szCs w:val="24"/>
        </w:rPr>
        <w:t>accomplishment</w:t>
      </w:r>
      <w:r w:rsidR="00A91752" w:rsidRPr="00EF743D">
        <w:rPr>
          <w:rFonts w:ascii="Cambria" w:hAnsi="Cambria"/>
          <w:sz w:val="24"/>
          <w:szCs w:val="24"/>
        </w:rPr>
        <w:t xml:space="preserve"> of any </w:t>
      </w:r>
      <w:r w:rsidR="001F02FD">
        <w:rPr>
          <w:rFonts w:ascii="Cambria" w:hAnsi="Cambria"/>
          <w:sz w:val="24"/>
          <w:szCs w:val="24"/>
        </w:rPr>
        <w:t>healthcare</w:t>
      </w:r>
      <w:r w:rsidR="00A91752" w:rsidRPr="00EF743D">
        <w:rPr>
          <w:rFonts w:ascii="Cambria" w:hAnsi="Cambria"/>
          <w:sz w:val="24"/>
          <w:szCs w:val="24"/>
        </w:rPr>
        <w:t xml:space="preserve"> program. In many healthcare facilities, more human resources efforts are ne</w:t>
      </w:r>
      <w:r w:rsidR="00DA55A5" w:rsidRPr="00EF743D">
        <w:rPr>
          <w:rFonts w:ascii="Cambria" w:hAnsi="Cambria"/>
          <w:sz w:val="24"/>
          <w:szCs w:val="24"/>
        </w:rPr>
        <w:t>cessary</w:t>
      </w:r>
      <w:r w:rsidR="00A91752" w:rsidRPr="00EF743D">
        <w:rPr>
          <w:rFonts w:ascii="Cambria" w:hAnsi="Cambria"/>
          <w:sz w:val="24"/>
          <w:szCs w:val="24"/>
        </w:rPr>
        <w:t xml:space="preserve">, as well as more detailed research to </w:t>
      </w:r>
      <w:r w:rsidR="00F8058E" w:rsidRPr="00EF743D">
        <w:rPr>
          <w:rFonts w:ascii="Cambria" w:hAnsi="Cambria"/>
          <w:sz w:val="24"/>
          <w:szCs w:val="24"/>
        </w:rPr>
        <w:t>develop</w:t>
      </w:r>
      <w:r w:rsidR="00A91752" w:rsidRPr="00EF743D">
        <w:rPr>
          <w:rFonts w:ascii="Cambria" w:hAnsi="Cambria"/>
          <w:sz w:val="24"/>
          <w:szCs w:val="24"/>
        </w:rPr>
        <w:t xml:space="preserve"> new human resources </w:t>
      </w:r>
      <w:r w:rsidR="00F8058E" w:rsidRPr="00EF743D">
        <w:rPr>
          <w:rFonts w:ascii="Cambria" w:hAnsi="Cambria"/>
          <w:sz w:val="24"/>
          <w:szCs w:val="24"/>
        </w:rPr>
        <w:t>laws</w:t>
      </w:r>
      <w:r w:rsidR="00A91752" w:rsidRPr="00EF743D">
        <w:rPr>
          <w:rFonts w:ascii="Cambria" w:hAnsi="Cambria"/>
          <w:sz w:val="24"/>
          <w:szCs w:val="24"/>
        </w:rPr>
        <w:t xml:space="preserve"> and </w:t>
      </w:r>
      <w:r w:rsidR="00F8058E" w:rsidRPr="00EF743D">
        <w:rPr>
          <w:rFonts w:ascii="Cambria" w:hAnsi="Cambria"/>
          <w:sz w:val="24"/>
          <w:szCs w:val="24"/>
        </w:rPr>
        <w:t>procedures</w:t>
      </w:r>
      <w:r w:rsidR="00A91752" w:rsidRPr="00EF743D">
        <w:rPr>
          <w:rFonts w:ascii="Cambria" w:hAnsi="Cambria"/>
          <w:sz w:val="24"/>
          <w:szCs w:val="24"/>
        </w:rPr>
        <w:t xml:space="preserve"> that will help people all over the globe. </w:t>
      </w:r>
      <w:r w:rsidRPr="00EF743D">
        <w:rPr>
          <w:rFonts w:asciiTheme="minorHAnsi" w:hAnsiTheme="minorHAnsi" w:cstheme="majorHAnsi"/>
          <w:sz w:val="24"/>
          <w:szCs w:val="24"/>
        </w:rPr>
        <w:t>This report discussed organisational concepts, their challenges, and opportunities for healthcare organi</w:t>
      </w:r>
      <w:r w:rsidR="00687F37" w:rsidRPr="00EF743D">
        <w:rPr>
          <w:rFonts w:asciiTheme="minorHAnsi" w:hAnsiTheme="minorHAnsi" w:cstheme="majorHAnsi"/>
          <w:sz w:val="24"/>
          <w:szCs w:val="24"/>
        </w:rPr>
        <w:t>s</w:t>
      </w:r>
      <w:r w:rsidRPr="00EF743D">
        <w:rPr>
          <w:rFonts w:asciiTheme="minorHAnsi" w:hAnsiTheme="minorHAnsi" w:cstheme="majorHAnsi"/>
          <w:sz w:val="24"/>
          <w:szCs w:val="24"/>
        </w:rPr>
        <w:t>ations. Human resource management in health care organisations is different from corporate organisations because the ultimate objective is not profit generation but to ensure that the customers (patients) have the best experience possible. </w:t>
      </w:r>
      <w:r w:rsidR="00D543C2" w:rsidRPr="00EF743D">
        <w:rPr>
          <w:rFonts w:asciiTheme="minorHAnsi" w:hAnsiTheme="minorHAnsi" w:cstheme="majorHAnsi"/>
          <w:sz w:val="24"/>
          <w:szCs w:val="24"/>
        </w:rPr>
        <w:t xml:space="preserve">Therefore, the motivation practices and strategies adopted by their managers and leaders are different. </w:t>
      </w:r>
      <w:r w:rsidR="00687F37" w:rsidRPr="00EF743D">
        <w:rPr>
          <w:rFonts w:asciiTheme="minorHAnsi" w:hAnsiTheme="minorHAnsi" w:cstheme="majorHAnsi"/>
          <w:sz w:val="24"/>
          <w:szCs w:val="24"/>
        </w:rPr>
        <w:t>The way an organisation pursues its aims and objectives is heavily influenced by its culture.</w:t>
      </w:r>
      <w:r w:rsidR="00D543C2" w:rsidRPr="00EF743D">
        <w:rPr>
          <w:rFonts w:asciiTheme="minorHAnsi" w:hAnsiTheme="minorHAnsi" w:cstheme="majorHAnsi"/>
          <w:sz w:val="24"/>
          <w:szCs w:val="24"/>
        </w:rPr>
        <w:t xml:space="preserve"> Organi</w:t>
      </w:r>
      <w:r w:rsidR="00687F37" w:rsidRPr="00EF743D">
        <w:rPr>
          <w:rFonts w:asciiTheme="minorHAnsi" w:hAnsiTheme="minorHAnsi" w:cstheme="majorHAnsi"/>
          <w:sz w:val="24"/>
          <w:szCs w:val="24"/>
        </w:rPr>
        <w:t>s</w:t>
      </w:r>
      <w:r w:rsidR="00D543C2" w:rsidRPr="00EF743D">
        <w:rPr>
          <w:rFonts w:asciiTheme="minorHAnsi" w:hAnsiTheme="minorHAnsi" w:cstheme="majorHAnsi"/>
          <w:sz w:val="24"/>
          <w:szCs w:val="24"/>
        </w:rPr>
        <w:t xml:space="preserve">ations </w:t>
      </w:r>
      <w:r w:rsidR="00E46B22" w:rsidRPr="00EF743D">
        <w:rPr>
          <w:rFonts w:asciiTheme="minorHAnsi" w:hAnsiTheme="minorHAnsi" w:cstheme="majorHAnsi"/>
          <w:sz w:val="24"/>
          <w:szCs w:val="24"/>
        </w:rPr>
        <w:t>able</w:t>
      </w:r>
      <w:r w:rsidR="00D543C2" w:rsidRPr="00EF743D">
        <w:rPr>
          <w:rFonts w:asciiTheme="minorHAnsi" w:hAnsiTheme="minorHAnsi" w:cstheme="majorHAnsi"/>
          <w:sz w:val="24"/>
          <w:szCs w:val="24"/>
        </w:rPr>
        <w:t xml:space="preserve"> to foster healthy and productive cultures</w:t>
      </w:r>
      <w:r w:rsidR="00E21B1B" w:rsidRPr="00EF743D">
        <w:rPr>
          <w:rFonts w:asciiTheme="minorHAnsi" w:hAnsiTheme="minorHAnsi" w:cstheme="majorHAnsi"/>
          <w:sz w:val="24"/>
          <w:szCs w:val="24"/>
        </w:rPr>
        <w:t xml:space="preserve"> </w:t>
      </w:r>
      <w:r w:rsidR="00D543C2" w:rsidRPr="00EF743D">
        <w:rPr>
          <w:rFonts w:asciiTheme="minorHAnsi" w:hAnsiTheme="minorHAnsi" w:cstheme="majorHAnsi"/>
          <w:sz w:val="24"/>
          <w:szCs w:val="24"/>
        </w:rPr>
        <w:t>are highly likely to meet their objectives successfully. In addition, it also helps them implement change successfully. For instance, the adoption of modern</w:t>
      </w:r>
      <w:r w:rsidR="00D543C2" w:rsidRPr="008444FC">
        <w:rPr>
          <w:rFonts w:asciiTheme="minorHAnsi" w:hAnsiTheme="minorHAnsi" w:cstheme="majorHAnsi"/>
          <w:sz w:val="24"/>
          <w:szCs w:val="24"/>
        </w:rPr>
        <w:t xml:space="preserve"> </w:t>
      </w:r>
      <w:r w:rsidR="00D543C2" w:rsidRPr="008444FC">
        <w:rPr>
          <w:rFonts w:asciiTheme="minorHAnsi" w:hAnsiTheme="minorHAnsi" w:cstheme="majorHAnsi"/>
          <w:sz w:val="24"/>
          <w:szCs w:val="24"/>
        </w:rPr>
        <w:lastRenderedPageBreak/>
        <w:t>technologies can be challenging, but effective HR management and supportive organi</w:t>
      </w:r>
      <w:r w:rsidR="00687F37" w:rsidRPr="008444FC">
        <w:rPr>
          <w:rFonts w:asciiTheme="minorHAnsi" w:hAnsiTheme="minorHAnsi" w:cstheme="majorHAnsi"/>
          <w:sz w:val="24"/>
          <w:szCs w:val="24"/>
        </w:rPr>
        <w:t>s</w:t>
      </w:r>
      <w:r w:rsidR="00D543C2" w:rsidRPr="008444FC">
        <w:rPr>
          <w:rFonts w:asciiTheme="minorHAnsi" w:hAnsiTheme="minorHAnsi" w:cstheme="majorHAnsi"/>
          <w:sz w:val="24"/>
          <w:szCs w:val="24"/>
        </w:rPr>
        <w:t xml:space="preserve">ational culture can help overcome these challenges as well as exploit the benefits that it brings along. </w:t>
      </w:r>
    </w:p>
    <w:p w14:paraId="03251D53" w14:textId="77777777" w:rsidR="006B5E03" w:rsidRPr="008444FC" w:rsidRDefault="006B5E03" w:rsidP="008444FC">
      <w:pPr>
        <w:spacing w:after="0" w:line="360" w:lineRule="auto"/>
        <w:rPr>
          <w:rFonts w:asciiTheme="minorHAnsi" w:eastAsia="Times New Roman" w:hAnsiTheme="minorHAnsi" w:cstheme="majorHAnsi"/>
          <w:sz w:val="24"/>
          <w:szCs w:val="24"/>
        </w:rPr>
      </w:pPr>
    </w:p>
    <w:p w14:paraId="41E2AC41" w14:textId="4A35D041" w:rsidR="006B5E03" w:rsidRPr="00BC3CD5" w:rsidRDefault="006B5E03" w:rsidP="00BC3CD5">
      <w:pPr>
        <w:spacing w:after="0" w:line="360" w:lineRule="auto"/>
        <w:rPr>
          <w:rFonts w:asciiTheme="minorHAnsi" w:eastAsia="Times New Roman" w:hAnsiTheme="minorHAnsi" w:cstheme="majorHAnsi"/>
          <w:sz w:val="24"/>
          <w:szCs w:val="24"/>
        </w:rPr>
      </w:pPr>
    </w:p>
    <w:p w14:paraId="0D8339E3" w14:textId="7E507EFF" w:rsidR="00187674" w:rsidRPr="00BC3CD5" w:rsidRDefault="00187674" w:rsidP="00BC3CD5">
      <w:pPr>
        <w:spacing w:after="0" w:line="360" w:lineRule="auto"/>
        <w:rPr>
          <w:rFonts w:asciiTheme="minorHAnsi" w:eastAsia="Times New Roman" w:hAnsiTheme="minorHAnsi" w:cstheme="majorHAnsi"/>
          <w:sz w:val="24"/>
          <w:szCs w:val="24"/>
        </w:rPr>
      </w:pPr>
    </w:p>
    <w:p w14:paraId="7124EC0D" w14:textId="24F7CFF2" w:rsidR="00187674" w:rsidRDefault="00187674" w:rsidP="00BC3CD5">
      <w:pPr>
        <w:spacing w:after="0" w:line="360" w:lineRule="auto"/>
        <w:rPr>
          <w:rFonts w:asciiTheme="minorHAnsi" w:eastAsia="Times New Roman" w:hAnsiTheme="minorHAnsi" w:cstheme="majorHAnsi"/>
          <w:sz w:val="24"/>
          <w:szCs w:val="24"/>
        </w:rPr>
      </w:pPr>
    </w:p>
    <w:p w14:paraId="51F13FF8" w14:textId="337EA38C" w:rsidR="00BC3CD5" w:rsidRDefault="00BC3CD5" w:rsidP="00BC3CD5">
      <w:pPr>
        <w:spacing w:after="0" w:line="360" w:lineRule="auto"/>
        <w:rPr>
          <w:rFonts w:asciiTheme="minorHAnsi" w:eastAsia="Times New Roman" w:hAnsiTheme="minorHAnsi" w:cstheme="majorHAnsi"/>
          <w:sz w:val="24"/>
          <w:szCs w:val="24"/>
        </w:rPr>
      </w:pPr>
    </w:p>
    <w:p w14:paraId="1C550628" w14:textId="04D9ED46" w:rsidR="00EF743D" w:rsidRDefault="00EF743D" w:rsidP="00BC3CD5">
      <w:pPr>
        <w:spacing w:after="0" w:line="360" w:lineRule="auto"/>
        <w:rPr>
          <w:rFonts w:asciiTheme="minorHAnsi" w:eastAsia="Times New Roman" w:hAnsiTheme="minorHAnsi" w:cstheme="majorHAnsi"/>
          <w:sz w:val="24"/>
          <w:szCs w:val="24"/>
        </w:rPr>
      </w:pPr>
    </w:p>
    <w:p w14:paraId="37704782" w14:textId="69741F17" w:rsidR="00EF743D" w:rsidRDefault="00EF743D" w:rsidP="00BC3CD5">
      <w:pPr>
        <w:spacing w:after="0" w:line="360" w:lineRule="auto"/>
        <w:rPr>
          <w:rFonts w:asciiTheme="minorHAnsi" w:eastAsia="Times New Roman" w:hAnsiTheme="minorHAnsi" w:cstheme="majorHAnsi"/>
          <w:sz w:val="24"/>
          <w:szCs w:val="24"/>
        </w:rPr>
      </w:pPr>
    </w:p>
    <w:p w14:paraId="26D99F88" w14:textId="05C9E6A6" w:rsidR="00EF743D" w:rsidRDefault="00EF743D" w:rsidP="00BC3CD5">
      <w:pPr>
        <w:spacing w:after="0" w:line="360" w:lineRule="auto"/>
        <w:rPr>
          <w:rFonts w:asciiTheme="minorHAnsi" w:eastAsia="Times New Roman" w:hAnsiTheme="minorHAnsi" w:cstheme="majorHAnsi"/>
          <w:sz w:val="24"/>
          <w:szCs w:val="24"/>
        </w:rPr>
      </w:pPr>
    </w:p>
    <w:p w14:paraId="2DA2114C" w14:textId="3D7E63C8" w:rsidR="00EF743D" w:rsidRDefault="00EF743D" w:rsidP="00BC3CD5">
      <w:pPr>
        <w:spacing w:after="0" w:line="360" w:lineRule="auto"/>
        <w:rPr>
          <w:rFonts w:asciiTheme="minorHAnsi" w:eastAsia="Times New Roman" w:hAnsiTheme="minorHAnsi" w:cstheme="majorHAnsi"/>
          <w:sz w:val="24"/>
          <w:szCs w:val="24"/>
        </w:rPr>
      </w:pPr>
    </w:p>
    <w:p w14:paraId="34C6BAF6" w14:textId="46FF37E6" w:rsidR="00EF743D" w:rsidRDefault="00EF743D" w:rsidP="00BC3CD5">
      <w:pPr>
        <w:spacing w:after="0" w:line="360" w:lineRule="auto"/>
        <w:rPr>
          <w:rFonts w:asciiTheme="minorHAnsi" w:eastAsia="Times New Roman" w:hAnsiTheme="minorHAnsi" w:cstheme="majorHAnsi"/>
          <w:sz w:val="24"/>
          <w:szCs w:val="24"/>
        </w:rPr>
      </w:pPr>
    </w:p>
    <w:p w14:paraId="481045CD" w14:textId="33529BBF" w:rsidR="00EF743D" w:rsidRDefault="00EF743D" w:rsidP="00BC3CD5">
      <w:pPr>
        <w:spacing w:after="0" w:line="360" w:lineRule="auto"/>
        <w:rPr>
          <w:rFonts w:asciiTheme="minorHAnsi" w:eastAsia="Times New Roman" w:hAnsiTheme="minorHAnsi" w:cstheme="majorHAnsi"/>
          <w:sz w:val="24"/>
          <w:szCs w:val="24"/>
        </w:rPr>
      </w:pPr>
    </w:p>
    <w:p w14:paraId="032DB2CD" w14:textId="0B310FBC" w:rsidR="00EF743D" w:rsidRDefault="00EF743D" w:rsidP="00BC3CD5">
      <w:pPr>
        <w:spacing w:after="0" w:line="360" w:lineRule="auto"/>
        <w:rPr>
          <w:rFonts w:asciiTheme="minorHAnsi" w:eastAsia="Times New Roman" w:hAnsiTheme="minorHAnsi" w:cstheme="majorHAnsi"/>
          <w:sz w:val="24"/>
          <w:szCs w:val="24"/>
        </w:rPr>
      </w:pPr>
    </w:p>
    <w:p w14:paraId="743547AF" w14:textId="3B0BF1BC" w:rsidR="00EF743D" w:rsidRDefault="00EF743D" w:rsidP="00BC3CD5">
      <w:pPr>
        <w:spacing w:after="0" w:line="360" w:lineRule="auto"/>
        <w:rPr>
          <w:rFonts w:asciiTheme="minorHAnsi" w:eastAsia="Times New Roman" w:hAnsiTheme="minorHAnsi" w:cstheme="majorHAnsi"/>
          <w:sz w:val="24"/>
          <w:szCs w:val="24"/>
        </w:rPr>
      </w:pPr>
    </w:p>
    <w:p w14:paraId="54459CE0" w14:textId="0DA02694" w:rsidR="00EF743D" w:rsidRDefault="00EF743D" w:rsidP="00BC3CD5">
      <w:pPr>
        <w:spacing w:after="0" w:line="360" w:lineRule="auto"/>
        <w:rPr>
          <w:rFonts w:asciiTheme="minorHAnsi" w:eastAsia="Times New Roman" w:hAnsiTheme="minorHAnsi" w:cstheme="majorHAnsi"/>
          <w:sz w:val="24"/>
          <w:szCs w:val="24"/>
        </w:rPr>
      </w:pPr>
    </w:p>
    <w:p w14:paraId="53F4B024" w14:textId="6D162DA4" w:rsidR="00EF743D" w:rsidRDefault="00EF743D" w:rsidP="00BC3CD5">
      <w:pPr>
        <w:spacing w:after="0" w:line="360" w:lineRule="auto"/>
        <w:rPr>
          <w:rFonts w:asciiTheme="minorHAnsi" w:eastAsia="Times New Roman" w:hAnsiTheme="minorHAnsi" w:cstheme="majorHAnsi"/>
          <w:sz w:val="24"/>
          <w:szCs w:val="24"/>
        </w:rPr>
      </w:pPr>
    </w:p>
    <w:p w14:paraId="06E1E13F" w14:textId="228ADA52" w:rsidR="00EF743D" w:rsidRDefault="00EF743D" w:rsidP="00BC3CD5">
      <w:pPr>
        <w:spacing w:after="0" w:line="360" w:lineRule="auto"/>
        <w:rPr>
          <w:rFonts w:asciiTheme="minorHAnsi" w:eastAsia="Times New Roman" w:hAnsiTheme="minorHAnsi" w:cstheme="majorHAnsi"/>
          <w:sz w:val="24"/>
          <w:szCs w:val="24"/>
        </w:rPr>
      </w:pPr>
    </w:p>
    <w:p w14:paraId="43E64A9D" w14:textId="74C9462B" w:rsidR="00EF743D" w:rsidRDefault="00EF743D" w:rsidP="00BC3CD5">
      <w:pPr>
        <w:spacing w:after="0" w:line="360" w:lineRule="auto"/>
        <w:rPr>
          <w:rFonts w:asciiTheme="minorHAnsi" w:eastAsia="Times New Roman" w:hAnsiTheme="minorHAnsi" w:cstheme="majorHAnsi"/>
          <w:sz w:val="24"/>
          <w:szCs w:val="24"/>
        </w:rPr>
      </w:pPr>
    </w:p>
    <w:p w14:paraId="6895D75B" w14:textId="5773A216" w:rsidR="00EF743D" w:rsidRDefault="00EF743D" w:rsidP="00BC3CD5">
      <w:pPr>
        <w:spacing w:after="0" w:line="360" w:lineRule="auto"/>
        <w:rPr>
          <w:rFonts w:asciiTheme="minorHAnsi" w:eastAsia="Times New Roman" w:hAnsiTheme="minorHAnsi" w:cstheme="majorHAnsi"/>
          <w:sz w:val="24"/>
          <w:szCs w:val="24"/>
        </w:rPr>
      </w:pPr>
    </w:p>
    <w:p w14:paraId="0A1E12A4" w14:textId="3EBDDF97" w:rsidR="00EF743D" w:rsidRDefault="00EF743D" w:rsidP="00BC3CD5">
      <w:pPr>
        <w:spacing w:after="0" w:line="360" w:lineRule="auto"/>
        <w:rPr>
          <w:rFonts w:asciiTheme="minorHAnsi" w:eastAsia="Times New Roman" w:hAnsiTheme="minorHAnsi" w:cstheme="majorHAnsi"/>
          <w:sz w:val="24"/>
          <w:szCs w:val="24"/>
        </w:rPr>
      </w:pPr>
    </w:p>
    <w:p w14:paraId="15377EAC" w14:textId="0D0345A8" w:rsidR="00EF743D" w:rsidRDefault="00EF743D" w:rsidP="00BC3CD5">
      <w:pPr>
        <w:spacing w:after="0" w:line="360" w:lineRule="auto"/>
        <w:rPr>
          <w:rFonts w:asciiTheme="minorHAnsi" w:eastAsia="Times New Roman" w:hAnsiTheme="minorHAnsi" w:cstheme="majorHAnsi"/>
          <w:sz w:val="24"/>
          <w:szCs w:val="24"/>
        </w:rPr>
      </w:pPr>
    </w:p>
    <w:p w14:paraId="51940836" w14:textId="370BD2B7" w:rsidR="00EF743D" w:rsidRDefault="00EF743D" w:rsidP="00BC3CD5">
      <w:pPr>
        <w:spacing w:after="0" w:line="360" w:lineRule="auto"/>
        <w:rPr>
          <w:rFonts w:asciiTheme="minorHAnsi" w:eastAsia="Times New Roman" w:hAnsiTheme="minorHAnsi" w:cstheme="majorHAnsi"/>
          <w:sz w:val="24"/>
          <w:szCs w:val="24"/>
        </w:rPr>
      </w:pPr>
    </w:p>
    <w:p w14:paraId="5B9F7AD0" w14:textId="10377095" w:rsidR="00EF743D" w:rsidRDefault="00EF743D" w:rsidP="00BC3CD5">
      <w:pPr>
        <w:spacing w:after="0" w:line="360" w:lineRule="auto"/>
        <w:rPr>
          <w:rFonts w:asciiTheme="minorHAnsi" w:eastAsia="Times New Roman" w:hAnsiTheme="minorHAnsi" w:cstheme="majorHAnsi"/>
          <w:sz w:val="24"/>
          <w:szCs w:val="24"/>
        </w:rPr>
      </w:pPr>
    </w:p>
    <w:p w14:paraId="39E6B0A3" w14:textId="62133302" w:rsidR="00EF743D" w:rsidRDefault="00EF743D" w:rsidP="00BC3CD5">
      <w:pPr>
        <w:spacing w:after="0" w:line="360" w:lineRule="auto"/>
        <w:rPr>
          <w:rFonts w:asciiTheme="minorHAnsi" w:eastAsia="Times New Roman" w:hAnsiTheme="minorHAnsi" w:cstheme="majorHAnsi"/>
          <w:sz w:val="24"/>
          <w:szCs w:val="24"/>
        </w:rPr>
      </w:pPr>
    </w:p>
    <w:p w14:paraId="1598ACBF" w14:textId="1D27C6C6" w:rsidR="00EF743D" w:rsidRDefault="00EF743D" w:rsidP="00BC3CD5">
      <w:pPr>
        <w:spacing w:after="0" w:line="360" w:lineRule="auto"/>
        <w:rPr>
          <w:rFonts w:asciiTheme="minorHAnsi" w:eastAsia="Times New Roman" w:hAnsiTheme="minorHAnsi" w:cstheme="majorHAnsi"/>
          <w:sz w:val="24"/>
          <w:szCs w:val="24"/>
        </w:rPr>
      </w:pPr>
    </w:p>
    <w:p w14:paraId="1A0153ED" w14:textId="3FFD7534" w:rsidR="00EF743D" w:rsidRDefault="00EF743D" w:rsidP="00BC3CD5">
      <w:pPr>
        <w:spacing w:after="0" w:line="360" w:lineRule="auto"/>
        <w:rPr>
          <w:rFonts w:asciiTheme="minorHAnsi" w:eastAsia="Times New Roman" w:hAnsiTheme="minorHAnsi" w:cstheme="majorHAnsi"/>
          <w:sz w:val="24"/>
          <w:szCs w:val="24"/>
        </w:rPr>
      </w:pPr>
    </w:p>
    <w:p w14:paraId="79861804" w14:textId="28544046" w:rsidR="00EF743D" w:rsidRDefault="00EF743D" w:rsidP="00BC3CD5">
      <w:pPr>
        <w:spacing w:after="0" w:line="360" w:lineRule="auto"/>
        <w:rPr>
          <w:rFonts w:asciiTheme="minorHAnsi" w:eastAsia="Times New Roman" w:hAnsiTheme="minorHAnsi" w:cstheme="majorHAnsi"/>
          <w:sz w:val="24"/>
          <w:szCs w:val="24"/>
        </w:rPr>
      </w:pPr>
    </w:p>
    <w:p w14:paraId="433289C8" w14:textId="04DC9B05" w:rsidR="00EF743D" w:rsidRDefault="00EF743D" w:rsidP="00BC3CD5">
      <w:pPr>
        <w:spacing w:after="0" w:line="360" w:lineRule="auto"/>
        <w:rPr>
          <w:rFonts w:asciiTheme="minorHAnsi" w:eastAsia="Times New Roman" w:hAnsiTheme="minorHAnsi" w:cstheme="majorHAnsi"/>
          <w:sz w:val="24"/>
          <w:szCs w:val="24"/>
        </w:rPr>
      </w:pPr>
    </w:p>
    <w:p w14:paraId="1E33CEBC" w14:textId="77777777" w:rsidR="00EF743D" w:rsidRPr="00BC3CD5" w:rsidRDefault="00EF743D" w:rsidP="00BC3CD5">
      <w:pPr>
        <w:spacing w:after="0" w:line="360" w:lineRule="auto"/>
        <w:rPr>
          <w:rFonts w:asciiTheme="minorHAnsi" w:eastAsia="Times New Roman" w:hAnsiTheme="minorHAnsi" w:cstheme="majorHAnsi"/>
          <w:sz w:val="24"/>
          <w:szCs w:val="24"/>
        </w:rPr>
      </w:pPr>
    </w:p>
    <w:p w14:paraId="10D28C85" w14:textId="67DC88A6" w:rsidR="0017518A" w:rsidRPr="00BC3CD5" w:rsidRDefault="0017518A" w:rsidP="00BC3CD5">
      <w:pPr>
        <w:spacing w:after="0" w:line="360" w:lineRule="auto"/>
        <w:rPr>
          <w:rFonts w:asciiTheme="minorHAnsi" w:eastAsia="Times New Roman" w:hAnsiTheme="minorHAnsi" w:cs="Times New Roman"/>
          <w:b/>
          <w:bCs/>
          <w:sz w:val="24"/>
          <w:szCs w:val="24"/>
          <w:lang w:val="en-GB"/>
        </w:rPr>
      </w:pPr>
      <w:r w:rsidRPr="00BC3CD5">
        <w:rPr>
          <w:rFonts w:asciiTheme="minorHAnsi" w:eastAsia="Times New Roman" w:hAnsiTheme="minorHAnsi" w:cs="Times New Roman"/>
          <w:b/>
          <w:bCs/>
          <w:sz w:val="24"/>
          <w:szCs w:val="24"/>
          <w:lang w:val="en-GB"/>
        </w:rPr>
        <w:lastRenderedPageBreak/>
        <w:t>Reference lis</w:t>
      </w:r>
      <w:r w:rsidR="00187674" w:rsidRPr="00BC3CD5">
        <w:rPr>
          <w:rFonts w:asciiTheme="minorHAnsi" w:eastAsia="Times New Roman" w:hAnsiTheme="minorHAnsi" w:cs="Times New Roman"/>
          <w:b/>
          <w:bCs/>
          <w:sz w:val="24"/>
          <w:szCs w:val="24"/>
          <w:lang w:val="en-GB"/>
        </w:rPr>
        <w:t>t</w:t>
      </w:r>
    </w:p>
    <w:p w14:paraId="127340CB" w14:textId="77777777" w:rsidR="00187674" w:rsidRPr="00BC3CD5" w:rsidRDefault="00187674" w:rsidP="00BC3CD5">
      <w:pPr>
        <w:spacing w:after="0" w:line="360" w:lineRule="auto"/>
        <w:rPr>
          <w:rFonts w:asciiTheme="minorHAnsi" w:eastAsia="Times New Roman" w:hAnsiTheme="minorHAnsi" w:cstheme="majorHAnsi"/>
          <w:sz w:val="24"/>
          <w:szCs w:val="24"/>
        </w:rPr>
      </w:pPr>
    </w:p>
    <w:p w14:paraId="386C2980" w14:textId="77777777" w:rsidR="009020A0" w:rsidRPr="008E4547" w:rsidRDefault="009020A0" w:rsidP="009020A0">
      <w:pPr>
        <w:pStyle w:val="NormalWeb"/>
        <w:spacing w:before="0" w:beforeAutospacing="0" w:after="0" w:afterAutospacing="0" w:line="360" w:lineRule="auto"/>
        <w:ind w:left="720"/>
        <w:rPr>
          <w:rFonts w:ascii="Cambria" w:hAnsi="Cambria"/>
        </w:rPr>
      </w:pPr>
    </w:p>
    <w:p w14:paraId="2880DB6F"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Afolabi, A., Fernando, S. and Bottiglieri, T. (2018) “The effect of organisational factors in motivating healthcare employees: a systematic review”, </w:t>
      </w:r>
      <w:r w:rsidRPr="009020A0">
        <w:rPr>
          <w:rFonts w:asciiTheme="minorHAnsi" w:eastAsia="Times New Roman" w:hAnsiTheme="minorHAnsi" w:cs="Times New Roman"/>
          <w:i/>
          <w:iCs/>
          <w:sz w:val="24"/>
          <w:szCs w:val="24"/>
          <w:lang w:val="en-GB"/>
        </w:rPr>
        <w:t>British Journal of Healthcare Management</w:t>
      </w:r>
      <w:r w:rsidRPr="009020A0">
        <w:rPr>
          <w:rFonts w:asciiTheme="minorHAnsi" w:eastAsia="Times New Roman" w:hAnsiTheme="minorHAnsi" w:cs="Times New Roman"/>
          <w:sz w:val="24"/>
          <w:szCs w:val="24"/>
          <w:lang w:val="en-GB"/>
        </w:rPr>
        <w:t>, 24(12), pp.603–610. doi:10.12968/bjhc.2018.24.12.603.</w:t>
      </w:r>
    </w:p>
    <w:p w14:paraId="726EF32F"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Ahammad</w:t>
      </w:r>
      <w:proofErr w:type="spellEnd"/>
      <w:r w:rsidRPr="009020A0">
        <w:rPr>
          <w:rFonts w:asciiTheme="minorHAnsi" w:eastAsia="Times New Roman" w:hAnsiTheme="minorHAnsi" w:cs="Times New Roman"/>
          <w:sz w:val="24"/>
          <w:szCs w:val="24"/>
          <w:lang w:val="en-GB"/>
        </w:rPr>
        <w:t xml:space="preserve">, T. (2017) “Personnel Management to Human Resource Management (HRM): How HRM Functions?” </w:t>
      </w:r>
      <w:r w:rsidRPr="009020A0">
        <w:rPr>
          <w:rFonts w:asciiTheme="minorHAnsi" w:eastAsia="Times New Roman" w:hAnsiTheme="minorHAnsi" w:cs="Times New Roman"/>
          <w:i/>
          <w:iCs/>
          <w:sz w:val="24"/>
          <w:szCs w:val="24"/>
          <w:lang w:val="en-GB"/>
        </w:rPr>
        <w:t>Journal of Modern Accounting and Auditing</w:t>
      </w:r>
      <w:r w:rsidRPr="009020A0">
        <w:rPr>
          <w:rFonts w:asciiTheme="minorHAnsi" w:eastAsia="Times New Roman" w:hAnsiTheme="minorHAnsi" w:cs="Times New Roman"/>
          <w:sz w:val="24"/>
          <w:szCs w:val="24"/>
          <w:lang w:val="en-GB"/>
        </w:rPr>
        <w:t>, 13(9). doi:10.17265/1548-6583/2017.09.004.</w:t>
      </w:r>
    </w:p>
    <w:p w14:paraId="25744551"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Aini, S.E.N., </w:t>
      </w:r>
      <w:proofErr w:type="spellStart"/>
      <w:r w:rsidRPr="009020A0">
        <w:rPr>
          <w:rFonts w:asciiTheme="minorHAnsi" w:eastAsia="Times New Roman" w:hAnsiTheme="minorHAnsi" w:cs="Times New Roman"/>
          <w:sz w:val="24"/>
          <w:szCs w:val="24"/>
          <w:lang w:val="en-GB"/>
        </w:rPr>
        <w:t>Solihin</w:t>
      </w:r>
      <w:proofErr w:type="spellEnd"/>
      <w:r w:rsidRPr="009020A0">
        <w:rPr>
          <w:rFonts w:asciiTheme="minorHAnsi" w:eastAsia="Times New Roman" w:hAnsiTheme="minorHAnsi" w:cs="Times New Roman"/>
          <w:sz w:val="24"/>
          <w:szCs w:val="24"/>
          <w:lang w:val="en-GB"/>
        </w:rPr>
        <w:t xml:space="preserve">, N.S. and Muda, I. (2021) “Personnel Management to Human Resource Management (HRM) How does HRM function?” </w:t>
      </w:r>
      <w:r w:rsidRPr="009020A0">
        <w:rPr>
          <w:rFonts w:asciiTheme="minorHAnsi" w:eastAsia="Times New Roman" w:hAnsiTheme="minorHAnsi" w:cs="Times New Roman"/>
          <w:i/>
          <w:iCs/>
          <w:sz w:val="24"/>
          <w:szCs w:val="24"/>
          <w:lang w:val="en-GB"/>
        </w:rPr>
        <w:t>International Journal of Multidisciplinary Research and Growth Evaluation</w:t>
      </w:r>
      <w:r w:rsidRPr="009020A0">
        <w:rPr>
          <w:rFonts w:asciiTheme="minorHAnsi" w:eastAsia="Times New Roman" w:hAnsiTheme="minorHAnsi" w:cs="Times New Roman"/>
          <w:sz w:val="24"/>
          <w:szCs w:val="24"/>
          <w:lang w:val="en-GB"/>
        </w:rPr>
        <w:t>, 2(1), pp.344–347.</w:t>
      </w:r>
    </w:p>
    <w:p w14:paraId="7893F5FC"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Alderwick</w:t>
      </w:r>
      <w:proofErr w:type="spellEnd"/>
      <w:r w:rsidRPr="009020A0">
        <w:rPr>
          <w:rFonts w:asciiTheme="minorHAnsi" w:eastAsia="Times New Roman" w:hAnsiTheme="minorHAnsi" w:cs="Times New Roman"/>
          <w:sz w:val="24"/>
          <w:szCs w:val="24"/>
          <w:lang w:val="en-GB"/>
        </w:rPr>
        <w:t xml:space="preserve">, H. and Dixon, J. (2019) “The NHS long term plan”, </w:t>
      </w:r>
      <w:r w:rsidRPr="009020A0">
        <w:rPr>
          <w:rFonts w:asciiTheme="minorHAnsi" w:eastAsia="Times New Roman" w:hAnsiTheme="minorHAnsi" w:cs="Times New Roman"/>
          <w:i/>
          <w:iCs/>
          <w:sz w:val="24"/>
          <w:szCs w:val="24"/>
          <w:lang w:val="en-GB"/>
        </w:rPr>
        <w:t>BMJ</w:t>
      </w:r>
      <w:r w:rsidRPr="009020A0">
        <w:rPr>
          <w:rFonts w:asciiTheme="minorHAnsi" w:eastAsia="Times New Roman" w:hAnsiTheme="minorHAnsi" w:cs="Times New Roman"/>
          <w:sz w:val="24"/>
          <w:szCs w:val="24"/>
          <w:lang w:val="en-GB"/>
        </w:rPr>
        <w:t>, 364(184), p.l84. doi:10.1136/</w:t>
      </w:r>
      <w:proofErr w:type="gramStart"/>
      <w:r w:rsidRPr="009020A0">
        <w:rPr>
          <w:rFonts w:asciiTheme="minorHAnsi" w:eastAsia="Times New Roman" w:hAnsiTheme="minorHAnsi" w:cs="Times New Roman"/>
          <w:sz w:val="24"/>
          <w:szCs w:val="24"/>
          <w:lang w:val="en-GB"/>
        </w:rPr>
        <w:t>bmj.l</w:t>
      </w:r>
      <w:proofErr w:type="gramEnd"/>
      <w:r w:rsidRPr="009020A0">
        <w:rPr>
          <w:rFonts w:asciiTheme="minorHAnsi" w:eastAsia="Times New Roman" w:hAnsiTheme="minorHAnsi" w:cs="Times New Roman"/>
          <w:sz w:val="24"/>
          <w:szCs w:val="24"/>
          <w:lang w:val="en-GB"/>
        </w:rPr>
        <w:t>84.</w:t>
      </w:r>
    </w:p>
    <w:p w14:paraId="5F50C246"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Anderson, R., Amodeo, M. and Hartzfeld, J. (2010) “Changing business cultures from within”, </w:t>
      </w:r>
      <w:r w:rsidRPr="009020A0">
        <w:rPr>
          <w:rFonts w:asciiTheme="minorHAnsi" w:eastAsia="Times New Roman" w:hAnsiTheme="minorHAnsi" w:cs="Times New Roman"/>
          <w:i/>
          <w:iCs/>
          <w:sz w:val="24"/>
          <w:szCs w:val="24"/>
          <w:lang w:val="en-GB"/>
        </w:rPr>
        <w:t>The Worldwatch Institute</w:t>
      </w:r>
      <w:r w:rsidRPr="009020A0">
        <w:rPr>
          <w:rFonts w:asciiTheme="minorHAnsi" w:eastAsia="Times New Roman" w:hAnsiTheme="minorHAnsi" w:cs="Times New Roman"/>
          <w:sz w:val="24"/>
          <w:szCs w:val="24"/>
          <w:lang w:val="en-GB"/>
        </w:rPr>
        <w:t>. WW Norton, NY, pp. 96-102.</w:t>
      </w:r>
    </w:p>
    <w:p w14:paraId="3839EFD7"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Bach, S., and Edwards, M.R. (2013) “Managing human resources: human resource management in transition”,5th ed. Chichester: A John Wiley and Sons, Ltd. Publication.</w:t>
      </w:r>
    </w:p>
    <w:p w14:paraId="21B2E0FA"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Baesu</w:t>
      </w:r>
      <w:proofErr w:type="spellEnd"/>
      <w:r w:rsidRPr="009020A0">
        <w:rPr>
          <w:rFonts w:asciiTheme="minorHAnsi" w:eastAsia="Times New Roman" w:hAnsiTheme="minorHAnsi" w:cs="Times New Roman"/>
          <w:sz w:val="24"/>
          <w:szCs w:val="24"/>
          <w:lang w:val="en-GB"/>
        </w:rPr>
        <w:t xml:space="preserve">, C. and Bejinaru, R. (2013) “Leadership approaches regarding the organizational change”, </w:t>
      </w:r>
      <w:r w:rsidRPr="009020A0">
        <w:rPr>
          <w:rFonts w:asciiTheme="minorHAnsi" w:eastAsia="Times New Roman" w:hAnsiTheme="minorHAnsi" w:cs="Times New Roman"/>
          <w:i/>
          <w:iCs/>
          <w:sz w:val="24"/>
          <w:szCs w:val="24"/>
          <w:lang w:val="en-GB"/>
        </w:rPr>
        <w:t>The USV Annals of Economics and Public Administration</w:t>
      </w:r>
      <w:r w:rsidRPr="009020A0">
        <w:rPr>
          <w:rFonts w:asciiTheme="minorHAnsi" w:eastAsia="Times New Roman" w:hAnsiTheme="minorHAnsi" w:cs="Times New Roman"/>
          <w:sz w:val="24"/>
          <w:szCs w:val="24"/>
          <w:lang w:val="en-GB"/>
        </w:rPr>
        <w:t>, 13(2(18)).</w:t>
      </w:r>
    </w:p>
    <w:p w14:paraId="666D9070"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Beardsmore</w:t>
      </w:r>
      <w:proofErr w:type="spellEnd"/>
      <w:r w:rsidRPr="009020A0">
        <w:rPr>
          <w:rFonts w:asciiTheme="minorHAnsi" w:eastAsia="Times New Roman" w:hAnsiTheme="minorHAnsi" w:cs="Times New Roman"/>
          <w:sz w:val="24"/>
          <w:szCs w:val="24"/>
          <w:lang w:val="en-GB"/>
        </w:rPr>
        <w:t xml:space="preserve">, E. and McSherry, R. (2017) “Healthcare workers’ perceptions of organisational culture and the impact on the delivery of compassionate quality care”, </w:t>
      </w:r>
      <w:r w:rsidRPr="009020A0">
        <w:rPr>
          <w:rFonts w:asciiTheme="minorHAnsi" w:eastAsia="Times New Roman" w:hAnsiTheme="minorHAnsi" w:cs="Times New Roman"/>
          <w:i/>
          <w:iCs/>
          <w:sz w:val="24"/>
          <w:szCs w:val="24"/>
          <w:lang w:val="en-GB"/>
        </w:rPr>
        <w:t>Journal of Research in Nursing</w:t>
      </w:r>
      <w:r w:rsidRPr="009020A0">
        <w:rPr>
          <w:rFonts w:asciiTheme="minorHAnsi" w:eastAsia="Times New Roman" w:hAnsiTheme="minorHAnsi" w:cs="Times New Roman"/>
          <w:sz w:val="24"/>
          <w:szCs w:val="24"/>
          <w:lang w:val="en-GB"/>
        </w:rPr>
        <w:t>, 22(1-2), pp.42–56. doi:10.1177/1744987116685594.</w:t>
      </w:r>
    </w:p>
    <w:p w14:paraId="144B0CAE"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Belasen</w:t>
      </w:r>
      <w:proofErr w:type="spellEnd"/>
      <w:r w:rsidRPr="009020A0">
        <w:rPr>
          <w:rFonts w:asciiTheme="minorHAnsi" w:eastAsia="Times New Roman" w:hAnsiTheme="minorHAnsi" w:cs="Times New Roman"/>
          <w:sz w:val="24"/>
          <w:szCs w:val="24"/>
          <w:lang w:val="en-GB"/>
        </w:rPr>
        <w:t>, A.T., Eisenberg, B. and Huppertz, J. (2016) “Mastering leadership: a vital resource for health care organizations”, Burlington, Ma: Jones &amp; Bartlett Learning.</w:t>
      </w:r>
    </w:p>
    <w:p w14:paraId="1E322995"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Bellot</w:t>
      </w:r>
      <w:proofErr w:type="spellEnd"/>
      <w:r w:rsidRPr="009020A0">
        <w:rPr>
          <w:rFonts w:asciiTheme="minorHAnsi" w:eastAsia="Times New Roman" w:hAnsiTheme="minorHAnsi" w:cs="Times New Roman"/>
          <w:sz w:val="24"/>
          <w:szCs w:val="24"/>
          <w:lang w:val="en-GB"/>
        </w:rPr>
        <w:t xml:space="preserve">, J. (2011) “Defining and Assessing Organizational Culture”, </w:t>
      </w:r>
      <w:r w:rsidRPr="009020A0">
        <w:rPr>
          <w:rFonts w:asciiTheme="minorHAnsi" w:eastAsia="Times New Roman" w:hAnsiTheme="minorHAnsi" w:cs="Times New Roman"/>
          <w:i/>
          <w:iCs/>
          <w:sz w:val="24"/>
          <w:szCs w:val="24"/>
          <w:lang w:val="en-GB"/>
        </w:rPr>
        <w:t>Nursing Forum</w:t>
      </w:r>
      <w:r w:rsidRPr="009020A0">
        <w:rPr>
          <w:rFonts w:asciiTheme="minorHAnsi" w:eastAsia="Times New Roman" w:hAnsiTheme="minorHAnsi" w:cs="Times New Roman"/>
          <w:sz w:val="24"/>
          <w:szCs w:val="24"/>
          <w:lang w:val="en-GB"/>
        </w:rPr>
        <w:t>, 46(1), pp.29–37. doi:10.1111/j.1744-6198.2010.00207. x.</w:t>
      </w:r>
    </w:p>
    <w:p w14:paraId="0571FFB7"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lastRenderedPageBreak/>
        <w:t xml:space="preserve">Breckenridge, J.P., Gray, N., Toma, M., Ashmore, S., Glassborow, R., Stark, C. and Renfrew, M.J. (2019) “Motivating Change: a grounded theory of how to achieve large-scale, sustained change, co-created with improvement organisations across the UK”, </w:t>
      </w:r>
      <w:r w:rsidRPr="009020A0">
        <w:rPr>
          <w:rFonts w:asciiTheme="minorHAnsi" w:eastAsia="Times New Roman" w:hAnsiTheme="minorHAnsi" w:cs="Times New Roman"/>
          <w:i/>
          <w:iCs/>
          <w:sz w:val="24"/>
          <w:szCs w:val="24"/>
          <w:lang w:val="en-GB"/>
        </w:rPr>
        <w:t>BMJ Open Quality</w:t>
      </w:r>
      <w:r w:rsidRPr="009020A0">
        <w:rPr>
          <w:rFonts w:asciiTheme="minorHAnsi" w:eastAsia="Times New Roman" w:hAnsiTheme="minorHAnsi" w:cs="Times New Roman"/>
          <w:sz w:val="24"/>
          <w:szCs w:val="24"/>
          <w:lang w:val="en-GB"/>
        </w:rPr>
        <w:t>, 8(2), p.e000553. doi:10.1136/bmjoq-2018-000553.</w:t>
      </w:r>
    </w:p>
    <w:p w14:paraId="016BC702"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Burnes, B. (2017) “Managing change”, 7th ed. Pearson.</w:t>
      </w:r>
    </w:p>
    <w:p w14:paraId="1EBE3BB2"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Cameron, K. and Quinn, R. (2011) “Diagnosing and changing organizational culture: based on the competing values framework”, </w:t>
      </w:r>
      <w:r w:rsidRPr="009020A0">
        <w:rPr>
          <w:rFonts w:asciiTheme="minorHAnsi" w:eastAsia="Times New Roman" w:hAnsiTheme="minorHAnsi" w:cs="Times New Roman"/>
          <w:i/>
          <w:iCs/>
          <w:sz w:val="24"/>
          <w:szCs w:val="24"/>
          <w:lang w:val="en-GB"/>
        </w:rPr>
        <w:t>3rd ed.</w:t>
      </w:r>
      <w:r w:rsidRPr="009020A0">
        <w:rPr>
          <w:rFonts w:asciiTheme="minorHAnsi" w:eastAsia="Times New Roman" w:hAnsiTheme="minorHAnsi" w:cs="Times New Roman"/>
          <w:sz w:val="24"/>
          <w:szCs w:val="24"/>
          <w:lang w:val="en-GB"/>
        </w:rPr>
        <w:t xml:space="preserve"> San Francisco, Ca: Jossey-Bass.</w:t>
      </w:r>
    </w:p>
    <w:p w14:paraId="0304D657"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Chang, J., Peysakhovich, F., Wang, W. and Zhu, J. (2011) “The UK Health Care System”, </w:t>
      </w:r>
      <w:r w:rsidRPr="009020A0">
        <w:rPr>
          <w:rFonts w:asciiTheme="minorHAnsi" w:eastAsia="Times New Roman" w:hAnsiTheme="minorHAnsi" w:cs="Times New Roman"/>
          <w:i/>
          <w:iCs/>
          <w:sz w:val="24"/>
          <w:szCs w:val="24"/>
          <w:lang w:val="en-GB"/>
        </w:rPr>
        <w:t>The United Kingdom</w:t>
      </w:r>
      <w:r w:rsidRPr="009020A0">
        <w:rPr>
          <w:rFonts w:asciiTheme="minorHAnsi" w:eastAsia="Times New Roman" w:hAnsiTheme="minorHAnsi" w:cs="Times New Roman"/>
          <w:sz w:val="24"/>
          <w:szCs w:val="24"/>
          <w:lang w:val="en-GB"/>
        </w:rPr>
        <w:t>, 30, p.2019.</w:t>
      </w:r>
    </w:p>
    <w:p w14:paraId="6B9F68D5"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Coster</w:t>
      </w:r>
      <w:proofErr w:type="spellEnd"/>
      <w:r w:rsidRPr="009020A0">
        <w:rPr>
          <w:rFonts w:asciiTheme="minorHAnsi" w:eastAsia="Times New Roman" w:hAnsiTheme="minorHAnsi" w:cs="Times New Roman"/>
          <w:sz w:val="24"/>
          <w:szCs w:val="24"/>
          <w:lang w:val="en-GB"/>
        </w:rPr>
        <w:t xml:space="preserve">, S., Watkins, M. and Norman, Ian.J. (2018) “What is the impact of professional nursing on patients’ outcomes globally? An overview of research evidence,” </w:t>
      </w:r>
      <w:r w:rsidRPr="009020A0">
        <w:rPr>
          <w:rFonts w:asciiTheme="minorHAnsi" w:eastAsia="Times New Roman" w:hAnsiTheme="minorHAnsi" w:cs="Times New Roman"/>
          <w:i/>
          <w:iCs/>
          <w:sz w:val="24"/>
          <w:szCs w:val="24"/>
          <w:lang w:val="en-GB"/>
        </w:rPr>
        <w:t>International Journal of Nursing Studies</w:t>
      </w:r>
      <w:r w:rsidRPr="009020A0">
        <w:rPr>
          <w:rFonts w:asciiTheme="minorHAnsi" w:eastAsia="Times New Roman" w:hAnsiTheme="minorHAnsi" w:cs="Times New Roman"/>
          <w:sz w:val="24"/>
          <w:szCs w:val="24"/>
          <w:lang w:val="en-GB"/>
        </w:rPr>
        <w:t>, 78, pp.76–83. doi: 10.1016/j.ijnurstu.2017.10.009.</w:t>
      </w:r>
    </w:p>
    <w:p w14:paraId="5D85B5CB"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Cylus</w:t>
      </w:r>
      <w:proofErr w:type="spellEnd"/>
      <w:r w:rsidRPr="009020A0">
        <w:rPr>
          <w:rFonts w:asciiTheme="minorHAnsi" w:eastAsia="Times New Roman" w:hAnsiTheme="minorHAnsi" w:cs="Times New Roman"/>
          <w:sz w:val="24"/>
          <w:szCs w:val="24"/>
          <w:lang w:val="en-GB"/>
        </w:rPr>
        <w:t xml:space="preserve">, J., Richardson, E., Finley, L., Longley, M., O’Neill, C. and Steel, D. (2015) “United Kingdom: Health system review”, </w:t>
      </w:r>
      <w:r w:rsidRPr="009020A0">
        <w:rPr>
          <w:rFonts w:asciiTheme="minorHAnsi" w:eastAsia="Times New Roman" w:hAnsiTheme="minorHAnsi" w:cs="Times New Roman"/>
          <w:i/>
          <w:iCs/>
          <w:sz w:val="24"/>
          <w:szCs w:val="24"/>
          <w:lang w:val="en-GB"/>
        </w:rPr>
        <w:t>Health Systems in Transition</w:t>
      </w:r>
      <w:r w:rsidRPr="009020A0">
        <w:rPr>
          <w:rFonts w:asciiTheme="minorHAnsi" w:eastAsia="Times New Roman" w:hAnsiTheme="minorHAnsi" w:cs="Times New Roman"/>
          <w:sz w:val="24"/>
          <w:szCs w:val="24"/>
          <w:lang w:val="en-GB"/>
        </w:rPr>
        <w:t>, 17(5), pp.1–125.</w:t>
      </w:r>
    </w:p>
    <w:p w14:paraId="6D9C1006" w14:textId="77777777" w:rsidR="009020A0" w:rsidRPr="009020A0" w:rsidRDefault="009020A0" w:rsidP="009020A0">
      <w:pPr>
        <w:pStyle w:val="NormalWeb"/>
        <w:numPr>
          <w:ilvl w:val="0"/>
          <w:numId w:val="4"/>
        </w:numPr>
        <w:spacing w:before="0" w:beforeAutospacing="0" w:after="0" w:afterAutospacing="0" w:line="360" w:lineRule="auto"/>
        <w:rPr>
          <w:rFonts w:ascii="Cambria" w:hAnsi="Cambria"/>
        </w:rPr>
      </w:pPr>
      <w:r w:rsidRPr="009020A0">
        <w:rPr>
          <w:rFonts w:ascii="Cambria" w:hAnsi="Cambria"/>
        </w:rPr>
        <w:t>Digital Health and Care Wales (2018) “</w:t>
      </w:r>
      <w:r w:rsidRPr="009020A0">
        <w:rPr>
          <w:rFonts w:ascii="Cambria" w:hAnsi="Cambria"/>
          <w:i/>
          <w:iCs/>
        </w:rPr>
        <w:t>Welsh Clinical Portal</w:t>
      </w:r>
      <w:r w:rsidRPr="009020A0">
        <w:rPr>
          <w:rFonts w:ascii="Cambria" w:hAnsi="Cambria"/>
        </w:rPr>
        <w:t xml:space="preserve">”. Available at: </w:t>
      </w:r>
      <w:hyperlink r:id="rId8" w:history="1">
        <w:r w:rsidRPr="009020A0">
          <w:rPr>
            <w:rStyle w:val="Hyperlink"/>
            <w:rFonts w:ascii="Cambria" w:hAnsi="Cambria"/>
          </w:rPr>
          <w:t>https://dhcw.nhs.wales/systems-and-services/secondary-care/welsh-clinical-portal/</w:t>
        </w:r>
      </w:hyperlink>
      <w:r w:rsidRPr="009020A0">
        <w:rPr>
          <w:rFonts w:ascii="Cambria" w:hAnsi="Cambria"/>
        </w:rPr>
        <w:t xml:space="preserve"> (Accessed 29 Mar. 2022).</w:t>
      </w:r>
    </w:p>
    <w:p w14:paraId="171FA9DF"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Divan, S.M. (2012) “Changing" the way we do things": presenting a strategic organizational culture framework” (Master’s thesis).</w:t>
      </w:r>
    </w:p>
    <w:p w14:paraId="34C494DF"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Elarabi</w:t>
      </w:r>
      <w:proofErr w:type="spellEnd"/>
      <w:r w:rsidRPr="009020A0">
        <w:rPr>
          <w:rFonts w:asciiTheme="minorHAnsi" w:eastAsia="Times New Roman" w:hAnsiTheme="minorHAnsi" w:cs="Times New Roman"/>
          <w:sz w:val="24"/>
          <w:szCs w:val="24"/>
          <w:lang w:val="en-GB"/>
        </w:rPr>
        <w:t xml:space="preserve">, H.M. and Johari, F. (2014) “The impact of human resources management on healthcare quality”, </w:t>
      </w:r>
      <w:r w:rsidRPr="009020A0">
        <w:rPr>
          <w:rFonts w:asciiTheme="minorHAnsi" w:eastAsia="Times New Roman" w:hAnsiTheme="minorHAnsi" w:cs="Times New Roman"/>
          <w:i/>
          <w:iCs/>
          <w:sz w:val="24"/>
          <w:szCs w:val="24"/>
          <w:lang w:val="en-GB"/>
        </w:rPr>
        <w:t>Asian journal of management sciences &amp; education</w:t>
      </w:r>
      <w:r w:rsidRPr="009020A0">
        <w:rPr>
          <w:rFonts w:asciiTheme="minorHAnsi" w:eastAsia="Times New Roman" w:hAnsiTheme="minorHAnsi" w:cs="Times New Roman"/>
          <w:sz w:val="24"/>
          <w:szCs w:val="24"/>
          <w:lang w:val="en-GB"/>
        </w:rPr>
        <w:t>, 3(1), pp.13–22.</w:t>
      </w:r>
    </w:p>
    <w:p w14:paraId="74900613"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Engelseth</w:t>
      </w:r>
      <w:proofErr w:type="spellEnd"/>
      <w:r w:rsidRPr="009020A0">
        <w:rPr>
          <w:rFonts w:asciiTheme="minorHAnsi" w:eastAsia="Times New Roman" w:hAnsiTheme="minorHAnsi" w:cs="Times New Roman"/>
          <w:sz w:val="24"/>
          <w:szCs w:val="24"/>
          <w:lang w:val="en-GB"/>
        </w:rPr>
        <w:t xml:space="preserve">, P., White, B.E., Mundal, I., Eines, T.F. and Kritchanchai, D. (2020) “Systems modelling to support the complex nature of healthcare services”, </w:t>
      </w:r>
      <w:r w:rsidRPr="009020A0">
        <w:rPr>
          <w:rFonts w:asciiTheme="minorHAnsi" w:eastAsia="Times New Roman" w:hAnsiTheme="minorHAnsi" w:cs="Times New Roman"/>
          <w:i/>
          <w:iCs/>
          <w:sz w:val="24"/>
          <w:szCs w:val="24"/>
          <w:lang w:val="en-GB"/>
        </w:rPr>
        <w:t>Health and Technology</w:t>
      </w:r>
      <w:r w:rsidRPr="009020A0">
        <w:rPr>
          <w:rFonts w:asciiTheme="minorHAnsi" w:eastAsia="Times New Roman" w:hAnsiTheme="minorHAnsi" w:cs="Times New Roman"/>
          <w:sz w:val="24"/>
          <w:szCs w:val="24"/>
          <w:lang w:val="en-GB"/>
        </w:rPr>
        <w:t>, 11(1), pp.193–209. doi:10.1007/s12553-020-00504-8.</w:t>
      </w:r>
    </w:p>
    <w:p w14:paraId="544609A7"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Imran, M.K., Bilal, A.R., Aslam, U. and Rahman, U.-U. - (2017) “Knowledge management strategy: an organizational change prospective”, </w:t>
      </w:r>
      <w:r w:rsidRPr="009020A0">
        <w:rPr>
          <w:rFonts w:asciiTheme="minorHAnsi" w:eastAsia="Times New Roman" w:hAnsiTheme="minorHAnsi" w:cs="Times New Roman"/>
          <w:i/>
          <w:iCs/>
          <w:sz w:val="24"/>
          <w:szCs w:val="24"/>
          <w:lang w:val="en-GB"/>
        </w:rPr>
        <w:t>Journal of Enterprise Information Management</w:t>
      </w:r>
      <w:r w:rsidRPr="009020A0">
        <w:rPr>
          <w:rFonts w:asciiTheme="minorHAnsi" w:eastAsia="Times New Roman" w:hAnsiTheme="minorHAnsi" w:cs="Times New Roman"/>
          <w:sz w:val="24"/>
          <w:szCs w:val="24"/>
          <w:lang w:val="en-GB"/>
        </w:rPr>
        <w:t>, 30(2), pp.335–351. doi:10.1108/jeim-10-2015-0095.</w:t>
      </w:r>
    </w:p>
    <w:p w14:paraId="1DED2429"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lastRenderedPageBreak/>
        <w:t xml:space="preserve">Johnson, K. (2016) “Shape the Culture, Shape the Future”. Available at: </w:t>
      </w:r>
      <w:hyperlink r:id="rId9" w:history="1">
        <w:r w:rsidRPr="009020A0">
          <w:rPr>
            <w:rStyle w:val="Hyperlink"/>
            <w:rFonts w:asciiTheme="minorHAnsi" w:eastAsia="Times New Roman" w:hAnsiTheme="minorHAnsi" w:cs="Times New Roman"/>
            <w:color w:val="auto"/>
            <w:sz w:val="24"/>
            <w:szCs w:val="24"/>
            <w:lang w:val="en-GB"/>
          </w:rPr>
          <w:t>https://www.td.org/magazines/the-public-manager/shape-the-culture-shape-the-future</w:t>
        </w:r>
      </w:hyperlink>
      <w:r w:rsidRPr="009020A0">
        <w:rPr>
          <w:rFonts w:asciiTheme="minorHAnsi" w:eastAsia="Times New Roman" w:hAnsiTheme="minorHAnsi" w:cs="Times New Roman"/>
          <w:sz w:val="24"/>
          <w:szCs w:val="24"/>
          <w:lang w:val="en-GB"/>
        </w:rPr>
        <w:t>. (Accessed 1 May 2022)</w:t>
      </w:r>
    </w:p>
    <w:p w14:paraId="2D91003A"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Lee, D. (2020) “Impact of organizational culture and capabilities on employee commitment to ethical behavior in the healthcare sector”, </w:t>
      </w:r>
      <w:r w:rsidRPr="009020A0">
        <w:rPr>
          <w:rFonts w:asciiTheme="minorHAnsi" w:eastAsia="Times New Roman" w:hAnsiTheme="minorHAnsi" w:cs="Times New Roman"/>
          <w:i/>
          <w:iCs/>
          <w:sz w:val="24"/>
          <w:szCs w:val="24"/>
          <w:lang w:val="en-GB"/>
        </w:rPr>
        <w:t>Service Business</w:t>
      </w:r>
      <w:r w:rsidRPr="009020A0">
        <w:rPr>
          <w:rFonts w:asciiTheme="minorHAnsi" w:eastAsia="Times New Roman" w:hAnsiTheme="minorHAnsi" w:cs="Times New Roman"/>
          <w:sz w:val="24"/>
          <w:szCs w:val="24"/>
          <w:lang w:val="en-GB"/>
        </w:rPr>
        <w:t>, 14, pp.47–72. doi:10.1007/s11628-019-00410-8.</w:t>
      </w:r>
    </w:p>
    <w:p w14:paraId="2EC287EA"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Luthufi</w:t>
      </w:r>
      <w:proofErr w:type="spellEnd"/>
      <w:r w:rsidRPr="009020A0">
        <w:rPr>
          <w:rFonts w:asciiTheme="minorHAnsi" w:eastAsia="Times New Roman" w:hAnsiTheme="minorHAnsi" w:cs="Times New Roman"/>
          <w:sz w:val="24"/>
          <w:szCs w:val="24"/>
          <w:lang w:val="en-GB"/>
        </w:rPr>
        <w:t xml:space="preserve">, M., Pandey, J., Varkkey, B. and Palo, S. (2021) “Nurses Perception about HRM System and Prosocial Organisational Behaviour: Mediating Role of Job Efficacy”, </w:t>
      </w:r>
      <w:r w:rsidRPr="009020A0">
        <w:rPr>
          <w:rFonts w:asciiTheme="minorHAnsi" w:eastAsia="Times New Roman" w:hAnsiTheme="minorHAnsi" w:cs="Times New Roman"/>
          <w:i/>
          <w:iCs/>
          <w:sz w:val="24"/>
          <w:szCs w:val="24"/>
          <w:lang w:val="en-GB"/>
        </w:rPr>
        <w:t>Journal of Nursing Management</w:t>
      </w:r>
      <w:r w:rsidRPr="009020A0">
        <w:rPr>
          <w:rFonts w:asciiTheme="minorHAnsi" w:eastAsia="Times New Roman" w:hAnsiTheme="minorHAnsi" w:cs="Times New Roman"/>
          <w:sz w:val="24"/>
          <w:szCs w:val="24"/>
          <w:lang w:val="en-GB"/>
        </w:rPr>
        <w:t>, 29, pp.2142–2151. doi:10.1111/jonm.13355.</w:t>
      </w:r>
    </w:p>
    <w:p w14:paraId="77E4E37C"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Mackay, K. (2019) “AI: opportunities and barriers to improving healthcare”, </w:t>
      </w:r>
      <w:r w:rsidRPr="009020A0">
        <w:rPr>
          <w:rFonts w:asciiTheme="minorHAnsi" w:eastAsia="Times New Roman" w:hAnsiTheme="minorHAnsi" w:cs="Times New Roman"/>
          <w:i/>
          <w:iCs/>
          <w:sz w:val="24"/>
          <w:szCs w:val="24"/>
          <w:lang w:val="en-GB"/>
        </w:rPr>
        <w:t>Digital Leaders</w:t>
      </w:r>
      <w:r w:rsidRPr="009020A0">
        <w:rPr>
          <w:rFonts w:asciiTheme="minorHAnsi" w:eastAsia="Times New Roman" w:hAnsiTheme="minorHAnsi" w:cs="Times New Roman"/>
          <w:sz w:val="24"/>
          <w:szCs w:val="24"/>
          <w:lang w:val="en-GB"/>
        </w:rPr>
        <w:t>. Available at: https://digileaders.com/ai-opportunities-and-barriers-to-improving-healthcare/ (Accessed 4 May 2022).</w:t>
      </w:r>
    </w:p>
    <w:p w14:paraId="22F81731"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Madlabana</w:t>
      </w:r>
      <w:proofErr w:type="spellEnd"/>
      <w:r w:rsidRPr="009020A0">
        <w:rPr>
          <w:rFonts w:asciiTheme="minorHAnsi" w:eastAsia="Times New Roman" w:hAnsiTheme="minorHAnsi" w:cs="Times New Roman"/>
          <w:sz w:val="24"/>
          <w:szCs w:val="24"/>
          <w:lang w:val="en-GB"/>
        </w:rPr>
        <w:t xml:space="preserve">, C.Z., </w:t>
      </w:r>
      <w:proofErr w:type="spellStart"/>
      <w:r w:rsidRPr="009020A0">
        <w:rPr>
          <w:rFonts w:asciiTheme="minorHAnsi" w:eastAsia="Times New Roman" w:hAnsiTheme="minorHAnsi" w:cs="Times New Roman"/>
          <w:sz w:val="24"/>
          <w:szCs w:val="24"/>
          <w:lang w:val="en-GB"/>
        </w:rPr>
        <w:t>Mashamba</w:t>
      </w:r>
      <w:proofErr w:type="spellEnd"/>
      <w:r w:rsidRPr="009020A0">
        <w:rPr>
          <w:rFonts w:asciiTheme="minorHAnsi" w:eastAsia="Times New Roman" w:hAnsiTheme="minorHAnsi" w:cs="Times New Roman"/>
          <w:sz w:val="24"/>
          <w:szCs w:val="24"/>
          <w:lang w:val="en-GB"/>
        </w:rPr>
        <w:t xml:space="preserve">-Thompson, T.P. and Petersen, I. (2020) “Performance management methods and practices among nurses in primary health care settings: a systematic scoping review protocol”, </w:t>
      </w:r>
      <w:r w:rsidRPr="009020A0">
        <w:rPr>
          <w:rFonts w:asciiTheme="minorHAnsi" w:eastAsia="Times New Roman" w:hAnsiTheme="minorHAnsi" w:cs="Times New Roman"/>
          <w:i/>
          <w:iCs/>
          <w:sz w:val="24"/>
          <w:szCs w:val="24"/>
          <w:lang w:val="en-GB"/>
        </w:rPr>
        <w:t>Systematic Reviews</w:t>
      </w:r>
      <w:r w:rsidRPr="009020A0">
        <w:rPr>
          <w:rFonts w:asciiTheme="minorHAnsi" w:eastAsia="Times New Roman" w:hAnsiTheme="minorHAnsi" w:cs="Times New Roman"/>
          <w:sz w:val="24"/>
          <w:szCs w:val="24"/>
          <w:lang w:val="en-GB"/>
        </w:rPr>
        <w:t>, 9(1). doi:10.1186/s13643-020-01294-w.</w:t>
      </w:r>
    </w:p>
    <w:p w14:paraId="229E721E"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Mangundjaya</w:t>
      </w:r>
      <w:proofErr w:type="spellEnd"/>
      <w:r w:rsidRPr="009020A0">
        <w:rPr>
          <w:rFonts w:asciiTheme="minorHAnsi" w:eastAsia="Times New Roman" w:hAnsiTheme="minorHAnsi" w:cs="Times New Roman"/>
          <w:sz w:val="24"/>
          <w:szCs w:val="24"/>
          <w:lang w:val="en-GB"/>
        </w:rPr>
        <w:t xml:space="preserve">, W.L.H., </w:t>
      </w:r>
      <w:proofErr w:type="spellStart"/>
      <w:r w:rsidRPr="009020A0">
        <w:rPr>
          <w:rFonts w:asciiTheme="minorHAnsi" w:eastAsia="Times New Roman" w:hAnsiTheme="minorHAnsi" w:cs="Times New Roman"/>
          <w:sz w:val="24"/>
          <w:szCs w:val="24"/>
          <w:lang w:val="en-GB"/>
        </w:rPr>
        <w:t>Utoyo</w:t>
      </w:r>
      <w:proofErr w:type="spellEnd"/>
      <w:r w:rsidRPr="009020A0">
        <w:rPr>
          <w:rFonts w:asciiTheme="minorHAnsi" w:eastAsia="Times New Roman" w:hAnsiTheme="minorHAnsi" w:cs="Times New Roman"/>
          <w:sz w:val="24"/>
          <w:szCs w:val="24"/>
          <w:lang w:val="en-GB"/>
        </w:rPr>
        <w:t xml:space="preserve">, D.B. and Wulandari, P. (2015) “The Role of Leadership and Employee’s Condition on Reaction to Organizational Change”, </w:t>
      </w:r>
      <w:r w:rsidRPr="009020A0">
        <w:rPr>
          <w:rFonts w:asciiTheme="minorHAnsi" w:eastAsia="Times New Roman" w:hAnsiTheme="minorHAnsi" w:cs="Times New Roman"/>
          <w:i/>
          <w:iCs/>
          <w:sz w:val="24"/>
          <w:szCs w:val="24"/>
          <w:lang w:val="en-GB"/>
        </w:rPr>
        <w:t>Procedia - Social and Behavioral Sciences</w:t>
      </w:r>
      <w:r w:rsidRPr="009020A0">
        <w:rPr>
          <w:rFonts w:asciiTheme="minorHAnsi" w:eastAsia="Times New Roman" w:hAnsiTheme="minorHAnsi" w:cs="Times New Roman"/>
          <w:sz w:val="24"/>
          <w:szCs w:val="24"/>
          <w:lang w:val="en-GB"/>
        </w:rPr>
        <w:t>, 172, pp.471–478. doi: 10.1016/j.sbspro.2015.01.385.</w:t>
      </w:r>
    </w:p>
    <w:p w14:paraId="338CAF08"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Mannion, R. and Davies, H. (2018) “Understanding organisational culture for healthcare quality improvement”. </w:t>
      </w:r>
      <w:r w:rsidRPr="009020A0">
        <w:rPr>
          <w:rFonts w:asciiTheme="minorHAnsi" w:eastAsia="Times New Roman" w:hAnsiTheme="minorHAnsi" w:cs="Times New Roman"/>
          <w:i/>
          <w:iCs/>
          <w:sz w:val="24"/>
          <w:szCs w:val="24"/>
          <w:lang w:val="en-GB"/>
        </w:rPr>
        <w:t>BMJ</w:t>
      </w:r>
      <w:r w:rsidRPr="009020A0">
        <w:rPr>
          <w:rFonts w:asciiTheme="minorHAnsi" w:eastAsia="Times New Roman" w:hAnsiTheme="minorHAnsi" w:cs="Times New Roman"/>
          <w:sz w:val="24"/>
          <w:szCs w:val="24"/>
          <w:lang w:val="en-GB"/>
        </w:rPr>
        <w:t>, (363), p.k4907. doi:10.1136/bmj. k4907.</w:t>
      </w:r>
    </w:p>
    <w:p w14:paraId="3723A058"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proofErr w:type="spellStart"/>
      <w:r w:rsidRPr="009020A0">
        <w:rPr>
          <w:rFonts w:asciiTheme="minorHAnsi" w:eastAsia="Times New Roman" w:hAnsiTheme="minorHAnsi" w:cs="Times New Roman"/>
          <w:sz w:val="24"/>
          <w:szCs w:val="24"/>
          <w:lang w:val="en-GB"/>
        </w:rPr>
        <w:t>Mbunge</w:t>
      </w:r>
      <w:proofErr w:type="spellEnd"/>
      <w:r w:rsidRPr="009020A0">
        <w:rPr>
          <w:rFonts w:asciiTheme="minorHAnsi" w:eastAsia="Times New Roman" w:hAnsiTheme="minorHAnsi" w:cs="Times New Roman"/>
          <w:sz w:val="24"/>
          <w:szCs w:val="24"/>
          <w:lang w:val="en-GB"/>
        </w:rPr>
        <w:t xml:space="preserve">, E., Muchemwa, B., Jiyane, S. and Batani, J. (2021) “Sensors and healthcare 5.0: transformative shift in virtual care through emerging digital health technologies”, </w:t>
      </w:r>
      <w:r w:rsidRPr="009020A0">
        <w:rPr>
          <w:rFonts w:asciiTheme="minorHAnsi" w:eastAsia="Times New Roman" w:hAnsiTheme="minorHAnsi" w:cs="Times New Roman"/>
          <w:i/>
          <w:iCs/>
          <w:sz w:val="24"/>
          <w:szCs w:val="24"/>
          <w:lang w:val="en-GB"/>
        </w:rPr>
        <w:t>Global Health Journal</w:t>
      </w:r>
      <w:r w:rsidRPr="009020A0">
        <w:rPr>
          <w:rFonts w:asciiTheme="minorHAnsi" w:eastAsia="Times New Roman" w:hAnsiTheme="minorHAnsi" w:cs="Times New Roman"/>
          <w:sz w:val="24"/>
          <w:szCs w:val="24"/>
          <w:lang w:val="en-GB"/>
        </w:rPr>
        <w:t>, 5(4). doi: 10.1016/j.glohj.2021.11.008.</w:t>
      </w:r>
    </w:p>
    <w:p w14:paraId="6CCB3306"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McHugh, M., Johnston, K. and McClelland, D. (2007) “HRM and the management of clinicians within the NHS”, </w:t>
      </w:r>
      <w:r w:rsidRPr="009020A0">
        <w:rPr>
          <w:rFonts w:asciiTheme="minorHAnsi" w:eastAsia="Times New Roman" w:hAnsiTheme="minorHAnsi" w:cs="Times New Roman"/>
          <w:i/>
          <w:iCs/>
          <w:sz w:val="24"/>
          <w:szCs w:val="24"/>
          <w:lang w:val="en-GB"/>
        </w:rPr>
        <w:t>International Journal of Public Sector Management</w:t>
      </w:r>
      <w:r w:rsidRPr="009020A0">
        <w:rPr>
          <w:rFonts w:asciiTheme="minorHAnsi" w:eastAsia="Times New Roman" w:hAnsiTheme="minorHAnsi" w:cs="Times New Roman"/>
          <w:sz w:val="24"/>
          <w:szCs w:val="24"/>
          <w:lang w:val="en-GB"/>
        </w:rPr>
        <w:t>, 20(4), pp.314–324. doi:10.1108/09513550710750039.</w:t>
      </w:r>
    </w:p>
    <w:p w14:paraId="4A714BF7"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Montgomery, A., Panagopoulou, E., Kehoe, I. and Valkanos, E. (2011) “Connecting organisational culture and quality of care in the hospital: is job burnout the missing </w:t>
      </w:r>
      <w:r w:rsidRPr="009020A0">
        <w:rPr>
          <w:rFonts w:asciiTheme="minorHAnsi" w:eastAsia="Times New Roman" w:hAnsiTheme="minorHAnsi" w:cs="Times New Roman"/>
          <w:sz w:val="24"/>
          <w:szCs w:val="24"/>
          <w:lang w:val="en-GB"/>
        </w:rPr>
        <w:lastRenderedPageBreak/>
        <w:t xml:space="preserve">link?”, </w:t>
      </w:r>
      <w:r w:rsidRPr="009020A0">
        <w:rPr>
          <w:rFonts w:asciiTheme="minorHAnsi" w:eastAsia="Times New Roman" w:hAnsiTheme="minorHAnsi" w:cs="Times New Roman"/>
          <w:i/>
          <w:iCs/>
          <w:sz w:val="24"/>
          <w:szCs w:val="24"/>
          <w:lang w:val="en-GB"/>
        </w:rPr>
        <w:t>Journal of Health Organization and Management</w:t>
      </w:r>
      <w:r w:rsidRPr="009020A0">
        <w:rPr>
          <w:rFonts w:asciiTheme="minorHAnsi" w:eastAsia="Times New Roman" w:hAnsiTheme="minorHAnsi" w:cs="Times New Roman"/>
          <w:sz w:val="24"/>
          <w:szCs w:val="24"/>
          <w:lang w:val="en-GB"/>
        </w:rPr>
        <w:t>, 25(1), pp.108–123. doi:10.1108/14777261111116851.</w:t>
      </w:r>
    </w:p>
    <w:p w14:paraId="777C1406"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NHS England (2014) “Five Year Forward View”. Available at: </w:t>
      </w:r>
      <w:hyperlink r:id="rId10" w:history="1">
        <w:r w:rsidRPr="009020A0">
          <w:rPr>
            <w:rStyle w:val="Hyperlink"/>
            <w:rFonts w:asciiTheme="minorHAnsi" w:eastAsia="Times New Roman" w:hAnsiTheme="minorHAnsi" w:cs="Times New Roman"/>
            <w:color w:val="auto"/>
            <w:sz w:val="24"/>
            <w:szCs w:val="24"/>
            <w:lang w:val="en-GB"/>
          </w:rPr>
          <w:t>https://www.england.nhs.uk/wp-content/uploads/2014/10/5yfv-web.pdf</w:t>
        </w:r>
      </w:hyperlink>
      <w:r w:rsidRPr="009020A0">
        <w:rPr>
          <w:rFonts w:asciiTheme="minorHAnsi" w:eastAsia="Times New Roman" w:hAnsiTheme="minorHAnsi" w:cs="Times New Roman"/>
          <w:sz w:val="24"/>
          <w:szCs w:val="24"/>
          <w:lang w:val="en-GB"/>
        </w:rPr>
        <w:t>. (Accessed 25 Apr. 2022).</w:t>
      </w:r>
    </w:p>
    <w:p w14:paraId="6E192D74"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NHS England (2019) “The NHS Long Term Plan”. Available at: </w:t>
      </w:r>
      <w:hyperlink r:id="rId11" w:history="1">
        <w:r w:rsidRPr="009020A0">
          <w:rPr>
            <w:rStyle w:val="Hyperlink"/>
            <w:rFonts w:asciiTheme="minorHAnsi" w:eastAsia="Times New Roman" w:hAnsiTheme="minorHAnsi" w:cs="Times New Roman"/>
            <w:color w:val="auto"/>
            <w:sz w:val="24"/>
            <w:szCs w:val="24"/>
            <w:lang w:val="en-GB"/>
          </w:rPr>
          <w:t>https://www.longtermplan.nhs.uk/wp-content/uploads/2019/08/nhs-long-term-plan-version-1.2.pdf</w:t>
        </w:r>
      </w:hyperlink>
      <w:r w:rsidRPr="009020A0">
        <w:rPr>
          <w:rFonts w:asciiTheme="minorHAnsi" w:eastAsia="Times New Roman" w:hAnsiTheme="minorHAnsi" w:cs="Times New Roman"/>
          <w:sz w:val="24"/>
          <w:szCs w:val="24"/>
          <w:lang w:val="en-GB"/>
        </w:rPr>
        <w:t xml:space="preserve"> (Accessed 25 Apr. 2022).</w:t>
      </w:r>
    </w:p>
    <w:p w14:paraId="56F19DF8"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Nilsen, P., Seing, I., Ericsson, C., Birken, S.A. and Schildmeijer, K. (2020) “Characteristics of successful changes in health care organizations: an interview study with physicians, registered nurses and assistant nurses”, </w:t>
      </w:r>
      <w:r w:rsidRPr="009020A0">
        <w:rPr>
          <w:rFonts w:asciiTheme="minorHAnsi" w:eastAsia="Times New Roman" w:hAnsiTheme="minorHAnsi" w:cs="Times New Roman"/>
          <w:i/>
          <w:iCs/>
          <w:sz w:val="24"/>
          <w:szCs w:val="24"/>
          <w:lang w:val="en-GB"/>
        </w:rPr>
        <w:t>BMC Health Services Research</w:t>
      </w:r>
      <w:r w:rsidRPr="009020A0">
        <w:rPr>
          <w:rFonts w:asciiTheme="minorHAnsi" w:eastAsia="Times New Roman" w:hAnsiTheme="minorHAnsi" w:cs="Times New Roman"/>
          <w:sz w:val="24"/>
          <w:szCs w:val="24"/>
          <w:lang w:val="en-GB"/>
        </w:rPr>
        <w:t>, 20(1). doi:10.1186/s12913-020-4999-8.</w:t>
      </w:r>
    </w:p>
    <w:p w14:paraId="0E46236A"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Purcell, J. and Hutchinson, S. (2007) “Front-line managers as agents in the HRM-performance causal chain: theory, analysis and evidence”, </w:t>
      </w:r>
      <w:r w:rsidRPr="009020A0">
        <w:rPr>
          <w:rFonts w:asciiTheme="minorHAnsi" w:eastAsia="Times New Roman" w:hAnsiTheme="minorHAnsi" w:cs="Times New Roman"/>
          <w:i/>
          <w:iCs/>
          <w:sz w:val="24"/>
          <w:szCs w:val="24"/>
          <w:lang w:val="en-GB"/>
        </w:rPr>
        <w:t>Human Resource Management Journal</w:t>
      </w:r>
      <w:r w:rsidRPr="009020A0">
        <w:rPr>
          <w:rFonts w:asciiTheme="minorHAnsi" w:eastAsia="Times New Roman" w:hAnsiTheme="minorHAnsi" w:cs="Times New Roman"/>
          <w:sz w:val="24"/>
          <w:szCs w:val="24"/>
          <w:lang w:val="en-GB"/>
        </w:rPr>
        <w:t>, 17(1), pp.3–20. doi:10.1111/j.1748-8583.2007.00022. x.</w:t>
      </w:r>
    </w:p>
    <w:p w14:paraId="33C957B3"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Rosenberg, S. and Mosca, J. (2011) “Breaking Down the Barriers to Organizational Change”, </w:t>
      </w:r>
      <w:r w:rsidRPr="009020A0">
        <w:rPr>
          <w:rFonts w:asciiTheme="minorHAnsi" w:eastAsia="Times New Roman" w:hAnsiTheme="minorHAnsi" w:cs="Times New Roman"/>
          <w:i/>
          <w:iCs/>
          <w:sz w:val="24"/>
          <w:szCs w:val="24"/>
          <w:lang w:val="en-GB"/>
        </w:rPr>
        <w:t>International Journal of Management &amp; Information Systems (IJMIS)</w:t>
      </w:r>
      <w:r w:rsidRPr="009020A0">
        <w:rPr>
          <w:rFonts w:asciiTheme="minorHAnsi" w:eastAsia="Times New Roman" w:hAnsiTheme="minorHAnsi" w:cs="Times New Roman"/>
          <w:sz w:val="24"/>
          <w:szCs w:val="24"/>
          <w:lang w:val="en-GB"/>
        </w:rPr>
        <w:t>, 15(3), p.139. doi:10.19030/ijmis. v15i3.4650.</w:t>
      </w:r>
    </w:p>
    <w:p w14:paraId="4E363EB9"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Sadiku, M.N.O., </w:t>
      </w:r>
      <w:proofErr w:type="spellStart"/>
      <w:r w:rsidRPr="009020A0">
        <w:rPr>
          <w:rFonts w:asciiTheme="minorHAnsi" w:eastAsia="Times New Roman" w:hAnsiTheme="minorHAnsi" w:cs="Times New Roman"/>
          <w:sz w:val="24"/>
          <w:szCs w:val="24"/>
          <w:lang w:val="en-GB"/>
        </w:rPr>
        <w:t>Akhare</w:t>
      </w:r>
      <w:proofErr w:type="spellEnd"/>
      <w:r w:rsidRPr="009020A0">
        <w:rPr>
          <w:rFonts w:asciiTheme="minorHAnsi" w:eastAsia="Times New Roman" w:hAnsiTheme="minorHAnsi" w:cs="Times New Roman"/>
          <w:sz w:val="24"/>
          <w:szCs w:val="24"/>
          <w:lang w:val="en-GB"/>
        </w:rPr>
        <w:t xml:space="preserve">, Y.P. and Musa, S.M. (2019) “Emerging Technologies in Healthcare: A Tutorial”, </w:t>
      </w:r>
      <w:r w:rsidRPr="009020A0">
        <w:rPr>
          <w:rFonts w:asciiTheme="minorHAnsi" w:eastAsia="Times New Roman" w:hAnsiTheme="minorHAnsi" w:cs="Times New Roman"/>
          <w:i/>
          <w:iCs/>
          <w:sz w:val="24"/>
          <w:szCs w:val="24"/>
          <w:lang w:val="en-GB"/>
        </w:rPr>
        <w:t>International Journal of Advances in Scientific Research and Engineering</w:t>
      </w:r>
      <w:r w:rsidRPr="009020A0">
        <w:rPr>
          <w:rFonts w:asciiTheme="minorHAnsi" w:eastAsia="Times New Roman" w:hAnsiTheme="minorHAnsi" w:cs="Times New Roman"/>
          <w:sz w:val="24"/>
          <w:szCs w:val="24"/>
          <w:lang w:val="en-GB"/>
        </w:rPr>
        <w:t>, 5(7), pp.199–204. doi:10.31695/ijasre.2019.33446.</w:t>
      </w:r>
    </w:p>
    <w:p w14:paraId="1211311A"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Schein, P.A. and Schein, E.H. (2016) “Organizational Culture and Leadership”, 5th ed. New York: John Wiley &amp; Sons.</w:t>
      </w:r>
    </w:p>
    <w:p w14:paraId="38956985"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Scott, T., Mannion, R., Marshall, M. and Davies, H. (2003) “Does organisational culture influence health care performance? A review of the evidence,” </w:t>
      </w:r>
      <w:r w:rsidRPr="009020A0">
        <w:rPr>
          <w:rFonts w:asciiTheme="minorHAnsi" w:eastAsia="Times New Roman" w:hAnsiTheme="minorHAnsi" w:cs="Times New Roman"/>
          <w:i/>
          <w:iCs/>
          <w:sz w:val="24"/>
          <w:szCs w:val="24"/>
          <w:lang w:val="en-GB"/>
        </w:rPr>
        <w:t>Journal of Health Services Research &amp; Policy</w:t>
      </w:r>
      <w:r w:rsidRPr="009020A0">
        <w:rPr>
          <w:rFonts w:asciiTheme="minorHAnsi" w:eastAsia="Times New Roman" w:hAnsiTheme="minorHAnsi" w:cs="Times New Roman"/>
          <w:sz w:val="24"/>
          <w:szCs w:val="24"/>
          <w:lang w:val="en-GB"/>
        </w:rPr>
        <w:t>, 8(2), pp.105–117. doi:10.1258/135581903321466085.</w:t>
      </w:r>
    </w:p>
    <w:p w14:paraId="56FDDA33"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Shi, L. (2007) “Managing Human Resources in Health Care Organizations”, US: Jones &amp; Bartlett Publishers.</w:t>
      </w:r>
    </w:p>
    <w:p w14:paraId="63A8A9EC"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Simpson, A., Hannigan, B., Coffey, M., Barlow, S., Cohen, R., Jones, A., Všetečková, J., Faulkner, A., Thornton, A. and Cartwright, M. (2016) “Recovery-focused care </w:t>
      </w:r>
      <w:r w:rsidRPr="009020A0">
        <w:rPr>
          <w:rFonts w:asciiTheme="minorHAnsi" w:eastAsia="Times New Roman" w:hAnsiTheme="minorHAnsi" w:cs="Times New Roman"/>
          <w:sz w:val="24"/>
          <w:szCs w:val="24"/>
          <w:lang w:val="en-GB"/>
        </w:rPr>
        <w:lastRenderedPageBreak/>
        <w:t xml:space="preserve">planning and coordination in England and Wales: a cross-national mixed methods comparative case study”, </w:t>
      </w:r>
      <w:r w:rsidRPr="009020A0">
        <w:rPr>
          <w:rFonts w:asciiTheme="minorHAnsi" w:eastAsia="Times New Roman" w:hAnsiTheme="minorHAnsi" w:cs="Times New Roman"/>
          <w:i/>
          <w:iCs/>
          <w:sz w:val="24"/>
          <w:szCs w:val="24"/>
          <w:lang w:val="en-GB"/>
        </w:rPr>
        <w:t>BMC Psychiatry</w:t>
      </w:r>
      <w:r w:rsidRPr="009020A0">
        <w:rPr>
          <w:rFonts w:asciiTheme="minorHAnsi" w:eastAsia="Times New Roman" w:hAnsiTheme="minorHAnsi" w:cs="Times New Roman"/>
          <w:sz w:val="24"/>
          <w:szCs w:val="24"/>
          <w:lang w:val="en-GB"/>
        </w:rPr>
        <w:t>, 16(1). doi:10.1186/s12888-016-0858-x.</w:t>
      </w:r>
    </w:p>
    <w:p w14:paraId="588BA2F1"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Snell, S., Morris, S. and Bohlander, G.W. (2015) “Managing human resources”, Cengage Learning.</w:t>
      </w:r>
    </w:p>
    <w:p w14:paraId="7FF6DA14"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Society of Human Resource Management (2018) “Understanding and Developing Organizational Culture”. Available at: </w:t>
      </w:r>
      <w:hyperlink r:id="rId12" w:history="1">
        <w:r w:rsidRPr="009020A0">
          <w:rPr>
            <w:rStyle w:val="Hyperlink"/>
            <w:rFonts w:asciiTheme="minorHAnsi" w:eastAsia="Times New Roman" w:hAnsiTheme="minorHAnsi" w:cs="Times New Roman"/>
            <w:color w:val="auto"/>
            <w:sz w:val="24"/>
            <w:szCs w:val="24"/>
            <w:lang w:val="en-GB"/>
          </w:rPr>
          <w:t>https://www.shrm.org/ResourcesAndTools/tools-and-samples/toolkits/Pages/understandinganddevelopingorganizationalculture.aspx</w:t>
        </w:r>
      </w:hyperlink>
      <w:r w:rsidRPr="009020A0">
        <w:rPr>
          <w:rFonts w:asciiTheme="minorHAnsi" w:eastAsia="Times New Roman" w:hAnsiTheme="minorHAnsi" w:cs="Times New Roman"/>
          <w:sz w:val="24"/>
          <w:szCs w:val="24"/>
          <w:lang w:val="en-GB"/>
        </w:rPr>
        <w:t xml:space="preserve">  (Accessed 24 Apr. 2022).</w:t>
      </w:r>
    </w:p>
    <w:p w14:paraId="3C192C00" w14:textId="77777777" w:rsidR="009020A0" w:rsidRDefault="009020A0" w:rsidP="009020A0">
      <w:pPr>
        <w:pStyle w:val="NormalWeb"/>
        <w:numPr>
          <w:ilvl w:val="0"/>
          <w:numId w:val="4"/>
        </w:numPr>
        <w:spacing w:before="0" w:beforeAutospacing="0" w:after="0" w:afterAutospacing="0" w:line="360" w:lineRule="auto"/>
        <w:rPr>
          <w:rFonts w:ascii="Cambria" w:hAnsi="Cambria"/>
        </w:rPr>
      </w:pPr>
      <w:r w:rsidRPr="008E4547">
        <w:rPr>
          <w:rFonts w:ascii="Cambria" w:hAnsi="Cambria"/>
        </w:rPr>
        <w:t xml:space="preserve">The Welsh NHS Confederation (2020) “Transforming NHS Wales services through digital developments.” Available at: </w:t>
      </w:r>
      <w:hyperlink r:id="rId13" w:history="1">
        <w:r w:rsidRPr="006D3F52">
          <w:rPr>
            <w:rStyle w:val="Hyperlink"/>
            <w:rFonts w:ascii="Cambria" w:hAnsi="Cambria"/>
          </w:rPr>
          <w:t>https://www.nhsconfed.org/sites/default/files/media/Transforming-NHS-Wales-services-digital-developments_0.pdf</w:t>
        </w:r>
      </w:hyperlink>
      <w:r>
        <w:rPr>
          <w:rFonts w:ascii="Cambria" w:hAnsi="Cambria"/>
        </w:rPr>
        <w:t xml:space="preserve"> (A</w:t>
      </w:r>
      <w:r w:rsidRPr="008E4547">
        <w:rPr>
          <w:rFonts w:ascii="Cambria" w:hAnsi="Cambria"/>
        </w:rPr>
        <w:t>ccessed 29 Apr. 2022</w:t>
      </w:r>
      <w:r>
        <w:rPr>
          <w:rFonts w:ascii="Cambria" w:hAnsi="Cambria"/>
        </w:rPr>
        <w:t>)</w:t>
      </w:r>
      <w:r w:rsidRPr="008E4547">
        <w:rPr>
          <w:rFonts w:ascii="Cambria" w:hAnsi="Cambria"/>
        </w:rPr>
        <w:t>.</w:t>
      </w:r>
    </w:p>
    <w:p w14:paraId="2CB9C3DC"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Torrington, D., Hall, L., Atkinson, C. and Taylor, S. (2020) “Human Resource Management”</w:t>
      </w:r>
      <w:r w:rsidRPr="009020A0">
        <w:rPr>
          <w:rFonts w:asciiTheme="minorHAnsi" w:eastAsia="Times New Roman" w:hAnsiTheme="minorHAnsi" w:cs="Times New Roman"/>
          <w:i/>
          <w:iCs/>
          <w:sz w:val="24"/>
          <w:szCs w:val="24"/>
          <w:lang w:val="en-GB"/>
        </w:rPr>
        <w:t>,</w:t>
      </w:r>
      <w:r w:rsidRPr="009020A0">
        <w:rPr>
          <w:rFonts w:asciiTheme="minorHAnsi" w:eastAsia="Times New Roman" w:hAnsiTheme="minorHAnsi" w:cs="Times New Roman"/>
          <w:sz w:val="24"/>
          <w:szCs w:val="24"/>
          <w:lang w:val="en-GB"/>
        </w:rPr>
        <w:t xml:space="preserve"> 11th ed. Harlow, U.K.: Pearson Education Limited.</w:t>
      </w:r>
    </w:p>
    <w:p w14:paraId="6D9B89D0"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Walshe, K. and Smith, J. (2011) “Healthcare Management</w:t>
      </w:r>
      <w:r w:rsidRPr="009020A0">
        <w:rPr>
          <w:rFonts w:asciiTheme="minorHAnsi" w:eastAsia="Times New Roman" w:hAnsiTheme="minorHAnsi" w:cs="Times New Roman"/>
          <w:i/>
          <w:iCs/>
          <w:sz w:val="24"/>
          <w:szCs w:val="24"/>
          <w:lang w:val="en-GB"/>
        </w:rPr>
        <w:t>”,</w:t>
      </w:r>
      <w:r w:rsidRPr="009020A0">
        <w:rPr>
          <w:rFonts w:asciiTheme="minorHAnsi" w:eastAsia="Times New Roman" w:hAnsiTheme="minorHAnsi" w:cs="Times New Roman"/>
          <w:sz w:val="24"/>
          <w:szCs w:val="24"/>
          <w:lang w:val="en-GB"/>
        </w:rPr>
        <w:t xml:space="preserve"> 2nd ed. </w:t>
      </w:r>
      <w:r w:rsidRPr="009020A0">
        <w:rPr>
          <w:rFonts w:asciiTheme="minorHAnsi" w:eastAsia="Times New Roman" w:hAnsiTheme="minorHAnsi" w:cs="Times New Roman"/>
          <w:i/>
          <w:iCs/>
          <w:sz w:val="24"/>
          <w:szCs w:val="24"/>
          <w:lang w:val="en-GB"/>
        </w:rPr>
        <w:t>Google Books</w:t>
      </w:r>
      <w:r w:rsidRPr="009020A0">
        <w:rPr>
          <w:rFonts w:asciiTheme="minorHAnsi" w:eastAsia="Times New Roman" w:hAnsiTheme="minorHAnsi" w:cs="Times New Roman"/>
          <w:sz w:val="24"/>
          <w:szCs w:val="24"/>
          <w:lang w:val="en-GB"/>
        </w:rPr>
        <w:t>. McGraw-Hill Education - Open University Press.</w:t>
      </w:r>
    </w:p>
    <w:p w14:paraId="0302E7ED"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Welsh Government (2019) “A Healthier Wales: our Plan for Health and Social Care”. Available at: </w:t>
      </w:r>
      <w:hyperlink r:id="rId14" w:history="1">
        <w:r w:rsidRPr="009020A0">
          <w:rPr>
            <w:rStyle w:val="Hyperlink"/>
            <w:rFonts w:asciiTheme="minorHAnsi" w:eastAsia="Times New Roman" w:hAnsiTheme="minorHAnsi" w:cs="Times New Roman"/>
            <w:color w:val="auto"/>
            <w:sz w:val="24"/>
            <w:szCs w:val="24"/>
            <w:lang w:val="en-GB"/>
          </w:rPr>
          <w:t>https://gov.wales/sites/default/files/publications/2021-09/a-healthier-wales-our-plan-for-health-and-social-care.pdf</w:t>
        </w:r>
      </w:hyperlink>
      <w:r w:rsidRPr="009020A0">
        <w:rPr>
          <w:rFonts w:asciiTheme="minorHAnsi" w:eastAsia="Times New Roman" w:hAnsiTheme="minorHAnsi" w:cs="Times New Roman"/>
          <w:sz w:val="24"/>
          <w:szCs w:val="24"/>
          <w:lang w:val="en-GB"/>
        </w:rPr>
        <w:t xml:space="preserve">  (Accessed 27 Apr. 2022).</w:t>
      </w:r>
    </w:p>
    <w:p w14:paraId="21883036"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Westover, J.H. (2010) “Managing Organizational Change: Change Agent Strategies and Techniques to Successfully Managing the Dynamics of Stability and Change in Organizations”, </w:t>
      </w:r>
      <w:r w:rsidRPr="009020A0">
        <w:rPr>
          <w:rFonts w:asciiTheme="minorHAnsi" w:eastAsia="Times New Roman" w:hAnsiTheme="minorHAnsi" w:cs="Times New Roman"/>
          <w:i/>
          <w:iCs/>
          <w:sz w:val="24"/>
          <w:szCs w:val="24"/>
          <w:lang w:val="en-GB"/>
        </w:rPr>
        <w:t>International Journal of Management and Innovation</w:t>
      </w:r>
      <w:r w:rsidRPr="009020A0">
        <w:rPr>
          <w:rFonts w:asciiTheme="minorHAnsi" w:eastAsia="Times New Roman" w:hAnsiTheme="minorHAnsi" w:cs="Times New Roman"/>
          <w:sz w:val="24"/>
          <w:szCs w:val="24"/>
          <w:lang w:val="en-GB"/>
        </w:rPr>
        <w:t>, 2(1), pp.45–50.</w:t>
      </w:r>
    </w:p>
    <w:p w14:paraId="00AE5B8B"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Wines, W.A. and Hamilton, J.B. (2008) “On Changing Organizational Cultures by Injecting New Ideologies: The Power of Stories”, </w:t>
      </w:r>
      <w:r w:rsidRPr="009020A0">
        <w:rPr>
          <w:rFonts w:asciiTheme="minorHAnsi" w:eastAsia="Times New Roman" w:hAnsiTheme="minorHAnsi" w:cs="Times New Roman"/>
          <w:i/>
          <w:iCs/>
          <w:sz w:val="24"/>
          <w:szCs w:val="24"/>
          <w:lang w:val="en-GB"/>
        </w:rPr>
        <w:t>Journal of Business Ethics</w:t>
      </w:r>
      <w:r w:rsidRPr="009020A0">
        <w:rPr>
          <w:rFonts w:asciiTheme="minorHAnsi" w:eastAsia="Times New Roman" w:hAnsiTheme="minorHAnsi" w:cs="Times New Roman"/>
          <w:sz w:val="24"/>
          <w:szCs w:val="24"/>
          <w:lang w:val="en-GB"/>
        </w:rPr>
        <w:t>, 89(3). doi:10.1007/s10551-008-0009-5.</w:t>
      </w:r>
    </w:p>
    <w:p w14:paraId="3BFA9865"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World Health Organization (2000) “Health systems: improving performance”, Geneva: World Health Organization.</w:t>
      </w:r>
    </w:p>
    <w:p w14:paraId="17B53DAD"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t xml:space="preserve">Yang, J.-J., Li, J., Mulder, J., Wang, Y., Chen, S., Wu, H., Wang, Q. and Pan, H. (2015) “Emerging information technologies for enhanced healthcare”, </w:t>
      </w:r>
      <w:r w:rsidRPr="009020A0">
        <w:rPr>
          <w:rFonts w:asciiTheme="minorHAnsi" w:eastAsia="Times New Roman" w:hAnsiTheme="minorHAnsi" w:cs="Times New Roman"/>
          <w:i/>
          <w:iCs/>
          <w:sz w:val="24"/>
          <w:szCs w:val="24"/>
          <w:lang w:val="en-GB"/>
        </w:rPr>
        <w:t>Computers in Industry</w:t>
      </w:r>
      <w:r w:rsidRPr="009020A0">
        <w:rPr>
          <w:rFonts w:asciiTheme="minorHAnsi" w:eastAsia="Times New Roman" w:hAnsiTheme="minorHAnsi" w:cs="Times New Roman"/>
          <w:sz w:val="24"/>
          <w:szCs w:val="24"/>
          <w:lang w:val="en-GB"/>
        </w:rPr>
        <w:t>, 69, pp.3–11. doi: 10.1016/j.compind.2015.01.012.</w:t>
      </w:r>
    </w:p>
    <w:p w14:paraId="1F0BD2C4" w14:textId="77777777" w:rsidR="009020A0" w:rsidRPr="009020A0" w:rsidRDefault="009020A0" w:rsidP="009020A0">
      <w:pPr>
        <w:pStyle w:val="ListParagraph"/>
        <w:numPr>
          <w:ilvl w:val="0"/>
          <w:numId w:val="4"/>
        </w:numPr>
        <w:spacing w:after="0" w:line="360" w:lineRule="auto"/>
        <w:rPr>
          <w:rFonts w:asciiTheme="minorHAnsi" w:eastAsia="Times New Roman" w:hAnsiTheme="minorHAnsi" w:cs="Times New Roman"/>
          <w:sz w:val="24"/>
          <w:szCs w:val="24"/>
          <w:lang w:val="en-GB"/>
        </w:rPr>
      </w:pPr>
      <w:r w:rsidRPr="009020A0">
        <w:rPr>
          <w:rFonts w:asciiTheme="minorHAnsi" w:eastAsia="Times New Roman" w:hAnsiTheme="minorHAnsi" w:cs="Times New Roman"/>
          <w:sz w:val="24"/>
          <w:szCs w:val="24"/>
          <w:lang w:val="en-GB"/>
        </w:rPr>
        <w:lastRenderedPageBreak/>
        <w:t xml:space="preserve">Young, J. (2021) “Balancing the benefits with the risks of emerging technology”. Available at: </w:t>
      </w:r>
      <w:hyperlink r:id="rId15" w:history="1">
        <w:r w:rsidRPr="009020A0">
          <w:rPr>
            <w:rStyle w:val="Hyperlink"/>
            <w:rFonts w:asciiTheme="minorHAnsi" w:eastAsia="Times New Roman" w:hAnsiTheme="minorHAnsi" w:cs="Times New Roman"/>
            <w:color w:val="auto"/>
            <w:sz w:val="24"/>
            <w:szCs w:val="24"/>
            <w:lang w:val="en-GB"/>
          </w:rPr>
          <w:t>https://www.techtarget.com/searchsecurity/post/Balancing-the-benefits-with-the-risks-of-emerging-technology</w:t>
        </w:r>
      </w:hyperlink>
      <w:r w:rsidRPr="009020A0">
        <w:rPr>
          <w:rFonts w:asciiTheme="minorHAnsi" w:eastAsia="Times New Roman" w:hAnsiTheme="minorHAnsi" w:cs="Times New Roman"/>
          <w:sz w:val="24"/>
          <w:szCs w:val="24"/>
          <w:lang w:val="en-GB"/>
        </w:rPr>
        <w:t xml:space="preserve"> (Accessed 2 May 2022).</w:t>
      </w:r>
    </w:p>
    <w:sectPr w:rsidR="009020A0" w:rsidRPr="009020A0">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1B3BF" w14:textId="77777777" w:rsidR="00F3092F" w:rsidRDefault="00F3092F">
      <w:pPr>
        <w:spacing w:after="0" w:line="240" w:lineRule="auto"/>
      </w:pPr>
      <w:r>
        <w:separator/>
      </w:r>
    </w:p>
  </w:endnote>
  <w:endnote w:type="continuationSeparator" w:id="0">
    <w:p w14:paraId="2CCF9C09" w14:textId="77777777" w:rsidR="00F3092F" w:rsidRDefault="00F30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4C9D0" w14:textId="77777777" w:rsidR="006B5E03" w:rsidRDefault="00D543C2">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83EBE">
      <w:rPr>
        <w:noProof/>
        <w:color w:val="000000"/>
      </w:rPr>
      <w:t>1</w:t>
    </w:r>
    <w:r>
      <w:rPr>
        <w:color w:val="000000"/>
      </w:rPr>
      <w:fldChar w:fldCharType="end"/>
    </w:r>
  </w:p>
  <w:p w14:paraId="6BCF1437" w14:textId="77777777" w:rsidR="006B5E03" w:rsidRDefault="006B5E0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69583" w14:textId="77777777" w:rsidR="00F3092F" w:rsidRDefault="00F3092F">
      <w:pPr>
        <w:spacing w:after="0" w:line="240" w:lineRule="auto"/>
      </w:pPr>
      <w:r>
        <w:separator/>
      </w:r>
    </w:p>
  </w:footnote>
  <w:footnote w:type="continuationSeparator" w:id="0">
    <w:p w14:paraId="1503CE63" w14:textId="77777777" w:rsidR="00F3092F" w:rsidRDefault="00F309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87222"/>
    <w:multiLevelType w:val="hybridMultilevel"/>
    <w:tmpl w:val="A12ECE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8E17A9"/>
    <w:multiLevelType w:val="hybridMultilevel"/>
    <w:tmpl w:val="5EFA0D4C"/>
    <w:lvl w:ilvl="0" w:tplc="97900FE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255CDD"/>
    <w:multiLevelType w:val="hybridMultilevel"/>
    <w:tmpl w:val="C2189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C07C41"/>
    <w:multiLevelType w:val="hybridMultilevel"/>
    <w:tmpl w:val="24D2DAA8"/>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16cid:durableId="1869416303">
    <w:abstractNumId w:val="1"/>
  </w:num>
  <w:num w:numId="2" w16cid:durableId="1656643115">
    <w:abstractNumId w:val="3"/>
  </w:num>
  <w:num w:numId="3" w16cid:durableId="1550147525">
    <w:abstractNumId w:val="2"/>
  </w:num>
  <w:num w:numId="4" w16cid:durableId="1866362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03"/>
    <w:rsid w:val="000035A1"/>
    <w:rsid w:val="00006654"/>
    <w:rsid w:val="0001085C"/>
    <w:rsid w:val="00010C9E"/>
    <w:rsid w:val="000136B6"/>
    <w:rsid w:val="000170AA"/>
    <w:rsid w:val="00021E6B"/>
    <w:rsid w:val="000231CF"/>
    <w:rsid w:val="00031A0E"/>
    <w:rsid w:val="00035D6E"/>
    <w:rsid w:val="000362D0"/>
    <w:rsid w:val="00036DBD"/>
    <w:rsid w:val="00047FC4"/>
    <w:rsid w:val="00051314"/>
    <w:rsid w:val="00051CE8"/>
    <w:rsid w:val="000525C2"/>
    <w:rsid w:val="000535A5"/>
    <w:rsid w:val="000543DD"/>
    <w:rsid w:val="00065EFC"/>
    <w:rsid w:val="00066558"/>
    <w:rsid w:val="00066771"/>
    <w:rsid w:val="00066B9B"/>
    <w:rsid w:val="000715C7"/>
    <w:rsid w:val="000721B3"/>
    <w:rsid w:val="0008118A"/>
    <w:rsid w:val="0008190C"/>
    <w:rsid w:val="0008237B"/>
    <w:rsid w:val="00083EBE"/>
    <w:rsid w:val="00084058"/>
    <w:rsid w:val="00090EC4"/>
    <w:rsid w:val="00090F77"/>
    <w:rsid w:val="000913C7"/>
    <w:rsid w:val="00091CDE"/>
    <w:rsid w:val="00094FB1"/>
    <w:rsid w:val="00097316"/>
    <w:rsid w:val="000A2971"/>
    <w:rsid w:val="000A33EE"/>
    <w:rsid w:val="000A48CD"/>
    <w:rsid w:val="000A4D97"/>
    <w:rsid w:val="000A581F"/>
    <w:rsid w:val="000B0692"/>
    <w:rsid w:val="000B4354"/>
    <w:rsid w:val="000B53D5"/>
    <w:rsid w:val="000B59D6"/>
    <w:rsid w:val="000C1CEA"/>
    <w:rsid w:val="000C5A42"/>
    <w:rsid w:val="000C5CAC"/>
    <w:rsid w:val="000C6CC7"/>
    <w:rsid w:val="000D00D0"/>
    <w:rsid w:val="000D1565"/>
    <w:rsid w:val="000D4E0E"/>
    <w:rsid w:val="000D5F2A"/>
    <w:rsid w:val="000D6925"/>
    <w:rsid w:val="000E048F"/>
    <w:rsid w:val="000E4BAD"/>
    <w:rsid w:val="000E59B7"/>
    <w:rsid w:val="000E5F17"/>
    <w:rsid w:val="000E674F"/>
    <w:rsid w:val="000E7B9A"/>
    <w:rsid w:val="000F0B35"/>
    <w:rsid w:val="000F4CF4"/>
    <w:rsid w:val="000F63BF"/>
    <w:rsid w:val="0011009B"/>
    <w:rsid w:val="00110D5C"/>
    <w:rsid w:val="00113198"/>
    <w:rsid w:val="001178C9"/>
    <w:rsid w:val="00123D02"/>
    <w:rsid w:val="00126794"/>
    <w:rsid w:val="00127839"/>
    <w:rsid w:val="00133677"/>
    <w:rsid w:val="00134707"/>
    <w:rsid w:val="001406B9"/>
    <w:rsid w:val="0014084D"/>
    <w:rsid w:val="00144823"/>
    <w:rsid w:val="0015312B"/>
    <w:rsid w:val="0016040F"/>
    <w:rsid w:val="00162176"/>
    <w:rsid w:val="00164B48"/>
    <w:rsid w:val="00167532"/>
    <w:rsid w:val="00172836"/>
    <w:rsid w:val="00172C59"/>
    <w:rsid w:val="00173A30"/>
    <w:rsid w:val="0017518A"/>
    <w:rsid w:val="00177E25"/>
    <w:rsid w:val="0018157C"/>
    <w:rsid w:val="00184E68"/>
    <w:rsid w:val="00187674"/>
    <w:rsid w:val="001878A4"/>
    <w:rsid w:val="00190D52"/>
    <w:rsid w:val="00192E76"/>
    <w:rsid w:val="00195B65"/>
    <w:rsid w:val="00197224"/>
    <w:rsid w:val="001A0276"/>
    <w:rsid w:val="001A435E"/>
    <w:rsid w:val="001A5493"/>
    <w:rsid w:val="001A62CC"/>
    <w:rsid w:val="001B79BB"/>
    <w:rsid w:val="001C04A0"/>
    <w:rsid w:val="001C134A"/>
    <w:rsid w:val="001C4669"/>
    <w:rsid w:val="001C669C"/>
    <w:rsid w:val="001C72FF"/>
    <w:rsid w:val="001D3FFD"/>
    <w:rsid w:val="001E0E87"/>
    <w:rsid w:val="001E1263"/>
    <w:rsid w:val="001E1DCA"/>
    <w:rsid w:val="001E21A0"/>
    <w:rsid w:val="001E6F05"/>
    <w:rsid w:val="001F02FD"/>
    <w:rsid w:val="001F3BF1"/>
    <w:rsid w:val="001F58FE"/>
    <w:rsid w:val="001F6438"/>
    <w:rsid w:val="002119BD"/>
    <w:rsid w:val="00211C29"/>
    <w:rsid w:val="002153E3"/>
    <w:rsid w:val="00217ECB"/>
    <w:rsid w:val="00235E18"/>
    <w:rsid w:val="00240D72"/>
    <w:rsid w:val="002452D1"/>
    <w:rsid w:val="002511D2"/>
    <w:rsid w:val="00254A46"/>
    <w:rsid w:val="002601DE"/>
    <w:rsid w:val="00260AA5"/>
    <w:rsid w:val="0026280D"/>
    <w:rsid w:val="00263A14"/>
    <w:rsid w:val="00281665"/>
    <w:rsid w:val="00281AD2"/>
    <w:rsid w:val="00281F46"/>
    <w:rsid w:val="00287626"/>
    <w:rsid w:val="00291D2B"/>
    <w:rsid w:val="002933A8"/>
    <w:rsid w:val="00297D2B"/>
    <w:rsid w:val="002A325A"/>
    <w:rsid w:val="002B0681"/>
    <w:rsid w:val="002B0984"/>
    <w:rsid w:val="002B1872"/>
    <w:rsid w:val="002B19B4"/>
    <w:rsid w:val="002B50DC"/>
    <w:rsid w:val="002C230C"/>
    <w:rsid w:val="002C49A4"/>
    <w:rsid w:val="002C6071"/>
    <w:rsid w:val="002C7118"/>
    <w:rsid w:val="002C763C"/>
    <w:rsid w:val="002D0F5D"/>
    <w:rsid w:val="002D3B61"/>
    <w:rsid w:val="002D3F92"/>
    <w:rsid w:val="002D4D4B"/>
    <w:rsid w:val="002E048D"/>
    <w:rsid w:val="002E14C1"/>
    <w:rsid w:val="002E2DF0"/>
    <w:rsid w:val="002E3C68"/>
    <w:rsid w:val="002E4CDE"/>
    <w:rsid w:val="002E63F2"/>
    <w:rsid w:val="002E6D82"/>
    <w:rsid w:val="002E7DA8"/>
    <w:rsid w:val="002F1473"/>
    <w:rsid w:val="002F21B7"/>
    <w:rsid w:val="002F61C3"/>
    <w:rsid w:val="002F7F8E"/>
    <w:rsid w:val="00302594"/>
    <w:rsid w:val="003028A9"/>
    <w:rsid w:val="00303FBF"/>
    <w:rsid w:val="003053A0"/>
    <w:rsid w:val="00307B48"/>
    <w:rsid w:val="00311AD7"/>
    <w:rsid w:val="00311D9C"/>
    <w:rsid w:val="00313E7A"/>
    <w:rsid w:val="00314E22"/>
    <w:rsid w:val="00317BBD"/>
    <w:rsid w:val="003221E5"/>
    <w:rsid w:val="00324597"/>
    <w:rsid w:val="0032586C"/>
    <w:rsid w:val="00332991"/>
    <w:rsid w:val="00336A46"/>
    <w:rsid w:val="00342FAA"/>
    <w:rsid w:val="003440CF"/>
    <w:rsid w:val="003444BF"/>
    <w:rsid w:val="00353DB6"/>
    <w:rsid w:val="003543DC"/>
    <w:rsid w:val="00363405"/>
    <w:rsid w:val="00366F5D"/>
    <w:rsid w:val="0037679B"/>
    <w:rsid w:val="0037713F"/>
    <w:rsid w:val="00396DFB"/>
    <w:rsid w:val="003A08CB"/>
    <w:rsid w:val="003A11A4"/>
    <w:rsid w:val="003A25A3"/>
    <w:rsid w:val="003A30C7"/>
    <w:rsid w:val="003A3D2B"/>
    <w:rsid w:val="003A4FE9"/>
    <w:rsid w:val="003A703F"/>
    <w:rsid w:val="003B11C7"/>
    <w:rsid w:val="003B23F0"/>
    <w:rsid w:val="003B303E"/>
    <w:rsid w:val="003B5B93"/>
    <w:rsid w:val="003B5E84"/>
    <w:rsid w:val="003B6DE3"/>
    <w:rsid w:val="003B7F4D"/>
    <w:rsid w:val="003C48C3"/>
    <w:rsid w:val="003C71F6"/>
    <w:rsid w:val="003D00FC"/>
    <w:rsid w:val="003D3E8C"/>
    <w:rsid w:val="003D61FF"/>
    <w:rsid w:val="003E2530"/>
    <w:rsid w:val="003E4374"/>
    <w:rsid w:val="003E5DF9"/>
    <w:rsid w:val="003F0DF0"/>
    <w:rsid w:val="003F4AC5"/>
    <w:rsid w:val="003F70F8"/>
    <w:rsid w:val="00400B2F"/>
    <w:rsid w:val="004028CB"/>
    <w:rsid w:val="00405EFC"/>
    <w:rsid w:val="004075D3"/>
    <w:rsid w:val="00414823"/>
    <w:rsid w:val="00425D70"/>
    <w:rsid w:val="00427723"/>
    <w:rsid w:val="004304BA"/>
    <w:rsid w:val="00446561"/>
    <w:rsid w:val="00447631"/>
    <w:rsid w:val="0046222F"/>
    <w:rsid w:val="0046492A"/>
    <w:rsid w:val="0047016E"/>
    <w:rsid w:val="00474F65"/>
    <w:rsid w:val="00476DC1"/>
    <w:rsid w:val="00484465"/>
    <w:rsid w:val="00487885"/>
    <w:rsid w:val="0049134B"/>
    <w:rsid w:val="004915A9"/>
    <w:rsid w:val="00491AD5"/>
    <w:rsid w:val="00492E2F"/>
    <w:rsid w:val="00494BD2"/>
    <w:rsid w:val="0049669C"/>
    <w:rsid w:val="004B4308"/>
    <w:rsid w:val="004C752C"/>
    <w:rsid w:val="004D2044"/>
    <w:rsid w:val="004D5244"/>
    <w:rsid w:val="004E369C"/>
    <w:rsid w:val="004E3CDC"/>
    <w:rsid w:val="004E3F25"/>
    <w:rsid w:val="004E65F6"/>
    <w:rsid w:val="004F0D03"/>
    <w:rsid w:val="004F0FA8"/>
    <w:rsid w:val="004F3F9E"/>
    <w:rsid w:val="004F5595"/>
    <w:rsid w:val="004F61C8"/>
    <w:rsid w:val="004F6559"/>
    <w:rsid w:val="00503D06"/>
    <w:rsid w:val="00516739"/>
    <w:rsid w:val="00517017"/>
    <w:rsid w:val="00520D32"/>
    <w:rsid w:val="005223A7"/>
    <w:rsid w:val="00532919"/>
    <w:rsid w:val="005376C6"/>
    <w:rsid w:val="00541966"/>
    <w:rsid w:val="0054330A"/>
    <w:rsid w:val="0054362F"/>
    <w:rsid w:val="00543A9F"/>
    <w:rsid w:val="00543DDA"/>
    <w:rsid w:val="00543EFB"/>
    <w:rsid w:val="00550E8D"/>
    <w:rsid w:val="00551C93"/>
    <w:rsid w:val="005610AA"/>
    <w:rsid w:val="00561537"/>
    <w:rsid w:val="00566D6E"/>
    <w:rsid w:val="00566E7B"/>
    <w:rsid w:val="00575175"/>
    <w:rsid w:val="00580444"/>
    <w:rsid w:val="005826F1"/>
    <w:rsid w:val="005848EC"/>
    <w:rsid w:val="00585DBC"/>
    <w:rsid w:val="00586AD1"/>
    <w:rsid w:val="00592168"/>
    <w:rsid w:val="00593746"/>
    <w:rsid w:val="00595925"/>
    <w:rsid w:val="00596FD2"/>
    <w:rsid w:val="005A02E0"/>
    <w:rsid w:val="005A12FF"/>
    <w:rsid w:val="005A2A12"/>
    <w:rsid w:val="005A4528"/>
    <w:rsid w:val="005B3C4A"/>
    <w:rsid w:val="005B4900"/>
    <w:rsid w:val="005C314F"/>
    <w:rsid w:val="005C4559"/>
    <w:rsid w:val="005C5083"/>
    <w:rsid w:val="005C5296"/>
    <w:rsid w:val="005C6C2E"/>
    <w:rsid w:val="005D1A2E"/>
    <w:rsid w:val="005D2F38"/>
    <w:rsid w:val="005D3E46"/>
    <w:rsid w:val="005D4096"/>
    <w:rsid w:val="005D5D72"/>
    <w:rsid w:val="005D6164"/>
    <w:rsid w:val="005D632B"/>
    <w:rsid w:val="005D777F"/>
    <w:rsid w:val="005E0136"/>
    <w:rsid w:val="005E2ADF"/>
    <w:rsid w:val="005E6BE8"/>
    <w:rsid w:val="005E71A4"/>
    <w:rsid w:val="005F440A"/>
    <w:rsid w:val="005F6DA4"/>
    <w:rsid w:val="006016E4"/>
    <w:rsid w:val="00605380"/>
    <w:rsid w:val="00613176"/>
    <w:rsid w:val="00614228"/>
    <w:rsid w:val="00615642"/>
    <w:rsid w:val="00620199"/>
    <w:rsid w:val="00622771"/>
    <w:rsid w:val="006241D8"/>
    <w:rsid w:val="0062482F"/>
    <w:rsid w:val="0062764C"/>
    <w:rsid w:val="00633476"/>
    <w:rsid w:val="006371EE"/>
    <w:rsid w:val="00641137"/>
    <w:rsid w:val="006443D4"/>
    <w:rsid w:val="0064453F"/>
    <w:rsid w:val="00645B0E"/>
    <w:rsid w:val="00654CF9"/>
    <w:rsid w:val="00661EE9"/>
    <w:rsid w:val="00664CBD"/>
    <w:rsid w:val="00670446"/>
    <w:rsid w:val="00681398"/>
    <w:rsid w:val="0068416C"/>
    <w:rsid w:val="0068767E"/>
    <w:rsid w:val="00687F37"/>
    <w:rsid w:val="00694162"/>
    <w:rsid w:val="006941D9"/>
    <w:rsid w:val="00697A66"/>
    <w:rsid w:val="00697E2A"/>
    <w:rsid w:val="006A0001"/>
    <w:rsid w:val="006B5260"/>
    <w:rsid w:val="006B5AF4"/>
    <w:rsid w:val="006B5E03"/>
    <w:rsid w:val="006D1712"/>
    <w:rsid w:val="006D32D3"/>
    <w:rsid w:val="006D336E"/>
    <w:rsid w:val="006D5BEC"/>
    <w:rsid w:val="006E2592"/>
    <w:rsid w:val="006E55CA"/>
    <w:rsid w:val="006E66FE"/>
    <w:rsid w:val="006E6A61"/>
    <w:rsid w:val="006F54FA"/>
    <w:rsid w:val="006F7287"/>
    <w:rsid w:val="00701F49"/>
    <w:rsid w:val="00703219"/>
    <w:rsid w:val="0070343D"/>
    <w:rsid w:val="0071064A"/>
    <w:rsid w:val="00710D3C"/>
    <w:rsid w:val="00714282"/>
    <w:rsid w:val="007168FF"/>
    <w:rsid w:val="00717FA9"/>
    <w:rsid w:val="00723D71"/>
    <w:rsid w:val="00726F8D"/>
    <w:rsid w:val="00727A85"/>
    <w:rsid w:val="00731805"/>
    <w:rsid w:val="007335F8"/>
    <w:rsid w:val="00740FCF"/>
    <w:rsid w:val="007466F2"/>
    <w:rsid w:val="00750751"/>
    <w:rsid w:val="007523AA"/>
    <w:rsid w:val="00760789"/>
    <w:rsid w:val="00763300"/>
    <w:rsid w:val="00763C7A"/>
    <w:rsid w:val="00763DD3"/>
    <w:rsid w:val="00764070"/>
    <w:rsid w:val="00765721"/>
    <w:rsid w:val="007706C6"/>
    <w:rsid w:val="007729EF"/>
    <w:rsid w:val="00783506"/>
    <w:rsid w:val="007868DF"/>
    <w:rsid w:val="00786AA4"/>
    <w:rsid w:val="00790578"/>
    <w:rsid w:val="00793AD3"/>
    <w:rsid w:val="00793DFB"/>
    <w:rsid w:val="007A2208"/>
    <w:rsid w:val="007A2E87"/>
    <w:rsid w:val="007B0CCF"/>
    <w:rsid w:val="007B2E56"/>
    <w:rsid w:val="007B5E7A"/>
    <w:rsid w:val="007C6171"/>
    <w:rsid w:val="007D4749"/>
    <w:rsid w:val="007D759A"/>
    <w:rsid w:val="007D7AE6"/>
    <w:rsid w:val="007E6F22"/>
    <w:rsid w:val="007E7995"/>
    <w:rsid w:val="007F1406"/>
    <w:rsid w:val="007F28E1"/>
    <w:rsid w:val="007F3019"/>
    <w:rsid w:val="007F366F"/>
    <w:rsid w:val="007F3FCA"/>
    <w:rsid w:val="007F4232"/>
    <w:rsid w:val="007F5C6B"/>
    <w:rsid w:val="008025A0"/>
    <w:rsid w:val="008037E6"/>
    <w:rsid w:val="00805702"/>
    <w:rsid w:val="00806283"/>
    <w:rsid w:val="00806510"/>
    <w:rsid w:val="00807BE1"/>
    <w:rsid w:val="00815DA6"/>
    <w:rsid w:val="00817171"/>
    <w:rsid w:val="0082502C"/>
    <w:rsid w:val="00825827"/>
    <w:rsid w:val="00826339"/>
    <w:rsid w:val="00832D3B"/>
    <w:rsid w:val="00833A4A"/>
    <w:rsid w:val="00837FDD"/>
    <w:rsid w:val="008444FC"/>
    <w:rsid w:val="00847338"/>
    <w:rsid w:val="008551C9"/>
    <w:rsid w:val="008565E1"/>
    <w:rsid w:val="008575AB"/>
    <w:rsid w:val="00863779"/>
    <w:rsid w:val="0086625E"/>
    <w:rsid w:val="00870A0C"/>
    <w:rsid w:val="00870BC6"/>
    <w:rsid w:val="0088082A"/>
    <w:rsid w:val="00880BC7"/>
    <w:rsid w:val="0089109C"/>
    <w:rsid w:val="008A06A1"/>
    <w:rsid w:val="008B0408"/>
    <w:rsid w:val="008B1DFD"/>
    <w:rsid w:val="008B2FA1"/>
    <w:rsid w:val="008B404A"/>
    <w:rsid w:val="008B47B5"/>
    <w:rsid w:val="008B56BD"/>
    <w:rsid w:val="008B7061"/>
    <w:rsid w:val="008C008B"/>
    <w:rsid w:val="008C1487"/>
    <w:rsid w:val="008C4C4B"/>
    <w:rsid w:val="008C57D1"/>
    <w:rsid w:val="008C5F1B"/>
    <w:rsid w:val="008D023B"/>
    <w:rsid w:val="008D105F"/>
    <w:rsid w:val="008D4F03"/>
    <w:rsid w:val="008D535C"/>
    <w:rsid w:val="008E1602"/>
    <w:rsid w:val="008E2498"/>
    <w:rsid w:val="008E3AB6"/>
    <w:rsid w:val="008E5B5D"/>
    <w:rsid w:val="008F015A"/>
    <w:rsid w:val="008F486A"/>
    <w:rsid w:val="008F75C4"/>
    <w:rsid w:val="009020A0"/>
    <w:rsid w:val="00905742"/>
    <w:rsid w:val="00905F58"/>
    <w:rsid w:val="0090778D"/>
    <w:rsid w:val="00907F7E"/>
    <w:rsid w:val="0091066A"/>
    <w:rsid w:val="00914CD7"/>
    <w:rsid w:val="009251F8"/>
    <w:rsid w:val="00926355"/>
    <w:rsid w:val="00926ADD"/>
    <w:rsid w:val="00930C99"/>
    <w:rsid w:val="00932D2C"/>
    <w:rsid w:val="00935EAB"/>
    <w:rsid w:val="00936DB5"/>
    <w:rsid w:val="009418DB"/>
    <w:rsid w:val="00943123"/>
    <w:rsid w:val="009440B8"/>
    <w:rsid w:val="009453E9"/>
    <w:rsid w:val="00945BF9"/>
    <w:rsid w:val="0094709A"/>
    <w:rsid w:val="00947D93"/>
    <w:rsid w:val="0095105F"/>
    <w:rsid w:val="00951B3F"/>
    <w:rsid w:val="00952948"/>
    <w:rsid w:val="00960AA5"/>
    <w:rsid w:val="00973634"/>
    <w:rsid w:val="009747A4"/>
    <w:rsid w:val="00975791"/>
    <w:rsid w:val="00983F91"/>
    <w:rsid w:val="00985504"/>
    <w:rsid w:val="00985933"/>
    <w:rsid w:val="00986EE3"/>
    <w:rsid w:val="00987550"/>
    <w:rsid w:val="0099114C"/>
    <w:rsid w:val="0099262A"/>
    <w:rsid w:val="00993C14"/>
    <w:rsid w:val="00993EA1"/>
    <w:rsid w:val="00995641"/>
    <w:rsid w:val="0099630A"/>
    <w:rsid w:val="00997711"/>
    <w:rsid w:val="009A0900"/>
    <w:rsid w:val="009A0F2D"/>
    <w:rsid w:val="009A54A6"/>
    <w:rsid w:val="009A5C41"/>
    <w:rsid w:val="009A7D7E"/>
    <w:rsid w:val="009B5E95"/>
    <w:rsid w:val="009B6DF1"/>
    <w:rsid w:val="009C2E41"/>
    <w:rsid w:val="009C367B"/>
    <w:rsid w:val="009D60B2"/>
    <w:rsid w:val="009D6A85"/>
    <w:rsid w:val="009D7338"/>
    <w:rsid w:val="009E07B2"/>
    <w:rsid w:val="009E1F6F"/>
    <w:rsid w:val="009E2288"/>
    <w:rsid w:val="009E5447"/>
    <w:rsid w:val="009F1F64"/>
    <w:rsid w:val="009F21CA"/>
    <w:rsid w:val="009F3039"/>
    <w:rsid w:val="009F5712"/>
    <w:rsid w:val="00A00FAE"/>
    <w:rsid w:val="00A0700A"/>
    <w:rsid w:val="00A12138"/>
    <w:rsid w:val="00A145B2"/>
    <w:rsid w:val="00A172F7"/>
    <w:rsid w:val="00A218D6"/>
    <w:rsid w:val="00A22AF2"/>
    <w:rsid w:val="00A35656"/>
    <w:rsid w:val="00A35F54"/>
    <w:rsid w:val="00A4193D"/>
    <w:rsid w:val="00A425D2"/>
    <w:rsid w:val="00A47A18"/>
    <w:rsid w:val="00A527DC"/>
    <w:rsid w:val="00A64422"/>
    <w:rsid w:val="00A65C62"/>
    <w:rsid w:val="00A82619"/>
    <w:rsid w:val="00A828F6"/>
    <w:rsid w:val="00A853ED"/>
    <w:rsid w:val="00A85410"/>
    <w:rsid w:val="00A91752"/>
    <w:rsid w:val="00A94932"/>
    <w:rsid w:val="00AB1790"/>
    <w:rsid w:val="00AB2496"/>
    <w:rsid w:val="00AB5885"/>
    <w:rsid w:val="00AB6486"/>
    <w:rsid w:val="00AC0EDD"/>
    <w:rsid w:val="00AC50FB"/>
    <w:rsid w:val="00AD10C7"/>
    <w:rsid w:val="00AD201E"/>
    <w:rsid w:val="00AD2625"/>
    <w:rsid w:val="00AD3B3C"/>
    <w:rsid w:val="00AE0CDE"/>
    <w:rsid w:val="00AE152F"/>
    <w:rsid w:val="00AE2FCF"/>
    <w:rsid w:val="00AE3215"/>
    <w:rsid w:val="00AE5C0D"/>
    <w:rsid w:val="00AF363E"/>
    <w:rsid w:val="00B0450B"/>
    <w:rsid w:val="00B1118C"/>
    <w:rsid w:val="00B14D38"/>
    <w:rsid w:val="00B16234"/>
    <w:rsid w:val="00B16C62"/>
    <w:rsid w:val="00B21C11"/>
    <w:rsid w:val="00B26EC0"/>
    <w:rsid w:val="00B32C03"/>
    <w:rsid w:val="00B35059"/>
    <w:rsid w:val="00B40750"/>
    <w:rsid w:val="00B43FCD"/>
    <w:rsid w:val="00B47BC8"/>
    <w:rsid w:val="00B547AB"/>
    <w:rsid w:val="00B612A8"/>
    <w:rsid w:val="00B63E2F"/>
    <w:rsid w:val="00B65AFF"/>
    <w:rsid w:val="00B70410"/>
    <w:rsid w:val="00B70938"/>
    <w:rsid w:val="00B801BD"/>
    <w:rsid w:val="00B928BF"/>
    <w:rsid w:val="00BA4BE0"/>
    <w:rsid w:val="00BA4C81"/>
    <w:rsid w:val="00BB092E"/>
    <w:rsid w:val="00BB20AE"/>
    <w:rsid w:val="00BC3CD5"/>
    <w:rsid w:val="00BC4A0D"/>
    <w:rsid w:val="00BD1F3C"/>
    <w:rsid w:val="00BD5344"/>
    <w:rsid w:val="00BD7AC4"/>
    <w:rsid w:val="00BE401D"/>
    <w:rsid w:val="00C00752"/>
    <w:rsid w:val="00C00A5E"/>
    <w:rsid w:val="00C027EB"/>
    <w:rsid w:val="00C04209"/>
    <w:rsid w:val="00C05E7C"/>
    <w:rsid w:val="00C07C26"/>
    <w:rsid w:val="00C1214A"/>
    <w:rsid w:val="00C121A7"/>
    <w:rsid w:val="00C16BBF"/>
    <w:rsid w:val="00C17311"/>
    <w:rsid w:val="00C35C8D"/>
    <w:rsid w:val="00C365D7"/>
    <w:rsid w:val="00C37A0A"/>
    <w:rsid w:val="00C46947"/>
    <w:rsid w:val="00C52B4A"/>
    <w:rsid w:val="00C53C5C"/>
    <w:rsid w:val="00C5522D"/>
    <w:rsid w:val="00C60152"/>
    <w:rsid w:val="00C61240"/>
    <w:rsid w:val="00C72FE7"/>
    <w:rsid w:val="00C76B2E"/>
    <w:rsid w:val="00C80124"/>
    <w:rsid w:val="00C834E0"/>
    <w:rsid w:val="00C86A0E"/>
    <w:rsid w:val="00C91008"/>
    <w:rsid w:val="00C912E5"/>
    <w:rsid w:val="00C91964"/>
    <w:rsid w:val="00C920EB"/>
    <w:rsid w:val="00C92D73"/>
    <w:rsid w:val="00C9633C"/>
    <w:rsid w:val="00CA3CAE"/>
    <w:rsid w:val="00CA53B2"/>
    <w:rsid w:val="00CA6C2C"/>
    <w:rsid w:val="00CA7641"/>
    <w:rsid w:val="00CB1FA2"/>
    <w:rsid w:val="00CB716E"/>
    <w:rsid w:val="00CC2B2D"/>
    <w:rsid w:val="00CE517E"/>
    <w:rsid w:val="00CE5331"/>
    <w:rsid w:val="00CF1A6D"/>
    <w:rsid w:val="00CF357D"/>
    <w:rsid w:val="00CF4173"/>
    <w:rsid w:val="00D002A8"/>
    <w:rsid w:val="00D01A31"/>
    <w:rsid w:val="00D0290F"/>
    <w:rsid w:val="00D04304"/>
    <w:rsid w:val="00D10B12"/>
    <w:rsid w:val="00D12FC4"/>
    <w:rsid w:val="00D14827"/>
    <w:rsid w:val="00D25985"/>
    <w:rsid w:val="00D26966"/>
    <w:rsid w:val="00D2782A"/>
    <w:rsid w:val="00D32048"/>
    <w:rsid w:val="00D33863"/>
    <w:rsid w:val="00D46920"/>
    <w:rsid w:val="00D512EA"/>
    <w:rsid w:val="00D52C99"/>
    <w:rsid w:val="00D543C2"/>
    <w:rsid w:val="00D55594"/>
    <w:rsid w:val="00D72F00"/>
    <w:rsid w:val="00D74EA5"/>
    <w:rsid w:val="00D75B8A"/>
    <w:rsid w:val="00D7682C"/>
    <w:rsid w:val="00D804B4"/>
    <w:rsid w:val="00D8050F"/>
    <w:rsid w:val="00D83E52"/>
    <w:rsid w:val="00D84EB9"/>
    <w:rsid w:val="00D86DDC"/>
    <w:rsid w:val="00D90A67"/>
    <w:rsid w:val="00D94431"/>
    <w:rsid w:val="00DA1916"/>
    <w:rsid w:val="00DA47B0"/>
    <w:rsid w:val="00DA55A5"/>
    <w:rsid w:val="00DA5A6F"/>
    <w:rsid w:val="00DB0D08"/>
    <w:rsid w:val="00DB6986"/>
    <w:rsid w:val="00DC251F"/>
    <w:rsid w:val="00DC304B"/>
    <w:rsid w:val="00DC58A4"/>
    <w:rsid w:val="00DC62A8"/>
    <w:rsid w:val="00DC69F2"/>
    <w:rsid w:val="00DC7A53"/>
    <w:rsid w:val="00DD0227"/>
    <w:rsid w:val="00DD234C"/>
    <w:rsid w:val="00DD3298"/>
    <w:rsid w:val="00DD4559"/>
    <w:rsid w:val="00DD48F2"/>
    <w:rsid w:val="00DE41F0"/>
    <w:rsid w:val="00DF05E6"/>
    <w:rsid w:val="00DF37F4"/>
    <w:rsid w:val="00DF62E0"/>
    <w:rsid w:val="00DF6D6F"/>
    <w:rsid w:val="00DF7909"/>
    <w:rsid w:val="00E00ECB"/>
    <w:rsid w:val="00E05C4F"/>
    <w:rsid w:val="00E06048"/>
    <w:rsid w:val="00E076EB"/>
    <w:rsid w:val="00E161E1"/>
    <w:rsid w:val="00E176A6"/>
    <w:rsid w:val="00E207BD"/>
    <w:rsid w:val="00E21985"/>
    <w:rsid w:val="00E21B1B"/>
    <w:rsid w:val="00E230F2"/>
    <w:rsid w:val="00E242E0"/>
    <w:rsid w:val="00E249BD"/>
    <w:rsid w:val="00E2595B"/>
    <w:rsid w:val="00E25ACD"/>
    <w:rsid w:val="00E273CE"/>
    <w:rsid w:val="00E31D19"/>
    <w:rsid w:val="00E33D32"/>
    <w:rsid w:val="00E373BC"/>
    <w:rsid w:val="00E403E5"/>
    <w:rsid w:val="00E422A7"/>
    <w:rsid w:val="00E463AF"/>
    <w:rsid w:val="00E465F9"/>
    <w:rsid w:val="00E46B22"/>
    <w:rsid w:val="00E50805"/>
    <w:rsid w:val="00E51EE3"/>
    <w:rsid w:val="00E54C39"/>
    <w:rsid w:val="00E559AE"/>
    <w:rsid w:val="00E605B6"/>
    <w:rsid w:val="00E61682"/>
    <w:rsid w:val="00E63D25"/>
    <w:rsid w:val="00E64B60"/>
    <w:rsid w:val="00E7489C"/>
    <w:rsid w:val="00E76650"/>
    <w:rsid w:val="00E86D01"/>
    <w:rsid w:val="00E87D1F"/>
    <w:rsid w:val="00E90032"/>
    <w:rsid w:val="00E92B22"/>
    <w:rsid w:val="00E948F7"/>
    <w:rsid w:val="00EA00DE"/>
    <w:rsid w:val="00EA25FB"/>
    <w:rsid w:val="00EA3627"/>
    <w:rsid w:val="00EA593F"/>
    <w:rsid w:val="00EA6F6B"/>
    <w:rsid w:val="00EA7F8C"/>
    <w:rsid w:val="00EB2BFB"/>
    <w:rsid w:val="00EB547A"/>
    <w:rsid w:val="00EC4A5A"/>
    <w:rsid w:val="00EC5ADE"/>
    <w:rsid w:val="00ED0D7B"/>
    <w:rsid w:val="00ED1D71"/>
    <w:rsid w:val="00ED4D55"/>
    <w:rsid w:val="00EE05E1"/>
    <w:rsid w:val="00EE0680"/>
    <w:rsid w:val="00EE0769"/>
    <w:rsid w:val="00EE1394"/>
    <w:rsid w:val="00EE24BC"/>
    <w:rsid w:val="00EF2C20"/>
    <w:rsid w:val="00EF4B93"/>
    <w:rsid w:val="00EF743D"/>
    <w:rsid w:val="00F003A3"/>
    <w:rsid w:val="00F04D70"/>
    <w:rsid w:val="00F118B2"/>
    <w:rsid w:val="00F146DE"/>
    <w:rsid w:val="00F15593"/>
    <w:rsid w:val="00F174D2"/>
    <w:rsid w:val="00F178F3"/>
    <w:rsid w:val="00F17D93"/>
    <w:rsid w:val="00F24BC4"/>
    <w:rsid w:val="00F24E2E"/>
    <w:rsid w:val="00F3092F"/>
    <w:rsid w:val="00F30C4E"/>
    <w:rsid w:val="00F37CB1"/>
    <w:rsid w:val="00F423C0"/>
    <w:rsid w:val="00F45A3E"/>
    <w:rsid w:val="00F516D0"/>
    <w:rsid w:val="00F520F8"/>
    <w:rsid w:val="00F55D79"/>
    <w:rsid w:val="00F5696F"/>
    <w:rsid w:val="00F61CF7"/>
    <w:rsid w:val="00F66713"/>
    <w:rsid w:val="00F7073E"/>
    <w:rsid w:val="00F728B0"/>
    <w:rsid w:val="00F733D4"/>
    <w:rsid w:val="00F76B09"/>
    <w:rsid w:val="00F77254"/>
    <w:rsid w:val="00F8058E"/>
    <w:rsid w:val="00F93537"/>
    <w:rsid w:val="00F96061"/>
    <w:rsid w:val="00FA0475"/>
    <w:rsid w:val="00FA0C49"/>
    <w:rsid w:val="00FA1A68"/>
    <w:rsid w:val="00FA3302"/>
    <w:rsid w:val="00FA474D"/>
    <w:rsid w:val="00FA5D0E"/>
    <w:rsid w:val="00FA7BC2"/>
    <w:rsid w:val="00FB01D1"/>
    <w:rsid w:val="00FB1430"/>
    <w:rsid w:val="00FB2492"/>
    <w:rsid w:val="00FB449D"/>
    <w:rsid w:val="00FB53DA"/>
    <w:rsid w:val="00FB772B"/>
    <w:rsid w:val="00FC0E30"/>
    <w:rsid w:val="00FC6AB0"/>
    <w:rsid w:val="00FC7BAA"/>
    <w:rsid w:val="00FC7F38"/>
    <w:rsid w:val="00FD1BFC"/>
    <w:rsid w:val="00FD2B67"/>
    <w:rsid w:val="00FD6B56"/>
    <w:rsid w:val="00FD6DC3"/>
    <w:rsid w:val="00FE1B7F"/>
    <w:rsid w:val="00FE1C0B"/>
    <w:rsid w:val="00FE5A40"/>
    <w:rsid w:val="00FE5BF5"/>
    <w:rsid w:val="00FE5E0D"/>
    <w:rsid w:val="00FE6EA1"/>
    <w:rsid w:val="00FF3306"/>
    <w:rsid w:val="00FF577D"/>
    <w:rsid w:val="00FF7162"/>
    <w:rsid w:val="00FF7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FF402"/>
  <w15:docId w15:val="{CA2AC15A-C3A7-44CC-AB82-D5CCCEA2C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before="240" w:after="40" w:line="240" w:lineRule="auto"/>
    </w:pPr>
    <w:rPr>
      <w:sz w:val="16"/>
      <w:szCs w:val="16"/>
    </w:rPr>
    <w:tblPr>
      <w:tblStyleRowBandSize w:val="1"/>
      <w:tblStyleColBandSize w:val="1"/>
      <w:tblCellMar>
        <w:left w:w="0" w:type="dxa"/>
        <w:right w:w="0" w:type="dxa"/>
      </w:tblCellMar>
    </w:tblPr>
    <w:tblStylePr w:type="band1Vert">
      <w:rPr>
        <w:smallCaps w:val="0"/>
      </w:rPr>
    </w:tblStylePr>
    <w:tblStylePr w:type="band2Vert">
      <w:rPr>
        <w:b w:val="0"/>
      </w:rPr>
    </w:tblStylePr>
  </w:style>
  <w:style w:type="character" w:styleId="CommentReference">
    <w:name w:val="annotation reference"/>
    <w:basedOn w:val="DefaultParagraphFont"/>
    <w:uiPriority w:val="99"/>
    <w:semiHidden/>
    <w:unhideWhenUsed/>
    <w:rsid w:val="00173A30"/>
    <w:rPr>
      <w:sz w:val="16"/>
      <w:szCs w:val="16"/>
    </w:rPr>
  </w:style>
  <w:style w:type="paragraph" w:styleId="CommentText">
    <w:name w:val="annotation text"/>
    <w:basedOn w:val="Normal"/>
    <w:link w:val="CommentTextChar"/>
    <w:uiPriority w:val="99"/>
    <w:semiHidden/>
    <w:unhideWhenUsed/>
    <w:rsid w:val="00173A30"/>
    <w:pPr>
      <w:spacing w:line="240" w:lineRule="auto"/>
    </w:pPr>
    <w:rPr>
      <w:sz w:val="20"/>
      <w:szCs w:val="20"/>
    </w:rPr>
  </w:style>
  <w:style w:type="character" w:customStyle="1" w:styleId="CommentTextChar">
    <w:name w:val="Comment Text Char"/>
    <w:basedOn w:val="DefaultParagraphFont"/>
    <w:link w:val="CommentText"/>
    <w:uiPriority w:val="99"/>
    <w:semiHidden/>
    <w:rsid w:val="00173A30"/>
    <w:rPr>
      <w:sz w:val="20"/>
      <w:szCs w:val="20"/>
    </w:rPr>
  </w:style>
  <w:style w:type="paragraph" w:styleId="CommentSubject">
    <w:name w:val="annotation subject"/>
    <w:basedOn w:val="CommentText"/>
    <w:next w:val="CommentText"/>
    <w:link w:val="CommentSubjectChar"/>
    <w:uiPriority w:val="99"/>
    <w:semiHidden/>
    <w:unhideWhenUsed/>
    <w:rsid w:val="00173A30"/>
    <w:rPr>
      <w:b/>
      <w:bCs/>
    </w:rPr>
  </w:style>
  <w:style w:type="character" w:customStyle="1" w:styleId="CommentSubjectChar">
    <w:name w:val="Comment Subject Char"/>
    <w:basedOn w:val="CommentTextChar"/>
    <w:link w:val="CommentSubject"/>
    <w:uiPriority w:val="99"/>
    <w:semiHidden/>
    <w:rsid w:val="00173A30"/>
    <w:rPr>
      <w:b/>
      <w:bCs/>
      <w:sz w:val="20"/>
      <w:szCs w:val="20"/>
    </w:rPr>
  </w:style>
  <w:style w:type="paragraph" w:styleId="ListParagraph">
    <w:name w:val="List Paragraph"/>
    <w:basedOn w:val="Normal"/>
    <w:uiPriority w:val="34"/>
    <w:qFormat/>
    <w:rsid w:val="003B7F4D"/>
    <w:pPr>
      <w:ind w:left="720"/>
      <w:contextualSpacing/>
    </w:pPr>
  </w:style>
  <w:style w:type="character" w:styleId="Emphasis">
    <w:name w:val="Emphasis"/>
    <w:basedOn w:val="DefaultParagraphFont"/>
    <w:uiPriority w:val="20"/>
    <w:qFormat/>
    <w:rsid w:val="00763300"/>
    <w:rPr>
      <w:i/>
      <w:iCs/>
    </w:rPr>
  </w:style>
  <w:style w:type="character" w:styleId="Hyperlink">
    <w:name w:val="Hyperlink"/>
    <w:basedOn w:val="DefaultParagraphFont"/>
    <w:uiPriority w:val="99"/>
    <w:unhideWhenUsed/>
    <w:rsid w:val="00763300"/>
    <w:rPr>
      <w:color w:val="0000FF"/>
      <w:u w:val="single"/>
    </w:rPr>
  </w:style>
  <w:style w:type="paragraph" w:customStyle="1" w:styleId="shrm-element-h3">
    <w:name w:val="shrm-element-h3"/>
    <w:basedOn w:val="Normal"/>
    <w:rsid w:val="00763300"/>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NormalWeb">
    <w:name w:val="Normal (Web)"/>
    <w:basedOn w:val="Normal"/>
    <w:uiPriority w:val="99"/>
    <w:semiHidden/>
    <w:unhideWhenUsed/>
    <w:rsid w:val="00763300"/>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words">
    <w:name w:val="words"/>
    <w:basedOn w:val="DefaultParagraphFont"/>
    <w:rsid w:val="000136B6"/>
  </w:style>
  <w:style w:type="paragraph" w:customStyle="1" w:styleId="root-block-node">
    <w:name w:val="root-block-node"/>
    <w:basedOn w:val="Normal"/>
    <w:rsid w:val="00E21985"/>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E21985"/>
    <w:rPr>
      <w:b/>
      <w:bCs/>
    </w:rPr>
  </w:style>
  <w:style w:type="character" w:styleId="UnresolvedMention">
    <w:name w:val="Unresolved Mention"/>
    <w:basedOn w:val="DefaultParagraphFont"/>
    <w:uiPriority w:val="99"/>
    <w:semiHidden/>
    <w:unhideWhenUsed/>
    <w:rsid w:val="00CE5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010746">
      <w:bodyDiv w:val="1"/>
      <w:marLeft w:val="0"/>
      <w:marRight w:val="0"/>
      <w:marTop w:val="0"/>
      <w:marBottom w:val="0"/>
      <w:divBdr>
        <w:top w:val="none" w:sz="0" w:space="0" w:color="auto"/>
        <w:left w:val="none" w:sz="0" w:space="0" w:color="auto"/>
        <w:bottom w:val="none" w:sz="0" w:space="0" w:color="auto"/>
        <w:right w:val="none" w:sz="0" w:space="0" w:color="auto"/>
      </w:divBdr>
    </w:div>
    <w:div w:id="1184436257">
      <w:bodyDiv w:val="1"/>
      <w:marLeft w:val="0"/>
      <w:marRight w:val="0"/>
      <w:marTop w:val="0"/>
      <w:marBottom w:val="0"/>
      <w:divBdr>
        <w:top w:val="none" w:sz="0" w:space="0" w:color="auto"/>
        <w:left w:val="none" w:sz="0" w:space="0" w:color="auto"/>
        <w:bottom w:val="none" w:sz="0" w:space="0" w:color="auto"/>
        <w:right w:val="none" w:sz="0" w:space="0" w:color="auto"/>
      </w:divBdr>
    </w:div>
    <w:div w:id="1380475700">
      <w:bodyDiv w:val="1"/>
      <w:marLeft w:val="0"/>
      <w:marRight w:val="0"/>
      <w:marTop w:val="0"/>
      <w:marBottom w:val="0"/>
      <w:divBdr>
        <w:top w:val="none" w:sz="0" w:space="0" w:color="auto"/>
        <w:left w:val="none" w:sz="0" w:space="0" w:color="auto"/>
        <w:bottom w:val="none" w:sz="0" w:space="0" w:color="auto"/>
        <w:right w:val="none" w:sz="0" w:space="0" w:color="auto"/>
      </w:divBdr>
    </w:div>
    <w:div w:id="1619751832">
      <w:bodyDiv w:val="1"/>
      <w:marLeft w:val="0"/>
      <w:marRight w:val="0"/>
      <w:marTop w:val="0"/>
      <w:marBottom w:val="0"/>
      <w:divBdr>
        <w:top w:val="none" w:sz="0" w:space="0" w:color="auto"/>
        <w:left w:val="none" w:sz="0" w:space="0" w:color="auto"/>
        <w:bottom w:val="none" w:sz="0" w:space="0" w:color="auto"/>
        <w:right w:val="none" w:sz="0" w:space="0" w:color="auto"/>
      </w:divBdr>
    </w:div>
    <w:div w:id="1695380402">
      <w:bodyDiv w:val="1"/>
      <w:marLeft w:val="0"/>
      <w:marRight w:val="0"/>
      <w:marTop w:val="0"/>
      <w:marBottom w:val="0"/>
      <w:divBdr>
        <w:top w:val="none" w:sz="0" w:space="0" w:color="auto"/>
        <w:left w:val="none" w:sz="0" w:space="0" w:color="auto"/>
        <w:bottom w:val="none" w:sz="0" w:space="0" w:color="auto"/>
        <w:right w:val="none" w:sz="0" w:space="0" w:color="auto"/>
      </w:divBdr>
    </w:div>
    <w:div w:id="1697534988">
      <w:bodyDiv w:val="1"/>
      <w:marLeft w:val="0"/>
      <w:marRight w:val="0"/>
      <w:marTop w:val="0"/>
      <w:marBottom w:val="0"/>
      <w:divBdr>
        <w:top w:val="none" w:sz="0" w:space="0" w:color="auto"/>
        <w:left w:val="none" w:sz="0" w:space="0" w:color="auto"/>
        <w:bottom w:val="none" w:sz="0" w:space="0" w:color="auto"/>
        <w:right w:val="none" w:sz="0" w:space="0" w:color="auto"/>
      </w:divBdr>
      <w:divsChild>
        <w:div w:id="1102648761">
          <w:marLeft w:val="0"/>
          <w:marRight w:val="0"/>
          <w:marTop w:val="0"/>
          <w:marBottom w:val="0"/>
          <w:divBdr>
            <w:top w:val="none" w:sz="0" w:space="0" w:color="auto"/>
            <w:left w:val="none" w:sz="0" w:space="0" w:color="auto"/>
            <w:bottom w:val="none" w:sz="0" w:space="0" w:color="auto"/>
            <w:right w:val="none" w:sz="0" w:space="0" w:color="auto"/>
          </w:divBdr>
        </w:div>
      </w:divsChild>
    </w:div>
    <w:div w:id="1720015166">
      <w:bodyDiv w:val="1"/>
      <w:marLeft w:val="0"/>
      <w:marRight w:val="0"/>
      <w:marTop w:val="0"/>
      <w:marBottom w:val="0"/>
      <w:divBdr>
        <w:top w:val="none" w:sz="0" w:space="0" w:color="auto"/>
        <w:left w:val="none" w:sz="0" w:space="0" w:color="auto"/>
        <w:bottom w:val="none" w:sz="0" w:space="0" w:color="auto"/>
        <w:right w:val="none" w:sz="0" w:space="0" w:color="auto"/>
      </w:divBdr>
    </w:div>
    <w:div w:id="1989354896">
      <w:bodyDiv w:val="1"/>
      <w:marLeft w:val="0"/>
      <w:marRight w:val="0"/>
      <w:marTop w:val="0"/>
      <w:marBottom w:val="0"/>
      <w:divBdr>
        <w:top w:val="none" w:sz="0" w:space="0" w:color="auto"/>
        <w:left w:val="none" w:sz="0" w:space="0" w:color="auto"/>
        <w:bottom w:val="none" w:sz="0" w:space="0" w:color="auto"/>
        <w:right w:val="none" w:sz="0" w:space="0" w:color="auto"/>
      </w:divBdr>
    </w:div>
    <w:div w:id="2127430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hcw.nhs.wales/systems-and-services/secondary-care/welsh-clinical-portal/" TargetMode="External"/><Relationship Id="rId13" Type="http://schemas.openxmlformats.org/officeDocument/2006/relationships/hyperlink" Target="https://www.nhsconfed.org/sites/default/files/media/Transforming-NHS-Wales-services-digital-developments_0.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hrm.org/ResourcesAndTools/tools-and-samples/toolkits/Pages/understandinganddevelopingorganizationalculture.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ngtermplan.nhs.uk/wp-content/uploads/2019/08/nhs-long-term-plan-version-1.2.pdf" TargetMode="External"/><Relationship Id="rId5" Type="http://schemas.openxmlformats.org/officeDocument/2006/relationships/webSettings" Target="webSettings.xml"/><Relationship Id="rId15" Type="http://schemas.openxmlformats.org/officeDocument/2006/relationships/hyperlink" Target="https://www.techtarget.com/searchsecurity/post/Balancing-the-benefits-with-the-risks-of-emerging-technology" TargetMode="External"/><Relationship Id="rId10" Type="http://schemas.openxmlformats.org/officeDocument/2006/relationships/hyperlink" Target="https://www.england.nhs.uk/wp-content/uploads/2014/10/5yfv-web.pdf" TargetMode="External"/><Relationship Id="rId4" Type="http://schemas.openxmlformats.org/officeDocument/2006/relationships/settings" Target="settings.xml"/><Relationship Id="rId9" Type="http://schemas.openxmlformats.org/officeDocument/2006/relationships/hyperlink" Target="https://www.td.org/magazines/the-public-manager/shape-the-culture-shape-the-future" TargetMode="External"/><Relationship Id="rId14" Type="http://schemas.openxmlformats.org/officeDocument/2006/relationships/hyperlink" Target="https://gov.wales/sites/default/files/publications/2021-09/a-healthier-wales-our-plan-for-health-and-social-ca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6D4FB-224E-4743-9907-7CF7082DB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12199</TotalTime>
  <Pages>15</Pages>
  <Words>4839</Words>
  <Characters>27584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Hascec (2117559)</cp:lastModifiedBy>
  <cp:revision>218</cp:revision>
  <dcterms:created xsi:type="dcterms:W3CDTF">2022-04-09T18:52:00Z</dcterms:created>
  <dcterms:modified xsi:type="dcterms:W3CDTF">2022-05-06T10:20:00Z</dcterms:modified>
</cp:coreProperties>
</file>