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139E7" w:rsidRDefault="00810192">
      <w:pPr>
        <w:spacing w:line="360" w:lineRule="auto"/>
        <w:jc w:val="center"/>
        <w:rPr>
          <w:rFonts w:ascii="Arial" w:eastAsia="Arial" w:hAnsi="Arial" w:cs="Arial"/>
          <w:sz w:val="22"/>
          <w:szCs w:val="22"/>
        </w:rPr>
      </w:pPr>
      <w:r>
        <w:rPr>
          <w:rFonts w:ascii="Arial" w:eastAsia="Arial" w:hAnsi="Arial" w:cs="Arial"/>
          <w:sz w:val="22"/>
          <w:szCs w:val="22"/>
        </w:rPr>
        <w:t>Programme: Certificate of Higher Education Skills for the Workplace (Health &amp; Social Care)</w:t>
      </w:r>
    </w:p>
    <w:p w14:paraId="00000002" w14:textId="77777777" w:rsidR="005139E7" w:rsidRDefault="00810192">
      <w:pPr>
        <w:spacing w:line="360" w:lineRule="auto"/>
        <w:jc w:val="center"/>
        <w:rPr>
          <w:rFonts w:ascii="Arial" w:eastAsia="Arial" w:hAnsi="Arial" w:cs="Arial"/>
          <w:sz w:val="22"/>
          <w:szCs w:val="22"/>
        </w:rPr>
      </w:pPr>
      <w:r>
        <w:rPr>
          <w:rFonts w:ascii="Arial" w:eastAsia="Arial" w:hAnsi="Arial" w:cs="Arial"/>
          <w:sz w:val="22"/>
          <w:szCs w:val="22"/>
        </w:rPr>
        <w:t>Module: Digital Skills and Research Methods</w:t>
      </w:r>
    </w:p>
    <w:p w14:paraId="00000003" w14:textId="77777777" w:rsidR="005139E7" w:rsidRDefault="00810192">
      <w:pPr>
        <w:spacing w:line="360" w:lineRule="auto"/>
        <w:jc w:val="center"/>
        <w:rPr>
          <w:rFonts w:ascii="Arial" w:eastAsia="Arial" w:hAnsi="Arial" w:cs="Arial"/>
          <w:sz w:val="22"/>
          <w:szCs w:val="22"/>
        </w:rPr>
      </w:pPr>
      <w:r>
        <w:rPr>
          <w:rFonts w:ascii="Arial" w:eastAsia="Arial" w:hAnsi="Arial" w:cs="Arial"/>
          <w:sz w:val="22"/>
          <w:szCs w:val="22"/>
        </w:rPr>
        <w:t>Module code: LCHS4007</w:t>
      </w:r>
    </w:p>
    <w:p w14:paraId="00000004" w14:textId="77777777" w:rsidR="005139E7" w:rsidRDefault="00810192">
      <w:pPr>
        <w:spacing w:line="360" w:lineRule="auto"/>
        <w:jc w:val="center"/>
        <w:rPr>
          <w:rFonts w:ascii="Arial" w:eastAsia="Arial" w:hAnsi="Arial" w:cs="Arial"/>
          <w:sz w:val="22"/>
          <w:szCs w:val="22"/>
        </w:rPr>
      </w:pPr>
      <w:r>
        <w:rPr>
          <w:rFonts w:ascii="Arial" w:eastAsia="Arial" w:hAnsi="Arial" w:cs="Arial"/>
          <w:sz w:val="22"/>
          <w:szCs w:val="22"/>
        </w:rPr>
        <w:t>Assignment Title: Component 2 – Research Report</w:t>
      </w:r>
    </w:p>
    <w:p w14:paraId="00000005" w14:textId="77777777" w:rsidR="005139E7" w:rsidRDefault="005139E7">
      <w:pPr>
        <w:spacing w:line="360" w:lineRule="auto"/>
        <w:jc w:val="center"/>
        <w:rPr>
          <w:rFonts w:ascii="Arial" w:eastAsia="Arial" w:hAnsi="Arial" w:cs="Arial"/>
          <w:sz w:val="22"/>
          <w:szCs w:val="22"/>
        </w:rPr>
      </w:pPr>
    </w:p>
    <w:p w14:paraId="00000006" w14:textId="77777777" w:rsidR="005139E7" w:rsidRDefault="00810192">
      <w:pPr>
        <w:spacing w:line="360" w:lineRule="auto"/>
        <w:jc w:val="center"/>
        <w:rPr>
          <w:rFonts w:ascii="Arial" w:eastAsia="Arial" w:hAnsi="Arial" w:cs="Arial"/>
          <w:sz w:val="22"/>
          <w:szCs w:val="22"/>
        </w:rPr>
      </w:pPr>
      <w:r>
        <w:rPr>
          <w:rFonts w:ascii="Arial" w:eastAsia="Arial" w:hAnsi="Arial" w:cs="Arial"/>
          <w:sz w:val="22"/>
          <w:szCs w:val="22"/>
        </w:rPr>
        <w:t>Submitted By: Rabia Bi</w:t>
      </w:r>
    </w:p>
    <w:p w14:paraId="00000007" w14:textId="77777777" w:rsidR="005139E7" w:rsidRDefault="00810192">
      <w:pPr>
        <w:spacing w:line="360" w:lineRule="auto"/>
        <w:jc w:val="center"/>
        <w:rPr>
          <w:rFonts w:ascii="Arial" w:eastAsia="Arial" w:hAnsi="Arial" w:cs="Arial"/>
          <w:sz w:val="22"/>
          <w:szCs w:val="22"/>
        </w:rPr>
      </w:pPr>
      <w:r>
        <w:rPr>
          <w:rFonts w:ascii="Arial" w:eastAsia="Arial" w:hAnsi="Arial" w:cs="Arial"/>
          <w:sz w:val="22"/>
          <w:szCs w:val="22"/>
        </w:rPr>
        <w:t>Student ID: 2521424</w:t>
      </w:r>
    </w:p>
    <w:p w14:paraId="00000008" w14:textId="77777777" w:rsidR="005139E7" w:rsidRDefault="00810192">
      <w:pPr>
        <w:rPr>
          <w:rFonts w:ascii="Arial" w:eastAsia="Arial" w:hAnsi="Arial" w:cs="Arial"/>
          <w:sz w:val="22"/>
          <w:szCs w:val="22"/>
        </w:rPr>
      </w:pPr>
      <w:r>
        <w:br w:type="page"/>
      </w:r>
    </w:p>
    <w:p w14:paraId="00000009" w14:textId="77777777" w:rsidR="005139E7" w:rsidRDefault="00810192">
      <w:pPr>
        <w:keepNext/>
        <w:keepLines/>
        <w:pBdr>
          <w:top w:val="nil"/>
          <w:left w:val="nil"/>
          <w:bottom w:val="nil"/>
          <w:right w:val="nil"/>
          <w:between w:val="nil"/>
        </w:pBdr>
        <w:spacing w:before="240" w:after="0" w:line="360" w:lineRule="auto"/>
        <w:jc w:val="both"/>
        <w:rPr>
          <w:rFonts w:ascii="Arial" w:eastAsia="Arial" w:hAnsi="Arial" w:cs="Arial"/>
          <w:color w:val="2F5496"/>
          <w:sz w:val="22"/>
          <w:szCs w:val="22"/>
        </w:rPr>
      </w:pPr>
      <w:r>
        <w:rPr>
          <w:rFonts w:ascii="Arial" w:eastAsia="Arial" w:hAnsi="Arial" w:cs="Arial"/>
          <w:color w:val="2F5496"/>
          <w:sz w:val="22"/>
          <w:szCs w:val="22"/>
        </w:rPr>
        <w:t>Table of Contents</w:t>
      </w:r>
    </w:p>
    <w:sdt>
      <w:sdtPr>
        <w:id w:val="1092204054"/>
        <w:docPartObj>
          <w:docPartGallery w:val="Table of Contents"/>
          <w:docPartUnique/>
        </w:docPartObj>
      </w:sdtPr>
      <w:sdtEndPr/>
      <w:sdtContent>
        <w:p w14:paraId="0000000A" w14:textId="77777777" w:rsidR="005139E7" w:rsidRDefault="00810192">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heading=h.auoqtpxs1s0y">
            <w:r>
              <w:rPr>
                <w:rFonts w:ascii="Arial" w:eastAsia="Arial" w:hAnsi="Arial" w:cs="Arial"/>
                <w:b/>
                <w:bCs/>
                <w:i/>
                <w:iCs/>
                <w:color w:val="000000"/>
              </w:rPr>
              <w:t>Introduction</w:t>
            </w:r>
          </w:hyperlink>
          <w:hyperlink w:anchor="_heading=h.auoqtpxs1s0y">
            <w:r>
              <w:rPr>
                <w:color w:val="000000"/>
              </w:rPr>
              <w:tab/>
              <w:t>2</w:t>
            </w:r>
          </w:hyperlink>
        </w:p>
        <w:p w14:paraId="0000000B" w14:textId="77777777" w:rsidR="005139E7" w:rsidRDefault="00810192">
          <w:pPr>
            <w:pBdr>
              <w:top w:val="nil"/>
              <w:left w:val="nil"/>
              <w:bottom w:val="nil"/>
              <w:right w:val="nil"/>
              <w:between w:val="nil"/>
            </w:pBdr>
            <w:tabs>
              <w:tab w:val="right" w:leader="dot" w:pos="9016"/>
            </w:tabs>
            <w:spacing w:after="100"/>
            <w:rPr>
              <w:color w:val="000000"/>
            </w:rPr>
          </w:pPr>
          <w:hyperlink w:anchor="_heading=h.cg8pwvw09fsn">
            <w:r>
              <w:rPr>
                <w:rFonts w:ascii="Arial" w:eastAsia="Arial" w:hAnsi="Arial" w:cs="Arial"/>
                <w:b/>
                <w:bCs/>
                <w:i/>
                <w:iCs/>
                <w:color w:val="000000"/>
              </w:rPr>
              <w:t>Task 1: Selection of research topic</w:t>
            </w:r>
          </w:hyperlink>
          <w:hyperlink w:anchor="_heading=h.cg8pwvw09fsn">
            <w:r>
              <w:rPr>
                <w:color w:val="000000"/>
              </w:rPr>
              <w:tab/>
              <w:t>2</w:t>
            </w:r>
          </w:hyperlink>
        </w:p>
        <w:p w14:paraId="0000000C" w14:textId="77777777" w:rsidR="005139E7" w:rsidRDefault="00810192">
          <w:pPr>
            <w:pBdr>
              <w:top w:val="nil"/>
              <w:left w:val="nil"/>
              <w:bottom w:val="nil"/>
              <w:right w:val="nil"/>
              <w:between w:val="nil"/>
            </w:pBdr>
            <w:tabs>
              <w:tab w:val="right" w:leader="dot" w:pos="9016"/>
            </w:tabs>
            <w:spacing w:after="100"/>
            <w:rPr>
              <w:color w:val="000000"/>
            </w:rPr>
          </w:pPr>
          <w:hyperlink w:anchor="_heading=h.fv655q8s7vub">
            <w:r>
              <w:rPr>
                <w:rFonts w:ascii="Arial" w:eastAsia="Arial" w:hAnsi="Arial" w:cs="Arial"/>
                <w:b/>
                <w:bCs/>
                <w:i/>
                <w:iCs/>
                <w:color w:val="000000"/>
              </w:rPr>
              <w:t>Task 2: Evaluating information sources</w:t>
            </w:r>
          </w:hyperlink>
          <w:hyperlink w:anchor="_heading=h.fv655q8s7vub">
            <w:r>
              <w:rPr>
                <w:color w:val="000000"/>
              </w:rPr>
              <w:tab/>
              <w:t>3</w:t>
            </w:r>
          </w:hyperlink>
        </w:p>
        <w:p w14:paraId="0000000D" w14:textId="77777777" w:rsidR="005139E7" w:rsidRDefault="00810192">
          <w:pPr>
            <w:pBdr>
              <w:top w:val="nil"/>
              <w:left w:val="nil"/>
              <w:bottom w:val="nil"/>
              <w:right w:val="nil"/>
              <w:between w:val="nil"/>
            </w:pBdr>
            <w:tabs>
              <w:tab w:val="right" w:leader="dot" w:pos="9016"/>
            </w:tabs>
            <w:spacing w:after="100"/>
            <w:ind w:left="240"/>
            <w:rPr>
              <w:color w:val="000000"/>
            </w:rPr>
          </w:pPr>
          <w:hyperlink w:anchor="_heading=h.f1z8e1fylttb">
            <w:r>
              <w:rPr>
                <w:rFonts w:ascii="Arial" w:eastAsia="Arial" w:hAnsi="Arial" w:cs="Arial"/>
                <w:i/>
                <w:iCs/>
                <w:color w:val="000000"/>
              </w:rPr>
              <w:t>Source 1: NHS Digital (2022)</w:t>
            </w:r>
          </w:hyperlink>
          <w:hyperlink w:anchor="_heading=h.f1z8e1fylttb">
            <w:r>
              <w:rPr>
                <w:color w:val="000000"/>
              </w:rPr>
              <w:tab/>
              <w:t>3</w:t>
            </w:r>
          </w:hyperlink>
        </w:p>
        <w:p w14:paraId="0000000E" w14:textId="77777777" w:rsidR="005139E7" w:rsidRDefault="00810192">
          <w:pPr>
            <w:pBdr>
              <w:top w:val="nil"/>
              <w:left w:val="nil"/>
              <w:bottom w:val="nil"/>
              <w:right w:val="nil"/>
              <w:between w:val="nil"/>
            </w:pBdr>
            <w:tabs>
              <w:tab w:val="right" w:leader="dot" w:pos="9016"/>
            </w:tabs>
            <w:spacing w:after="100"/>
            <w:ind w:left="240"/>
            <w:rPr>
              <w:color w:val="000000"/>
            </w:rPr>
          </w:pPr>
          <w:hyperlink w:anchor="_heading=h.o13jutbamd6e">
            <w:r>
              <w:rPr>
                <w:rFonts w:ascii="Arial" w:eastAsia="Arial" w:hAnsi="Arial" w:cs="Arial"/>
                <w:i/>
                <w:iCs/>
                <w:color w:val="000000"/>
              </w:rPr>
              <w:t>Source 2: Office for National Statistics 2023</w:t>
            </w:r>
          </w:hyperlink>
          <w:hyperlink w:anchor="_heading=h.o13jutbamd6e">
            <w:r>
              <w:rPr>
                <w:color w:val="000000"/>
              </w:rPr>
              <w:tab/>
              <w:t>3</w:t>
            </w:r>
          </w:hyperlink>
        </w:p>
        <w:p w14:paraId="0000000F" w14:textId="77777777" w:rsidR="005139E7" w:rsidRDefault="00810192">
          <w:pPr>
            <w:pBdr>
              <w:top w:val="nil"/>
              <w:left w:val="nil"/>
              <w:bottom w:val="nil"/>
              <w:right w:val="nil"/>
              <w:between w:val="nil"/>
            </w:pBdr>
            <w:tabs>
              <w:tab w:val="right" w:leader="dot" w:pos="9016"/>
            </w:tabs>
            <w:spacing w:after="100"/>
            <w:ind w:left="240"/>
            <w:rPr>
              <w:color w:val="000000"/>
            </w:rPr>
          </w:pPr>
          <w:hyperlink w:anchor="_heading=h.mlk3bzhvvgne">
            <w:r>
              <w:rPr>
                <w:rFonts w:ascii="Arial" w:eastAsia="Arial" w:hAnsi="Arial" w:cs="Arial"/>
                <w:i/>
                <w:iCs/>
                <w:color w:val="000000"/>
              </w:rPr>
              <w:t>Source 3: Good things foundation 2021</w:t>
            </w:r>
          </w:hyperlink>
          <w:hyperlink w:anchor="_heading=h.mlk3bzhvvgne">
            <w:r>
              <w:rPr>
                <w:color w:val="000000"/>
              </w:rPr>
              <w:tab/>
              <w:t>3</w:t>
            </w:r>
          </w:hyperlink>
        </w:p>
        <w:p w14:paraId="00000010" w14:textId="77777777" w:rsidR="005139E7" w:rsidRDefault="00810192">
          <w:pPr>
            <w:pBdr>
              <w:top w:val="nil"/>
              <w:left w:val="nil"/>
              <w:bottom w:val="nil"/>
              <w:right w:val="nil"/>
              <w:between w:val="nil"/>
            </w:pBdr>
            <w:tabs>
              <w:tab w:val="right" w:leader="dot" w:pos="9016"/>
            </w:tabs>
            <w:spacing w:after="100"/>
            <w:rPr>
              <w:color w:val="000000"/>
            </w:rPr>
          </w:pPr>
          <w:hyperlink w:anchor="_heading=h.xjon1kdzxd1o">
            <w:r>
              <w:rPr>
                <w:rFonts w:ascii="Arial" w:eastAsia="Arial" w:hAnsi="Arial" w:cs="Arial"/>
                <w:b/>
                <w:bCs/>
                <w:i/>
                <w:iCs/>
                <w:color w:val="000000"/>
              </w:rPr>
              <w:t>Task 3: Research methodologies</w:t>
            </w:r>
          </w:hyperlink>
          <w:hyperlink w:anchor="_heading=h.xjon1kdzxd1o">
            <w:r>
              <w:rPr>
                <w:color w:val="000000"/>
              </w:rPr>
              <w:tab/>
              <w:t>4</w:t>
            </w:r>
          </w:hyperlink>
        </w:p>
        <w:p w14:paraId="00000011" w14:textId="77777777" w:rsidR="005139E7" w:rsidRDefault="00810192">
          <w:pPr>
            <w:pBdr>
              <w:top w:val="nil"/>
              <w:left w:val="nil"/>
              <w:bottom w:val="nil"/>
              <w:right w:val="nil"/>
              <w:between w:val="nil"/>
            </w:pBdr>
            <w:tabs>
              <w:tab w:val="right" w:leader="dot" w:pos="9016"/>
            </w:tabs>
            <w:spacing w:after="100"/>
            <w:rPr>
              <w:color w:val="000000"/>
            </w:rPr>
          </w:pPr>
          <w:hyperlink w:anchor="_heading=h.rf3f5zcm8gd3">
            <w:r>
              <w:rPr>
                <w:rFonts w:ascii="Arial" w:eastAsia="Arial" w:hAnsi="Arial" w:cs="Arial"/>
                <w:b/>
                <w:bCs/>
                <w:i/>
                <w:iCs/>
                <w:color w:val="000000"/>
              </w:rPr>
              <w:t>Task 4: Data collection</w:t>
            </w:r>
          </w:hyperlink>
          <w:hyperlink w:anchor="_heading=h.rf3f5zcm8gd3">
            <w:r>
              <w:rPr>
                <w:color w:val="000000"/>
              </w:rPr>
              <w:tab/>
              <w:t>4</w:t>
            </w:r>
          </w:hyperlink>
        </w:p>
        <w:p w14:paraId="00000012" w14:textId="77777777" w:rsidR="005139E7" w:rsidRDefault="00810192">
          <w:pPr>
            <w:pBdr>
              <w:top w:val="nil"/>
              <w:left w:val="nil"/>
              <w:bottom w:val="nil"/>
              <w:right w:val="nil"/>
              <w:between w:val="nil"/>
            </w:pBdr>
            <w:tabs>
              <w:tab w:val="right" w:leader="dot" w:pos="9016"/>
            </w:tabs>
            <w:spacing w:after="100"/>
            <w:rPr>
              <w:color w:val="000000"/>
            </w:rPr>
          </w:pPr>
          <w:hyperlink w:anchor="_heading=h.c0bx7euo9cqx">
            <w:r>
              <w:rPr>
                <w:rFonts w:ascii="Arial" w:eastAsia="Arial" w:hAnsi="Arial" w:cs="Arial"/>
                <w:b/>
                <w:bCs/>
                <w:i/>
                <w:iCs/>
                <w:color w:val="000000"/>
              </w:rPr>
              <w:t>Conclusion</w:t>
            </w:r>
          </w:hyperlink>
          <w:hyperlink w:anchor="_heading=h.c0bx7euo9cqx">
            <w:r>
              <w:rPr>
                <w:color w:val="000000"/>
              </w:rPr>
              <w:tab/>
              <w:t>5</w:t>
            </w:r>
          </w:hyperlink>
        </w:p>
        <w:p w14:paraId="00000013" w14:textId="77777777" w:rsidR="005139E7" w:rsidRDefault="00810192">
          <w:pPr>
            <w:pBdr>
              <w:top w:val="nil"/>
              <w:left w:val="nil"/>
              <w:bottom w:val="nil"/>
              <w:right w:val="nil"/>
              <w:between w:val="nil"/>
            </w:pBdr>
            <w:tabs>
              <w:tab w:val="right" w:leader="dot" w:pos="9016"/>
            </w:tabs>
            <w:spacing w:after="100"/>
            <w:rPr>
              <w:color w:val="000000"/>
            </w:rPr>
          </w:pPr>
          <w:hyperlink w:anchor="_heading=h.mxwpryx1fbs2">
            <w:r>
              <w:rPr>
                <w:rFonts w:ascii="Arial" w:eastAsia="Arial" w:hAnsi="Arial" w:cs="Arial"/>
                <w:b/>
                <w:bCs/>
                <w:i/>
                <w:iCs/>
                <w:color w:val="000000"/>
              </w:rPr>
              <w:t>Reference list</w:t>
            </w:r>
          </w:hyperlink>
          <w:hyperlink w:anchor="_heading=h.mxwpryx1fbs2">
            <w:r>
              <w:rPr>
                <w:color w:val="000000"/>
              </w:rPr>
              <w:tab/>
              <w:t>6</w:t>
            </w:r>
          </w:hyperlink>
        </w:p>
        <w:p w14:paraId="00000014" w14:textId="77777777" w:rsidR="005139E7" w:rsidRDefault="00810192">
          <w:pPr>
            <w:spacing w:line="360" w:lineRule="auto"/>
            <w:jc w:val="both"/>
            <w:rPr>
              <w:rFonts w:ascii="Arial" w:eastAsia="Arial" w:hAnsi="Arial" w:cs="Arial"/>
              <w:sz w:val="22"/>
              <w:szCs w:val="22"/>
            </w:rPr>
          </w:pPr>
          <w:r>
            <w:fldChar w:fldCharType="end"/>
          </w:r>
        </w:p>
      </w:sdtContent>
    </w:sdt>
    <w:p w14:paraId="00000015" w14:textId="77777777" w:rsidR="005139E7" w:rsidRDefault="00810192">
      <w:pPr>
        <w:spacing w:line="360" w:lineRule="auto"/>
        <w:jc w:val="both"/>
        <w:rPr>
          <w:rFonts w:ascii="Arial" w:eastAsia="Arial" w:hAnsi="Arial" w:cs="Arial"/>
          <w:color w:val="2F5496"/>
          <w:sz w:val="22"/>
          <w:szCs w:val="22"/>
        </w:rPr>
      </w:pPr>
      <w:r>
        <w:br w:type="page"/>
      </w:r>
    </w:p>
    <w:p w14:paraId="00000016" w14:textId="77777777" w:rsidR="005139E7" w:rsidRDefault="00810192">
      <w:pPr>
        <w:pStyle w:val="Heading1"/>
        <w:spacing w:line="360" w:lineRule="auto"/>
        <w:jc w:val="both"/>
        <w:rPr>
          <w:rFonts w:ascii="Arial" w:eastAsia="Arial" w:hAnsi="Arial" w:cs="Arial"/>
          <w:b/>
          <w:bCs/>
          <w:i/>
          <w:iCs/>
          <w:sz w:val="22"/>
          <w:szCs w:val="22"/>
          <w:u w:val="single"/>
        </w:rPr>
      </w:pPr>
      <w:bookmarkStart w:id="0" w:name="_heading=h.auoqtpxs1s0y" w:colFirst="0" w:colLast="0"/>
      <w:bookmarkEnd w:id="0"/>
      <w:r>
        <w:rPr>
          <w:rFonts w:ascii="Arial" w:eastAsia="Arial" w:hAnsi="Arial" w:cs="Arial"/>
          <w:b/>
          <w:bCs/>
          <w:i/>
          <w:iCs/>
          <w:sz w:val="22"/>
          <w:szCs w:val="22"/>
          <w:u w:val="single"/>
        </w:rPr>
        <w:t>Introduction</w:t>
      </w:r>
    </w:p>
    <w:p w14:paraId="00000017" w14:textId="77777777" w:rsidR="005139E7" w:rsidRDefault="00810192">
      <w:pPr>
        <w:pStyle w:val="Heading1"/>
        <w:spacing w:line="360" w:lineRule="auto"/>
        <w:jc w:val="both"/>
        <w:rPr>
          <w:rFonts w:ascii="Arial" w:eastAsia="Arial" w:hAnsi="Arial" w:cs="Arial"/>
          <w:color w:val="000000"/>
          <w:sz w:val="28"/>
          <w:szCs w:val="28"/>
        </w:rPr>
      </w:pPr>
      <w:bookmarkStart w:id="1" w:name="_heading=h.v6y7h2pwk174" w:colFirst="0" w:colLast="0"/>
      <w:bookmarkEnd w:id="1"/>
      <w:r>
        <w:rPr>
          <w:rFonts w:ascii="Arial" w:eastAsia="Arial" w:hAnsi="Arial" w:cs="Arial"/>
          <w:color w:val="000000"/>
          <w:sz w:val="28"/>
          <w:szCs w:val="28"/>
        </w:rPr>
        <w:t>The incapacity of people to evaluate the successful application of different digitalization and advancements in digital technologies, such as smartphones, the Internet, or accessible online services, is known as "digital exclusion.". Since the majority of services in the UK's health and social care sectors are evaluated digitally, the problem of digital exclusion has grown to be a major obstacle. For example, the majority of the health and social care sectors have digital social care assessments, online gen</w:t>
      </w:r>
      <w:r>
        <w:rPr>
          <w:rFonts w:ascii="Arial" w:eastAsia="Arial" w:hAnsi="Arial" w:cs="Arial"/>
          <w:color w:val="000000"/>
          <w:sz w:val="28"/>
          <w:szCs w:val="28"/>
        </w:rPr>
        <w:t xml:space="preserve">eral physician booking systems, electronic health records to evaluate patient histories, and video consultations. As these industries develop, it is necessary to increase the effectiveness of the digital application of cutting-edge technologies in order to prevent certain groups from being disadvantaged. </w:t>
      </w:r>
    </w:p>
    <w:p w14:paraId="00000018" w14:textId="77777777" w:rsidR="005139E7" w:rsidRDefault="005139E7">
      <w:pPr>
        <w:pStyle w:val="Heading1"/>
        <w:spacing w:line="360" w:lineRule="auto"/>
        <w:jc w:val="both"/>
        <w:rPr>
          <w:rFonts w:ascii="Arial" w:eastAsia="Arial" w:hAnsi="Arial" w:cs="Arial"/>
          <w:b/>
          <w:bCs/>
          <w:i/>
          <w:iCs/>
          <w:sz w:val="22"/>
          <w:szCs w:val="22"/>
          <w:u w:val="single"/>
        </w:rPr>
      </w:pPr>
      <w:bookmarkStart w:id="2" w:name="_heading=h.atqfw5ff9ve" w:colFirst="0" w:colLast="0"/>
      <w:bookmarkEnd w:id="2"/>
    </w:p>
    <w:p w14:paraId="00000019" w14:textId="77777777" w:rsidR="005139E7" w:rsidRDefault="00810192">
      <w:pPr>
        <w:pStyle w:val="Heading1"/>
        <w:spacing w:line="360" w:lineRule="auto"/>
        <w:jc w:val="both"/>
        <w:rPr>
          <w:rFonts w:ascii="Arial" w:eastAsia="Arial" w:hAnsi="Arial" w:cs="Arial"/>
          <w:b/>
          <w:bCs/>
          <w:i/>
          <w:iCs/>
          <w:sz w:val="22"/>
          <w:szCs w:val="22"/>
          <w:u w:val="single"/>
        </w:rPr>
      </w:pPr>
      <w:bookmarkStart w:id="3" w:name="_heading=h.cg8pwvw09fsn" w:colFirst="0" w:colLast="0"/>
      <w:bookmarkEnd w:id="3"/>
      <w:r>
        <w:rPr>
          <w:rFonts w:ascii="Arial" w:eastAsia="Arial" w:hAnsi="Arial" w:cs="Arial"/>
          <w:b/>
          <w:bCs/>
          <w:i/>
          <w:iCs/>
          <w:sz w:val="22"/>
          <w:szCs w:val="22"/>
          <w:u w:val="single"/>
        </w:rPr>
        <w:t>Task 1: Selection of Research Topic</w:t>
      </w:r>
    </w:p>
    <w:p w14:paraId="0000001A"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The majority of those susceptible to the impacts of digital exclusion consists of people with specific disabilities, seniorcitizens, members of minority ethnic groups, individuals with low incomes, and marginalized communities. Many peopleresiding in rural parts of the United Kingdom face various challenges and obstacles stemming from inadequate Internet connectivity and limited digital progress (Bunyan &amp; Collins 2013). For these specific groups, the problem of digital exclusion may result in postponed trea</w:t>
      </w:r>
      <w:r>
        <w:rPr>
          <w:rFonts w:ascii="Arial" w:eastAsia="Arial" w:hAnsi="Arial" w:cs="Arial"/>
          <w:sz w:val="22"/>
          <w:szCs w:val="22"/>
        </w:rPr>
        <w:t>tment, multiple obstacles in accessing healthcare, decreased involvement with services, and unfavorable outcomes in health records. In the health and social care sector, digital exclusion can result in stressful situations that escalate workloads, exacerbating healthcare inequalities among people in the United Kingdom, and can lead to communication difficulties. Addressing the problem of digital exclusion is crucial for providing person-centered and equitable services, aligning with the policy objectives of</w:t>
      </w:r>
      <w:r>
        <w:rPr>
          <w:rFonts w:ascii="Arial" w:eastAsia="Arial" w:hAnsi="Arial" w:cs="Arial"/>
          <w:sz w:val="22"/>
          <w:szCs w:val="22"/>
        </w:rPr>
        <w:t xml:space="preserve"> offering social care and National Health initiatives focused on inclusion and prevention (Helsper 2012).</w:t>
      </w:r>
    </w:p>
    <w:p w14:paraId="0000001B" w14:textId="77777777" w:rsidR="005139E7" w:rsidRDefault="00810192">
      <w:pPr>
        <w:spacing w:line="360" w:lineRule="auto"/>
        <w:jc w:val="both"/>
        <w:rPr>
          <w:rFonts w:ascii="Arial" w:eastAsia="Arial" w:hAnsi="Arial" w:cs="Arial"/>
          <w:b/>
          <w:bCs/>
          <w:i/>
          <w:iCs/>
          <w:sz w:val="22"/>
          <w:szCs w:val="22"/>
          <w:u w:val="single"/>
        </w:rPr>
      </w:pPr>
      <w:r>
        <w:rPr>
          <w:rFonts w:ascii="Arial" w:eastAsia="Arial" w:hAnsi="Arial" w:cs="Arial"/>
          <w:sz w:val="22"/>
          <w:szCs w:val="22"/>
        </w:rPr>
        <w:t>I chose this topic due to its significant connection to the ongoing challenges or shifts in health and social care practices. Many services in the health and social care sector are relying more on digital systems and advancements in technology to analyze health trends (Helsper 2012). The topic I selected is closely connected to my studies, particularly within the health and social care curriculum, by emphasizing key areas like diversity, equality, and equitable access to services (Helsper 2016). This subjec</w:t>
      </w:r>
      <w:r>
        <w:rPr>
          <w:rFonts w:ascii="Arial" w:eastAsia="Arial" w:hAnsi="Arial" w:cs="Arial"/>
          <w:sz w:val="22"/>
          <w:szCs w:val="22"/>
        </w:rPr>
        <w:t>t is highly pertinent to my future objectives and ambitions, as I intend to demonstrate my involvement in the health and social care sector to assist patients and service users while tackling these challenges to navigate systems and suggest enhancements to promote the needs. Grasping the concept of digital exclusion has enhancedmy insight and awareness regarding the impactful application of digital technologies to advance healthcare services, while emphasizing the significance of inclusive practices in this</w:t>
      </w:r>
      <w:r>
        <w:rPr>
          <w:rFonts w:ascii="Arial" w:eastAsia="Arial" w:hAnsi="Arial" w:cs="Arial"/>
          <w:sz w:val="22"/>
          <w:szCs w:val="22"/>
        </w:rPr>
        <w:t xml:space="preserve"> field (Irwani, Saleh &amp; Bahrianoor 2024).</w:t>
      </w:r>
    </w:p>
    <w:p w14:paraId="0000001C" w14:textId="77777777" w:rsidR="005139E7" w:rsidRDefault="00810192">
      <w:pPr>
        <w:pStyle w:val="Heading1"/>
        <w:spacing w:line="360" w:lineRule="auto"/>
        <w:jc w:val="both"/>
        <w:rPr>
          <w:rFonts w:ascii="Arial" w:eastAsia="Arial" w:hAnsi="Arial" w:cs="Arial"/>
          <w:b/>
          <w:bCs/>
          <w:i/>
          <w:iCs/>
          <w:sz w:val="22"/>
          <w:szCs w:val="22"/>
          <w:u w:val="single"/>
        </w:rPr>
      </w:pPr>
      <w:bookmarkStart w:id="4" w:name="_heading=h.fv655q8s7vub" w:colFirst="0" w:colLast="0"/>
      <w:bookmarkEnd w:id="4"/>
      <w:r>
        <w:rPr>
          <w:rFonts w:ascii="Arial" w:eastAsia="Arial" w:hAnsi="Arial" w:cs="Arial"/>
          <w:b/>
          <w:bCs/>
          <w:i/>
          <w:iCs/>
          <w:sz w:val="22"/>
          <w:szCs w:val="22"/>
          <w:u w:val="single"/>
        </w:rPr>
        <w:t>Task 2: Evaluating Information Sources</w:t>
      </w:r>
    </w:p>
    <w:p w14:paraId="0000001D" w14:textId="77777777" w:rsidR="005139E7" w:rsidRDefault="00810192">
      <w:pPr>
        <w:pStyle w:val="Heading2"/>
        <w:spacing w:line="360" w:lineRule="auto"/>
        <w:jc w:val="both"/>
        <w:rPr>
          <w:rFonts w:ascii="Arial" w:eastAsia="Arial" w:hAnsi="Arial" w:cs="Arial"/>
          <w:i/>
          <w:iCs/>
          <w:color w:val="000000"/>
          <w:sz w:val="22"/>
          <w:szCs w:val="22"/>
        </w:rPr>
      </w:pPr>
      <w:r>
        <w:rPr>
          <w:rFonts w:ascii="Arial" w:eastAsia="Arial" w:hAnsi="Arial" w:cs="Arial"/>
          <w:i/>
          <w:iCs/>
          <w:color w:val="000000"/>
          <w:sz w:val="22"/>
          <w:szCs w:val="22"/>
        </w:rPr>
        <w:t>Source 1: NHS Digital (2022)</w:t>
      </w:r>
    </w:p>
    <w:p w14:paraId="0000001E" w14:textId="77777777" w:rsidR="005139E7" w:rsidRDefault="00810192">
      <w:pPr>
        <w:pStyle w:val="Heading2"/>
        <w:spacing w:line="360" w:lineRule="auto"/>
        <w:jc w:val="both"/>
        <w:rPr>
          <w:rFonts w:ascii="Arial" w:eastAsia="Arial" w:hAnsi="Arial" w:cs="Arial"/>
          <w:i/>
          <w:iCs/>
          <w:color w:val="000000"/>
          <w:sz w:val="22"/>
          <w:szCs w:val="22"/>
        </w:rPr>
      </w:pPr>
      <w:bookmarkStart w:id="5" w:name="_heading=h.ub4rp26aubg5" w:colFirst="0" w:colLast="0"/>
      <w:bookmarkEnd w:id="5"/>
      <w:r>
        <w:rPr>
          <w:rFonts w:ascii="Arial" w:eastAsia="Arial" w:hAnsi="Arial" w:cs="Arial"/>
          <w:i/>
          <w:iCs/>
          <w:color w:val="000000"/>
          <w:sz w:val="22"/>
          <w:szCs w:val="22"/>
        </w:rPr>
        <w:t>The first source addresses digital inclusion for health and social care, highlighting the National Health Service's approachto digital inclusion by examining the scale of digital exclusion issues in England and its negative effects on health outcomes for the population in the United Kingdom (Krištofík 2022). This source provides a more detailed discussion about challenges like limited digital skills, unequal access to services or devices, low self-esteem, and how these factors affect individual engagement w</w:t>
      </w:r>
      <w:r>
        <w:rPr>
          <w:rFonts w:ascii="Arial" w:eastAsia="Arial" w:hAnsi="Arial" w:cs="Arial"/>
          <w:i/>
          <w:iCs/>
          <w:color w:val="000000"/>
          <w:sz w:val="22"/>
          <w:szCs w:val="22"/>
        </w:rPr>
        <w:t>ith digital health services.</w:t>
      </w:r>
    </w:p>
    <w:p w14:paraId="0000001F" w14:textId="77777777" w:rsidR="005139E7" w:rsidRDefault="00810192">
      <w:pPr>
        <w:pStyle w:val="Heading2"/>
        <w:spacing w:line="360" w:lineRule="auto"/>
        <w:jc w:val="both"/>
        <w:rPr>
          <w:rFonts w:ascii="Arial" w:eastAsia="Arial" w:hAnsi="Arial" w:cs="Arial"/>
          <w:i/>
          <w:iCs/>
          <w:color w:val="000000"/>
          <w:sz w:val="22"/>
          <w:szCs w:val="22"/>
        </w:rPr>
      </w:pPr>
      <w:bookmarkStart w:id="6" w:name="_heading=h.zy5mseq5b1d" w:colFirst="0" w:colLast="0"/>
      <w:bookmarkEnd w:id="6"/>
      <w:r>
        <w:rPr>
          <w:rFonts w:ascii="Arial" w:eastAsia="Arial" w:hAnsi="Arial" w:cs="Arial"/>
          <w:i/>
          <w:iCs/>
          <w:color w:val="000000"/>
          <w:sz w:val="22"/>
          <w:szCs w:val="22"/>
        </w:rPr>
        <w:t>This source aligns with the selected topic by offering comprehensive context on current policy and statistical data related to the issue of digital exclusion. This source primarily emphasizes strategy and places less emphasis on lived experiences, indicating an ongoing gap in qualitative research (Mee et al. 2024).</w:t>
      </w:r>
    </w:p>
    <w:p w14:paraId="00000020" w14:textId="77777777" w:rsidR="005139E7" w:rsidRDefault="005139E7"/>
    <w:p w14:paraId="00000021" w14:textId="77777777" w:rsidR="005139E7" w:rsidRDefault="00810192">
      <w:pPr>
        <w:pStyle w:val="Heading2"/>
        <w:spacing w:line="360" w:lineRule="auto"/>
        <w:jc w:val="both"/>
        <w:rPr>
          <w:rFonts w:ascii="Arial" w:eastAsia="Arial" w:hAnsi="Arial" w:cs="Arial"/>
          <w:i/>
          <w:iCs/>
          <w:color w:val="000000"/>
          <w:sz w:val="22"/>
          <w:szCs w:val="22"/>
        </w:rPr>
      </w:pPr>
      <w:bookmarkStart w:id="7" w:name="_heading=h.fcym6xd73xh1" w:colFirst="0" w:colLast="0"/>
      <w:bookmarkEnd w:id="7"/>
      <w:r>
        <w:rPr>
          <w:rFonts w:ascii="Arial" w:eastAsia="Arial" w:hAnsi="Arial" w:cs="Arial"/>
          <w:i/>
          <w:iCs/>
          <w:color w:val="000000"/>
          <w:sz w:val="22"/>
          <w:szCs w:val="22"/>
        </w:rPr>
        <w:t>Source 2: National Statistics Office 2023</w:t>
      </w:r>
    </w:p>
    <w:p w14:paraId="00000022" w14:textId="77777777" w:rsidR="005139E7" w:rsidRDefault="00810192">
      <w:pPr>
        <w:pStyle w:val="Heading2"/>
        <w:spacing w:line="360" w:lineRule="auto"/>
        <w:jc w:val="both"/>
        <w:rPr>
          <w:rFonts w:ascii="Arial" w:eastAsia="Arial" w:hAnsi="Arial" w:cs="Arial"/>
          <w:i/>
          <w:iCs/>
          <w:color w:val="000000"/>
          <w:sz w:val="22"/>
          <w:szCs w:val="22"/>
        </w:rPr>
      </w:pPr>
      <w:bookmarkStart w:id="8" w:name="_heading=h.whgaroes1b3m" w:colFirst="0" w:colLast="0"/>
      <w:bookmarkEnd w:id="8"/>
      <w:r>
        <w:rPr>
          <w:rFonts w:ascii="Arial" w:eastAsia="Arial" w:hAnsi="Arial" w:cs="Arial"/>
          <w:i/>
          <w:iCs/>
          <w:color w:val="000000"/>
          <w:sz w:val="22"/>
          <w:szCs w:val="22"/>
        </w:rPr>
        <w:t>The Office for National Statistics released its report to offer data on the national scale concerning the digital skills of individuals, Internet usage, and the groups most susceptible to the challenge of digital exclusion. This source demonstrates a direct connection between social exclusion and certain factors, including age, digital access, income, and disability. Comprehension of this source is beneficial since it provides extensive quantitative data that enable the consistent and efficient detection of</w:t>
      </w:r>
      <w:r>
        <w:rPr>
          <w:rFonts w:ascii="Arial" w:eastAsia="Arial" w:hAnsi="Arial" w:cs="Arial"/>
          <w:i/>
          <w:iCs/>
          <w:color w:val="000000"/>
          <w:sz w:val="22"/>
          <w:szCs w:val="22"/>
        </w:rPr>
        <w:t xml:space="preserve"> patterns and disparities. This source bolsters the selected topic by illustrating that the challenge of digital exclusion is exacerbating the situation, as it directly affects individuals' capacity to evaluate. This source has a limitation as the data utilized is general instead of being evidence-based or health-specific, which underscores a significant research gap (Miers 2001).</w:t>
      </w:r>
    </w:p>
    <w:p w14:paraId="00000023" w14:textId="77777777" w:rsidR="005139E7" w:rsidRDefault="005139E7"/>
    <w:p w14:paraId="00000024" w14:textId="77777777" w:rsidR="005139E7" w:rsidRDefault="00810192">
      <w:pPr>
        <w:pStyle w:val="Heading2"/>
        <w:spacing w:line="360" w:lineRule="auto"/>
        <w:jc w:val="both"/>
        <w:rPr>
          <w:rFonts w:ascii="Arial" w:eastAsia="Arial" w:hAnsi="Arial" w:cs="Arial"/>
          <w:i/>
          <w:iCs/>
          <w:color w:val="000000"/>
          <w:sz w:val="22"/>
          <w:szCs w:val="22"/>
        </w:rPr>
      </w:pPr>
      <w:bookmarkStart w:id="9" w:name="_heading=h.sk200jz9oyew" w:colFirst="0" w:colLast="0"/>
      <w:bookmarkEnd w:id="9"/>
      <w:r>
        <w:rPr>
          <w:rFonts w:ascii="Arial" w:eastAsia="Arial" w:hAnsi="Arial" w:cs="Arial"/>
          <w:i/>
          <w:iCs/>
          <w:color w:val="000000"/>
          <w:sz w:val="22"/>
          <w:szCs w:val="22"/>
        </w:rPr>
        <w:t>Source 3: Good Things Foundation 2021</w:t>
      </w:r>
    </w:p>
    <w:p w14:paraId="00000025" w14:textId="77777777" w:rsidR="005139E7" w:rsidRDefault="00810192">
      <w:pPr>
        <w:pStyle w:val="Heading2"/>
        <w:spacing w:line="360" w:lineRule="auto"/>
        <w:jc w:val="both"/>
        <w:rPr>
          <w:rFonts w:ascii="Arial" w:eastAsia="Arial" w:hAnsi="Arial" w:cs="Arial"/>
          <w:i/>
          <w:iCs/>
          <w:color w:val="000000"/>
          <w:sz w:val="22"/>
          <w:szCs w:val="22"/>
        </w:rPr>
      </w:pPr>
      <w:bookmarkStart w:id="10" w:name="_heading=h.7wsy6jm7ufv9" w:colFirst="0" w:colLast="0"/>
      <w:bookmarkEnd w:id="10"/>
      <w:r>
        <w:rPr>
          <w:rFonts w:ascii="Arial" w:eastAsia="Arial" w:hAnsi="Arial" w:cs="Arial"/>
          <w:i/>
          <w:iCs/>
          <w:color w:val="000000"/>
          <w:sz w:val="22"/>
          <w:szCs w:val="22"/>
        </w:rPr>
        <w:t xml:space="preserve">The digital divide and health disparities serve as a significant foundation for the Good Things Foundation 2021, which examines digital exclusion and its role in creating various inequalities in accessing healthcare services among users. Italso features case studies from community or partnership organizations (Molala &amp; Makhubele 2021). The source is effective due to the case studies and real-world examples that provide evidence-based analysis demonstrating the effects of digital exclusion. The organization </w:t>
      </w:r>
      <w:r>
        <w:rPr>
          <w:rFonts w:ascii="Arial" w:eastAsia="Arial" w:hAnsi="Arial" w:cs="Arial"/>
          <w:i/>
          <w:iCs/>
          <w:color w:val="000000"/>
          <w:sz w:val="22"/>
          <w:szCs w:val="22"/>
        </w:rPr>
        <w:t>additionally offers valuable suggestions and practical approaches to address this issue. This selected source is a focused examination of the chosen topic by emphasizing how digital exclusion impacts service users' engagement with healthcare services at the community level in the United Kingdom. Regarding the matter presented in this source, it is less academically rigorous, indicating that individuals should concentrate on more scholarly research methodologies, encompassing 250 years of research to be inco</w:t>
      </w:r>
      <w:r>
        <w:rPr>
          <w:rFonts w:ascii="Arial" w:eastAsia="Arial" w:hAnsi="Arial" w:cs="Arial"/>
          <w:i/>
          <w:iCs/>
          <w:color w:val="000000"/>
          <w:sz w:val="22"/>
          <w:szCs w:val="22"/>
        </w:rPr>
        <w:t>rporated in this field (Xue et al. 2026)</w:t>
      </w:r>
    </w:p>
    <w:p w14:paraId="00000026" w14:textId="77777777" w:rsidR="005139E7" w:rsidRDefault="005139E7"/>
    <w:p w14:paraId="00000027" w14:textId="77777777" w:rsidR="005139E7" w:rsidRDefault="00810192">
      <w:pPr>
        <w:pStyle w:val="Heading1"/>
        <w:spacing w:line="360" w:lineRule="auto"/>
        <w:jc w:val="both"/>
        <w:rPr>
          <w:rFonts w:ascii="Arial" w:eastAsia="Arial" w:hAnsi="Arial" w:cs="Arial"/>
          <w:b/>
          <w:bCs/>
          <w:i/>
          <w:iCs/>
          <w:sz w:val="22"/>
          <w:szCs w:val="22"/>
          <w:u w:val="single"/>
        </w:rPr>
      </w:pPr>
      <w:bookmarkStart w:id="11" w:name="_heading=h.xjon1kdzxd1o" w:colFirst="0" w:colLast="0"/>
      <w:bookmarkEnd w:id="11"/>
      <w:r>
        <w:rPr>
          <w:rFonts w:ascii="Arial" w:eastAsia="Arial" w:hAnsi="Arial" w:cs="Arial"/>
          <w:b/>
          <w:bCs/>
          <w:i/>
          <w:iCs/>
          <w:sz w:val="22"/>
          <w:szCs w:val="22"/>
          <w:u w:val="single"/>
        </w:rPr>
        <w:t>Task 3: Research Methodologies</w:t>
      </w:r>
    </w:p>
    <w:p w14:paraId="00000028" w14:textId="77777777" w:rsidR="005139E7" w:rsidRDefault="00810192">
      <w:pPr>
        <w:pStyle w:val="Heading1"/>
        <w:spacing w:line="360" w:lineRule="auto"/>
        <w:jc w:val="both"/>
        <w:rPr>
          <w:rFonts w:ascii="Arial" w:eastAsia="Arial" w:hAnsi="Arial" w:cs="Arial"/>
          <w:color w:val="000000"/>
          <w:sz w:val="22"/>
          <w:szCs w:val="22"/>
        </w:rPr>
      </w:pPr>
      <w:bookmarkStart w:id="12" w:name="_heading=h.mllkkoxqkx3u" w:colFirst="0" w:colLast="0"/>
      <w:bookmarkEnd w:id="12"/>
      <w:r>
        <w:rPr>
          <w:rFonts w:ascii="Arial" w:eastAsia="Arial" w:hAnsi="Arial" w:cs="Arial"/>
          <w:color w:val="000000"/>
          <w:sz w:val="22"/>
          <w:szCs w:val="22"/>
        </w:rPr>
        <w:t>Various research methodologies exist, including quantitative research, which focuses on gathering numerical data suitablefor statistical analysis and measurement, such as results from surveys or two-way communication. For example,quantitative research typically involves distributing questionnaires to assess how many service users can readily access different general physician services offered online. Conversely, qualitative research concentrates on the experiences, perspectives, thoughts of individuals, and</w:t>
      </w:r>
      <w:r>
        <w:rPr>
          <w:rFonts w:ascii="Arial" w:eastAsia="Arial" w:hAnsi="Arial" w:cs="Arial"/>
          <w:color w:val="000000"/>
          <w:sz w:val="22"/>
          <w:szCs w:val="22"/>
        </w:rPr>
        <w:t xml:space="preserve"> meaning while gathering non-numerical data like focus groups or interviews. An instance of qualitative research involves interviewing older adults about their experiences with digital technologies and health services. The mixed method of research involves integrating both of the aforementioned approaches, enablingresearchers to gather more data while examining patterns for a deeper understanding (Zhang 2025).</w:t>
      </w:r>
    </w:p>
    <w:p w14:paraId="00000029" w14:textId="77777777" w:rsidR="005139E7" w:rsidRDefault="00810192">
      <w:pPr>
        <w:pStyle w:val="Heading1"/>
        <w:spacing w:line="360" w:lineRule="auto"/>
        <w:jc w:val="both"/>
        <w:rPr>
          <w:rFonts w:ascii="Arial" w:eastAsia="Arial" w:hAnsi="Arial" w:cs="Arial"/>
          <w:b/>
          <w:bCs/>
          <w:i/>
          <w:iCs/>
          <w:sz w:val="22"/>
          <w:szCs w:val="22"/>
          <w:u w:val="single"/>
        </w:rPr>
      </w:pPr>
      <w:bookmarkStart w:id="13" w:name="_heading=h.bfcmfohziigi" w:colFirst="0" w:colLast="0"/>
      <w:bookmarkEnd w:id="13"/>
      <w:r>
        <w:rPr>
          <w:rFonts w:ascii="Arial" w:eastAsia="Arial" w:hAnsi="Arial" w:cs="Arial"/>
          <w:color w:val="000000"/>
          <w:sz w:val="22"/>
          <w:szCs w:val="22"/>
        </w:rPr>
        <w:t>Future research on digital exclusion would be beneficial if it employs a qualitative methodology since the problem is associated with individual confidence, personal experiences, and perceived obstacles. This research method enablesparticipants to articulate their experiences and difficulties in their own terms, allowing researchers to collect rich and detailed information effectively.</w:t>
      </w:r>
    </w:p>
    <w:p w14:paraId="0000002A" w14:textId="77777777" w:rsidR="005139E7" w:rsidRDefault="00810192">
      <w:pPr>
        <w:pStyle w:val="Heading1"/>
        <w:spacing w:line="360" w:lineRule="auto"/>
        <w:jc w:val="both"/>
        <w:rPr>
          <w:rFonts w:ascii="Arial" w:eastAsia="Arial" w:hAnsi="Arial" w:cs="Arial"/>
          <w:b/>
          <w:bCs/>
          <w:i/>
          <w:iCs/>
          <w:sz w:val="22"/>
          <w:szCs w:val="22"/>
          <w:u w:val="single"/>
        </w:rPr>
      </w:pPr>
      <w:bookmarkStart w:id="14" w:name="_heading=h.rf3f5zcm8gd3" w:colFirst="0" w:colLast="0"/>
      <w:bookmarkEnd w:id="14"/>
      <w:r>
        <w:rPr>
          <w:rFonts w:ascii="Arial" w:eastAsia="Arial" w:hAnsi="Arial" w:cs="Arial"/>
          <w:b/>
          <w:bCs/>
          <w:i/>
          <w:iCs/>
          <w:sz w:val="22"/>
          <w:szCs w:val="22"/>
          <w:u w:val="single"/>
        </w:rPr>
        <w:t>Task 4: Data Collection</w:t>
      </w:r>
    </w:p>
    <w:p w14:paraId="0000002B" w14:textId="77777777" w:rsidR="005139E7" w:rsidRDefault="00810192">
      <w:pPr>
        <w:pStyle w:val="Heading1"/>
        <w:spacing w:line="360" w:lineRule="auto"/>
        <w:jc w:val="both"/>
        <w:rPr>
          <w:rFonts w:ascii="Arial" w:eastAsia="Arial" w:hAnsi="Arial" w:cs="Arial"/>
          <w:color w:val="000000"/>
          <w:sz w:val="22"/>
          <w:szCs w:val="22"/>
        </w:rPr>
      </w:pPr>
      <w:r>
        <w:rPr>
          <w:rFonts w:ascii="Arial" w:eastAsia="Arial" w:hAnsi="Arial" w:cs="Arial"/>
          <w:color w:val="000000"/>
          <w:sz w:val="22"/>
          <w:szCs w:val="22"/>
        </w:rPr>
        <w:t>Primary data refers to information gathered directly by the researcher for specific reasons, including observation, surveys, or interviews. Conversely, secondary data entails gathering information that is not produced by researchers, includingacademic research, governmental publications, and organizational archives. The variety of data gathered has significantimplications for research in health and social care.</w:t>
      </w:r>
    </w:p>
    <w:p w14:paraId="0000002C" w14:textId="77777777" w:rsidR="005139E7" w:rsidRDefault="00810192">
      <w:pPr>
        <w:pStyle w:val="Heading1"/>
        <w:spacing w:line="360" w:lineRule="auto"/>
        <w:jc w:val="both"/>
        <w:rPr>
          <w:rFonts w:ascii="Arial" w:eastAsia="Arial" w:hAnsi="Arial" w:cs="Arial"/>
          <w:color w:val="000000"/>
          <w:sz w:val="22"/>
          <w:szCs w:val="22"/>
        </w:rPr>
      </w:pPr>
      <w:bookmarkStart w:id="15" w:name="_heading=h.447l7u8vg7dv" w:colFirst="0" w:colLast="0"/>
      <w:bookmarkEnd w:id="15"/>
      <w:r>
        <w:rPr>
          <w:rFonts w:ascii="Arial" w:eastAsia="Arial" w:hAnsi="Arial" w:cs="Arial"/>
          <w:color w:val="000000"/>
          <w:sz w:val="22"/>
          <w:szCs w:val="22"/>
        </w:rPr>
        <w:t>For the selected research topic, the ideal data would be primary data, comprising qualitative information that the researcher gathers through semi-structured interviews (Zhang 2025). This method is effective in helping the researcher comprehend the experiences of service users within the digital health and social care sector. In this context, secondary data like NHS reports can offer background information on the research topic, while primary data can be utilized by the researcher to effectively fill any ex</w:t>
      </w:r>
      <w:r>
        <w:rPr>
          <w:rFonts w:ascii="Arial" w:eastAsia="Arial" w:hAnsi="Arial" w:cs="Arial"/>
          <w:color w:val="000000"/>
          <w:sz w:val="22"/>
          <w:szCs w:val="22"/>
        </w:rPr>
        <w:t>isting gaps in the research.</w:t>
      </w:r>
    </w:p>
    <w:p w14:paraId="0000002D" w14:textId="77777777" w:rsidR="005139E7" w:rsidRDefault="00810192">
      <w:pPr>
        <w:pStyle w:val="Heading1"/>
        <w:spacing w:line="360" w:lineRule="auto"/>
        <w:jc w:val="both"/>
        <w:rPr>
          <w:rFonts w:ascii="Arial" w:eastAsia="Arial" w:hAnsi="Arial" w:cs="Arial"/>
          <w:b/>
          <w:bCs/>
          <w:i/>
          <w:iCs/>
          <w:sz w:val="22"/>
          <w:szCs w:val="22"/>
          <w:u w:val="single"/>
        </w:rPr>
      </w:pPr>
      <w:bookmarkStart w:id="16" w:name="_heading=h.hid8gjkam79a" w:colFirst="0" w:colLast="0"/>
      <w:bookmarkEnd w:id="16"/>
      <w:r>
        <w:rPr>
          <w:rFonts w:ascii="Arial" w:eastAsia="Arial" w:hAnsi="Arial" w:cs="Arial"/>
          <w:color w:val="000000"/>
          <w:sz w:val="22"/>
          <w:szCs w:val="22"/>
        </w:rPr>
        <w:t>The primary benefit of utilizing primary data and qualitative research is that it allows Archer to achieve a thoroughunderstanding, the unique capability to uncover unforeseen themes, and guaranteed adaptability in questioning. Nonetheless, this approach presents specific challenges, including limited sample sizes, time limitations, and variousethical issues like confidentiality and obtaining informed consent.</w:t>
      </w:r>
    </w:p>
    <w:p w14:paraId="0000002E" w14:textId="77777777" w:rsidR="005139E7" w:rsidRDefault="00810192">
      <w:pPr>
        <w:pStyle w:val="Heading1"/>
        <w:spacing w:line="360" w:lineRule="auto"/>
        <w:jc w:val="both"/>
        <w:rPr>
          <w:rFonts w:ascii="Arial" w:eastAsia="Arial" w:hAnsi="Arial" w:cs="Arial"/>
          <w:b/>
          <w:bCs/>
          <w:i/>
          <w:iCs/>
          <w:sz w:val="22"/>
          <w:szCs w:val="22"/>
          <w:u w:val="single"/>
        </w:rPr>
      </w:pPr>
      <w:bookmarkStart w:id="17" w:name="_heading=h.c0bx7euo9cqx" w:colFirst="0" w:colLast="0"/>
      <w:bookmarkEnd w:id="17"/>
      <w:r>
        <w:rPr>
          <w:rFonts w:ascii="Arial" w:eastAsia="Arial" w:hAnsi="Arial" w:cs="Arial"/>
          <w:b/>
          <w:bCs/>
          <w:i/>
          <w:iCs/>
          <w:sz w:val="22"/>
          <w:szCs w:val="22"/>
          <w:u w:val="single"/>
        </w:rPr>
        <w:t>Conclusion</w:t>
      </w:r>
    </w:p>
    <w:p w14:paraId="0000002F"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The aforementioned report has thoroughly examined the problem of digital exclusion within the health and social care domain of the United Kingdom. This report has detailed several factors related to digital exclusion, illustrating the affected population while emphasizing the significance of this issue and how health care disparities might be resolved. By examining available resources, the report aimed to address the deficiencies in current research. Initially, for the researchmethodology of this report, a </w:t>
      </w:r>
      <w:r>
        <w:rPr>
          <w:rFonts w:ascii="Arial" w:eastAsia="Arial" w:hAnsi="Arial" w:cs="Arial"/>
          <w:sz w:val="22"/>
          <w:szCs w:val="22"/>
        </w:rPr>
        <w:t>qualitative approach is utilized in conjunction with primary data collection for the upcomingstudy. The conclusion reached is that the topic of digital exclusion is a crucial domain for professionals to address, particularly during this era of advanced digitalizatio</w:t>
      </w:r>
      <w:r>
        <w:br w:type="page"/>
      </w:r>
    </w:p>
    <w:p w14:paraId="00000030" w14:textId="77777777" w:rsidR="005139E7" w:rsidRDefault="00810192">
      <w:pPr>
        <w:pStyle w:val="Heading1"/>
        <w:spacing w:line="360" w:lineRule="auto"/>
        <w:jc w:val="both"/>
        <w:rPr>
          <w:rFonts w:ascii="Arial" w:eastAsia="Arial" w:hAnsi="Arial" w:cs="Arial"/>
          <w:b/>
          <w:bCs/>
          <w:i/>
          <w:iCs/>
          <w:sz w:val="22"/>
          <w:szCs w:val="22"/>
          <w:u w:val="single"/>
        </w:rPr>
      </w:pPr>
      <w:bookmarkStart w:id="18" w:name="_heading=h.mxwpryx1fbs2" w:colFirst="0" w:colLast="0"/>
      <w:bookmarkEnd w:id="18"/>
      <w:r>
        <w:rPr>
          <w:rFonts w:ascii="Arial" w:eastAsia="Arial" w:hAnsi="Arial" w:cs="Arial"/>
          <w:b/>
          <w:bCs/>
          <w:i/>
          <w:iCs/>
          <w:sz w:val="22"/>
          <w:szCs w:val="22"/>
          <w:u w:val="single"/>
        </w:rPr>
        <w:t>Reference list</w:t>
      </w:r>
    </w:p>
    <w:p w14:paraId="00000031"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Bunyan, S &amp; Collins, A 2013, ‘Digital Exclusion Despite Digital Accessibility: Empirical Evidence from an English City’, </w:t>
      </w:r>
      <w:r>
        <w:rPr>
          <w:rFonts w:ascii="Arial" w:eastAsia="Arial" w:hAnsi="Arial" w:cs="Arial"/>
          <w:i/>
          <w:iCs/>
          <w:sz w:val="22"/>
          <w:szCs w:val="22"/>
        </w:rPr>
        <w:t>Tijdschrift voor economische en sociale geografie</w:t>
      </w:r>
      <w:r>
        <w:rPr>
          <w:rFonts w:ascii="Arial" w:eastAsia="Arial" w:hAnsi="Arial" w:cs="Arial"/>
          <w:sz w:val="22"/>
          <w:szCs w:val="22"/>
        </w:rPr>
        <w:t>, vol. 104, no. 5, pp. 588–603.</w:t>
      </w:r>
    </w:p>
    <w:p w14:paraId="00000032"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Helsper, EJ 2012, ‘A Corresponding Fields Model for the Links Between Social and Digital Exclusion’, </w:t>
      </w:r>
      <w:r>
        <w:rPr>
          <w:rFonts w:ascii="Arial" w:eastAsia="Arial" w:hAnsi="Arial" w:cs="Arial"/>
          <w:i/>
          <w:iCs/>
          <w:sz w:val="22"/>
          <w:szCs w:val="22"/>
        </w:rPr>
        <w:t>Communication Theory</w:t>
      </w:r>
      <w:r>
        <w:rPr>
          <w:rFonts w:ascii="Arial" w:eastAsia="Arial" w:hAnsi="Arial" w:cs="Arial"/>
          <w:sz w:val="22"/>
          <w:szCs w:val="22"/>
        </w:rPr>
        <w:t>, vol. 22, no. 4, pp. 403–426.</w:t>
      </w:r>
    </w:p>
    <w:p w14:paraId="00000033"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 2016, ‘The Social Relativity of Digital Exclusion: Applying Relative Deprivation Theory to Digital Inequalities’, </w:t>
      </w:r>
      <w:r>
        <w:rPr>
          <w:rFonts w:ascii="Arial" w:eastAsia="Arial" w:hAnsi="Arial" w:cs="Arial"/>
          <w:i/>
          <w:iCs/>
          <w:sz w:val="22"/>
          <w:szCs w:val="22"/>
        </w:rPr>
        <w:t>Communication Theory</w:t>
      </w:r>
      <w:r>
        <w:rPr>
          <w:rFonts w:ascii="Arial" w:eastAsia="Arial" w:hAnsi="Arial" w:cs="Arial"/>
          <w:sz w:val="22"/>
          <w:szCs w:val="22"/>
        </w:rPr>
        <w:t>, vol. 27, no. 3, pp. 223–242.</w:t>
      </w:r>
    </w:p>
    <w:p w14:paraId="00000034"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Irwani, Saleh, M &amp; Bahrianoor 2024, ‘Digital Exclusion and Social Inequity: A Global Narrative Review of Access to Education, Healthcare, and the Digital Economy’, </w:t>
      </w:r>
      <w:r>
        <w:rPr>
          <w:rFonts w:ascii="Arial" w:eastAsia="Arial" w:hAnsi="Arial" w:cs="Arial"/>
          <w:i/>
          <w:iCs/>
          <w:sz w:val="22"/>
          <w:szCs w:val="22"/>
        </w:rPr>
        <w:t>Sinergi International Journal of Communication Sciences</w:t>
      </w:r>
      <w:r>
        <w:rPr>
          <w:rFonts w:ascii="Arial" w:eastAsia="Arial" w:hAnsi="Arial" w:cs="Arial"/>
          <w:sz w:val="22"/>
          <w:szCs w:val="22"/>
        </w:rPr>
        <w:t>, vol. 2, no. 4, pp. 220–232.</w:t>
      </w:r>
    </w:p>
    <w:p w14:paraId="00000035"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Krištofík, A 2022, ‘Digital exclusion as a roadblock to cybergovernance’, </w:t>
      </w:r>
      <w:r>
        <w:rPr>
          <w:rFonts w:ascii="Arial" w:eastAsia="Arial" w:hAnsi="Arial" w:cs="Arial"/>
          <w:i/>
          <w:iCs/>
          <w:sz w:val="22"/>
          <w:szCs w:val="22"/>
        </w:rPr>
        <w:t>Jusletter-IT</w:t>
      </w:r>
      <w:r>
        <w:rPr>
          <w:rFonts w:ascii="Arial" w:eastAsia="Arial" w:hAnsi="Arial" w:cs="Arial"/>
          <w:sz w:val="22"/>
          <w:szCs w:val="22"/>
        </w:rPr>
        <w:t>, no. 30-Juni-2022.</w:t>
      </w:r>
    </w:p>
    <w:p w14:paraId="00000036"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Mee, P, Gussy, M, Huntley, P, Kenny, A, Jarratt, T, Kenward, N, Ward, D &amp; Vaughan, A 2024, ‘Digital exclusion as a barrier to accessing healthcare: a summary composite indicator and online tool to explore and quantify local differences in levels of exclusion’, </w:t>
      </w:r>
      <w:r>
        <w:rPr>
          <w:rFonts w:ascii="Arial" w:eastAsia="Arial" w:hAnsi="Arial" w:cs="Arial"/>
          <w:i/>
          <w:iCs/>
          <w:sz w:val="22"/>
          <w:szCs w:val="22"/>
        </w:rPr>
        <w:t>Universal Access in the Information Society</w:t>
      </w:r>
      <w:r>
        <w:rPr>
          <w:rFonts w:ascii="Arial" w:eastAsia="Arial" w:hAnsi="Arial" w:cs="Arial"/>
          <w:sz w:val="22"/>
          <w:szCs w:val="22"/>
        </w:rPr>
        <w:t>, Springer Science and Business Media LLC.</w:t>
      </w:r>
    </w:p>
    <w:p w14:paraId="00000037"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Miers, M 2001, ‘Stigma and social exclusion in health care Stigma and social exclusion in health care’, </w:t>
      </w:r>
      <w:r>
        <w:rPr>
          <w:rFonts w:ascii="Arial" w:eastAsia="Arial" w:hAnsi="Arial" w:cs="Arial"/>
          <w:i/>
          <w:iCs/>
          <w:sz w:val="22"/>
          <w:szCs w:val="22"/>
        </w:rPr>
        <w:t>Nursing Standard</w:t>
      </w:r>
      <w:r>
        <w:rPr>
          <w:rFonts w:ascii="Arial" w:eastAsia="Arial" w:hAnsi="Arial" w:cs="Arial"/>
          <w:sz w:val="22"/>
          <w:szCs w:val="22"/>
        </w:rPr>
        <w:t>, vol. 16, no. 2, pp. 28–28.</w:t>
      </w:r>
    </w:p>
    <w:p w14:paraId="00000038"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Molala, TS &amp; Makhubele, JC 2021, ‘THE CONNECTION BETWEEN DIGITAL DIVIDE AND SOCIAL EXCLUSION: IMPLICATIONS FOR SOCIAL WORK’, </w:t>
      </w:r>
      <w:r>
        <w:rPr>
          <w:rFonts w:ascii="Arial" w:eastAsia="Arial" w:hAnsi="Arial" w:cs="Arial"/>
          <w:i/>
          <w:iCs/>
          <w:sz w:val="22"/>
          <w:szCs w:val="22"/>
        </w:rPr>
        <w:t>Humanities &amp; Social Sciences Reviews</w:t>
      </w:r>
      <w:r>
        <w:rPr>
          <w:rFonts w:ascii="Arial" w:eastAsia="Arial" w:hAnsi="Arial" w:cs="Arial"/>
          <w:sz w:val="22"/>
          <w:szCs w:val="22"/>
        </w:rPr>
        <w:t>, vol. 9, no. 4, pp. 194–201.</w:t>
      </w:r>
    </w:p>
    <w:p w14:paraId="00000039"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Xue, Z, Zhou, N, Wu, Y &amp; Qi, H 2026, ‘Digital exclusion in healthcare services: a scoping review’, </w:t>
      </w:r>
      <w:r>
        <w:rPr>
          <w:rFonts w:ascii="Arial" w:eastAsia="Arial" w:hAnsi="Arial" w:cs="Arial"/>
          <w:i/>
          <w:iCs/>
          <w:sz w:val="22"/>
          <w:szCs w:val="22"/>
        </w:rPr>
        <w:t>International Journal for Equity in Health</w:t>
      </w:r>
      <w:r>
        <w:rPr>
          <w:rFonts w:ascii="Arial" w:eastAsia="Arial" w:hAnsi="Arial" w:cs="Arial"/>
          <w:sz w:val="22"/>
          <w:szCs w:val="22"/>
        </w:rPr>
        <w:t>, Springer Science and Business Media LLC.</w:t>
      </w:r>
    </w:p>
    <w:p w14:paraId="0000003A" w14:textId="77777777" w:rsidR="005139E7" w:rsidRDefault="00810192">
      <w:pPr>
        <w:spacing w:line="360" w:lineRule="auto"/>
        <w:jc w:val="both"/>
        <w:rPr>
          <w:rFonts w:ascii="Arial" w:eastAsia="Arial" w:hAnsi="Arial" w:cs="Arial"/>
          <w:sz w:val="22"/>
          <w:szCs w:val="22"/>
        </w:rPr>
      </w:pPr>
      <w:r>
        <w:rPr>
          <w:rFonts w:ascii="Arial" w:eastAsia="Arial" w:hAnsi="Arial" w:cs="Arial"/>
          <w:sz w:val="22"/>
          <w:szCs w:val="22"/>
        </w:rPr>
        <w:t xml:space="preserve">Zhang, Y 2025, ‘Silent Exclusion: An Analysis of the Healthcare Integration Dilemma for the Elderly in Seeking Medical Treatment under Urban Digital Transformation’, </w:t>
      </w:r>
      <w:r>
        <w:rPr>
          <w:rFonts w:ascii="Arial" w:eastAsia="Arial" w:hAnsi="Arial" w:cs="Arial"/>
          <w:i/>
          <w:iCs/>
          <w:sz w:val="22"/>
          <w:szCs w:val="22"/>
        </w:rPr>
        <w:t>Scientific Journal Of Humanities and Social Sciences</w:t>
      </w:r>
      <w:r>
        <w:rPr>
          <w:rFonts w:ascii="Arial" w:eastAsia="Arial" w:hAnsi="Arial" w:cs="Arial"/>
          <w:sz w:val="22"/>
          <w:szCs w:val="22"/>
        </w:rPr>
        <w:t>, vol. 7, no. 9, pp. 79–90.</w:t>
      </w:r>
    </w:p>
    <w:sectPr w:rsidR="005139E7">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9E7"/>
    <w:rsid w:val="000813B5"/>
    <w:rsid w:val="003C7ABC"/>
    <w:rsid w:val="005139E7"/>
    <w:rsid w:val="00810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99BA4B2D-01CD-1244-AA27-C94B9438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A0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CA0B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0B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0B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0B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0B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0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B68"/>
    <w:rPr>
      <w:rFonts w:eastAsiaTheme="majorEastAsia" w:cstheme="majorBidi"/>
      <w:color w:val="272727" w:themeColor="text1" w:themeTint="D8"/>
    </w:rPr>
  </w:style>
  <w:style w:type="character" w:customStyle="1" w:styleId="TitleChar">
    <w:name w:val="Title Char"/>
    <w:basedOn w:val="DefaultParagraphFont"/>
    <w:link w:val="Title"/>
    <w:uiPriority w:val="10"/>
    <w:rsid w:val="00CA0B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A0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B68"/>
    <w:pPr>
      <w:spacing w:before="160"/>
      <w:jc w:val="center"/>
    </w:pPr>
    <w:rPr>
      <w:i/>
      <w:iCs/>
      <w:color w:val="404040" w:themeColor="text1" w:themeTint="BF"/>
    </w:rPr>
  </w:style>
  <w:style w:type="character" w:customStyle="1" w:styleId="QuoteChar">
    <w:name w:val="Quote Char"/>
    <w:basedOn w:val="DefaultParagraphFont"/>
    <w:link w:val="Quote"/>
    <w:uiPriority w:val="29"/>
    <w:rsid w:val="00CA0B68"/>
    <w:rPr>
      <w:i/>
      <w:iCs/>
      <w:color w:val="404040" w:themeColor="text1" w:themeTint="BF"/>
    </w:rPr>
  </w:style>
  <w:style w:type="paragraph" w:styleId="ListParagraph">
    <w:name w:val="List Paragraph"/>
    <w:basedOn w:val="Normal"/>
    <w:uiPriority w:val="34"/>
    <w:qFormat/>
    <w:rsid w:val="00CA0B68"/>
    <w:pPr>
      <w:ind w:left="720"/>
      <w:contextualSpacing/>
    </w:pPr>
  </w:style>
  <w:style w:type="character" w:styleId="IntenseEmphasis">
    <w:name w:val="Intense Emphasis"/>
    <w:basedOn w:val="DefaultParagraphFont"/>
    <w:uiPriority w:val="21"/>
    <w:qFormat/>
    <w:rsid w:val="00CA0B68"/>
    <w:rPr>
      <w:i/>
      <w:iCs/>
      <w:color w:val="2F5496" w:themeColor="accent1" w:themeShade="BF"/>
    </w:rPr>
  </w:style>
  <w:style w:type="paragraph" w:styleId="IntenseQuote">
    <w:name w:val="Intense Quote"/>
    <w:basedOn w:val="Normal"/>
    <w:next w:val="Normal"/>
    <w:link w:val="IntenseQuoteChar"/>
    <w:uiPriority w:val="30"/>
    <w:qFormat/>
    <w:rsid w:val="00CA0B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0B68"/>
    <w:rPr>
      <w:i/>
      <w:iCs/>
      <w:color w:val="2F5496" w:themeColor="accent1" w:themeShade="BF"/>
    </w:rPr>
  </w:style>
  <w:style w:type="character" w:styleId="IntenseReference">
    <w:name w:val="Intense Reference"/>
    <w:basedOn w:val="DefaultParagraphFont"/>
    <w:uiPriority w:val="32"/>
    <w:qFormat/>
    <w:rsid w:val="00CA0B68"/>
    <w:rPr>
      <w:b/>
      <w:bCs/>
      <w:smallCaps/>
      <w:color w:val="2F5496" w:themeColor="accent1" w:themeShade="BF"/>
      <w:spacing w:val="5"/>
    </w:rPr>
  </w:style>
  <w:style w:type="paragraph" w:styleId="TOCHeading">
    <w:name w:val="TOC Heading"/>
    <w:basedOn w:val="Heading1"/>
    <w:next w:val="Normal"/>
    <w:uiPriority w:val="39"/>
    <w:unhideWhenUsed/>
    <w:qFormat/>
    <w:rsid w:val="005017D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5017D3"/>
    <w:pPr>
      <w:spacing w:after="100"/>
    </w:pPr>
  </w:style>
  <w:style w:type="paragraph" w:styleId="TOC2">
    <w:name w:val="toc 2"/>
    <w:basedOn w:val="Normal"/>
    <w:next w:val="Normal"/>
    <w:autoRedefine/>
    <w:uiPriority w:val="39"/>
    <w:unhideWhenUsed/>
    <w:rsid w:val="005017D3"/>
    <w:pPr>
      <w:spacing w:after="100"/>
      <w:ind w:left="240"/>
    </w:pPr>
  </w:style>
  <w:style w:type="character" w:styleId="Hyperlink">
    <w:name w:val="Hyperlink"/>
    <w:basedOn w:val="DefaultParagraphFont"/>
    <w:uiPriority w:val="99"/>
    <w:unhideWhenUsed/>
    <w:rsid w:val="005017D3"/>
    <w:rPr>
      <w:color w:val="0563C1" w:themeColor="hyperlink"/>
      <w:u w:val="single"/>
    </w:rPr>
  </w:style>
  <w:style w:type="paragraph" w:styleId="NoSpacing">
    <w:name w:val="No Spacing"/>
    <w:link w:val="NoSpacingChar"/>
    <w:uiPriority w:val="1"/>
    <w:qFormat/>
    <w:rsid w:val="00231ABD"/>
    <w:pPr>
      <w:spacing w:after="0" w:line="240" w:lineRule="auto"/>
    </w:pPr>
    <w:rPr>
      <w:sz w:val="22"/>
      <w:szCs w:val="22"/>
      <w:lang w:val="en-US"/>
    </w:rPr>
  </w:style>
  <w:style w:type="character" w:customStyle="1" w:styleId="NoSpacingChar">
    <w:name w:val="No Spacing Char"/>
    <w:basedOn w:val="DefaultParagraphFont"/>
    <w:link w:val="NoSpacing"/>
    <w:uiPriority w:val="1"/>
    <w:rsid w:val="00231ABD"/>
    <w:rPr>
      <w:kern w:val="0"/>
      <w:sz w:val="22"/>
      <w:szCs w:val="22"/>
      <w:lang w:val="en-US" w:eastAsia="en-US"/>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r3kxrBDsYN/W5XHecoRQk+e+OQ==">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1956</Words>
  <Characters>11152</Characters>
  <Application>Microsoft Office Word</Application>
  <DocSecurity>0</DocSecurity>
  <Lines>92</Lines>
  <Paragraphs>26</Paragraphs>
  <ScaleCrop>false</ScaleCrop>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rabiia bi</cp:lastModifiedBy>
  <cp:revision>2</cp:revision>
  <dcterms:created xsi:type="dcterms:W3CDTF">2026-03-27T11:58:00Z</dcterms:created>
  <dcterms:modified xsi:type="dcterms:W3CDTF">2026-03-27T11:58:00Z</dcterms:modified>
</cp:coreProperties>
</file>