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D95F7" w14:textId="77777777" w:rsidR="00406BA3" w:rsidRDefault="00406BA3" w:rsidP="00406BA3">
      <w:r>
        <w:rPr>
          <w:noProof/>
        </w:rPr>
        <w:drawing>
          <wp:inline distT="0" distB="0" distL="0" distR="0" wp14:anchorId="383FA8F1" wp14:editId="40FDFE1C">
            <wp:extent cx="2028825" cy="704850"/>
            <wp:effectExtent l="0" t="0" r="0" b="0"/>
            <wp:docPr id="2007465704" name="Picture 2007465704"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A close up of black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BFEE29F" w14:textId="77777777" w:rsidR="00406BA3" w:rsidRPr="00A47621" w:rsidRDefault="00406BA3" w:rsidP="00406BA3">
      <w:pPr>
        <w:rPr>
          <w:rFonts w:ascii="Times New Roman" w:hAnsi="Times New Roman" w:cs="Times New Roman"/>
        </w:rPr>
      </w:pPr>
    </w:p>
    <w:p w14:paraId="5C48C8F3" w14:textId="77777777" w:rsidR="00406BA3" w:rsidRPr="00F927A1" w:rsidRDefault="00406BA3" w:rsidP="00406BA3">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6F51EE49" w14:textId="77777777" w:rsidR="00406BA3" w:rsidRPr="00DC2924" w:rsidRDefault="00406BA3" w:rsidP="00406BA3">
      <w:pPr>
        <w:ind w:right="-957"/>
        <w:rPr>
          <w:rFonts w:ascii="Times New Roman" w:hAnsi="Times New Roman" w:cs="Times New Roman"/>
          <w:b/>
          <w:sz w:val="48"/>
        </w:rPr>
      </w:pPr>
      <w:r w:rsidRPr="00DC2924">
        <w:rPr>
          <w:rFonts w:ascii="Times New Roman" w:hAnsi="Times New Roman" w:cs="Times New Roman"/>
          <w:b/>
          <w:sz w:val="48"/>
        </w:rPr>
        <w:t>LEVEL 6 - 60 Credits</w:t>
      </w:r>
    </w:p>
    <w:p w14:paraId="352F68D2" w14:textId="77777777" w:rsidR="00406BA3" w:rsidRPr="0085230E" w:rsidRDefault="00406BA3" w:rsidP="00406BA3">
      <w:pPr>
        <w:ind w:right="-957"/>
        <w:rPr>
          <w:rFonts w:ascii="Times New Roman" w:hAnsi="Times New Roman" w:cs="Times New Roman"/>
          <w:b/>
          <w:sz w:val="48"/>
        </w:rPr>
      </w:pPr>
      <w:r w:rsidRPr="00DC2924">
        <w:rPr>
          <w:rFonts w:ascii="Times New Roman" w:hAnsi="Times New Roman" w:cs="Times New Roman"/>
          <w:b/>
          <w:sz w:val="48"/>
        </w:rPr>
        <w:t>BMPF6044</w:t>
      </w:r>
    </w:p>
    <w:p w14:paraId="76D51554" w14:textId="77777777" w:rsidR="00406BA3" w:rsidRDefault="00406BA3" w:rsidP="00406BA3">
      <w:pPr>
        <w:ind w:right="-957"/>
        <w:rPr>
          <w:rFonts w:ascii="Times New Roman" w:hAnsi="Times New Roman" w:cs="Times New Roman"/>
          <w:b/>
          <w:sz w:val="48"/>
        </w:rPr>
      </w:pPr>
    </w:p>
    <w:p w14:paraId="67A03DEF" w14:textId="77777777" w:rsidR="00406BA3" w:rsidRPr="00FE5F90" w:rsidRDefault="00406BA3" w:rsidP="00406BA3">
      <w:pPr>
        <w:ind w:right="-957"/>
        <w:rPr>
          <w:rFonts w:ascii="Times New Roman" w:hAnsi="Times New Roman" w:cs="Times New Roman"/>
          <w:b/>
          <w:sz w:val="18"/>
          <w:szCs w:val="2"/>
        </w:rPr>
      </w:pPr>
    </w:p>
    <w:p w14:paraId="0974F4EF" w14:textId="77777777" w:rsidR="00406BA3" w:rsidRPr="00F927A1" w:rsidRDefault="00406BA3" w:rsidP="00406BA3">
      <w:pPr>
        <w:ind w:right="-957"/>
        <w:rPr>
          <w:rFonts w:ascii="Times New Roman" w:hAnsi="Times New Roman" w:cs="Times New Roman"/>
          <w:b/>
          <w:sz w:val="48"/>
        </w:rPr>
      </w:pPr>
      <w:r>
        <w:rPr>
          <w:rFonts w:ascii="Times New Roman" w:hAnsi="Times New Roman" w:cs="Times New Roman"/>
          <w:b/>
          <w:sz w:val="48"/>
        </w:rPr>
        <w:t>LEARNER PORTFOLIO</w:t>
      </w:r>
    </w:p>
    <w:p w14:paraId="66E53902" w14:textId="77777777" w:rsidR="00406BA3" w:rsidRPr="00706BB5" w:rsidRDefault="00406BA3" w:rsidP="00406BA3">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02C8E6CF" w14:textId="77777777" w:rsidR="00406BA3" w:rsidRPr="00FE5F90" w:rsidRDefault="00406BA3" w:rsidP="00406BA3">
      <w:pPr>
        <w:ind w:right="-957"/>
        <w:rPr>
          <w:rFonts w:ascii="Times New Roman" w:hAnsi="Times New Roman" w:cs="Times New Roman"/>
          <w:b/>
          <w:sz w:val="14"/>
          <w:szCs w:val="2"/>
        </w:rPr>
      </w:pPr>
    </w:p>
    <w:p w14:paraId="704B47F2" w14:textId="77777777" w:rsidR="00406BA3" w:rsidRPr="00F927A1" w:rsidRDefault="00406BA3" w:rsidP="00406BA3">
      <w:pPr>
        <w:ind w:right="-957"/>
        <w:rPr>
          <w:rFonts w:ascii="Times New Roman" w:hAnsi="Times New Roman" w:cs="Times New Roman"/>
          <w:b/>
          <w:sz w:val="48"/>
        </w:rPr>
      </w:pPr>
    </w:p>
    <w:tbl>
      <w:tblP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2"/>
      </w:tblGrid>
      <w:tr w:rsidR="00406BA3" w:rsidRPr="005D3F07" w14:paraId="42BB0F75" w14:textId="77777777" w:rsidTr="007A7D12">
        <w:tc>
          <w:tcPr>
            <w:tcW w:w="11052" w:type="dxa"/>
            <w:shd w:val="clear" w:color="auto" w:fill="auto"/>
          </w:tcPr>
          <w:p w14:paraId="13140A54" w14:textId="77777777" w:rsidR="00406BA3" w:rsidRDefault="00406BA3" w:rsidP="007A7D12">
            <w:pPr>
              <w:ind w:right="-957"/>
              <w:rPr>
                <w:rFonts w:ascii="Times New Roman" w:hAnsi="Times New Roman" w:cs="Times New Roman"/>
                <w:b/>
                <w:sz w:val="48"/>
              </w:rPr>
            </w:pPr>
            <w:r>
              <w:rPr>
                <w:rFonts w:ascii="Times New Roman" w:hAnsi="Times New Roman" w:cs="Times New Roman"/>
                <w:b/>
                <w:sz w:val="48"/>
              </w:rPr>
              <w:t>Learner’s name: Cet Williams</w:t>
            </w:r>
          </w:p>
          <w:p w14:paraId="02DCE2DB" w14:textId="77777777" w:rsidR="00406BA3" w:rsidRDefault="00406BA3" w:rsidP="007A7D12">
            <w:pPr>
              <w:ind w:right="-957"/>
              <w:rPr>
                <w:rFonts w:ascii="Times New Roman" w:hAnsi="Times New Roman" w:cs="Times New Roman"/>
                <w:b/>
                <w:sz w:val="48"/>
              </w:rPr>
            </w:pPr>
          </w:p>
          <w:p w14:paraId="6EF790B8" w14:textId="77777777" w:rsidR="00406BA3" w:rsidRDefault="00406BA3" w:rsidP="007A7D12">
            <w:pPr>
              <w:ind w:right="-957"/>
              <w:rPr>
                <w:rFonts w:ascii="Times New Roman" w:hAnsi="Times New Roman" w:cs="Times New Roman"/>
                <w:b/>
                <w:sz w:val="48"/>
              </w:rPr>
            </w:pPr>
            <w:r>
              <w:rPr>
                <w:rFonts w:ascii="Times New Roman" w:hAnsi="Times New Roman" w:cs="Times New Roman"/>
                <w:b/>
                <w:sz w:val="48"/>
              </w:rPr>
              <w:t xml:space="preserve">Email address: </w:t>
            </w:r>
            <w:r w:rsidRPr="004B6A05">
              <w:rPr>
                <w:rFonts w:ascii="Times New Roman" w:hAnsi="Times New Roman" w:cs="Times New Roman"/>
                <w:b/>
                <w:sz w:val="48"/>
              </w:rPr>
              <w:t>2433968@student.uwtsd.ac.uk</w:t>
            </w:r>
          </w:p>
          <w:p w14:paraId="2A77E6A6" w14:textId="77777777" w:rsidR="00406BA3" w:rsidRDefault="00406BA3" w:rsidP="007A7D12">
            <w:pPr>
              <w:ind w:right="-957"/>
              <w:rPr>
                <w:rFonts w:ascii="Times New Roman" w:hAnsi="Times New Roman" w:cs="Times New Roman"/>
                <w:b/>
                <w:sz w:val="48"/>
              </w:rPr>
            </w:pPr>
          </w:p>
          <w:p w14:paraId="54D825D3" w14:textId="77777777" w:rsidR="00406BA3" w:rsidRPr="005D3F07" w:rsidRDefault="00406BA3" w:rsidP="007A7D12">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Pr>
                <w:rFonts w:ascii="Times New Roman" w:hAnsi="Times New Roman" w:cs="Times New Roman"/>
                <w:b/>
                <w:sz w:val="48"/>
              </w:rPr>
              <w:t xml:space="preserve"> 2433968</w:t>
            </w:r>
          </w:p>
          <w:p w14:paraId="03300059" w14:textId="77777777" w:rsidR="00406BA3" w:rsidRPr="005D3F07" w:rsidRDefault="00406BA3" w:rsidP="007A7D12">
            <w:pPr>
              <w:ind w:right="-957"/>
              <w:rPr>
                <w:rFonts w:ascii="Times New Roman" w:hAnsi="Times New Roman" w:cs="Times New Roman"/>
                <w:b/>
                <w:sz w:val="48"/>
              </w:rPr>
            </w:pPr>
          </w:p>
          <w:p w14:paraId="638A1100" w14:textId="77777777" w:rsidR="00406BA3" w:rsidRPr="005D3F07" w:rsidRDefault="00406BA3" w:rsidP="007A7D12">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21onwards</w:t>
            </w:r>
          </w:p>
        </w:tc>
      </w:tr>
    </w:tbl>
    <w:p w14:paraId="1D4CDFE9" w14:textId="77777777" w:rsidR="00406BA3" w:rsidRPr="00F927A1" w:rsidRDefault="00406BA3" w:rsidP="00406BA3">
      <w:pPr>
        <w:ind w:right="-957"/>
        <w:rPr>
          <w:rFonts w:ascii="Times New Roman" w:hAnsi="Times New Roman" w:cs="Times New Roman"/>
          <w:b/>
          <w:sz w:val="48"/>
        </w:rPr>
      </w:pPr>
      <w:r>
        <w:rPr>
          <w:rFonts w:ascii="Times New Roman" w:hAnsi="Times New Roman" w:cs="Times New Roman"/>
          <w:b/>
          <w:sz w:val="48"/>
        </w:rPr>
        <w:lastRenderedPageBreak/>
        <w:t xml:space="preserve"> </w:t>
      </w:r>
    </w:p>
    <w:p w14:paraId="2936B068" w14:textId="77777777" w:rsidR="00406BA3" w:rsidRPr="00F927A1" w:rsidRDefault="00406BA3" w:rsidP="00406BA3">
      <w:pPr>
        <w:rPr>
          <w:rFonts w:ascii="Times New Roman" w:hAnsi="Times New Roman" w:cs="Times New Roman"/>
        </w:rPr>
      </w:pPr>
    </w:p>
    <w:p w14:paraId="321A598D" w14:textId="77777777" w:rsidR="00406BA3" w:rsidRPr="00F927A1" w:rsidRDefault="00406BA3" w:rsidP="00406BA3">
      <w:pPr>
        <w:ind w:right="-957"/>
        <w:rPr>
          <w:rFonts w:ascii="Times New Roman" w:hAnsi="Times New Roman" w:cs="Times New Roman"/>
          <w:b/>
          <w:sz w:val="48"/>
        </w:rPr>
      </w:pPr>
    </w:p>
    <w:p w14:paraId="37EA52E9" w14:textId="77777777" w:rsidR="00406BA3" w:rsidRDefault="00406BA3" w:rsidP="00406BA3">
      <w:pPr>
        <w:jc w:val="center"/>
        <w:rPr>
          <w:b/>
        </w:rPr>
      </w:pPr>
      <w:r>
        <w:rPr>
          <w:b/>
        </w:rPr>
        <w:br w:type="page"/>
      </w:r>
    </w:p>
    <w:p w14:paraId="337B8292" w14:textId="77777777" w:rsidR="00406BA3" w:rsidRDefault="00406BA3" w:rsidP="00406BA3">
      <w:pPr>
        <w:jc w:val="center"/>
        <w:rPr>
          <w:b/>
          <w:sz w:val="28"/>
          <w:szCs w:val="28"/>
        </w:rPr>
      </w:pPr>
    </w:p>
    <w:p w14:paraId="244CF149" w14:textId="77777777" w:rsidR="00406BA3" w:rsidRDefault="00406BA3" w:rsidP="00406BA3">
      <w:pPr>
        <w:jc w:val="center"/>
        <w:rPr>
          <w:b/>
        </w:rPr>
      </w:pPr>
    </w:p>
    <w:p w14:paraId="36D1339E" w14:textId="77777777" w:rsidR="00406BA3" w:rsidRPr="00EE5BC3" w:rsidRDefault="00406BA3" w:rsidP="00406BA3">
      <w:pPr>
        <w:jc w:val="center"/>
        <w:rPr>
          <w:b/>
          <w:sz w:val="28"/>
          <w:szCs w:val="28"/>
        </w:rPr>
      </w:pPr>
      <w:r w:rsidRPr="00EE5BC3">
        <w:rPr>
          <w:b/>
          <w:sz w:val="28"/>
          <w:szCs w:val="28"/>
        </w:rPr>
        <w:t>Task 4</w:t>
      </w:r>
    </w:p>
    <w:p w14:paraId="12B613C9" w14:textId="77777777" w:rsidR="00406BA3" w:rsidRPr="00EE5BC3" w:rsidRDefault="00406BA3" w:rsidP="00406BA3">
      <w:pPr>
        <w:jc w:val="center"/>
        <w:rPr>
          <w:b/>
          <w:sz w:val="28"/>
          <w:szCs w:val="28"/>
        </w:rPr>
      </w:pPr>
    </w:p>
    <w:p w14:paraId="6E21C242" w14:textId="77777777" w:rsidR="00406BA3" w:rsidRPr="00EE5BC3" w:rsidRDefault="00406BA3" w:rsidP="00406BA3">
      <w:pPr>
        <w:jc w:val="center"/>
        <w:rPr>
          <w:b/>
          <w:sz w:val="28"/>
          <w:szCs w:val="28"/>
        </w:rPr>
      </w:pPr>
      <w:r w:rsidRPr="00EE5BC3">
        <w:rPr>
          <w:b/>
          <w:sz w:val="28"/>
          <w:szCs w:val="28"/>
        </w:rPr>
        <w:t>Safeguarding</w:t>
      </w:r>
      <w:r>
        <w:rPr>
          <w:b/>
          <w:sz w:val="28"/>
          <w:szCs w:val="28"/>
        </w:rPr>
        <w:t xml:space="preserve"> in an area which is not your main area of work</w:t>
      </w:r>
    </w:p>
    <w:p w14:paraId="20265FAE" w14:textId="77777777" w:rsidR="00406BA3" w:rsidRPr="008B28E7" w:rsidRDefault="00406BA3" w:rsidP="00406BA3">
      <w:pPr>
        <w:jc w:val="both"/>
        <w:rPr>
          <w:b/>
        </w:rPr>
      </w:pPr>
    </w:p>
    <w:p w14:paraId="7B3159DE" w14:textId="77777777" w:rsidR="00406BA3" w:rsidRPr="00EE5BC3" w:rsidRDefault="00406BA3" w:rsidP="00406BA3">
      <w:pPr>
        <w:ind w:left="-90"/>
        <w:jc w:val="both"/>
        <w:rPr>
          <w:b/>
          <w:i/>
        </w:rPr>
      </w:pPr>
      <w:r w:rsidRPr="00EE5BC3">
        <w:rPr>
          <w:b/>
          <w:i/>
        </w:rPr>
        <w:t xml:space="preserve">Guidance: </w:t>
      </w:r>
    </w:p>
    <w:p w14:paraId="2F519AAD" w14:textId="77777777" w:rsidR="00406BA3" w:rsidRPr="00706BB5" w:rsidRDefault="00406BA3" w:rsidP="00406BA3">
      <w:pPr>
        <w:ind w:left="-90"/>
        <w:jc w:val="both"/>
        <w:rPr>
          <w:i/>
          <w:iCs/>
        </w:rPr>
      </w:pPr>
      <w:r w:rsidRPr="00F15354">
        <w:rPr>
          <w:i/>
          <w:iCs/>
        </w:rPr>
        <w:t>Social Care Wales</w:t>
      </w:r>
      <w:r w:rsidRPr="006179BB">
        <w:rPr>
          <w:i/>
          <w:iCs/>
        </w:rPr>
        <w:t xml:space="preserve"> require newly qualified social workers to provide evidence of </w:t>
      </w:r>
      <w:r w:rsidRPr="00A5656A">
        <w:rPr>
          <w:i/>
          <w:iCs/>
        </w:rPr>
        <w:t>their understanding of safeguarding work with adults and children</w:t>
      </w:r>
      <w:r w:rsidRPr="009C7342">
        <w:rPr>
          <w:i/>
          <w:iCs/>
        </w:rPr>
        <w:t xml:space="preserve">. </w:t>
      </w:r>
      <w:r w:rsidRPr="00706BB5">
        <w:rPr>
          <w:i/>
          <w:iCs/>
        </w:rPr>
        <w:t xml:space="preserve">The assignment below will enable you to demonstrate this. </w:t>
      </w:r>
      <w:r w:rsidRPr="00706BB5">
        <w:rPr>
          <w:b/>
          <w:bCs/>
          <w:i/>
          <w:iCs/>
        </w:rPr>
        <w:t>N.B</w:t>
      </w:r>
      <w:r w:rsidRPr="00706BB5">
        <w:rPr>
          <w:i/>
          <w:iCs/>
        </w:rPr>
        <w:t xml:space="preserve">. if your usual area of work is with children please write about adult safeguarding. If you usually work with adults, then write about child safeguarding.  Ensure you meet the learning out comes for this task (see appendix </w:t>
      </w:r>
      <w:r>
        <w:rPr>
          <w:i/>
          <w:iCs/>
        </w:rPr>
        <w:t>5</w:t>
      </w:r>
      <w:r w:rsidRPr="00706BB5">
        <w:rPr>
          <w:i/>
          <w:iCs/>
        </w:rPr>
        <w:t xml:space="preserve"> </w:t>
      </w:r>
      <w:r w:rsidRPr="00F15354">
        <w:rPr>
          <w:i/>
          <w:iCs/>
        </w:rPr>
        <w:t>of the</w:t>
      </w:r>
      <w:r w:rsidRPr="4EC15626">
        <w:rPr>
          <w:i/>
          <w:iCs/>
        </w:rPr>
        <w:t xml:space="preserve"> h</w:t>
      </w:r>
      <w:r w:rsidRPr="00F15354">
        <w:rPr>
          <w:i/>
          <w:iCs/>
        </w:rPr>
        <w:t>andbook</w:t>
      </w:r>
      <w:r w:rsidRPr="006179BB">
        <w:rPr>
          <w:i/>
          <w:iCs/>
        </w:rPr>
        <w:t>).</w:t>
      </w:r>
    </w:p>
    <w:p w14:paraId="68A7B098" w14:textId="77777777" w:rsidR="00406BA3" w:rsidRPr="008B28E7" w:rsidRDefault="00406BA3" w:rsidP="00406BA3">
      <w:pPr>
        <w:ind w:left="360" w:hanging="360"/>
        <w:jc w:val="both"/>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06BA3" w:rsidRPr="008B28E7" w14:paraId="3212B1CB" w14:textId="77777777" w:rsidTr="007A7D12">
        <w:tc>
          <w:tcPr>
            <w:tcW w:w="10188" w:type="dxa"/>
            <w:shd w:val="clear" w:color="auto" w:fill="auto"/>
          </w:tcPr>
          <w:p w14:paraId="042E9795" w14:textId="77777777" w:rsidR="00406BA3" w:rsidRPr="00EB695F" w:rsidRDefault="00406BA3" w:rsidP="007A7D12">
            <w:pPr>
              <w:jc w:val="both"/>
              <w:rPr>
                <w:b/>
              </w:rPr>
            </w:pPr>
            <w:r w:rsidRPr="00EB695F">
              <w:rPr>
                <w:b/>
              </w:rPr>
              <w:t>Question</w:t>
            </w:r>
            <w:r>
              <w:rPr>
                <w:b/>
              </w:rPr>
              <w:t xml:space="preserve"> a:</w:t>
            </w:r>
          </w:p>
          <w:p w14:paraId="0A79D2E0" w14:textId="77777777" w:rsidR="00406BA3" w:rsidRDefault="00406BA3" w:rsidP="007A7D12">
            <w:pPr>
              <w:jc w:val="both"/>
            </w:pPr>
            <w:r>
              <w:t xml:space="preserve">In an area </w:t>
            </w:r>
            <w:r w:rsidRPr="00AE1868">
              <w:rPr>
                <w:b/>
              </w:rPr>
              <w:t xml:space="preserve">that is not your </w:t>
            </w:r>
            <w:proofErr w:type="gramStart"/>
            <w:r w:rsidRPr="00AE1868">
              <w:rPr>
                <w:b/>
              </w:rPr>
              <w:t>main focus</w:t>
            </w:r>
            <w:proofErr w:type="gramEnd"/>
            <w:r w:rsidRPr="00AE1868">
              <w:rPr>
                <w:b/>
              </w:rPr>
              <w:t xml:space="preserve"> of work </w:t>
            </w:r>
            <w:r>
              <w:t xml:space="preserve">(see guidance above), explain </w:t>
            </w:r>
            <w:r w:rsidRPr="006108C9">
              <w:t xml:space="preserve">the relevant </w:t>
            </w:r>
            <w:r>
              <w:t xml:space="preserve">legislation, and the </w:t>
            </w:r>
            <w:r w:rsidRPr="006108C9">
              <w:t>national, local and organisational policies and procedures</w:t>
            </w:r>
            <w:r>
              <w:t xml:space="preserve"> for safeguarding. </w:t>
            </w:r>
          </w:p>
          <w:p w14:paraId="7E9B8123" w14:textId="77777777" w:rsidR="00406BA3" w:rsidRDefault="00406BA3" w:rsidP="007A7D12">
            <w:pPr>
              <w:jc w:val="both"/>
            </w:pPr>
          </w:p>
          <w:p w14:paraId="2EB60A89" w14:textId="77777777" w:rsidR="00406BA3" w:rsidRDefault="00406BA3" w:rsidP="007A7D12">
            <w:pPr>
              <w:jc w:val="both"/>
            </w:pPr>
          </w:p>
          <w:p w14:paraId="18BEF620" w14:textId="77777777" w:rsidR="00406BA3" w:rsidRDefault="00406BA3" w:rsidP="007A7D12">
            <w:pPr>
              <w:jc w:val="both"/>
            </w:pPr>
          </w:p>
          <w:p w14:paraId="70F4E09F" w14:textId="77777777" w:rsidR="00406BA3" w:rsidRDefault="00406BA3" w:rsidP="007A7D12">
            <w:pPr>
              <w:jc w:val="both"/>
            </w:pPr>
          </w:p>
          <w:p w14:paraId="7D5A1A09" w14:textId="77777777" w:rsidR="00406BA3" w:rsidRDefault="00406BA3" w:rsidP="007A7D12">
            <w:pPr>
              <w:jc w:val="both"/>
            </w:pPr>
          </w:p>
          <w:p w14:paraId="04A5C93A" w14:textId="77777777" w:rsidR="00406BA3" w:rsidRDefault="00406BA3" w:rsidP="007A7D12">
            <w:pPr>
              <w:jc w:val="both"/>
            </w:pPr>
          </w:p>
          <w:p w14:paraId="67257695" w14:textId="77777777" w:rsidR="00406BA3" w:rsidRDefault="00406BA3" w:rsidP="007A7D12">
            <w:pPr>
              <w:jc w:val="both"/>
            </w:pPr>
          </w:p>
          <w:p w14:paraId="23431B08" w14:textId="77777777" w:rsidR="00406BA3" w:rsidRDefault="00406BA3" w:rsidP="007A7D12">
            <w:pPr>
              <w:jc w:val="both"/>
            </w:pPr>
          </w:p>
          <w:p w14:paraId="6070C0C5" w14:textId="77777777" w:rsidR="00406BA3" w:rsidRDefault="00406BA3" w:rsidP="007A7D12">
            <w:pPr>
              <w:jc w:val="both"/>
            </w:pPr>
          </w:p>
          <w:p w14:paraId="60A02E9D" w14:textId="77777777" w:rsidR="00406BA3" w:rsidRPr="006108C9" w:rsidRDefault="00406BA3" w:rsidP="007A7D12">
            <w:pPr>
              <w:jc w:val="both"/>
            </w:pPr>
          </w:p>
          <w:p w14:paraId="7C293032" w14:textId="77777777" w:rsidR="00406BA3" w:rsidRDefault="00406BA3" w:rsidP="007A7D12">
            <w:pPr>
              <w:jc w:val="both"/>
            </w:pPr>
            <w:r w:rsidRPr="006108C9">
              <w:rPr>
                <w:i/>
              </w:rPr>
              <w:t>500 words</w:t>
            </w:r>
            <w:r w:rsidRPr="006108C9">
              <w:t xml:space="preserve"> (+/- 10%: include your actual word count at the end of each section)</w:t>
            </w:r>
            <w:r>
              <w:t>.</w:t>
            </w:r>
          </w:p>
          <w:p w14:paraId="532AF555" w14:textId="77777777" w:rsidR="00406BA3" w:rsidRPr="008B28E7" w:rsidRDefault="00406BA3" w:rsidP="007A7D12">
            <w:pPr>
              <w:jc w:val="both"/>
              <w:rPr>
                <w:b/>
              </w:rPr>
            </w:pPr>
          </w:p>
        </w:tc>
      </w:tr>
    </w:tbl>
    <w:p w14:paraId="123B9283" w14:textId="77777777" w:rsidR="00406BA3" w:rsidRPr="008B28E7" w:rsidRDefault="00406BA3" w:rsidP="00406BA3">
      <w:pPr>
        <w:jc w:val="both"/>
      </w:pPr>
    </w:p>
    <w:p w14:paraId="1270764C" w14:textId="77777777" w:rsidR="00406BA3" w:rsidRPr="008B28E7" w:rsidRDefault="00406BA3" w:rsidP="00406BA3">
      <w:pPr>
        <w:jc w:val="both"/>
      </w:pPr>
    </w:p>
    <w:p w14:paraId="7F76F8C1" w14:textId="77777777" w:rsidR="00406BA3" w:rsidRDefault="00406BA3" w:rsidP="00406BA3">
      <w:pPr>
        <w:jc w:val="both"/>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06BA3" w:rsidRPr="008B28E7" w14:paraId="7865A1FD" w14:textId="77777777" w:rsidTr="007A7D12">
        <w:tc>
          <w:tcPr>
            <w:tcW w:w="10278" w:type="dxa"/>
            <w:shd w:val="clear" w:color="auto" w:fill="auto"/>
          </w:tcPr>
          <w:p w14:paraId="1231F855" w14:textId="77777777" w:rsidR="00406BA3" w:rsidRPr="00EB695F" w:rsidRDefault="00406BA3" w:rsidP="007A7D12">
            <w:pPr>
              <w:jc w:val="both"/>
              <w:rPr>
                <w:b/>
              </w:rPr>
            </w:pPr>
            <w:r w:rsidRPr="00EB695F">
              <w:rPr>
                <w:b/>
              </w:rPr>
              <w:t>Question</w:t>
            </w:r>
            <w:r>
              <w:rPr>
                <w:b/>
              </w:rPr>
              <w:t xml:space="preserve"> b</w:t>
            </w:r>
            <w:r w:rsidRPr="00EB695F">
              <w:rPr>
                <w:b/>
              </w:rPr>
              <w:t>:</w:t>
            </w:r>
          </w:p>
          <w:p w14:paraId="22107DDE" w14:textId="77777777" w:rsidR="00406BA3" w:rsidRDefault="00406BA3" w:rsidP="007A7D12">
            <w:pPr>
              <w:jc w:val="both"/>
            </w:pPr>
            <w:r w:rsidRPr="006108C9">
              <w:t>Reflect on the difference between safeguarding in adul</w:t>
            </w:r>
            <w:r w:rsidRPr="00EC3A85">
              <w:t>ts’</w:t>
            </w:r>
            <w:r w:rsidRPr="006108C9">
              <w:t xml:space="preserve"> and children</w:t>
            </w:r>
            <w:r>
              <w:t>’s</w:t>
            </w:r>
            <w:r w:rsidRPr="006108C9">
              <w:t xml:space="preserve"> work</w:t>
            </w:r>
          </w:p>
          <w:p w14:paraId="6DB96ED5" w14:textId="77777777" w:rsidR="00406BA3" w:rsidRDefault="00406BA3" w:rsidP="007A7D12">
            <w:pPr>
              <w:jc w:val="both"/>
            </w:pPr>
          </w:p>
          <w:p w14:paraId="7DDDE2A0" w14:textId="77777777" w:rsidR="00406BA3" w:rsidRDefault="00406BA3" w:rsidP="007A7D12">
            <w:pPr>
              <w:jc w:val="both"/>
            </w:pPr>
          </w:p>
          <w:p w14:paraId="444C2111" w14:textId="77777777" w:rsidR="00406BA3" w:rsidRDefault="00406BA3" w:rsidP="007A7D12">
            <w:pPr>
              <w:jc w:val="both"/>
            </w:pPr>
          </w:p>
          <w:p w14:paraId="379D5647" w14:textId="77777777" w:rsidR="00406BA3" w:rsidRDefault="00406BA3" w:rsidP="007A7D12">
            <w:pPr>
              <w:jc w:val="both"/>
            </w:pPr>
          </w:p>
          <w:p w14:paraId="2A03B81D" w14:textId="77777777" w:rsidR="00406BA3" w:rsidRDefault="00406BA3" w:rsidP="007A7D12">
            <w:pPr>
              <w:jc w:val="both"/>
            </w:pPr>
          </w:p>
          <w:p w14:paraId="6BBAED99" w14:textId="77777777" w:rsidR="00406BA3" w:rsidRDefault="00406BA3" w:rsidP="007A7D12">
            <w:pPr>
              <w:jc w:val="both"/>
            </w:pPr>
          </w:p>
          <w:p w14:paraId="7D3A0834" w14:textId="77777777" w:rsidR="00406BA3" w:rsidRDefault="00406BA3" w:rsidP="007A7D12">
            <w:pPr>
              <w:jc w:val="both"/>
            </w:pPr>
          </w:p>
          <w:p w14:paraId="3659BC63" w14:textId="77777777" w:rsidR="00406BA3" w:rsidRDefault="00406BA3" w:rsidP="007A7D12">
            <w:pPr>
              <w:jc w:val="both"/>
            </w:pPr>
          </w:p>
          <w:p w14:paraId="2B9CE16E" w14:textId="77777777" w:rsidR="00406BA3" w:rsidRDefault="00406BA3" w:rsidP="007A7D12">
            <w:pPr>
              <w:jc w:val="both"/>
            </w:pPr>
          </w:p>
          <w:p w14:paraId="3C810D08" w14:textId="77777777" w:rsidR="00406BA3" w:rsidRPr="006108C9" w:rsidRDefault="00406BA3" w:rsidP="007A7D12">
            <w:pPr>
              <w:jc w:val="both"/>
            </w:pPr>
          </w:p>
          <w:p w14:paraId="3DDDBE1A" w14:textId="77777777" w:rsidR="00406BA3" w:rsidRDefault="00406BA3" w:rsidP="007A7D12">
            <w:pPr>
              <w:jc w:val="both"/>
              <w:rPr>
                <w:i/>
              </w:rPr>
            </w:pPr>
            <w:r>
              <w:rPr>
                <w:i/>
              </w:rPr>
              <w:t>4</w:t>
            </w:r>
            <w:r w:rsidRPr="006108C9">
              <w:rPr>
                <w:i/>
              </w:rPr>
              <w:t>00 words</w:t>
            </w:r>
            <w:r w:rsidRPr="006108C9">
              <w:t xml:space="preserve"> </w:t>
            </w:r>
            <w:r w:rsidRPr="006108C9">
              <w:rPr>
                <w:i/>
              </w:rPr>
              <w:t>(+/- 10%: include your actual word count at the end of each section)</w:t>
            </w:r>
            <w:r>
              <w:rPr>
                <w:i/>
              </w:rPr>
              <w:t>.</w:t>
            </w:r>
          </w:p>
          <w:p w14:paraId="7ED2CF3F" w14:textId="77777777" w:rsidR="00406BA3" w:rsidRPr="006108C9" w:rsidRDefault="00406BA3" w:rsidP="007A7D12">
            <w:pPr>
              <w:jc w:val="both"/>
            </w:pPr>
          </w:p>
        </w:tc>
      </w:tr>
    </w:tbl>
    <w:p w14:paraId="6E045BB9" w14:textId="77777777" w:rsidR="00406BA3" w:rsidRDefault="00406BA3" w:rsidP="00406BA3"/>
    <w:p w14:paraId="186D8944" w14:textId="77777777" w:rsidR="00406BA3" w:rsidRDefault="00406BA3">
      <w:pPr>
        <w:rPr>
          <w:rFonts w:ascii="Arial" w:hAnsi="Arial" w:cs="Arial"/>
          <w:u w:val="single"/>
        </w:rPr>
      </w:pPr>
    </w:p>
    <w:p w14:paraId="02B1B487" w14:textId="77777777" w:rsidR="00406BA3" w:rsidRDefault="00406BA3">
      <w:pPr>
        <w:rPr>
          <w:rFonts w:ascii="Arial" w:hAnsi="Arial" w:cs="Arial"/>
          <w:u w:val="single"/>
        </w:rPr>
      </w:pPr>
    </w:p>
    <w:p w14:paraId="76E67231" w14:textId="77777777" w:rsidR="00406BA3" w:rsidRDefault="00406BA3">
      <w:pPr>
        <w:rPr>
          <w:rFonts w:ascii="Arial" w:hAnsi="Arial" w:cs="Arial"/>
          <w:u w:val="single"/>
        </w:rPr>
      </w:pPr>
    </w:p>
    <w:p w14:paraId="0097BDC1" w14:textId="77777777" w:rsidR="00406BA3" w:rsidRDefault="00406BA3">
      <w:pPr>
        <w:rPr>
          <w:rFonts w:ascii="Arial" w:hAnsi="Arial" w:cs="Arial"/>
          <w:u w:val="single"/>
        </w:rPr>
      </w:pPr>
    </w:p>
    <w:p w14:paraId="59E4AFB2" w14:textId="4444A4A8" w:rsidR="00726126" w:rsidRPr="00726126" w:rsidRDefault="00726126">
      <w:pPr>
        <w:rPr>
          <w:rFonts w:ascii="Arial" w:hAnsi="Arial" w:cs="Arial"/>
          <w:u w:val="single"/>
        </w:rPr>
      </w:pPr>
      <w:r>
        <w:rPr>
          <w:rFonts w:ascii="Arial" w:hAnsi="Arial" w:cs="Arial"/>
          <w:u w:val="single"/>
        </w:rPr>
        <w:t xml:space="preserve">Part 1 – Legislation and procedures for safeguarding of children’s services </w:t>
      </w:r>
    </w:p>
    <w:p w14:paraId="178AA24E" w14:textId="4471B976" w:rsidR="00586072" w:rsidRPr="006348A1" w:rsidRDefault="00586072">
      <w:pPr>
        <w:rPr>
          <w:rFonts w:ascii="Arial" w:hAnsi="Arial" w:cs="Arial"/>
        </w:rPr>
      </w:pPr>
      <w:r w:rsidRPr="006348A1">
        <w:rPr>
          <w:rFonts w:ascii="Arial" w:hAnsi="Arial" w:cs="Arial"/>
        </w:rPr>
        <w:t xml:space="preserve">In this task I will explain the legislation, national, local and organisational policies and procedures for safeguarding of children’s services which is not my area of work. I will then reflect on the difference between adults safeguarding and children’s safeguarding work. </w:t>
      </w:r>
    </w:p>
    <w:p w14:paraId="7814852B" w14:textId="5EAD24D3" w:rsidR="00046778" w:rsidRPr="006348A1" w:rsidRDefault="00AB5546">
      <w:pPr>
        <w:rPr>
          <w:rFonts w:ascii="Arial" w:hAnsi="Arial" w:cs="Arial"/>
        </w:rPr>
      </w:pPr>
      <w:r w:rsidRPr="006348A1">
        <w:rPr>
          <w:rFonts w:ascii="Arial" w:hAnsi="Arial" w:cs="Arial"/>
        </w:rPr>
        <w:lastRenderedPageBreak/>
        <w:t xml:space="preserve">The Children Act 1989 is a principal piece of legislation around the safeguarding and well-being of children. However, Part 3 no longer applies in Wales as they have been replaced by provision in the Social Service and </w:t>
      </w:r>
      <w:r w:rsidR="00726126">
        <w:rPr>
          <w:rFonts w:ascii="Arial" w:hAnsi="Arial" w:cs="Arial"/>
        </w:rPr>
        <w:t>W</w:t>
      </w:r>
      <w:r w:rsidRPr="006348A1">
        <w:rPr>
          <w:rFonts w:ascii="Arial" w:hAnsi="Arial" w:cs="Arial"/>
        </w:rPr>
        <w:t xml:space="preserve">ell-being </w:t>
      </w:r>
      <w:r w:rsidR="00726126">
        <w:rPr>
          <w:rFonts w:ascii="Arial" w:hAnsi="Arial" w:cs="Arial"/>
        </w:rPr>
        <w:t>A</w:t>
      </w:r>
      <w:r w:rsidRPr="006348A1">
        <w:rPr>
          <w:rFonts w:ascii="Arial" w:hAnsi="Arial" w:cs="Arial"/>
        </w:rPr>
        <w:t>ct 2014 (SSWBA14) in parts 3 and 4 (assessing and meeting needs for care and support) and part 6 (looked after children). Section 47(1) of the Children act 1989 enables a local authority to decide whether they should take any action to safeguard or promote the child’s well-being. These actions might result in the child becoming “looked after” by the local authority, either by the local authority providing accommodation for the child (</w:t>
      </w:r>
      <w:r w:rsidR="00EC3AB2" w:rsidRPr="006348A1">
        <w:rPr>
          <w:rFonts w:ascii="Arial" w:hAnsi="Arial" w:cs="Arial"/>
        </w:rPr>
        <w:t xml:space="preserve">section 76 of SSWBA14) or by making a care order through the court (section 31 of the Children Act 1989). </w:t>
      </w:r>
    </w:p>
    <w:p w14:paraId="6C5FD393" w14:textId="100B2417" w:rsidR="00F9468F" w:rsidRDefault="00EC3AB2" w:rsidP="00F9468F">
      <w:pPr>
        <w:rPr>
          <w:rFonts w:ascii="Arial" w:hAnsi="Arial" w:cs="Arial"/>
        </w:rPr>
      </w:pPr>
      <w:r w:rsidRPr="006348A1">
        <w:rPr>
          <w:rFonts w:ascii="Arial" w:hAnsi="Arial" w:cs="Arial"/>
        </w:rPr>
        <w:t>The Children Act 2004 builds on and strengthens the framework of The Children Act 1989. Section 28 of The Children Act 2004 ensures that local authorities</w:t>
      </w:r>
      <w:r w:rsidR="001A2C88" w:rsidRPr="006348A1">
        <w:rPr>
          <w:rFonts w:ascii="Arial" w:hAnsi="Arial" w:cs="Arial"/>
        </w:rPr>
        <w:t>, local health board, local police, probation boards and youth justice team have regard to the need to promote the well-being and safeguard children.</w:t>
      </w:r>
      <w:r w:rsidR="00046778" w:rsidRPr="006348A1">
        <w:rPr>
          <w:rFonts w:ascii="Arial" w:hAnsi="Arial" w:cs="Arial"/>
        </w:rPr>
        <w:t xml:space="preserve"> Local authorities must establish a </w:t>
      </w:r>
      <w:r w:rsidR="00726126">
        <w:rPr>
          <w:rFonts w:ascii="Arial" w:hAnsi="Arial" w:cs="Arial"/>
        </w:rPr>
        <w:t>S</w:t>
      </w:r>
      <w:r w:rsidR="00046778" w:rsidRPr="006348A1">
        <w:rPr>
          <w:rFonts w:ascii="Arial" w:hAnsi="Arial" w:cs="Arial"/>
        </w:rPr>
        <w:t xml:space="preserve">afeguarding </w:t>
      </w:r>
      <w:r w:rsidR="00726126">
        <w:rPr>
          <w:rFonts w:ascii="Arial" w:hAnsi="Arial" w:cs="Arial"/>
        </w:rPr>
        <w:t>C</w:t>
      </w:r>
      <w:r w:rsidR="00046778" w:rsidRPr="006348A1">
        <w:rPr>
          <w:rFonts w:ascii="Arial" w:hAnsi="Arial" w:cs="Arial"/>
        </w:rPr>
        <w:t xml:space="preserve">hildren </w:t>
      </w:r>
      <w:r w:rsidR="00726126">
        <w:rPr>
          <w:rFonts w:ascii="Arial" w:hAnsi="Arial" w:cs="Arial"/>
        </w:rPr>
        <w:t>B</w:t>
      </w:r>
      <w:r w:rsidR="00046778" w:rsidRPr="006348A1">
        <w:rPr>
          <w:rFonts w:ascii="Arial" w:hAnsi="Arial" w:cs="Arial"/>
        </w:rPr>
        <w:t xml:space="preserve">oard which includes a representative from the local authority, </w:t>
      </w:r>
      <w:r w:rsidR="00046778" w:rsidRPr="00AB5546">
        <w:rPr>
          <w:rFonts w:ascii="Arial" w:hAnsi="Arial" w:cs="Arial"/>
        </w:rPr>
        <w:t xml:space="preserve">local police, local health board, NHS Trust, probation board, youth </w:t>
      </w:r>
      <w:r w:rsidR="00046778" w:rsidRPr="006348A1">
        <w:rPr>
          <w:rFonts w:ascii="Arial" w:hAnsi="Arial" w:cs="Arial"/>
        </w:rPr>
        <w:t>justice</w:t>
      </w:r>
      <w:r w:rsidR="00046778" w:rsidRPr="00AB5546">
        <w:rPr>
          <w:rFonts w:ascii="Arial" w:hAnsi="Arial" w:cs="Arial"/>
        </w:rPr>
        <w:t xml:space="preserve"> team and others</w:t>
      </w:r>
      <w:r w:rsidR="00046778" w:rsidRPr="006348A1">
        <w:rPr>
          <w:rFonts w:ascii="Arial" w:hAnsi="Arial" w:cs="Arial"/>
        </w:rPr>
        <w:t xml:space="preserve"> under part 7 of the SSWBA14. </w:t>
      </w:r>
    </w:p>
    <w:p w14:paraId="2AD70ABA" w14:textId="0BF81BBF" w:rsidR="00046778" w:rsidRPr="006348A1" w:rsidRDefault="00726126" w:rsidP="00AB5546">
      <w:pPr>
        <w:rPr>
          <w:rFonts w:ascii="Arial" w:hAnsi="Arial" w:cs="Arial"/>
        </w:rPr>
      </w:pPr>
      <w:r>
        <w:rPr>
          <w:rFonts w:ascii="Arial" w:hAnsi="Arial" w:cs="Arial"/>
        </w:rPr>
        <w:t>Local Authority</w:t>
      </w:r>
      <w:r w:rsidR="00F9468F" w:rsidRPr="00FC2C9B">
        <w:rPr>
          <w:rFonts w:ascii="Arial" w:hAnsi="Arial" w:cs="Arial"/>
        </w:rPr>
        <w:t xml:space="preserve">'s safeguarding policies are based on the principle that everyone has the right to be safe and free from harm, abuse, or neglect. </w:t>
      </w:r>
      <w:r>
        <w:rPr>
          <w:rFonts w:ascii="Arial" w:hAnsi="Arial" w:cs="Arial"/>
        </w:rPr>
        <w:t>Local Authority’s</w:t>
      </w:r>
      <w:r w:rsidR="00F9468F" w:rsidRPr="00FC2C9B">
        <w:rPr>
          <w:rFonts w:ascii="Arial" w:hAnsi="Arial" w:cs="Arial"/>
        </w:rPr>
        <w:t xml:space="preserve"> has policies to protect children, young people, and vulnerable adults, which involve working in partnership with individuals, families, and other agencies. Key aspects include policies on preventing abuse, responding to harm and abuse, and </w:t>
      </w:r>
      <w:r w:rsidR="00F9468F">
        <w:rPr>
          <w:rFonts w:ascii="Arial" w:hAnsi="Arial" w:cs="Arial"/>
        </w:rPr>
        <w:t xml:space="preserve">following the Wales Safeguarding Procedures. </w:t>
      </w:r>
      <w:r w:rsidR="00F9468F" w:rsidRPr="00FC2C9B">
        <w:rPr>
          <w:rFonts w:ascii="Arial" w:hAnsi="Arial" w:cs="Arial"/>
        </w:rPr>
        <w:t> </w:t>
      </w:r>
    </w:p>
    <w:p w14:paraId="6958C898" w14:textId="78A5F57F" w:rsidR="00046778" w:rsidRPr="006348A1" w:rsidRDefault="00046778" w:rsidP="00AB5546">
      <w:pPr>
        <w:rPr>
          <w:rFonts w:ascii="Arial" w:hAnsi="Arial" w:cs="Arial"/>
        </w:rPr>
      </w:pPr>
      <w:r w:rsidRPr="006348A1">
        <w:rPr>
          <w:rFonts w:ascii="Arial" w:hAnsi="Arial" w:cs="Arial"/>
        </w:rPr>
        <w:t xml:space="preserve">The Wales Safeguarding Procedures detail the essential roles and responsibilities for practitioners that ensures the safeguarding of children who are at risk of abuse and/or neglect. This procedure supports professionals apply SSWBA14 and statutory safeguarding guidance Working Together to Safeguard People into their practice. </w:t>
      </w:r>
    </w:p>
    <w:p w14:paraId="1943923E" w14:textId="57617042" w:rsidR="00586072" w:rsidRDefault="00046778" w:rsidP="00046778">
      <w:pPr>
        <w:rPr>
          <w:rFonts w:ascii="Arial" w:hAnsi="Arial" w:cs="Arial"/>
        </w:rPr>
      </w:pPr>
      <w:r w:rsidRPr="006348A1">
        <w:rPr>
          <w:rFonts w:ascii="Arial" w:hAnsi="Arial" w:cs="Arial"/>
        </w:rPr>
        <w:t xml:space="preserve">The intention of these procedures is to guide safeguarding practice for all employed in the statutory, third sector and private sector in health services, social care, police, education, and other services. </w:t>
      </w:r>
      <w:r w:rsidR="00586072" w:rsidRPr="006348A1">
        <w:rPr>
          <w:rFonts w:ascii="Arial" w:hAnsi="Arial" w:cs="Arial"/>
        </w:rPr>
        <w:t xml:space="preserve">They are applicable for all </w:t>
      </w:r>
      <w:r w:rsidRPr="006348A1">
        <w:rPr>
          <w:rFonts w:ascii="Arial" w:hAnsi="Arial" w:cs="Arial"/>
        </w:rPr>
        <w:t xml:space="preserve">who are </w:t>
      </w:r>
      <w:r w:rsidR="00586072" w:rsidRPr="006348A1">
        <w:rPr>
          <w:rFonts w:ascii="Arial" w:hAnsi="Arial" w:cs="Arial"/>
        </w:rPr>
        <w:t xml:space="preserve">working in Wales - whether </w:t>
      </w:r>
      <w:r w:rsidR="00194C25" w:rsidRPr="006348A1">
        <w:rPr>
          <w:rFonts w:ascii="Arial" w:hAnsi="Arial" w:cs="Arial"/>
        </w:rPr>
        <w:t xml:space="preserve">they are </w:t>
      </w:r>
      <w:r w:rsidR="00586072" w:rsidRPr="006348A1">
        <w:rPr>
          <w:rFonts w:ascii="Arial" w:hAnsi="Arial" w:cs="Arial"/>
        </w:rPr>
        <w:t>employed by a devolved or non-devolved agency.</w:t>
      </w:r>
      <w:r w:rsidR="00194C25" w:rsidRPr="006348A1">
        <w:rPr>
          <w:rFonts w:ascii="Arial" w:hAnsi="Arial" w:cs="Arial"/>
        </w:rPr>
        <w:t xml:space="preserve"> </w:t>
      </w:r>
    </w:p>
    <w:p w14:paraId="1D0D38BC" w14:textId="77777777" w:rsidR="005A5F5E" w:rsidRDefault="005A5F5E" w:rsidP="00046778">
      <w:pPr>
        <w:rPr>
          <w:rFonts w:ascii="Arial" w:hAnsi="Arial" w:cs="Arial"/>
        </w:rPr>
      </w:pPr>
      <w:r w:rsidRPr="005A5F5E">
        <w:rPr>
          <w:rFonts w:ascii="Arial" w:hAnsi="Arial" w:cs="Arial"/>
        </w:rPr>
        <w:t>Gillick competency and Fraser guidelines help people who work with children to balance the need to listen to children's wishes with the responsibility to keep them safe</w:t>
      </w:r>
      <w:r>
        <w:rPr>
          <w:rFonts w:ascii="Arial" w:hAnsi="Arial" w:cs="Arial"/>
        </w:rPr>
        <w:t xml:space="preserve"> (NSPCC, 2022)</w:t>
      </w:r>
      <w:r w:rsidRPr="005A5F5E">
        <w:rPr>
          <w:rFonts w:ascii="Arial" w:hAnsi="Arial" w:cs="Arial"/>
        </w:rPr>
        <w:t>.</w:t>
      </w:r>
      <w:r>
        <w:rPr>
          <w:rFonts w:ascii="Arial" w:hAnsi="Arial" w:cs="Arial"/>
        </w:rPr>
        <w:t xml:space="preserve"> </w:t>
      </w:r>
      <w:r w:rsidRPr="005A5F5E">
        <w:rPr>
          <w:rFonts w:ascii="Arial" w:hAnsi="Arial" w:cs="Arial"/>
        </w:rPr>
        <w:t>When pr</w:t>
      </w:r>
      <w:r>
        <w:rPr>
          <w:rFonts w:ascii="Arial" w:hAnsi="Arial" w:cs="Arial"/>
        </w:rPr>
        <w:t>ofessionals</w:t>
      </w:r>
      <w:r w:rsidRPr="005A5F5E">
        <w:rPr>
          <w:rFonts w:ascii="Arial" w:hAnsi="Arial" w:cs="Arial"/>
        </w:rPr>
        <w:t xml:space="preserve"> are trying to decide whether a child is mature enough to make decisions about things </w:t>
      </w:r>
      <w:r>
        <w:rPr>
          <w:rFonts w:ascii="Arial" w:hAnsi="Arial" w:cs="Arial"/>
        </w:rPr>
        <w:t>in their life</w:t>
      </w:r>
      <w:r w:rsidRPr="005A5F5E">
        <w:rPr>
          <w:rFonts w:ascii="Arial" w:hAnsi="Arial" w:cs="Arial"/>
        </w:rPr>
        <w:t xml:space="preserve">, they </w:t>
      </w:r>
      <w:r>
        <w:rPr>
          <w:rFonts w:ascii="Arial" w:hAnsi="Arial" w:cs="Arial"/>
        </w:rPr>
        <w:t xml:space="preserve">will </w:t>
      </w:r>
      <w:r w:rsidRPr="005A5F5E">
        <w:rPr>
          <w:rFonts w:ascii="Arial" w:hAnsi="Arial" w:cs="Arial"/>
        </w:rPr>
        <w:t>often talk about whether the child is 'Gillick competent' or whether they meet the 'Fraser guidelines'.</w:t>
      </w:r>
      <w:r>
        <w:rPr>
          <w:rFonts w:ascii="Arial" w:hAnsi="Arial" w:cs="Arial"/>
        </w:rPr>
        <w:t xml:space="preserve"> </w:t>
      </w:r>
      <w:r w:rsidRPr="005A5F5E">
        <w:rPr>
          <w:rFonts w:ascii="Arial" w:hAnsi="Arial" w:cs="Arial"/>
        </w:rPr>
        <w:t xml:space="preserve">The Fraser guidelines apply to advice and treatment relating to contraception and sexual health. </w:t>
      </w:r>
      <w:r>
        <w:rPr>
          <w:rFonts w:ascii="Arial" w:hAnsi="Arial" w:cs="Arial"/>
        </w:rPr>
        <w:t>The</w:t>
      </w:r>
      <w:r w:rsidRPr="005A5F5E">
        <w:rPr>
          <w:rFonts w:ascii="Arial" w:hAnsi="Arial" w:cs="Arial"/>
        </w:rPr>
        <w:t xml:space="preserve"> Gillick competency is often used in a wider context to help assess whether a child </w:t>
      </w:r>
      <w:r>
        <w:rPr>
          <w:rFonts w:ascii="Arial" w:hAnsi="Arial" w:cs="Arial"/>
        </w:rPr>
        <w:t>is</w:t>
      </w:r>
      <w:r w:rsidRPr="005A5F5E">
        <w:rPr>
          <w:rFonts w:ascii="Arial" w:hAnsi="Arial" w:cs="Arial"/>
        </w:rPr>
        <w:t xml:space="preserve"> mature</w:t>
      </w:r>
      <w:r>
        <w:rPr>
          <w:rFonts w:ascii="Arial" w:hAnsi="Arial" w:cs="Arial"/>
        </w:rPr>
        <w:t xml:space="preserve"> enough</w:t>
      </w:r>
      <w:r w:rsidRPr="005A5F5E">
        <w:rPr>
          <w:rFonts w:ascii="Arial" w:hAnsi="Arial" w:cs="Arial"/>
        </w:rPr>
        <w:t xml:space="preserve"> to make their own decisions and to understand the implications of those decisions.</w:t>
      </w:r>
    </w:p>
    <w:p w14:paraId="156B827A" w14:textId="192BC3DE" w:rsidR="00630EAF" w:rsidRDefault="00630EAF" w:rsidP="00046778">
      <w:pPr>
        <w:rPr>
          <w:rFonts w:ascii="Arial" w:hAnsi="Arial" w:cs="Arial"/>
          <w:b/>
          <w:bCs/>
        </w:rPr>
      </w:pPr>
      <w:r>
        <w:rPr>
          <w:rFonts w:ascii="Arial" w:hAnsi="Arial" w:cs="Arial"/>
          <w:b/>
          <w:bCs/>
        </w:rPr>
        <w:lastRenderedPageBreak/>
        <w:t xml:space="preserve">530 words. </w:t>
      </w:r>
    </w:p>
    <w:p w14:paraId="5E3DE0E8" w14:textId="77777777" w:rsidR="00630EAF" w:rsidRDefault="00630EAF" w:rsidP="00046778">
      <w:pPr>
        <w:rPr>
          <w:rFonts w:ascii="Arial" w:hAnsi="Arial" w:cs="Arial"/>
          <w:b/>
          <w:bCs/>
        </w:rPr>
      </w:pPr>
    </w:p>
    <w:p w14:paraId="5AF48F5A" w14:textId="6993C59D" w:rsidR="00630EAF" w:rsidRPr="00630EAF" w:rsidRDefault="00630EAF" w:rsidP="00046778">
      <w:pPr>
        <w:rPr>
          <w:rFonts w:ascii="Arial" w:hAnsi="Arial" w:cs="Arial"/>
          <w:u w:val="single"/>
        </w:rPr>
      </w:pPr>
      <w:r>
        <w:rPr>
          <w:rFonts w:ascii="Arial" w:hAnsi="Arial" w:cs="Arial"/>
          <w:u w:val="single"/>
        </w:rPr>
        <w:t>Part 2 – Difference in adults and children’s safeguarding</w:t>
      </w:r>
    </w:p>
    <w:p w14:paraId="240AA7A8" w14:textId="6841EEC4" w:rsidR="00FB6659" w:rsidRDefault="00194C25" w:rsidP="004D1F24">
      <w:pPr>
        <w:rPr>
          <w:rFonts w:ascii="Arial" w:hAnsi="Arial" w:cs="Arial"/>
        </w:rPr>
      </w:pPr>
      <w:r w:rsidRPr="006348A1">
        <w:rPr>
          <w:rFonts w:ascii="Arial" w:hAnsi="Arial" w:cs="Arial"/>
        </w:rPr>
        <w:t xml:space="preserve">The main difference between safeguarding children and adults is when safeguarding children from </w:t>
      </w:r>
      <w:r w:rsidR="00726126">
        <w:rPr>
          <w:rFonts w:ascii="Arial" w:hAnsi="Arial" w:cs="Arial"/>
        </w:rPr>
        <w:t xml:space="preserve">significant harm and/or </w:t>
      </w:r>
      <w:r w:rsidRPr="006348A1">
        <w:rPr>
          <w:rFonts w:ascii="Arial" w:hAnsi="Arial" w:cs="Arial"/>
        </w:rPr>
        <w:t>abuse they also ensure that they are developing in a safe environment whilst when safeguarding adults the focus is on protecting the rights of the adult at risk to be able to live free from harm whilst respecting their autonomy. While children’s safety is paramount (Children Act 1989) adults at risk have the right to make their own unwise decision (Mental Capacity Act 2005)</w:t>
      </w:r>
      <w:r w:rsidR="006348A1" w:rsidRPr="006348A1">
        <w:rPr>
          <w:rFonts w:ascii="Arial" w:hAnsi="Arial" w:cs="Arial"/>
        </w:rPr>
        <w:t>. An adult therefore has the right to choose not to protect themselves when deemed to have capacity with law not enforcing intervention.</w:t>
      </w:r>
      <w:r w:rsidR="006348A1">
        <w:t xml:space="preserve"> </w:t>
      </w:r>
      <w:r w:rsidR="006348A1" w:rsidRPr="00CC1160">
        <w:rPr>
          <w:rFonts w:ascii="Arial" w:hAnsi="Arial" w:cs="Arial"/>
        </w:rPr>
        <w:t>You do not need consent from an adult with capacity to make a safeguarding referral if it is in the public interest, if others are at risk of abuse, or if the person is being coerced or threatened to the point that they cannot give a free choice about consent. </w:t>
      </w:r>
      <w:r w:rsidR="00FB6659">
        <w:rPr>
          <w:rFonts w:ascii="Arial" w:hAnsi="Arial" w:cs="Arial"/>
        </w:rPr>
        <w:t>The Mental Capacity Act 2005 applies to children from the age of 16. At 16</w:t>
      </w:r>
      <w:r w:rsidR="00FB6659" w:rsidRPr="00FB6659">
        <w:rPr>
          <w:rFonts w:ascii="Arial" w:hAnsi="Arial" w:cs="Arial"/>
        </w:rPr>
        <w:t xml:space="preserve">, a person is presumed to have the capacity to make their own decisions and can consent to or refuse treatment, which parents generally cannot override. </w:t>
      </w:r>
      <w:r w:rsidR="00FB6659">
        <w:rPr>
          <w:rFonts w:ascii="Arial" w:hAnsi="Arial" w:cs="Arial"/>
        </w:rPr>
        <w:t xml:space="preserve">Another difference is safeguarding children and adults is the </w:t>
      </w:r>
      <w:r w:rsidR="004D1F24">
        <w:rPr>
          <w:rFonts w:ascii="Arial" w:hAnsi="Arial" w:cs="Arial"/>
        </w:rPr>
        <w:t xml:space="preserve">slight difference in the </w:t>
      </w:r>
      <w:r w:rsidR="00FB6659">
        <w:rPr>
          <w:rFonts w:ascii="Arial" w:hAnsi="Arial" w:cs="Arial"/>
        </w:rPr>
        <w:t xml:space="preserve">definition of </w:t>
      </w:r>
      <w:r w:rsidR="004D1F24">
        <w:rPr>
          <w:rFonts w:ascii="Arial" w:hAnsi="Arial" w:cs="Arial"/>
        </w:rPr>
        <w:t xml:space="preserve">financial </w:t>
      </w:r>
      <w:r w:rsidR="00FB6659">
        <w:rPr>
          <w:rFonts w:ascii="Arial" w:hAnsi="Arial" w:cs="Arial"/>
        </w:rPr>
        <w:t xml:space="preserve">abuse. When safeguarding adults the definition of abuse is it </w:t>
      </w:r>
      <w:r w:rsidR="00FB6659" w:rsidRPr="00FB6659">
        <w:rPr>
          <w:rFonts w:ascii="Arial" w:hAnsi="Arial" w:cs="Arial"/>
        </w:rPr>
        <w:t>can be physical, sexual, psychological, emotional or financial (includes theft, fraud, pressure about money, misuse of money)</w:t>
      </w:r>
      <w:r w:rsidR="004D1F24">
        <w:rPr>
          <w:rFonts w:ascii="Arial" w:hAnsi="Arial" w:cs="Arial"/>
        </w:rPr>
        <w:t>. Whereas in children safeguarding financial abuse would be less prevalent however some indicators could be not meeting their needs for care and support which are provided through direct payments or complaints that personal property is missing (</w:t>
      </w:r>
      <w:proofErr w:type="spellStart"/>
      <w:r w:rsidR="004D1F24">
        <w:rPr>
          <w:rFonts w:ascii="Arial" w:hAnsi="Arial" w:cs="Arial"/>
        </w:rPr>
        <w:t>WelshGov</w:t>
      </w:r>
      <w:proofErr w:type="spellEnd"/>
      <w:r w:rsidR="004D1F24">
        <w:rPr>
          <w:rFonts w:ascii="Arial" w:hAnsi="Arial" w:cs="Arial"/>
        </w:rPr>
        <w:t xml:space="preserve">, 2019). </w:t>
      </w:r>
    </w:p>
    <w:p w14:paraId="10F28BB0" w14:textId="39FE28E4" w:rsidR="00194C25" w:rsidRDefault="00FC2C9B" w:rsidP="00FC2C9B">
      <w:pPr>
        <w:rPr>
          <w:rFonts w:ascii="Arial" w:hAnsi="Arial" w:cs="Arial"/>
        </w:rPr>
      </w:pPr>
      <w:r>
        <w:rPr>
          <w:rFonts w:ascii="Arial" w:hAnsi="Arial" w:cs="Arial"/>
        </w:rPr>
        <w:t xml:space="preserve">Although there are several differences between safeguarding children and adults, the aim of both is to protect individuals from harm and they both rely on multi-agency working to ensure the individuals are protected from abuse and neglect. When safeguarding adults and children there is a duty to report any concerns about suspected abuse or neglect in both children and adult services. </w:t>
      </w:r>
      <w:r w:rsidR="00194C25" w:rsidRPr="00194C25">
        <w:rPr>
          <w:rFonts w:ascii="Arial" w:hAnsi="Arial" w:cs="Arial"/>
        </w:rPr>
        <w:t>In Wales, a person-</w:t>
      </w:r>
      <w:r w:rsidRPr="00194C25">
        <w:rPr>
          <w:rFonts w:ascii="Arial" w:hAnsi="Arial" w:cs="Arial"/>
        </w:rPr>
        <w:t>centred</w:t>
      </w:r>
      <w:r w:rsidR="00194C25" w:rsidRPr="00194C25">
        <w:rPr>
          <w:rFonts w:ascii="Arial" w:hAnsi="Arial" w:cs="Arial"/>
        </w:rPr>
        <w:t xml:space="preserve"> approach is emphasized for both children and adults, meaning the individual's voice, control, and well-being are at the forefront of safeguarding efforts</w:t>
      </w:r>
      <w:r>
        <w:rPr>
          <w:rFonts w:ascii="Arial" w:hAnsi="Arial" w:cs="Arial"/>
        </w:rPr>
        <w:t xml:space="preserve"> (SSWBA14).</w:t>
      </w:r>
    </w:p>
    <w:p w14:paraId="5B0137A9" w14:textId="0CFF8ABA" w:rsidR="00630EAF" w:rsidRDefault="00630EAF" w:rsidP="00FC2C9B">
      <w:pPr>
        <w:rPr>
          <w:rFonts w:ascii="Arial" w:hAnsi="Arial" w:cs="Arial"/>
          <w:b/>
          <w:bCs/>
        </w:rPr>
      </w:pPr>
      <w:r>
        <w:rPr>
          <w:rFonts w:ascii="Arial" w:hAnsi="Arial" w:cs="Arial"/>
          <w:b/>
          <w:bCs/>
        </w:rPr>
        <w:t xml:space="preserve">361 words. </w:t>
      </w:r>
    </w:p>
    <w:p w14:paraId="5143291E" w14:textId="14174959" w:rsidR="00630EAF" w:rsidRPr="00630EAF" w:rsidRDefault="00630EAF" w:rsidP="00FC2C9B">
      <w:pPr>
        <w:rPr>
          <w:rFonts w:ascii="Arial" w:hAnsi="Arial" w:cs="Arial"/>
          <w:b/>
          <w:bCs/>
        </w:rPr>
      </w:pPr>
      <w:r>
        <w:rPr>
          <w:rFonts w:ascii="Arial" w:hAnsi="Arial" w:cs="Arial"/>
          <w:b/>
          <w:bCs/>
        </w:rPr>
        <w:t xml:space="preserve">Total word </w:t>
      </w:r>
      <w:proofErr w:type="gramStart"/>
      <w:r>
        <w:rPr>
          <w:rFonts w:ascii="Arial" w:hAnsi="Arial" w:cs="Arial"/>
          <w:b/>
          <w:bCs/>
        </w:rPr>
        <w:t>count</w:t>
      </w:r>
      <w:proofErr w:type="gramEnd"/>
      <w:r>
        <w:rPr>
          <w:rFonts w:ascii="Arial" w:hAnsi="Arial" w:cs="Arial"/>
          <w:b/>
          <w:bCs/>
        </w:rPr>
        <w:t xml:space="preserve"> 891 (-1%)</w:t>
      </w:r>
    </w:p>
    <w:p w14:paraId="7605BA89" w14:textId="77777777" w:rsidR="00FC2C9B" w:rsidRDefault="00FC2C9B" w:rsidP="00FC2C9B">
      <w:pPr>
        <w:rPr>
          <w:rFonts w:ascii="Arial" w:hAnsi="Arial" w:cs="Arial"/>
        </w:rPr>
      </w:pPr>
    </w:p>
    <w:p w14:paraId="7623989B" w14:textId="77777777" w:rsidR="00194C25" w:rsidRDefault="00194C25" w:rsidP="00046778"/>
    <w:p w14:paraId="2167615B" w14:textId="77777777" w:rsidR="00AB5546" w:rsidRDefault="00AB5546"/>
    <w:p w14:paraId="484FFFAA" w14:textId="77777777" w:rsidR="00AB5546" w:rsidRDefault="00AB5546"/>
    <w:sectPr w:rsidR="00AB554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DE1C3" w14:textId="77777777" w:rsidR="00586072" w:rsidRDefault="00586072" w:rsidP="00586072">
      <w:pPr>
        <w:spacing w:after="0" w:line="240" w:lineRule="auto"/>
      </w:pPr>
      <w:r>
        <w:separator/>
      </w:r>
    </w:p>
  </w:endnote>
  <w:endnote w:type="continuationSeparator" w:id="0">
    <w:p w14:paraId="17000E2B" w14:textId="77777777" w:rsidR="00586072" w:rsidRDefault="00586072" w:rsidP="00586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3408930"/>
      <w:docPartObj>
        <w:docPartGallery w:val="Page Numbers (Bottom of Page)"/>
        <w:docPartUnique/>
      </w:docPartObj>
    </w:sdtPr>
    <w:sdtEndPr>
      <w:rPr>
        <w:noProof/>
      </w:rPr>
    </w:sdtEndPr>
    <w:sdtContent>
      <w:p w14:paraId="202F4D20" w14:textId="2F2DD901" w:rsidR="00586072" w:rsidRDefault="005860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929B78" w14:textId="77777777" w:rsidR="00586072" w:rsidRDefault="00586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448A6" w14:textId="77777777" w:rsidR="00586072" w:rsidRDefault="00586072" w:rsidP="00586072">
      <w:pPr>
        <w:spacing w:after="0" w:line="240" w:lineRule="auto"/>
      </w:pPr>
      <w:r>
        <w:separator/>
      </w:r>
    </w:p>
  </w:footnote>
  <w:footnote w:type="continuationSeparator" w:id="0">
    <w:p w14:paraId="11FD7C98" w14:textId="77777777" w:rsidR="00586072" w:rsidRDefault="00586072" w:rsidP="005860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1A795" w14:textId="6C4EFDCF" w:rsidR="00586072" w:rsidRDefault="00586072">
    <w:pPr>
      <w:pStyle w:val="Header"/>
    </w:pPr>
    <w:r>
      <w:t>Task 4</w:t>
    </w:r>
    <w:r>
      <w:ptab w:relativeTo="margin" w:alignment="center" w:leader="none"/>
    </w:r>
    <w:r>
      <w:ptab w:relativeTo="margin" w:alignment="right" w:leader="none"/>
    </w:r>
    <w:r>
      <w:t>2433968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0E79"/>
    <w:multiLevelType w:val="multilevel"/>
    <w:tmpl w:val="CFD6E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8C0C14"/>
    <w:multiLevelType w:val="multilevel"/>
    <w:tmpl w:val="05201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2E368F"/>
    <w:multiLevelType w:val="multilevel"/>
    <w:tmpl w:val="80EA0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C85270"/>
    <w:multiLevelType w:val="multilevel"/>
    <w:tmpl w:val="B6BCD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1607CC"/>
    <w:multiLevelType w:val="multilevel"/>
    <w:tmpl w:val="05201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8F3FC7"/>
    <w:multiLevelType w:val="multilevel"/>
    <w:tmpl w:val="D8944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A8009B"/>
    <w:multiLevelType w:val="multilevel"/>
    <w:tmpl w:val="B4BAB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5789367">
    <w:abstractNumId w:val="3"/>
  </w:num>
  <w:num w:numId="2" w16cid:durableId="1798793807">
    <w:abstractNumId w:val="2"/>
  </w:num>
  <w:num w:numId="3" w16cid:durableId="1875844750">
    <w:abstractNumId w:val="6"/>
  </w:num>
  <w:num w:numId="4" w16cid:durableId="900868262">
    <w:abstractNumId w:val="5"/>
  </w:num>
  <w:num w:numId="5" w16cid:durableId="1991862669">
    <w:abstractNumId w:val="0"/>
  </w:num>
  <w:num w:numId="6" w16cid:durableId="320471888">
    <w:abstractNumId w:val="1"/>
  </w:num>
  <w:num w:numId="7" w16cid:durableId="1251768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072"/>
    <w:rsid w:val="00046778"/>
    <w:rsid w:val="00194C25"/>
    <w:rsid w:val="001A2C88"/>
    <w:rsid w:val="001C281B"/>
    <w:rsid w:val="00406BA3"/>
    <w:rsid w:val="004D1F24"/>
    <w:rsid w:val="00586072"/>
    <w:rsid w:val="005A5F5E"/>
    <w:rsid w:val="00630EAF"/>
    <w:rsid w:val="006348A1"/>
    <w:rsid w:val="006907D8"/>
    <w:rsid w:val="00726126"/>
    <w:rsid w:val="00840629"/>
    <w:rsid w:val="00AB5546"/>
    <w:rsid w:val="00EC3AB2"/>
    <w:rsid w:val="00F9468F"/>
    <w:rsid w:val="00FB6659"/>
    <w:rsid w:val="00FC2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F0A65"/>
  <w15:chartTrackingRefBased/>
  <w15:docId w15:val="{F1AF0BA1-E576-4763-8D7B-1A5965AB9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0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60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60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60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60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60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60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60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60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6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6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6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6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6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072"/>
    <w:rPr>
      <w:rFonts w:eastAsiaTheme="majorEastAsia" w:cstheme="majorBidi"/>
      <w:color w:val="272727" w:themeColor="text1" w:themeTint="D8"/>
    </w:rPr>
  </w:style>
  <w:style w:type="paragraph" w:styleId="Title">
    <w:name w:val="Title"/>
    <w:basedOn w:val="Normal"/>
    <w:next w:val="Normal"/>
    <w:link w:val="TitleChar"/>
    <w:uiPriority w:val="10"/>
    <w:qFormat/>
    <w:rsid w:val="005860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0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072"/>
    <w:pPr>
      <w:spacing w:before="160"/>
      <w:jc w:val="center"/>
    </w:pPr>
    <w:rPr>
      <w:i/>
      <w:iCs/>
      <w:color w:val="404040" w:themeColor="text1" w:themeTint="BF"/>
    </w:rPr>
  </w:style>
  <w:style w:type="character" w:customStyle="1" w:styleId="QuoteChar">
    <w:name w:val="Quote Char"/>
    <w:basedOn w:val="DefaultParagraphFont"/>
    <w:link w:val="Quote"/>
    <w:uiPriority w:val="29"/>
    <w:rsid w:val="00586072"/>
    <w:rPr>
      <w:i/>
      <w:iCs/>
      <w:color w:val="404040" w:themeColor="text1" w:themeTint="BF"/>
    </w:rPr>
  </w:style>
  <w:style w:type="paragraph" w:styleId="ListParagraph">
    <w:name w:val="List Paragraph"/>
    <w:basedOn w:val="Normal"/>
    <w:uiPriority w:val="34"/>
    <w:qFormat/>
    <w:rsid w:val="00586072"/>
    <w:pPr>
      <w:ind w:left="720"/>
      <w:contextualSpacing/>
    </w:pPr>
  </w:style>
  <w:style w:type="character" w:styleId="IntenseEmphasis">
    <w:name w:val="Intense Emphasis"/>
    <w:basedOn w:val="DefaultParagraphFont"/>
    <w:uiPriority w:val="21"/>
    <w:qFormat/>
    <w:rsid w:val="00586072"/>
    <w:rPr>
      <w:i/>
      <w:iCs/>
      <w:color w:val="0F4761" w:themeColor="accent1" w:themeShade="BF"/>
    </w:rPr>
  </w:style>
  <w:style w:type="paragraph" w:styleId="IntenseQuote">
    <w:name w:val="Intense Quote"/>
    <w:basedOn w:val="Normal"/>
    <w:next w:val="Normal"/>
    <w:link w:val="IntenseQuoteChar"/>
    <w:uiPriority w:val="30"/>
    <w:qFormat/>
    <w:rsid w:val="005860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6072"/>
    <w:rPr>
      <w:i/>
      <w:iCs/>
      <w:color w:val="0F4761" w:themeColor="accent1" w:themeShade="BF"/>
    </w:rPr>
  </w:style>
  <w:style w:type="character" w:styleId="IntenseReference">
    <w:name w:val="Intense Reference"/>
    <w:basedOn w:val="DefaultParagraphFont"/>
    <w:uiPriority w:val="32"/>
    <w:qFormat/>
    <w:rsid w:val="00586072"/>
    <w:rPr>
      <w:b/>
      <w:bCs/>
      <w:smallCaps/>
      <w:color w:val="0F4761" w:themeColor="accent1" w:themeShade="BF"/>
      <w:spacing w:val="5"/>
    </w:rPr>
  </w:style>
  <w:style w:type="paragraph" w:styleId="Header">
    <w:name w:val="header"/>
    <w:basedOn w:val="Normal"/>
    <w:link w:val="HeaderChar"/>
    <w:uiPriority w:val="99"/>
    <w:unhideWhenUsed/>
    <w:rsid w:val="005860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072"/>
  </w:style>
  <w:style w:type="paragraph" w:styleId="Footer">
    <w:name w:val="footer"/>
    <w:basedOn w:val="Normal"/>
    <w:link w:val="FooterChar"/>
    <w:uiPriority w:val="99"/>
    <w:unhideWhenUsed/>
    <w:rsid w:val="005860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072"/>
  </w:style>
  <w:style w:type="character" w:styleId="Hyperlink">
    <w:name w:val="Hyperlink"/>
    <w:basedOn w:val="DefaultParagraphFont"/>
    <w:uiPriority w:val="99"/>
    <w:unhideWhenUsed/>
    <w:rsid w:val="00586072"/>
    <w:rPr>
      <w:color w:val="467886" w:themeColor="hyperlink"/>
      <w:u w:val="single"/>
    </w:rPr>
  </w:style>
  <w:style w:type="character" w:styleId="UnresolvedMention">
    <w:name w:val="Unresolved Mention"/>
    <w:basedOn w:val="DefaultParagraphFont"/>
    <w:uiPriority w:val="99"/>
    <w:semiHidden/>
    <w:unhideWhenUsed/>
    <w:rsid w:val="005860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63886">
      <w:bodyDiv w:val="1"/>
      <w:marLeft w:val="0"/>
      <w:marRight w:val="0"/>
      <w:marTop w:val="0"/>
      <w:marBottom w:val="0"/>
      <w:divBdr>
        <w:top w:val="none" w:sz="0" w:space="0" w:color="auto"/>
        <w:left w:val="none" w:sz="0" w:space="0" w:color="auto"/>
        <w:bottom w:val="none" w:sz="0" w:space="0" w:color="auto"/>
        <w:right w:val="none" w:sz="0" w:space="0" w:color="auto"/>
      </w:divBdr>
    </w:div>
    <w:div w:id="121459140">
      <w:bodyDiv w:val="1"/>
      <w:marLeft w:val="0"/>
      <w:marRight w:val="0"/>
      <w:marTop w:val="0"/>
      <w:marBottom w:val="0"/>
      <w:divBdr>
        <w:top w:val="none" w:sz="0" w:space="0" w:color="auto"/>
        <w:left w:val="none" w:sz="0" w:space="0" w:color="auto"/>
        <w:bottom w:val="none" w:sz="0" w:space="0" w:color="auto"/>
        <w:right w:val="none" w:sz="0" w:space="0" w:color="auto"/>
      </w:divBdr>
    </w:div>
    <w:div w:id="291330020">
      <w:bodyDiv w:val="1"/>
      <w:marLeft w:val="0"/>
      <w:marRight w:val="0"/>
      <w:marTop w:val="0"/>
      <w:marBottom w:val="0"/>
      <w:divBdr>
        <w:top w:val="none" w:sz="0" w:space="0" w:color="auto"/>
        <w:left w:val="none" w:sz="0" w:space="0" w:color="auto"/>
        <w:bottom w:val="none" w:sz="0" w:space="0" w:color="auto"/>
        <w:right w:val="none" w:sz="0" w:space="0" w:color="auto"/>
      </w:divBdr>
    </w:div>
    <w:div w:id="636760615">
      <w:bodyDiv w:val="1"/>
      <w:marLeft w:val="0"/>
      <w:marRight w:val="0"/>
      <w:marTop w:val="0"/>
      <w:marBottom w:val="0"/>
      <w:divBdr>
        <w:top w:val="none" w:sz="0" w:space="0" w:color="auto"/>
        <w:left w:val="none" w:sz="0" w:space="0" w:color="auto"/>
        <w:bottom w:val="none" w:sz="0" w:space="0" w:color="auto"/>
        <w:right w:val="none" w:sz="0" w:space="0" w:color="auto"/>
      </w:divBdr>
      <w:divsChild>
        <w:div w:id="850950877">
          <w:marLeft w:val="0"/>
          <w:marRight w:val="0"/>
          <w:marTop w:val="0"/>
          <w:marBottom w:val="300"/>
          <w:divBdr>
            <w:top w:val="none" w:sz="0" w:space="0" w:color="auto"/>
            <w:left w:val="none" w:sz="0" w:space="0" w:color="auto"/>
            <w:bottom w:val="none" w:sz="0" w:space="0" w:color="auto"/>
            <w:right w:val="none" w:sz="0" w:space="0" w:color="auto"/>
          </w:divBdr>
        </w:div>
        <w:div w:id="739908189">
          <w:marLeft w:val="0"/>
          <w:marRight w:val="0"/>
          <w:marTop w:val="300"/>
          <w:marBottom w:val="150"/>
          <w:divBdr>
            <w:top w:val="none" w:sz="0" w:space="0" w:color="auto"/>
            <w:left w:val="none" w:sz="0" w:space="0" w:color="auto"/>
            <w:bottom w:val="none" w:sz="0" w:space="0" w:color="auto"/>
            <w:right w:val="none" w:sz="0" w:space="0" w:color="auto"/>
          </w:divBdr>
        </w:div>
        <w:div w:id="1771507896">
          <w:marLeft w:val="0"/>
          <w:marRight w:val="0"/>
          <w:marTop w:val="300"/>
          <w:marBottom w:val="150"/>
          <w:divBdr>
            <w:top w:val="none" w:sz="0" w:space="0" w:color="auto"/>
            <w:left w:val="none" w:sz="0" w:space="0" w:color="auto"/>
            <w:bottom w:val="none" w:sz="0" w:space="0" w:color="auto"/>
            <w:right w:val="none" w:sz="0" w:space="0" w:color="auto"/>
          </w:divBdr>
        </w:div>
        <w:div w:id="540364775">
          <w:marLeft w:val="0"/>
          <w:marRight w:val="0"/>
          <w:marTop w:val="300"/>
          <w:marBottom w:val="150"/>
          <w:divBdr>
            <w:top w:val="none" w:sz="0" w:space="0" w:color="auto"/>
            <w:left w:val="none" w:sz="0" w:space="0" w:color="auto"/>
            <w:bottom w:val="none" w:sz="0" w:space="0" w:color="auto"/>
            <w:right w:val="none" w:sz="0" w:space="0" w:color="auto"/>
          </w:divBdr>
        </w:div>
      </w:divsChild>
    </w:div>
    <w:div w:id="677734328">
      <w:bodyDiv w:val="1"/>
      <w:marLeft w:val="0"/>
      <w:marRight w:val="0"/>
      <w:marTop w:val="0"/>
      <w:marBottom w:val="0"/>
      <w:divBdr>
        <w:top w:val="none" w:sz="0" w:space="0" w:color="auto"/>
        <w:left w:val="none" w:sz="0" w:space="0" w:color="auto"/>
        <w:bottom w:val="none" w:sz="0" w:space="0" w:color="auto"/>
        <w:right w:val="none" w:sz="0" w:space="0" w:color="auto"/>
      </w:divBdr>
    </w:div>
    <w:div w:id="842281924">
      <w:bodyDiv w:val="1"/>
      <w:marLeft w:val="0"/>
      <w:marRight w:val="0"/>
      <w:marTop w:val="0"/>
      <w:marBottom w:val="0"/>
      <w:divBdr>
        <w:top w:val="none" w:sz="0" w:space="0" w:color="auto"/>
        <w:left w:val="none" w:sz="0" w:space="0" w:color="auto"/>
        <w:bottom w:val="none" w:sz="0" w:space="0" w:color="auto"/>
        <w:right w:val="none" w:sz="0" w:space="0" w:color="auto"/>
      </w:divBdr>
    </w:div>
    <w:div w:id="957031541">
      <w:bodyDiv w:val="1"/>
      <w:marLeft w:val="0"/>
      <w:marRight w:val="0"/>
      <w:marTop w:val="0"/>
      <w:marBottom w:val="0"/>
      <w:divBdr>
        <w:top w:val="none" w:sz="0" w:space="0" w:color="auto"/>
        <w:left w:val="none" w:sz="0" w:space="0" w:color="auto"/>
        <w:bottom w:val="none" w:sz="0" w:space="0" w:color="auto"/>
        <w:right w:val="none" w:sz="0" w:space="0" w:color="auto"/>
      </w:divBdr>
    </w:div>
    <w:div w:id="1165588471">
      <w:bodyDiv w:val="1"/>
      <w:marLeft w:val="0"/>
      <w:marRight w:val="0"/>
      <w:marTop w:val="0"/>
      <w:marBottom w:val="0"/>
      <w:divBdr>
        <w:top w:val="none" w:sz="0" w:space="0" w:color="auto"/>
        <w:left w:val="none" w:sz="0" w:space="0" w:color="auto"/>
        <w:bottom w:val="none" w:sz="0" w:space="0" w:color="auto"/>
        <w:right w:val="none" w:sz="0" w:space="0" w:color="auto"/>
      </w:divBdr>
      <w:divsChild>
        <w:div w:id="735399101">
          <w:marLeft w:val="0"/>
          <w:marRight w:val="0"/>
          <w:marTop w:val="0"/>
          <w:marBottom w:val="300"/>
          <w:divBdr>
            <w:top w:val="none" w:sz="0" w:space="0" w:color="auto"/>
            <w:left w:val="none" w:sz="0" w:space="0" w:color="auto"/>
            <w:bottom w:val="none" w:sz="0" w:space="0" w:color="auto"/>
            <w:right w:val="none" w:sz="0" w:space="0" w:color="auto"/>
          </w:divBdr>
        </w:div>
        <w:div w:id="122115236">
          <w:marLeft w:val="0"/>
          <w:marRight w:val="0"/>
          <w:marTop w:val="300"/>
          <w:marBottom w:val="150"/>
          <w:divBdr>
            <w:top w:val="none" w:sz="0" w:space="0" w:color="auto"/>
            <w:left w:val="none" w:sz="0" w:space="0" w:color="auto"/>
            <w:bottom w:val="none" w:sz="0" w:space="0" w:color="auto"/>
            <w:right w:val="none" w:sz="0" w:space="0" w:color="auto"/>
          </w:divBdr>
        </w:div>
        <w:div w:id="564535478">
          <w:marLeft w:val="0"/>
          <w:marRight w:val="0"/>
          <w:marTop w:val="300"/>
          <w:marBottom w:val="150"/>
          <w:divBdr>
            <w:top w:val="none" w:sz="0" w:space="0" w:color="auto"/>
            <w:left w:val="none" w:sz="0" w:space="0" w:color="auto"/>
            <w:bottom w:val="none" w:sz="0" w:space="0" w:color="auto"/>
            <w:right w:val="none" w:sz="0" w:space="0" w:color="auto"/>
          </w:divBdr>
        </w:div>
        <w:div w:id="173039162">
          <w:marLeft w:val="0"/>
          <w:marRight w:val="0"/>
          <w:marTop w:val="300"/>
          <w:marBottom w:val="150"/>
          <w:divBdr>
            <w:top w:val="none" w:sz="0" w:space="0" w:color="auto"/>
            <w:left w:val="none" w:sz="0" w:space="0" w:color="auto"/>
            <w:bottom w:val="none" w:sz="0" w:space="0" w:color="auto"/>
            <w:right w:val="none" w:sz="0" w:space="0" w:color="auto"/>
          </w:divBdr>
        </w:div>
      </w:divsChild>
    </w:div>
    <w:div w:id="1213421142">
      <w:bodyDiv w:val="1"/>
      <w:marLeft w:val="0"/>
      <w:marRight w:val="0"/>
      <w:marTop w:val="0"/>
      <w:marBottom w:val="0"/>
      <w:divBdr>
        <w:top w:val="none" w:sz="0" w:space="0" w:color="auto"/>
        <w:left w:val="none" w:sz="0" w:space="0" w:color="auto"/>
        <w:bottom w:val="none" w:sz="0" w:space="0" w:color="auto"/>
        <w:right w:val="none" w:sz="0" w:space="0" w:color="auto"/>
      </w:divBdr>
    </w:div>
    <w:div w:id="1404908269">
      <w:bodyDiv w:val="1"/>
      <w:marLeft w:val="0"/>
      <w:marRight w:val="0"/>
      <w:marTop w:val="0"/>
      <w:marBottom w:val="0"/>
      <w:divBdr>
        <w:top w:val="none" w:sz="0" w:space="0" w:color="auto"/>
        <w:left w:val="none" w:sz="0" w:space="0" w:color="auto"/>
        <w:bottom w:val="none" w:sz="0" w:space="0" w:color="auto"/>
        <w:right w:val="none" w:sz="0" w:space="0" w:color="auto"/>
      </w:divBdr>
    </w:div>
    <w:div w:id="1633949076">
      <w:bodyDiv w:val="1"/>
      <w:marLeft w:val="0"/>
      <w:marRight w:val="0"/>
      <w:marTop w:val="0"/>
      <w:marBottom w:val="0"/>
      <w:divBdr>
        <w:top w:val="none" w:sz="0" w:space="0" w:color="auto"/>
        <w:left w:val="none" w:sz="0" w:space="0" w:color="auto"/>
        <w:bottom w:val="none" w:sz="0" w:space="0" w:color="auto"/>
        <w:right w:val="none" w:sz="0" w:space="0" w:color="auto"/>
      </w:divBdr>
    </w:div>
    <w:div w:id="1713113378">
      <w:bodyDiv w:val="1"/>
      <w:marLeft w:val="0"/>
      <w:marRight w:val="0"/>
      <w:marTop w:val="0"/>
      <w:marBottom w:val="0"/>
      <w:divBdr>
        <w:top w:val="none" w:sz="0" w:space="0" w:color="auto"/>
        <w:left w:val="none" w:sz="0" w:space="0" w:color="auto"/>
        <w:bottom w:val="none" w:sz="0" w:space="0" w:color="auto"/>
        <w:right w:val="none" w:sz="0" w:space="0" w:color="auto"/>
      </w:divBdr>
    </w:div>
    <w:div w:id="1920141613">
      <w:bodyDiv w:val="1"/>
      <w:marLeft w:val="0"/>
      <w:marRight w:val="0"/>
      <w:marTop w:val="0"/>
      <w:marBottom w:val="0"/>
      <w:divBdr>
        <w:top w:val="none" w:sz="0" w:space="0" w:color="auto"/>
        <w:left w:val="none" w:sz="0" w:space="0" w:color="auto"/>
        <w:bottom w:val="none" w:sz="0" w:space="0" w:color="auto"/>
        <w:right w:val="none" w:sz="0" w:space="0" w:color="auto"/>
      </w:divBdr>
    </w:div>
    <w:div w:id="200050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125</TotalTime>
  <Pages>6</Pages>
  <Words>1074</Words>
  <Characters>6127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Denbighshire County Council</Company>
  <LinksUpToDate>false</LinksUpToDate>
  <CharactersWithSpaces>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Cet Williams</dc:creator>
  <cp:keywords/>
  <dc:description/>
  <cp:lastModifiedBy>Cet Williams</cp:lastModifiedBy>
  <cp:revision>4</cp:revision>
  <dcterms:created xsi:type="dcterms:W3CDTF">2025-10-15T11:49:00Z</dcterms:created>
  <dcterms:modified xsi:type="dcterms:W3CDTF">2026-02-21T20:20:00Z</dcterms:modified>
</cp:coreProperties>
</file>