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54DEB8F4" w14:textId="360F840C" w:rsidR="00421860" w:rsidRPr="006356C6" w:rsidRDefault="00BF1803" w:rsidP="00DA734E">
      <w:pPr>
        <w:spacing w:after="0" w:line="480" w:lineRule="auto"/>
        <w:rPr>
          <w:rStyle w:val="Emphasis"/>
          <w:rFonts w:ascii="Arial" w:hAnsi="Arial" w:cs="Arial"/>
          <w:sz w:val="24"/>
          <w:szCs w:val="24"/>
        </w:rPr>
      </w:pPr>
      <w:r w:rsidRPr="006356C6">
        <w:rPr>
          <w:rFonts w:ascii="Arial" w:hAnsi="Arial" w:cs="Arial"/>
          <w:sz w:val="24"/>
          <w:szCs w:val="24"/>
        </w:rPr>
        <w:t>Over the years, the </w:t>
      </w:r>
      <w:r w:rsidRPr="006356C6">
        <w:rPr>
          <w:rStyle w:val="Emphasis"/>
          <w:rFonts w:ascii="Arial" w:hAnsi="Arial" w:cs="Arial"/>
          <w:sz w:val="24"/>
          <w:szCs w:val="24"/>
        </w:rPr>
        <w:t xml:space="preserve">Offences Against The Person Act 1861 </w:t>
      </w:r>
      <w:r w:rsidRPr="006356C6">
        <w:rPr>
          <w:rStyle w:val="Emphasis"/>
          <w:rFonts w:ascii="Arial" w:hAnsi="Arial" w:cs="Arial"/>
          <w:i w:val="0"/>
          <w:iCs w:val="0"/>
          <w:sz w:val="24"/>
          <w:szCs w:val="24"/>
        </w:rPr>
        <w:t>has been responsible for over 26,000 prosecutions yearly</w:t>
      </w:r>
      <w:r w:rsidRPr="006356C6">
        <w:rPr>
          <w:rStyle w:val="Emphasis"/>
          <w:rFonts w:ascii="Arial" w:hAnsi="Arial" w:cs="Arial"/>
          <w:sz w:val="24"/>
          <w:szCs w:val="24"/>
        </w:rPr>
        <w:t> </w:t>
      </w:r>
      <w:r w:rsidRPr="006356C6">
        <w:rPr>
          <w:rFonts w:ascii="Arial" w:hAnsi="Arial" w:cs="Arial"/>
          <w:sz w:val="24"/>
          <w:szCs w:val="24"/>
        </w:rPr>
        <w:t>(</w:t>
      </w:r>
      <w:r w:rsidRPr="006356C6">
        <w:rPr>
          <w:rStyle w:val="Emphasis"/>
          <w:rFonts w:ascii="Arial" w:hAnsi="Arial" w:cs="Arial"/>
          <w:sz w:val="24"/>
          <w:szCs w:val="24"/>
        </w:rPr>
        <w:t>Offences Against the Person – modernising the Law on Violence,</w:t>
      </w:r>
      <w:r w:rsidRPr="006356C6">
        <w:rPr>
          <w:rFonts w:ascii="Arial" w:hAnsi="Arial" w:cs="Arial"/>
          <w:i/>
          <w:iCs/>
          <w:sz w:val="24"/>
          <w:szCs w:val="24"/>
        </w:rPr>
        <w:t> 2019)</w:t>
      </w:r>
      <w:r w:rsidRPr="006356C6">
        <w:rPr>
          <w:rStyle w:val="Emphasis"/>
          <w:rFonts w:ascii="Arial" w:hAnsi="Arial" w:cs="Arial"/>
          <w:i w:val="0"/>
          <w:iCs w:val="0"/>
          <w:sz w:val="24"/>
          <w:szCs w:val="24"/>
        </w:rPr>
        <w:t>. However</w:t>
      </w:r>
      <w:r w:rsidRPr="006356C6">
        <w:rPr>
          <w:rStyle w:val="Emphasis"/>
          <w:rFonts w:ascii="Arial" w:hAnsi="Arial" w:cs="Arial"/>
          <w:sz w:val="24"/>
          <w:szCs w:val="24"/>
        </w:rPr>
        <w:t>,</w:t>
      </w:r>
      <w:r w:rsidRPr="006356C6">
        <w:rPr>
          <w:rFonts w:ascii="Arial" w:hAnsi="Arial" w:cs="Arial"/>
          <w:sz w:val="24"/>
          <w:szCs w:val="24"/>
        </w:rPr>
        <w:t> it has been criticised and subjected to scrutiny</w:t>
      </w:r>
      <w:r w:rsidRPr="006356C6">
        <w:rPr>
          <w:rFonts w:ascii="Arial" w:hAnsi="Arial" w:cs="Arial"/>
          <w:i/>
          <w:iCs/>
          <w:sz w:val="24"/>
          <w:szCs w:val="24"/>
        </w:rPr>
        <w:t xml:space="preserve"> </w:t>
      </w:r>
      <w:r w:rsidRPr="006356C6">
        <w:rPr>
          <w:rFonts w:ascii="Arial" w:hAnsi="Arial" w:cs="Arial"/>
          <w:sz w:val="24"/>
          <w:szCs w:val="24"/>
        </w:rPr>
        <w:t>based on its lack of compatibility with modern society; the legislation was composed over a century and a</w:t>
      </w:r>
      <w:r w:rsidRPr="006356C6">
        <w:rPr>
          <w:rFonts w:ascii="Arial" w:hAnsi="Arial" w:cs="Arial"/>
          <w:i/>
          <w:iCs/>
          <w:sz w:val="24"/>
          <w:szCs w:val="24"/>
        </w:rPr>
        <w:t xml:space="preserve"> </w:t>
      </w:r>
      <w:r w:rsidRPr="006356C6">
        <w:rPr>
          <w:rFonts w:ascii="Arial" w:hAnsi="Arial" w:cs="Arial"/>
          <w:sz w:val="24"/>
          <w:szCs w:val="24"/>
        </w:rPr>
        <w:t>half ago when the parliament of Great Britain brought together various pre-existing statutes</w:t>
      </w:r>
      <w:r w:rsidRPr="006356C6">
        <w:rPr>
          <w:rFonts w:ascii="Arial" w:hAnsi="Arial" w:cs="Arial"/>
          <w:i/>
          <w:iCs/>
          <w:sz w:val="24"/>
          <w:szCs w:val="24"/>
        </w:rPr>
        <w:t xml:space="preserve"> </w:t>
      </w:r>
      <w:r w:rsidRPr="006356C6">
        <w:rPr>
          <w:rFonts w:ascii="Arial" w:hAnsi="Arial" w:cs="Arial"/>
          <w:sz w:val="24"/>
          <w:szCs w:val="24"/>
        </w:rPr>
        <w:t>regarding legislation relating to injury to individuals into one legislation. The primary aim of this paper will be to determine whether the Offences Against The Person Act (OAPA) is suitable within modern society when regarding non-fatal offences, the act applies to assaults occasioning actual bodily harm, which can be abbreviated to ABH, maliciously wounding or inflicting grievous bodily harm, also known as GBH and intentionally wounding or causing grievous body harm </w:t>
      </w:r>
      <w:r w:rsidRPr="006356C6">
        <w:rPr>
          <w:rStyle w:val="Emphasis"/>
          <w:rFonts w:ascii="Arial" w:hAnsi="Arial" w:cs="Arial"/>
          <w:sz w:val="24"/>
          <w:szCs w:val="24"/>
        </w:rPr>
        <w:t>(Offences Against the Person Act 1861</w:t>
      </w:r>
      <w:r w:rsidRPr="006356C6">
        <w:rPr>
          <w:rFonts w:ascii="Arial" w:hAnsi="Arial" w:cs="Arial"/>
          <w:sz w:val="24"/>
          <w:szCs w:val="24"/>
        </w:rPr>
        <w:t>), it is important to note common assault is an offence under the </w:t>
      </w:r>
      <w:r w:rsidRPr="006356C6">
        <w:rPr>
          <w:rStyle w:val="Emphasis"/>
          <w:rFonts w:ascii="Arial" w:hAnsi="Arial" w:cs="Arial"/>
          <w:sz w:val="24"/>
          <w:szCs w:val="24"/>
        </w:rPr>
        <w:t>Criminal Justice act 1988</w:t>
      </w:r>
      <w:r w:rsidRPr="006356C6">
        <w:rPr>
          <w:rStyle w:val="Emphasis"/>
          <w:rFonts w:ascii="Arial" w:hAnsi="Arial" w:cs="Arial"/>
          <w:i w:val="0"/>
          <w:iCs w:val="0"/>
          <w:sz w:val="24"/>
          <w:szCs w:val="24"/>
        </w:rPr>
        <w:t xml:space="preserve"> (section 39)</w:t>
      </w:r>
      <w:r w:rsidRPr="006356C6">
        <w:rPr>
          <w:rFonts w:ascii="Arial" w:hAnsi="Arial" w:cs="Arial"/>
          <w:i/>
          <w:iCs/>
          <w:sz w:val="24"/>
          <w:szCs w:val="24"/>
        </w:rPr>
        <w:t> </w:t>
      </w:r>
      <w:r w:rsidRPr="006356C6">
        <w:rPr>
          <w:rFonts w:ascii="Arial" w:hAnsi="Arial" w:cs="Arial"/>
          <w:sz w:val="24"/>
          <w:szCs w:val="24"/>
        </w:rPr>
        <w:t>and not the OAPA</w:t>
      </w:r>
      <w:r w:rsidRPr="006356C6">
        <w:rPr>
          <w:rStyle w:val="Emphasis"/>
          <w:rFonts w:ascii="Arial" w:hAnsi="Arial" w:cs="Arial"/>
          <w:sz w:val="24"/>
          <w:szCs w:val="24"/>
        </w:rPr>
        <w:t>. </w:t>
      </w:r>
    </w:p>
    <w:p w14:paraId="0F4C33DF" w14:textId="77777777" w:rsidR="00BF1803" w:rsidRPr="006356C6" w:rsidRDefault="00BF1803" w:rsidP="00DA734E">
      <w:pPr>
        <w:spacing w:after="0" w:line="480" w:lineRule="auto"/>
        <w:rPr>
          <w:rStyle w:val="Emphasis"/>
          <w:rFonts w:ascii="Arial" w:hAnsi="Arial" w:cs="Arial"/>
          <w:sz w:val="24"/>
          <w:szCs w:val="24"/>
        </w:rPr>
      </w:pPr>
    </w:p>
    <w:p w14:paraId="2217AAF6" w14:textId="0CC0F6FD" w:rsidR="00C70C31" w:rsidRPr="006356C6" w:rsidRDefault="008876E4" w:rsidP="00DA734E">
      <w:pPr>
        <w:spacing w:after="0" w:line="480" w:lineRule="auto"/>
        <w:rPr>
          <w:rFonts w:ascii="Arial" w:hAnsi="Arial" w:cs="Arial"/>
          <w:sz w:val="24"/>
          <w:szCs w:val="24"/>
          <w:shd w:val="clear" w:color="auto" w:fill="FBFBFB"/>
        </w:rPr>
      </w:pPr>
      <w:r w:rsidRPr="006356C6">
        <w:rPr>
          <w:rFonts w:ascii="Arial" w:hAnsi="Arial" w:cs="Arial"/>
          <w:sz w:val="24"/>
          <w:szCs w:val="24"/>
          <w:shd w:val="clear" w:color="auto" w:fill="FBFBFB"/>
        </w:rPr>
        <w:t>The first argument against the use of the act in modern society is the imprecise and outdated language the act retains; for instance, the term ‘wound’ was not defined but has now been acquired through case law as a break in the skin, consolidated by the C. (a minor) v. Eisenhower (198</w:t>
      </w:r>
      <w:r w:rsidR="00F46AAD">
        <w:rPr>
          <w:rFonts w:ascii="Arial" w:hAnsi="Arial" w:cs="Arial"/>
          <w:sz w:val="24"/>
          <w:szCs w:val="24"/>
          <w:shd w:val="clear" w:color="auto" w:fill="FBFBFB"/>
        </w:rPr>
        <w:t>3</w:t>
      </w:r>
      <w:r w:rsidRPr="006356C6">
        <w:rPr>
          <w:rFonts w:ascii="Arial" w:hAnsi="Arial" w:cs="Arial"/>
          <w:sz w:val="24"/>
          <w:szCs w:val="24"/>
          <w:shd w:val="clear" w:color="auto" w:fill="FBFBFB"/>
        </w:rPr>
        <w:t>) case, this indicates that if there is a small break in the skin regardless of the severity the defendant could be charged with grievous bodily harm however, if the victim had severe bruising it would not amount to a GBH charge, this could be viewed as unjust as bruising has the potential to be more detrimental than a small cut.</w:t>
      </w:r>
    </w:p>
    <w:p w14:paraId="43DA417C" w14:textId="77777777" w:rsidR="007A2F42" w:rsidRDefault="007A2F42" w:rsidP="00DA734E">
      <w:pPr>
        <w:spacing w:after="0" w:line="480" w:lineRule="auto"/>
        <w:rPr>
          <w:rFonts w:ascii="Arial" w:hAnsi="Arial" w:cs="Arial"/>
          <w:sz w:val="24"/>
          <w:szCs w:val="24"/>
          <w:shd w:val="clear" w:color="auto" w:fill="FBFBFB"/>
        </w:rPr>
      </w:pPr>
    </w:p>
    <w:p w14:paraId="76DBFB7C" w14:textId="2CDA0ABA" w:rsidR="00B5633E" w:rsidRPr="006356C6" w:rsidRDefault="008C42E0" w:rsidP="00DA734E">
      <w:pPr>
        <w:spacing w:after="0" w:line="480" w:lineRule="auto"/>
        <w:rPr>
          <w:rFonts w:ascii="Arial" w:hAnsi="Arial" w:cs="Arial"/>
          <w:sz w:val="24"/>
          <w:szCs w:val="24"/>
          <w:shd w:val="clear" w:color="auto" w:fill="FBFBFB"/>
        </w:rPr>
      </w:pPr>
      <w:r w:rsidRPr="006356C6">
        <w:rPr>
          <w:rFonts w:ascii="Arial" w:hAnsi="Arial" w:cs="Arial"/>
          <w:sz w:val="24"/>
          <w:szCs w:val="24"/>
          <w:shd w:val="clear" w:color="auto" w:fill="FBFBFB"/>
        </w:rPr>
        <w:lastRenderedPageBreak/>
        <w:t>As discussed above, the language the act contains is archaic; according to Tabbush, S. (2014), the act retains the words felony, misdemeanour and penal servitude, which are no longer used today. It can be contended that if the act contains futile vocabulary, it is outdated and unfit for modern society.</w:t>
      </w:r>
    </w:p>
    <w:p w14:paraId="04F215C6" w14:textId="77777777" w:rsidR="009777B1" w:rsidRPr="006356C6" w:rsidRDefault="009777B1" w:rsidP="00DA734E">
      <w:pPr>
        <w:spacing w:after="0" w:line="480" w:lineRule="auto"/>
        <w:rPr>
          <w:rFonts w:ascii="Arial" w:hAnsi="Arial" w:cs="Arial"/>
          <w:sz w:val="24"/>
          <w:szCs w:val="24"/>
          <w:shd w:val="clear" w:color="auto" w:fill="FBFBFB"/>
        </w:rPr>
      </w:pPr>
    </w:p>
    <w:p w14:paraId="228FC136" w14:textId="29A3ABB0" w:rsidR="00B5633E" w:rsidRPr="006356C6" w:rsidRDefault="001F5432" w:rsidP="00DA734E">
      <w:pPr>
        <w:spacing w:after="0" w:line="480" w:lineRule="auto"/>
        <w:rPr>
          <w:rFonts w:ascii="Arial" w:hAnsi="Arial" w:cs="Arial"/>
          <w:sz w:val="24"/>
          <w:szCs w:val="24"/>
          <w:shd w:val="clear" w:color="auto" w:fill="FBFBFB"/>
        </w:rPr>
      </w:pPr>
      <w:r w:rsidRPr="006356C6">
        <w:rPr>
          <w:rFonts w:ascii="Arial" w:hAnsi="Arial" w:cs="Arial"/>
          <w:sz w:val="24"/>
          <w:szCs w:val="24"/>
          <w:shd w:val="clear" w:color="auto" w:fill="FBFBFB"/>
        </w:rPr>
        <w:t xml:space="preserve">Next, the word ‘Malicious’ is used in sections 20 and 18; </w:t>
      </w:r>
      <w:r w:rsidR="00D40A3B" w:rsidRPr="006356C6">
        <w:rPr>
          <w:rFonts w:ascii="Arial" w:hAnsi="Arial" w:cs="Arial"/>
          <w:sz w:val="24"/>
          <w:szCs w:val="24"/>
          <w:shd w:val="clear" w:color="auto" w:fill="FBFBFB"/>
        </w:rPr>
        <w:t xml:space="preserve"> Gardner, J. (2009) </w:t>
      </w:r>
      <w:r w:rsidRPr="006356C6">
        <w:rPr>
          <w:rFonts w:ascii="Arial" w:hAnsi="Arial" w:cs="Arial"/>
          <w:sz w:val="24"/>
          <w:szCs w:val="24"/>
          <w:shd w:val="clear" w:color="auto" w:fill="FBFBFB"/>
        </w:rPr>
        <w:t>expressed that the word is now ‘fanciful’ and that there are more precise ways of expressing the meaning of the word; in the</w:t>
      </w:r>
      <w:r w:rsidR="00C92418" w:rsidRPr="006356C6">
        <w:rPr>
          <w:rFonts w:ascii="Arial" w:hAnsi="Arial" w:cs="Arial"/>
          <w:sz w:val="24"/>
          <w:szCs w:val="24"/>
          <w:shd w:val="clear" w:color="auto" w:fill="FBFBFB"/>
        </w:rPr>
        <w:t xml:space="preserve"> 'R v Cunningham' (1981)</w:t>
      </w:r>
      <w:r w:rsidRPr="006356C6">
        <w:rPr>
          <w:rFonts w:ascii="Arial" w:hAnsi="Arial" w:cs="Arial"/>
          <w:sz w:val="24"/>
          <w:szCs w:val="24"/>
          <w:shd w:val="clear" w:color="auto" w:fill="FBFBFB"/>
        </w:rPr>
        <w:t>,</w:t>
      </w:r>
      <w:r w:rsidRPr="006356C6">
        <w:rPr>
          <w:rFonts w:ascii="Arial" w:hAnsi="Arial" w:cs="Arial"/>
          <w:i/>
          <w:iCs/>
          <w:sz w:val="24"/>
          <w:szCs w:val="24"/>
          <w:shd w:val="clear" w:color="auto" w:fill="FBFBFB"/>
        </w:rPr>
        <w:t xml:space="preserve"> </w:t>
      </w:r>
      <w:r w:rsidRPr="006356C6">
        <w:rPr>
          <w:rFonts w:ascii="Arial" w:hAnsi="Arial" w:cs="Arial"/>
          <w:sz w:val="24"/>
          <w:szCs w:val="24"/>
          <w:shd w:val="clear" w:color="auto" w:fill="FBFBFB"/>
        </w:rPr>
        <w:t>the judge had misinformed the jury of the definition of malicious within the act by using the word ‘wicked’’, despite this the mens rea was whether the defendant had intent to cause harm and subject recklessness. In the case</w:t>
      </w:r>
      <w:r w:rsidR="00854191" w:rsidRPr="006356C6">
        <w:rPr>
          <w:rFonts w:ascii="Arial" w:hAnsi="Arial" w:cs="Arial"/>
          <w:sz w:val="24"/>
          <w:szCs w:val="24"/>
          <w:shd w:val="clear" w:color="auto" w:fill="FBFBFB"/>
        </w:rPr>
        <w:t xml:space="preserve"> </w:t>
      </w:r>
      <w:r w:rsidR="00854191" w:rsidRPr="006356C6">
        <w:rPr>
          <w:rFonts w:ascii="Arial" w:hAnsi="Arial" w:cs="Arial"/>
          <w:i/>
          <w:iCs/>
          <w:sz w:val="24"/>
          <w:szCs w:val="24"/>
          <w:shd w:val="clear" w:color="auto" w:fill="FBFBFB"/>
        </w:rPr>
        <w:t>'</w:t>
      </w:r>
      <w:r w:rsidR="00854191" w:rsidRPr="006356C6">
        <w:rPr>
          <w:rFonts w:ascii="Arial" w:hAnsi="Arial" w:cs="Arial"/>
          <w:sz w:val="24"/>
          <w:szCs w:val="24"/>
          <w:shd w:val="clear" w:color="auto" w:fill="FBFBFB"/>
        </w:rPr>
        <w:t>R v Savage, R v Parmenter' (1991)</w:t>
      </w:r>
      <w:r w:rsidRPr="006356C6">
        <w:rPr>
          <w:rFonts w:ascii="Arial" w:hAnsi="Arial" w:cs="Arial"/>
          <w:sz w:val="24"/>
          <w:szCs w:val="24"/>
          <w:shd w:val="clear" w:color="auto" w:fill="FBFBFB"/>
        </w:rPr>
        <w:t>, it was established that the defendant only had to see some level of harm for them to be responsible for any level of harm they inflicted.</w:t>
      </w:r>
      <w:r w:rsidRPr="006356C6">
        <w:rPr>
          <w:rFonts w:ascii="Arial" w:hAnsi="Arial" w:cs="Arial"/>
          <w:i/>
          <w:iCs/>
          <w:sz w:val="24"/>
          <w:szCs w:val="24"/>
          <w:shd w:val="clear" w:color="auto" w:fill="FBFBFB"/>
        </w:rPr>
        <w:t xml:space="preserve"> </w:t>
      </w:r>
      <w:r w:rsidRPr="006356C6">
        <w:rPr>
          <w:rFonts w:ascii="Arial" w:hAnsi="Arial" w:cs="Arial"/>
          <w:sz w:val="24"/>
          <w:szCs w:val="24"/>
          <w:shd w:val="clear" w:color="auto" w:fill="FBFBFB"/>
        </w:rPr>
        <w:t>Taylor, L. (2018)</w:t>
      </w:r>
      <w:r w:rsidRPr="006356C6">
        <w:rPr>
          <w:rFonts w:ascii="Arial" w:hAnsi="Arial" w:cs="Arial"/>
          <w:i/>
          <w:iCs/>
          <w:sz w:val="24"/>
          <w:szCs w:val="24"/>
          <w:shd w:val="clear" w:color="auto" w:fill="FBFBFB"/>
        </w:rPr>
        <w:t xml:space="preserve"> </w:t>
      </w:r>
      <w:r w:rsidRPr="006356C6">
        <w:rPr>
          <w:rFonts w:ascii="Arial" w:hAnsi="Arial" w:cs="Arial"/>
          <w:sz w:val="24"/>
          <w:szCs w:val="24"/>
          <w:shd w:val="clear" w:color="auto" w:fill="FBFBFB"/>
        </w:rPr>
        <w:t xml:space="preserve">distinguished a difference in the mens rea for section 18, which is the intent to cause GBH, whereas the mens rea for section 20 is the intention to cause any amount of </w:t>
      </w:r>
      <w:r w:rsidR="00755756" w:rsidRPr="006356C6">
        <w:rPr>
          <w:rFonts w:ascii="Arial" w:hAnsi="Arial" w:cs="Arial"/>
          <w:sz w:val="24"/>
          <w:szCs w:val="24"/>
          <w:shd w:val="clear" w:color="auto" w:fill="FBFBFB"/>
        </w:rPr>
        <w:t>harm.</w:t>
      </w:r>
      <w:r w:rsidRPr="006356C6">
        <w:rPr>
          <w:rFonts w:ascii="Arial" w:hAnsi="Arial" w:cs="Arial"/>
          <w:sz w:val="24"/>
          <w:szCs w:val="24"/>
          <w:shd w:val="clear" w:color="auto" w:fill="FBFBFB"/>
        </w:rPr>
        <w:t xml:space="preserve"> The actus reas for the two offences can also be unclear due to the word cause in section 18 and inflict in s.20.</w:t>
      </w:r>
    </w:p>
    <w:p w14:paraId="3695396A" w14:textId="77777777" w:rsidR="001F5432" w:rsidRPr="006356C6" w:rsidRDefault="001F5432" w:rsidP="00DA734E">
      <w:pPr>
        <w:spacing w:after="0" w:line="480" w:lineRule="auto"/>
        <w:rPr>
          <w:rFonts w:ascii="Arial" w:hAnsi="Arial" w:cs="Arial"/>
          <w:i/>
          <w:iCs/>
          <w:sz w:val="24"/>
          <w:szCs w:val="24"/>
          <w:shd w:val="clear" w:color="auto" w:fill="FBFBFB"/>
        </w:rPr>
      </w:pPr>
    </w:p>
    <w:p w14:paraId="0F59C318" w14:textId="7284EC4F" w:rsidR="005F055C" w:rsidRPr="006356C6" w:rsidRDefault="00A23AF6" w:rsidP="00DA734E">
      <w:pPr>
        <w:spacing w:after="0" w:line="480" w:lineRule="auto"/>
        <w:rPr>
          <w:rFonts w:ascii="Arial" w:hAnsi="Arial" w:cs="Arial"/>
          <w:sz w:val="24"/>
          <w:szCs w:val="24"/>
        </w:rPr>
      </w:pPr>
      <w:r w:rsidRPr="006356C6">
        <w:rPr>
          <w:rStyle w:val="Emphasis"/>
          <w:rFonts w:ascii="Arial" w:hAnsi="Arial" w:cs="Arial"/>
          <w:sz w:val="24"/>
          <w:szCs w:val="24"/>
        </w:rPr>
        <w:t>The offences against the Person Act 1861 </w:t>
      </w:r>
      <w:r w:rsidRPr="006356C6">
        <w:rPr>
          <w:rFonts w:ascii="Arial" w:hAnsi="Arial" w:cs="Arial"/>
          <w:sz w:val="24"/>
          <w:szCs w:val="24"/>
        </w:rPr>
        <w:t xml:space="preserve">is outdated and did not account for psychiatric injury; </w:t>
      </w:r>
      <w:r w:rsidR="006B6A12" w:rsidRPr="006356C6">
        <w:rPr>
          <w:rFonts w:ascii="Arial" w:hAnsi="Arial" w:cs="Arial"/>
          <w:sz w:val="24"/>
          <w:szCs w:val="24"/>
        </w:rPr>
        <w:t xml:space="preserve">'R v Burstow' (1997) </w:t>
      </w:r>
      <w:r w:rsidRPr="006356C6">
        <w:rPr>
          <w:rFonts w:ascii="Arial" w:hAnsi="Arial" w:cs="Arial"/>
          <w:sz w:val="24"/>
          <w:szCs w:val="24"/>
        </w:rPr>
        <w:t xml:space="preserve">determined that the term 'inflicted' (section 20) did not have to imply physical force was applied and the defendant had to be the causality of the injury for them to be charged with actual bodily harm emphasising that psychiatric injury will suffice the actus rea for actual bodily harm. Lord Steyn (1997) expressed that society would have lacked knowledge surrounding psychiatric injury in 1861, and they would not have considered putting it into legislation; this </w:t>
      </w:r>
      <w:r w:rsidRPr="006356C6">
        <w:rPr>
          <w:rFonts w:ascii="Arial" w:hAnsi="Arial" w:cs="Arial"/>
          <w:sz w:val="24"/>
          <w:szCs w:val="24"/>
        </w:rPr>
        <w:lastRenderedPageBreak/>
        <w:t>depicts the need for new legislation in modern society and that the offences against the person act is no longer suitable, the world has evolved and knows more than ever before. Legislation should be amended to keep pace with society and knowledge discovered since 1861; in addition, 'R v Dhaliwal' (2006) displayed that psychiatric illness needs to be recognised. A diagnosed clinical condition may be an issue where the victim is no longer alive due to there being no evidence of the psychiatric condition(s) to present in court.</w:t>
      </w:r>
    </w:p>
    <w:p w14:paraId="28C789B8" w14:textId="77777777" w:rsidR="00A23AF6" w:rsidRPr="006356C6" w:rsidRDefault="00A23AF6" w:rsidP="00DA734E">
      <w:pPr>
        <w:spacing w:after="0" w:line="480" w:lineRule="auto"/>
        <w:rPr>
          <w:rFonts w:ascii="Arial" w:hAnsi="Arial" w:cs="Arial"/>
          <w:sz w:val="24"/>
          <w:szCs w:val="24"/>
          <w:shd w:val="clear" w:color="auto" w:fill="FBFBFB"/>
        </w:rPr>
      </w:pPr>
    </w:p>
    <w:p w14:paraId="6600F30E" w14:textId="505B4E78" w:rsidR="00C10767" w:rsidRPr="006356C6" w:rsidRDefault="00A97B51" w:rsidP="00DA734E">
      <w:pPr>
        <w:spacing w:after="0" w:line="480" w:lineRule="auto"/>
        <w:rPr>
          <w:rFonts w:ascii="Arial" w:hAnsi="Arial" w:cs="Arial"/>
          <w:bCs/>
          <w:sz w:val="24"/>
          <w:szCs w:val="24"/>
        </w:rPr>
      </w:pPr>
      <w:r w:rsidRPr="006356C6">
        <w:rPr>
          <w:rFonts w:ascii="Arial" w:hAnsi="Arial" w:cs="Arial"/>
          <w:bCs/>
          <w:sz w:val="24"/>
          <w:szCs w:val="24"/>
        </w:rPr>
        <w:t>Similarly, there is a lack of legislation regarding sexually transmitted diseases; however, in the 'R v Dica' (2004) case, the defendant was charged with grievous bodily harm after knowingly affecting two women with HIV; this was considered reckless and met the mens rea for the offence, displaying that through case law, defendants can be prosecuted. In addition, Eugenicos, A. (2017) highlights that the case law is not developed enough and that many medical experts and charities about HIV have a growing concern about the unintentional transfer of the disease and the charity UNAIDS has recommended that the person should not be held liable if they unknowingly transferred the disease, there is also risk that by sexually transmitted diseases being criminalised, they could become stigmatised. On the one hand, people who recklessly transmit the disease knowingly should be prosecuted; however, if criminalising the transmission encourages stigma and any adverse effects on the victims, it should not proceed; there needs to be separate legislation to protect the victims while also protecting the people who have this disease.</w:t>
      </w:r>
    </w:p>
    <w:p w14:paraId="3D8C2606" w14:textId="77777777" w:rsidR="00A97B51" w:rsidRPr="006356C6" w:rsidRDefault="00A97B51" w:rsidP="00DA734E">
      <w:pPr>
        <w:spacing w:after="0" w:line="480" w:lineRule="auto"/>
        <w:rPr>
          <w:rFonts w:ascii="Arial" w:hAnsi="Arial" w:cs="Arial"/>
          <w:bCs/>
          <w:sz w:val="24"/>
          <w:szCs w:val="24"/>
        </w:rPr>
      </w:pPr>
    </w:p>
    <w:p w14:paraId="78E9F454" w14:textId="647A838C" w:rsidR="00FB5B06" w:rsidRPr="006356C6" w:rsidRDefault="00142969" w:rsidP="00DA734E">
      <w:pPr>
        <w:spacing w:after="0" w:line="480" w:lineRule="auto"/>
        <w:rPr>
          <w:rFonts w:ascii="Arial" w:hAnsi="Arial" w:cs="Arial"/>
          <w:sz w:val="24"/>
          <w:szCs w:val="24"/>
        </w:rPr>
      </w:pPr>
      <w:r w:rsidRPr="006356C6">
        <w:rPr>
          <w:rFonts w:ascii="Arial" w:hAnsi="Arial" w:cs="Arial"/>
          <w:sz w:val="24"/>
          <w:szCs w:val="24"/>
        </w:rPr>
        <w:t xml:space="preserve">Another argument many have made is that the act includes outdated offences that are no longer necessary in modern society; Jefferson, M. (2012) contends that many </w:t>
      </w:r>
      <w:r w:rsidRPr="006356C6">
        <w:rPr>
          <w:rFonts w:ascii="Arial" w:hAnsi="Arial" w:cs="Arial"/>
          <w:sz w:val="24"/>
          <w:szCs w:val="24"/>
        </w:rPr>
        <w:lastRenderedPageBreak/>
        <w:t>offences are no longer required, for instance, impending a person endeavouring to escape a shipwreck, penal servitude with hard labour and whipping as disciplines, he goes onto declare that these sanctions emphasise the era the act was composed. These outdated acts and punishments exemplify the dire need for new legislation; the act is obsolete and does not align with society's beliefs today. However, some may say that these acts should be preserved for their history and kept exclusively based on tradition; it could be regarded as if there is no usage for the legislation. What is the purpose of removing them?</w:t>
      </w:r>
    </w:p>
    <w:p w14:paraId="1A795A80" w14:textId="77777777" w:rsidR="00142969" w:rsidRPr="006356C6" w:rsidRDefault="00142969" w:rsidP="00DA734E">
      <w:pPr>
        <w:spacing w:after="0" w:line="480" w:lineRule="auto"/>
        <w:rPr>
          <w:rFonts w:ascii="Arial" w:hAnsi="Arial" w:cs="Arial"/>
          <w:sz w:val="24"/>
          <w:szCs w:val="24"/>
        </w:rPr>
      </w:pPr>
    </w:p>
    <w:p w14:paraId="76DC3FED" w14:textId="61FA445A" w:rsidR="00146C83" w:rsidRPr="006356C6" w:rsidRDefault="00B93348" w:rsidP="00DA734E">
      <w:pPr>
        <w:spacing w:after="0" w:line="480" w:lineRule="auto"/>
        <w:rPr>
          <w:rFonts w:ascii="Arial" w:hAnsi="Arial" w:cs="Arial"/>
          <w:sz w:val="24"/>
          <w:szCs w:val="24"/>
          <w:shd w:val="clear" w:color="auto" w:fill="FBFBFB"/>
        </w:rPr>
      </w:pPr>
      <w:r w:rsidRPr="006356C6">
        <w:rPr>
          <w:rFonts w:ascii="Arial" w:hAnsi="Arial" w:cs="Arial"/>
          <w:sz w:val="24"/>
          <w:szCs w:val="24"/>
          <w:shd w:val="clear" w:color="auto" w:fill="FBFBFB"/>
        </w:rPr>
        <w:t>Finally, there is an indefinite hierarchy of offences within the act. Demetriou, S. (2016) discussed that section 20 (GBH) and section 47 (ABH) share the same maximum sentence, which makes it challenging to distinguish which offence is more serious. Moreover, the 'DPP v Smith' (1961) case highlights that 'grievous' means really serious, illustrating that GBH is a more severe offence than ABH. Whether the defendant can be prosecuted with GBH can be determined by assessing the harm to the victim and their characteristics, as the case of 'R v Bollom' (2003) demonstrated that violence to a baby will be more detrimental compared to an adult. Macdonald, S.K. (2018) discussed that with the word wounding, it could become difficult to distinguish how severe the injury the defendant caused was; the degree of wounding can scale from minor to life-threatening; however, the vagueness of the term can make it difficult to determine whether an offence falls under section 20 or 18.</w:t>
      </w:r>
    </w:p>
    <w:p w14:paraId="55A87DF0" w14:textId="77777777" w:rsidR="00835AF7" w:rsidRDefault="00835AF7" w:rsidP="00DA734E">
      <w:pPr>
        <w:spacing w:after="0" w:line="480" w:lineRule="auto"/>
        <w:rPr>
          <w:rFonts w:ascii="Arial" w:hAnsi="Arial" w:cs="Arial"/>
          <w:sz w:val="24"/>
          <w:szCs w:val="24"/>
          <w:shd w:val="clear" w:color="auto" w:fill="FBFBFB"/>
        </w:rPr>
      </w:pPr>
    </w:p>
    <w:p w14:paraId="2E010BFF" w14:textId="7DA59DED" w:rsidR="0049331D" w:rsidRPr="006356C6" w:rsidRDefault="00854F70" w:rsidP="00DA734E">
      <w:pPr>
        <w:spacing w:after="0" w:line="480" w:lineRule="auto"/>
        <w:rPr>
          <w:rFonts w:ascii="Arial" w:hAnsi="Arial" w:cs="Arial"/>
          <w:sz w:val="24"/>
          <w:szCs w:val="24"/>
          <w:shd w:val="clear" w:color="auto" w:fill="FBFBFB"/>
        </w:rPr>
      </w:pPr>
      <w:r w:rsidRPr="006356C6">
        <w:rPr>
          <w:rFonts w:ascii="Arial" w:hAnsi="Arial" w:cs="Arial"/>
          <w:sz w:val="24"/>
          <w:szCs w:val="24"/>
          <w:shd w:val="clear" w:color="auto" w:fill="FBFBFB"/>
        </w:rPr>
        <w:t xml:space="preserve">There have been attempts to reform the offences against the Person Act, such as the Law Commission report, the law commissions primary aim was to alter the current law for it to have more simple, modern language and a clear hierarchy of </w:t>
      </w:r>
      <w:r w:rsidRPr="006356C6">
        <w:rPr>
          <w:rFonts w:ascii="Arial" w:hAnsi="Arial" w:cs="Arial"/>
          <w:sz w:val="24"/>
          <w:szCs w:val="24"/>
          <w:shd w:val="clear" w:color="auto" w:fill="FBFBFB"/>
        </w:rPr>
        <w:lastRenderedPageBreak/>
        <w:t>offences; the law commission sent out a SCP, 28 out of 32 respondents supported reforming the offences against the person act</w:t>
      </w:r>
      <w:r w:rsidR="00A809CB" w:rsidRPr="006356C6">
        <w:rPr>
          <w:rFonts w:ascii="Arial" w:hAnsi="Arial" w:cs="Arial"/>
          <w:sz w:val="24"/>
          <w:szCs w:val="24"/>
          <w:shd w:val="clear" w:color="auto" w:fill="FBFBFB"/>
        </w:rPr>
        <w:t xml:space="preserve">, this indicates that </w:t>
      </w:r>
      <w:r w:rsidR="00EE5D89" w:rsidRPr="006356C6">
        <w:rPr>
          <w:rFonts w:ascii="Arial" w:hAnsi="Arial" w:cs="Arial"/>
          <w:sz w:val="24"/>
          <w:szCs w:val="24"/>
          <w:shd w:val="clear" w:color="auto" w:fill="FBFBFB"/>
        </w:rPr>
        <w:t>4 individuals saw no issues with the current act</w:t>
      </w:r>
      <w:r w:rsidRPr="006356C6">
        <w:rPr>
          <w:rFonts w:ascii="Arial" w:hAnsi="Arial" w:cs="Arial"/>
          <w:sz w:val="24"/>
          <w:szCs w:val="24"/>
          <w:shd w:val="clear" w:color="auto" w:fill="FBFBFB"/>
        </w:rPr>
        <w:t>. They then go on to note different ways the act could be reformed, for instance, retaining the act but revamping the language that is used; this would mean removing the use of the word 'felony' 'misdemeanour and other outdated words and stating the correct sentences in each section of the act. The next option would be to replace the entire act, and the government would have to create a new statute; they go on to discuss that the main argument against the reform of the act is how difficult it would be to form new legislation, which suggests it could result in new errors. Within the law commission report, there is a draft bill that contains multiple things like removing the word 'wounding' from sections 18 and 20, changing the sentencing from 5 years to 7 years in section 20 and revising the wording for each section to make it more precise, for instance, switching 'wounding or causing grievous bodily harm' to causing serious injury and modifying 'assault occasioning bodily harm' to intentionally or causing injury. The bill presents the men's rea within each section; the sentencing and men's rea of each offence also help highlight an apparent hierarchy.</w:t>
      </w:r>
    </w:p>
    <w:p w14:paraId="26934B7D" w14:textId="77777777" w:rsidR="00835AF7" w:rsidRDefault="00835AF7" w:rsidP="00DA734E">
      <w:pPr>
        <w:spacing w:after="0" w:line="480" w:lineRule="auto"/>
        <w:rPr>
          <w:rFonts w:ascii="Arial" w:hAnsi="Arial" w:cs="Arial"/>
          <w:sz w:val="24"/>
          <w:szCs w:val="24"/>
          <w:shd w:val="clear" w:color="auto" w:fill="FBFBFB"/>
        </w:rPr>
      </w:pPr>
    </w:p>
    <w:p w14:paraId="0343B3E8" w14:textId="24FBB6FF" w:rsidR="00835AF7" w:rsidRDefault="006356C6" w:rsidP="00DA734E">
      <w:pPr>
        <w:spacing w:after="0" w:line="480" w:lineRule="auto"/>
        <w:rPr>
          <w:rFonts w:ascii="Arial" w:hAnsi="Arial" w:cs="Arial"/>
          <w:sz w:val="24"/>
          <w:szCs w:val="24"/>
          <w:shd w:val="clear" w:color="auto" w:fill="FBFBFB"/>
        </w:rPr>
      </w:pPr>
      <w:r w:rsidRPr="006356C6">
        <w:rPr>
          <w:rFonts w:ascii="Arial" w:hAnsi="Arial" w:cs="Arial"/>
          <w:sz w:val="24"/>
          <w:szCs w:val="24"/>
          <w:shd w:val="clear" w:color="auto" w:fill="FBFBFB"/>
        </w:rPr>
        <w:t xml:space="preserve">In conclusion, this paper set out to establish whether the Offences Against the Person Act 1861 is suitable for modern society. The research has shown that the act is deficient and requires reform; this is due to the unclear hierarchy of offences, the unprecise and archaic wording, unclear mens rea, the outdated offences within the act, the lack of offences that relate to present-day knowledge, i.e. psychiatric illness and sexually transmitted diseases and the sheer dependence on case law. The proposed bill proposed by the law commission highlighted that many acquisitions are </w:t>
      </w:r>
      <w:r w:rsidRPr="006356C6">
        <w:rPr>
          <w:rFonts w:ascii="Arial" w:hAnsi="Arial" w:cs="Arial"/>
          <w:sz w:val="24"/>
          <w:szCs w:val="24"/>
          <w:shd w:val="clear" w:color="auto" w:fill="FBFBFB"/>
        </w:rPr>
        <w:lastRenderedPageBreak/>
        <w:t>required to make it applicable in the modern day. This implies that a new statute may be more efficient today despite the risk of mistakes.</w:t>
      </w:r>
    </w:p>
    <w:p w14:paraId="67A814FF" w14:textId="77777777" w:rsidR="00835AF7" w:rsidRDefault="00835AF7">
      <w:pPr>
        <w:rPr>
          <w:rFonts w:ascii="Arial" w:hAnsi="Arial" w:cs="Arial"/>
          <w:sz w:val="24"/>
          <w:szCs w:val="24"/>
          <w:shd w:val="clear" w:color="auto" w:fill="FBFBFB"/>
        </w:rPr>
      </w:pPr>
      <w:r>
        <w:rPr>
          <w:rFonts w:ascii="Arial" w:hAnsi="Arial" w:cs="Arial"/>
          <w:sz w:val="24"/>
          <w:szCs w:val="24"/>
          <w:shd w:val="clear" w:color="auto" w:fill="FBFBFB"/>
        </w:rPr>
        <w:br w:type="page"/>
      </w:r>
    </w:p>
    <w:p w14:paraId="53D4C7A4" w14:textId="09D89D30" w:rsidR="00EF00FD" w:rsidRDefault="00835AF7" w:rsidP="00DA734E">
      <w:pPr>
        <w:spacing w:after="0" w:line="480" w:lineRule="auto"/>
        <w:rPr>
          <w:rFonts w:ascii="Arial" w:hAnsi="Arial" w:cs="Arial"/>
          <w:b/>
          <w:bCs/>
          <w:sz w:val="24"/>
          <w:szCs w:val="24"/>
          <w:u w:val="single"/>
          <w:shd w:val="clear" w:color="auto" w:fill="FBFBFB"/>
        </w:rPr>
      </w:pPr>
      <w:r w:rsidRPr="001942C5">
        <w:rPr>
          <w:rFonts w:ascii="Arial" w:hAnsi="Arial" w:cs="Arial"/>
          <w:b/>
          <w:bCs/>
          <w:sz w:val="24"/>
          <w:szCs w:val="24"/>
          <w:u w:val="single"/>
          <w:shd w:val="clear" w:color="auto" w:fill="FBFBFB"/>
        </w:rPr>
        <w:lastRenderedPageBreak/>
        <w:t>Bibliography</w:t>
      </w:r>
    </w:p>
    <w:p w14:paraId="2251F481" w14:textId="77777777" w:rsidR="001942C5" w:rsidRDefault="001942C5" w:rsidP="00DA734E">
      <w:pPr>
        <w:spacing w:after="0" w:line="480" w:lineRule="auto"/>
        <w:rPr>
          <w:rFonts w:ascii="Arial" w:hAnsi="Arial" w:cs="Arial"/>
          <w:b/>
          <w:bCs/>
          <w:sz w:val="24"/>
          <w:szCs w:val="24"/>
          <w:u w:val="single"/>
          <w:shd w:val="clear" w:color="auto" w:fill="FBFBFB"/>
        </w:rPr>
      </w:pPr>
    </w:p>
    <w:p w14:paraId="47068ABC" w14:textId="48CB4AED" w:rsidR="001D5814" w:rsidRPr="00697808" w:rsidRDefault="001D5814" w:rsidP="001D5814">
      <w:pPr>
        <w:rPr>
          <w:rFonts w:ascii="Arial" w:hAnsi="Arial" w:cs="Arial"/>
          <w:bCs/>
          <w:i/>
          <w:iCs/>
          <w:sz w:val="24"/>
          <w:szCs w:val="24"/>
        </w:rPr>
      </w:pPr>
      <w:r w:rsidRPr="00200391">
        <w:rPr>
          <w:rFonts w:ascii="Arial" w:hAnsi="Arial" w:cs="Arial"/>
          <w:bCs/>
          <w:i/>
          <w:iCs/>
          <w:sz w:val="24"/>
          <w:szCs w:val="24"/>
        </w:rPr>
        <w:t xml:space="preserve">Criminal Justice Act 1988, c. 33 </w:t>
      </w:r>
      <w:r w:rsidR="00697808">
        <w:rPr>
          <w:rFonts w:ascii="Arial" w:hAnsi="Arial" w:cs="Arial"/>
          <w:bCs/>
          <w:i/>
          <w:iCs/>
          <w:sz w:val="24"/>
          <w:szCs w:val="24"/>
        </w:rPr>
        <w:t xml:space="preserve"> </w:t>
      </w:r>
      <w:r w:rsidRPr="00200391">
        <w:rPr>
          <w:rFonts w:ascii="Arial" w:hAnsi="Arial" w:cs="Arial"/>
          <w:bCs/>
          <w:sz w:val="24"/>
          <w:szCs w:val="24"/>
        </w:rPr>
        <w:t>Available at: https://www.legislation.gov.uk/ukpga/1988/33/contents</w:t>
      </w:r>
    </w:p>
    <w:p w14:paraId="36919578" w14:textId="77777777" w:rsidR="001942C5" w:rsidRDefault="001942C5" w:rsidP="00DA734E">
      <w:pPr>
        <w:spacing w:after="0" w:line="480" w:lineRule="auto"/>
        <w:rPr>
          <w:rFonts w:ascii="Arial" w:hAnsi="Arial" w:cs="Arial"/>
          <w:b/>
          <w:bCs/>
          <w:sz w:val="24"/>
          <w:szCs w:val="24"/>
          <w:u w:val="single"/>
          <w:shd w:val="clear" w:color="auto" w:fill="FBFBFB"/>
        </w:rPr>
      </w:pPr>
    </w:p>
    <w:p w14:paraId="1B030847" w14:textId="743D2795" w:rsidR="00200391" w:rsidRDefault="00200391" w:rsidP="00DA734E">
      <w:pPr>
        <w:spacing w:after="0" w:line="480" w:lineRule="auto"/>
        <w:rPr>
          <w:rFonts w:ascii="Arial" w:hAnsi="Arial" w:cs="Arial"/>
          <w:sz w:val="24"/>
          <w:szCs w:val="24"/>
          <w:shd w:val="clear" w:color="auto" w:fill="FBFBFB"/>
        </w:rPr>
      </w:pPr>
      <w:r w:rsidRPr="00200391">
        <w:rPr>
          <w:rFonts w:ascii="Arial" w:hAnsi="Arial" w:cs="Arial"/>
          <w:sz w:val="24"/>
          <w:szCs w:val="24"/>
          <w:shd w:val="clear" w:color="auto" w:fill="FBFBFB"/>
        </w:rPr>
        <w:t xml:space="preserve">Demetriou, S. (2016) 'Not Giving Up the Fight: A Review of the Law Commission's Scoping Report on Non-fatal Offences Against the Person', </w:t>
      </w:r>
      <w:r w:rsidRPr="005F0C28">
        <w:rPr>
          <w:rFonts w:ascii="Arial" w:hAnsi="Arial" w:cs="Arial"/>
          <w:i/>
          <w:iCs/>
          <w:sz w:val="24"/>
          <w:szCs w:val="24"/>
          <w:shd w:val="clear" w:color="auto" w:fill="FBFBFB"/>
        </w:rPr>
        <w:t>Journal of criminal law,</w:t>
      </w:r>
      <w:r w:rsidRPr="00200391">
        <w:rPr>
          <w:rFonts w:ascii="Arial" w:hAnsi="Arial" w:cs="Arial"/>
          <w:sz w:val="24"/>
          <w:szCs w:val="24"/>
          <w:shd w:val="clear" w:color="auto" w:fill="FBFBFB"/>
        </w:rPr>
        <w:t xml:space="preserve"> 80(3) Available at: https://plus-lexis-com.ezproxy.uwtsd.ac.uk/uk/analytical-materials-uk/not-giving-up-the-fight-a-review-of-the-law-c?crid=7b08e69d-a43b-47f0-a181-6e522b2f3292 (Accessed on:07/03/2024)</w:t>
      </w:r>
    </w:p>
    <w:p w14:paraId="3240BB75" w14:textId="77777777" w:rsidR="0059086C" w:rsidRDefault="0059086C" w:rsidP="00DA734E">
      <w:pPr>
        <w:spacing w:after="0" w:line="480" w:lineRule="auto"/>
        <w:rPr>
          <w:rFonts w:ascii="Arial" w:hAnsi="Arial" w:cs="Arial"/>
          <w:sz w:val="24"/>
          <w:szCs w:val="24"/>
          <w:shd w:val="clear" w:color="auto" w:fill="FBFBFB"/>
        </w:rPr>
      </w:pPr>
    </w:p>
    <w:p w14:paraId="2C360890" w14:textId="77777777" w:rsidR="0059086C" w:rsidRPr="0059086C" w:rsidRDefault="0059086C" w:rsidP="0059086C">
      <w:pPr>
        <w:spacing w:after="0" w:line="480" w:lineRule="auto"/>
        <w:rPr>
          <w:rFonts w:ascii="Arial" w:hAnsi="Arial" w:cs="Arial"/>
          <w:sz w:val="24"/>
          <w:szCs w:val="24"/>
          <w:shd w:val="clear" w:color="auto" w:fill="FBFBFB"/>
        </w:rPr>
      </w:pPr>
      <w:r w:rsidRPr="0059086C">
        <w:rPr>
          <w:rFonts w:ascii="Arial" w:hAnsi="Arial" w:cs="Arial"/>
          <w:sz w:val="24"/>
          <w:szCs w:val="24"/>
          <w:shd w:val="clear" w:color="auto" w:fill="FBFBFB"/>
        </w:rPr>
        <w:t xml:space="preserve">Eugenicos, A. (2017) 'Should We Reform the Offences Against the Person Act 1861?', </w:t>
      </w:r>
      <w:r w:rsidRPr="0059086C">
        <w:rPr>
          <w:rFonts w:ascii="Arial" w:hAnsi="Arial" w:cs="Arial"/>
          <w:i/>
          <w:iCs/>
          <w:sz w:val="24"/>
          <w:szCs w:val="24"/>
          <w:shd w:val="clear" w:color="auto" w:fill="FBFBFB"/>
        </w:rPr>
        <w:t>Journal of criminal law</w:t>
      </w:r>
      <w:r w:rsidRPr="0059086C">
        <w:rPr>
          <w:rFonts w:ascii="Arial" w:hAnsi="Arial" w:cs="Arial"/>
          <w:sz w:val="24"/>
          <w:szCs w:val="24"/>
          <w:shd w:val="clear" w:color="auto" w:fill="FBFBFB"/>
        </w:rPr>
        <w:t>, 81(26), Available at: https://plus-lexis-com.ezproxy.uwtsd.ac.uk/uk/analytical-materials-uk/should-we-reform-the-offences-against-the-per?crid=6825f560-fe74-487a-8aa7-b8ac107e2336&amp;pdproductcontenttypeid=urn:pct:241&amp;pdiskwicview=false&amp;pdpinpoint= (Accessed on:06/03/2024)</w:t>
      </w:r>
    </w:p>
    <w:p w14:paraId="3C40C6C1" w14:textId="77777777" w:rsidR="0059086C" w:rsidRDefault="0059086C" w:rsidP="00DA734E">
      <w:pPr>
        <w:spacing w:after="0" w:line="480" w:lineRule="auto"/>
        <w:rPr>
          <w:rFonts w:ascii="Arial" w:hAnsi="Arial" w:cs="Arial"/>
          <w:sz w:val="24"/>
          <w:szCs w:val="24"/>
          <w:shd w:val="clear" w:color="auto" w:fill="FBFBFB"/>
        </w:rPr>
      </w:pPr>
    </w:p>
    <w:p w14:paraId="58E6EBB4" w14:textId="77777777" w:rsidR="00F1408F" w:rsidRPr="00F1408F" w:rsidRDefault="00F1408F" w:rsidP="00F1408F">
      <w:pPr>
        <w:spacing w:after="0" w:line="480" w:lineRule="auto"/>
        <w:rPr>
          <w:rFonts w:ascii="Arial" w:hAnsi="Arial" w:cs="Arial"/>
          <w:bCs/>
          <w:sz w:val="24"/>
          <w:szCs w:val="24"/>
          <w:shd w:val="clear" w:color="auto" w:fill="FBFBFB"/>
        </w:rPr>
      </w:pPr>
      <w:r w:rsidRPr="00F1408F">
        <w:rPr>
          <w:rFonts w:ascii="Arial" w:hAnsi="Arial" w:cs="Arial"/>
          <w:bCs/>
          <w:sz w:val="24"/>
          <w:szCs w:val="24"/>
          <w:shd w:val="clear" w:color="auto" w:fill="FBFBFB"/>
        </w:rPr>
        <w:t xml:space="preserve">Gardner, J. (2009) 'Rationality and the Rule of Law in Offences Against the Person', </w:t>
      </w:r>
      <w:r w:rsidRPr="00F1408F">
        <w:rPr>
          <w:rFonts w:ascii="Arial" w:hAnsi="Arial" w:cs="Arial"/>
          <w:bCs/>
          <w:i/>
          <w:iCs/>
          <w:sz w:val="24"/>
          <w:szCs w:val="24"/>
          <w:shd w:val="clear" w:color="auto" w:fill="FBFBFB"/>
        </w:rPr>
        <w:t>The Cambridge Law Journal</w:t>
      </w:r>
      <w:r w:rsidRPr="00F1408F">
        <w:rPr>
          <w:rFonts w:ascii="Arial" w:hAnsi="Arial" w:cs="Arial"/>
          <w:bCs/>
          <w:sz w:val="24"/>
          <w:szCs w:val="24"/>
          <w:shd w:val="clear" w:color="auto" w:fill="FBFBFB"/>
        </w:rPr>
        <w:t>, 53(3). Available at:</w:t>
      </w:r>
      <w:r w:rsidRPr="00F1408F">
        <w:rPr>
          <w:rFonts w:ascii="Arial" w:hAnsi="Arial" w:cs="Arial"/>
          <w:sz w:val="24"/>
          <w:szCs w:val="24"/>
          <w:shd w:val="clear" w:color="auto" w:fill="FBFBFB"/>
        </w:rPr>
        <w:t xml:space="preserve"> </w:t>
      </w:r>
      <w:hyperlink r:id="rId7" w:history="1">
        <w:r w:rsidRPr="00F1408F">
          <w:rPr>
            <w:rStyle w:val="Hyperlink"/>
            <w:rFonts w:ascii="Arial" w:hAnsi="Arial" w:cs="Arial"/>
            <w:bCs/>
            <w:sz w:val="24"/>
            <w:szCs w:val="24"/>
            <w:shd w:val="clear" w:color="auto" w:fill="FBFBFB"/>
          </w:rPr>
          <w:t>https://www-cambridge-org.ezproxy.uwtsd.ac.uk/core/journals/cambridge-law-journal/article/rationality-and-the-rule-of-law-in-offences-against-the-person/CCFD7032DA059AF0FF8F95066FB1EF2D</w:t>
        </w:r>
      </w:hyperlink>
      <w:r w:rsidRPr="00F1408F">
        <w:rPr>
          <w:rFonts w:ascii="Arial" w:hAnsi="Arial" w:cs="Arial"/>
          <w:bCs/>
          <w:sz w:val="24"/>
          <w:szCs w:val="24"/>
          <w:shd w:val="clear" w:color="auto" w:fill="FBFBFB"/>
        </w:rPr>
        <w:t xml:space="preserve"> (Accessed on:05/03/2024)</w:t>
      </w:r>
    </w:p>
    <w:p w14:paraId="47D7C442" w14:textId="77777777" w:rsidR="00F1408F" w:rsidRDefault="00F1408F" w:rsidP="00DA734E">
      <w:pPr>
        <w:spacing w:after="0" w:line="480" w:lineRule="auto"/>
        <w:rPr>
          <w:rFonts w:ascii="Arial" w:hAnsi="Arial" w:cs="Arial"/>
          <w:sz w:val="24"/>
          <w:szCs w:val="24"/>
          <w:shd w:val="clear" w:color="auto" w:fill="FBFBFB"/>
        </w:rPr>
      </w:pPr>
    </w:p>
    <w:p w14:paraId="79CCA5B3" w14:textId="77777777" w:rsidR="00E7339B" w:rsidRDefault="00E7339B" w:rsidP="00E7339B">
      <w:pPr>
        <w:spacing w:after="0" w:line="480" w:lineRule="auto"/>
        <w:rPr>
          <w:rFonts w:ascii="Arial" w:hAnsi="Arial" w:cs="Arial"/>
          <w:sz w:val="24"/>
          <w:szCs w:val="24"/>
          <w:shd w:val="clear" w:color="auto" w:fill="FBFBFB"/>
        </w:rPr>
      </w:pPr>
    </w:p>
    <w:p w14:paraId="3110C334" w14:textId="77777777" w:rsidR="00E7339B" w:rsidRDefault="00E7339B" w:rsidP="00E7339B">
      <w:pPr>
        <w:spacing w:after="0" w:line="480" w:lineRule="auto"/>
        <w:rPr>
          <w:rFonts w:ascii="Arial" w:hAnsi="Arial" w:cs="Arial"/>
          <w:sz w:val="24"/>
          <w:szCs w:val="24"/>
          <w:shd w:val="clear" w:color="auto" w:fill="FBFBFB"/>
        </w:rPr>
      </w:pPr>
    </w:p>
    <w:p w14:paraId="239489D2" w14:textId="76EA39A8" w:rsidR="00E7339B" w:rsidRPr="00E7339B" w:rsidRDefault="00E7339B" w:rsidP="00E7339B">
      <w:pPr>
        <w:spacing w:after="0" w:line="480" w:lineRule="auto"/>
        <w:rPr>
          <w:rFonts w:ascii="Arial" w:hAnsi="Arial" w:cs="Arial"/>
          <w:sz w:val="24"/>
          <w:szCs w:val="24"/>
          <w:shd w:val="clear" w:color="auto" w:fill="FBFBFB"/>
        </w:rPr>
      </w:pPr>
      <w:r w:rsidRPr="00E7339B">
        <w:rPr>
          <w:rFonts w:ascii="Arial" w:hAnsi="Arial" w:cs="Arial"/>
          <w:sz w:val="24"/>
          <w:szCs w:val="24"/>
          <w:shd w:val="clear" w:color="auto" w:fill="FBFBFB"/>
        </w:rPr>
        <w:lastRenderedPageBreak/>
        <w:t>Jefferson, M. (2012) 'Offences against the Person: Into the 21st Century</w:t>
      </w:r>
    </w:p>
    <w:p w14:paraId="33C3326C" w14:textId="14780081" w:rsidR="00E7339B" w:rsidRDefault="00E7339B" w:rsidP="00E7339B">
      <w:pPr>
        <w:spacing w:after="0" w:line="480" w:lineRule="auto"/>
        <w:rPr>
          <w:rFonts w:ascii="Arial" w:hAnsi="Arial" w:cs="Arial"/>
          <w:sz w:val="24"/>
          <w:szCs w:val="24"/>
          <w:shd w:val="clear" w:color="auto" w:fill="FBFBFB"/>
        </w:rPr>
      </w:pPr>
      <w:r w:rsidRPr="00E7339B">
        <w:rPr>
          <w:rFonts w:ascii="Arial" w:hAnsi="Arial" w:cs="Arial"/>
          <w:sz w:val="24"/>
          <w:szCs w:val="24"/>
          <w:shd w:val="clear" w:color="auto" w:fill="FBFBFB"/>
        </w:rPr>
        <w:t>'</w:t>
      </w:r>
      <w:r w:rsidRPr="00E7339B">
        <w:rPr>
          <w:rFonts w:ascii="Arial" w:hAnsi="Arial" w:cs="Arial"/>
          <w:i/>
          <w:iCs/>
          <w:sz w:val="24"/>
          <w:szCs w:val="24"/>
          <w:shd w:val="clear" w:color="auto" w:fill="FBFBFB"/>
        </w:rPr>
        <w:t>, journal of criminal law</w:t>
      </w:r>
      <w:r w:rsidRPr="00E7339B">
        <w:rPr>
          <w:rFonts w:ascii="Arial" w:hAnsi="Arial" w:cs="Arial"/>
          <w:sz w:val="24"/>
          <w:szCs w:val="24"/>
          <w:shd w:val="clear" w:color="auto" w:fill="FBFBFB"/>
        </w:rPr>
        <w:t>, 76(6). Available at: https://plus-lexis-com.ezproxy.uwtsd.ac.uk/uk/analytical-materials-uk/offences-against-the-person-into-the-21st-cen?crid=b3140c05-182f-4d04-89a3-0320373ff283&amp;pddocid=urn:contentItem:576S-7R41-DYJF-P33B-00000-00 (Accessed: 04/03/2024)</w:t>
      </w:r>
    </w:p>
    <w:p w14:paraId="6D45C5D1" w14:textId="77777777" w:rsidR="00B55021" w:rsidRDefault="00B55021" w:rsidP="00E7339B">
      <w:pPr>
        <w:spacing w:after="0" w:line="480" w:lineRule="auto"/>
        <w:rPr>
          <w:rFonts w:ascii="Arial" w:hAnsi="Arial" w:cs="Arial"/>
          <w:sz w:val="24"/>
          <w:szCs w:val="24"/>
          <w:shd w:val="clear" w:color="auto" w:fill="FBFBFB"/>
        </w:rPr>
      </w:pPr>
    </w:p>
    <w:p w14:paraId="46FCA88C" w14:textId="0B7A1E17" w:rsidR="00B55021" w:rsidRDefault="00B55021" w:rsidP="00B55021">
      <w:pPr>
        <w:spacing w:after="0" w:line="480" w:lineRule="auto"/>
        <w:rPr>
          <w:rFonts w:ascii="Arial" w:hAnsi="Arial" w:cs="Arial"/>
          <w:bCs/>
          <w:sz w:val="24"/>
          <w:szCs w:val="24"/>
          <w:shd w:val="clear" w:color="auto" w:fill="FBFBFB"/>
        </w:rPr>
      </w:pPr>
      <w:r w:rsidRPr="00B55021">
        <w:rPr>
          <w:rFonts w:ascii="Arial" w:hAnsi="Arial" w:cs="Arial"/>
          <w:bCs/>
          <w:sz w:val="24"/>
          <w:szCs w:val="24"/>
          <w:shd w:val="clear" w:color="auto" w:fill="FBFBFB"/>
        </w:rPr>
        <w:t xml:space="preserve">Law Commission (2015) </w:t>
      </w:r>
      <w:r w:rsidRPr="00B55021">
        <w:rPr>
          <w:rFonts w:ascii="Arial" w:hAnsi="Arial" w:cs="Arial"/>
          <w:bCs/>
          <w:i/>
          <w:iCs/>
          <w:sz w:val="24"/>
          <w:szCs w:val="24"/>
          <w:shd w:val="clear" w:color="auto" w:fill="FBFBFB"/>
        </w:rPr>
        <w:t>Reform of Offences against the person</w:t>
      </w:r>
      <w:r w:rsidR="00C21484">
        <w:rPr>
          <w:rFonts w:ascii="Arial" w:hAnsi="Arial" w:cs="Arial"/>
          <w:bCs/>
          <w:i/>
          <w:iCs/>
          <w:sz w:val="24"/>
          <w:szCs w:val="24"/>
          <w:shd w:val="clear" w:color="auto" w:fill="FBFBFB"/>
        </w:rPr>
        <w:t>.</w:t>
      </w:r>
      <w:r w:rsidRPr="00B55021">
        <w:rPr>
          <w:rFonts w:ascii="Arial" w:hAnsi="Arial" w:cs="Arial"/>
          <w:bCs/>
          <w:i/>
          <w:iCs/>
          <w:sz w:val="24"/>
          <w:szCs w:val="24"/>
          <w:shd w:val="clear" w:color="auto" w:fill="FBFBFB"/>
        </w:rPr>
        <w:t xml:space="preserve"> Available at: </w:t>
      </w:r>
      <w:hyperlink r:id="rId8" w:history="1">
        <w:r w:rsidRPr="00B55021">
          <w:rPr>
            <w:rStyle w:val="Hyperlink"/>
            <w:rFonts w:ascii="Arial" w:hAnsi="Arial" w:cs="Arial"/>
            <w:bCs/>
            <w:sz w:val="24"/>
            <w:szCs w:val="24"/>
            <w:shd w:val="clear" w:color="auto" w:fill="FBFBFB"/>
          </w:rPr>
          <w:t>https://assets.publishing.service.gov.uk/media/5a81679a40f0b62305b8ec5b/51950_LC_HC555_Web.pdf</w:t>
        </w:r>
      </w:hyperlink>
      <w:r w:rsidRPr="00B55021">
        <w:rPr>
          <w:rFonts w:ascii="Arial" w:hAnsi="Arial" w:cs="Arial"/>
          <w:bCs/>
          <w:sz w:val="24"/>
          <w:szCs w:val="24"/>
          <w:shd w:val="clear" w:color="auto" w:fill="FBFBFB"/>
        </w:rPr>
        <w:t xml:space="preserve"> (Accessed on: 11/03/2024)</w:t>
      </w:r>
    </w:p>
    <w:p w14:paraId="46873D69" w14:textId="77777777" w:rsidR="00321A36" w:rsidRDefault="00321A36" w:rsidP="00B55021">
      <w:pPr>
        <w:spacing w:after="0" w:line="480" w:lineRule="auto"/>
        <w:rPr>
          <w:rFonts w:ascii="Arial" w:hAnsi="Arial" w:cs="Arial"/>
          <w:bCs/>
          <w:sz w:val="24"/>
          <w:szCs w:val="24"/>
          <w:shd w:val="clear" w:color="auto" w:fill="FBFBFB"/>
        </w:rPr>
      </w:pPr>
    </w:p>
    <w:p w14:paraId="4E1AAA0D" w14:textId="5E1AC4E9" w:rsidR="00321A36" w:rsidRDefault="00321A36" w:rsidP="00321A36">
      <w:pPr>
        <w:spacing w:after="0" w:line="480" w:lineRule="auto"/>
        <w:rPr>
          <w:rFonts w:ascii="Arial" w:hAnsi="Arial" w:cs="Arial"/>
          <w:bCs/>
          <w:sz w:val="24"/>
          <w:szCs w:val="24"/>
          <w:shd w:val="clear" w:color="auto" w:fill="FBFBFB"/>
        </w:rPr>
      </w:pPr>
      <w:r w:rsidRPr="00321A36">
        <w:rPr>
          <w:rFonts w:ascii="Arial" w:hAnsi="Arial" w:cs="Arial"/>
          <w:bCs/>
          <w:sz w:val="24"/>
          <w:szCs w:val="24"/>
          <w:shd w:val="clear" w:color="auto" w:fill="FBFBFB"/>
        </w:rPr>
        <w:t>Lord Steyn (1997) 'Regina v. Burstow</w:t>
      </w:r>
      <w:r w:rsidRPr="00321A36">
        <w:rPr>
          <w:rFonts w:ascii="Arial" w:hAnsi="Arial" w:cs="Arial"/>
          <w:bCs/>
          <w:sz w:val="24"/>
          <w:szCs w:val="24"/>
          <w:shd w:val="clear" w:color="auto" w:fill="FBFBFB"/>
        </w:rPr>
        <w:br/>
        <w:t>Regina v. Ireland'. </w:t>
      </w:r>
      <w:r w:rsidRPr="00321A36">
        <w:rPr>
          <w:rFonts w:ascii="Arial" w:hAnsi="Arial" w:cs="Arial"/>
          <w:bCs/>
          <w:i/>
          <w:iCs/>
          <w:sz w:val="24"/>
          <w:szCs w:val="24"/>
          <w:shd w:val="clear" w:color="auto" w:fill="FBFBFB"/>
        </w:rPr>
        <w:t>Parliment.uk</w:t>
      </w:r>
      <w:r w:rsidRPr="00321A36">
        <w:rPr>
          <w:rFonts w:ascii="Arial" w:hAnsi="Arial" w:cs="Arial"/>
          <w:bCs/>
          <w:sz w:val="24"/>
          <w:szCs w:val="24"/>
          <w:shd w:val="clear" w:color="auto" w:fill="FBFBFB"/>
        </w:rPr>
        <w:t>. Available at: https://publications.parliament.uk/pa/ld199798/ldjudgmt/jd970724/irland01.htm (Accessed:04/03/2024).</w:t>
      </w:r>
    </w:p>
    <w:p w14:paraId="1DD90C13" w14:textId="77777777" w:rsidR="00563EC7" w:rsidRDefault="00563EC7" w:rsidP="00321A36">
      <w:pPr>
        <w:spacing w:after="0" w:line="480" w:lineRule="auto"/>
        <w:rPr>
          <w:rFonts w:ascii="Arial" w:hAnsi="Arial" w:cs="Arial"/>
          <w:bCs/>
          <w:sz w:val="24"/>
          <w:szCs w:val="24"/>
          <w:shd w:val="clear" w:color="auto" w:fill="FBFBFB"/>
        </w:rPr>
      </w:pPr>
    </w:p>
    <w:p w14:paraId="4DBB0230" w14:textId="77777777" w:rsidR="00563EC7" w:rsidRPr="00563EC7" w:rsidRDefault="00563EC7" w:rsidP="00563EC7">
      <w:pPr>
        <w:spacing w:after="0" w:line="480" w:lineRule="auto"/>
        <w:rPr>
          <w:rFonts w:ascii="Arial" w:hAnsi="Arial" w:cs="Arial"/>
          <w:bCs/>
          <w:sz w:val="24"/>
          <w:szCs w:val="24"/>
          <w:shd w:val="clear" w:color="auto" w:fill="FBFBFB"/>
        </w:rPr>
      </w:pPr>
      <w:r w:rsidRPr="00563EC7">
        <w:rPr>
          <w:rFonts w:ascii="Arial" w:hAnsi="Arial" w:cs="Arial"/>
          <w:bCs/>
          <w:sz w:val="24"/>
          <w:szCs w:val="24"/>
          <w:shd w:val="clear" w:color="auto" w:fill="FBFBFB"/>
        </w:rPr>
        <w:t>Macdonald, S.K. (2018) </w:t>
      </w:r>
      <w:r w:rsidRPr="00563EC7">
        <w:rPr>
          <w:rFonts w:ascii="Arial" w:hAnsi="Arial" w:cs="Arial"/>
          <w:bCs/>
          <w:i/>
          <w:iCs/>
          <w:sz w:val="24"/>
          <w:szCs w:val="24"/>
          <w:shd w:val="clear" w:color="auto" w:fill="FBFBFB"/>
        </w:rPr>
        <w:t>Text, cases, and materials on criminal law </w:t>
      </w:r>
      <w:r w:rsidRPr="00563EC7">
        <w:rPr>
          <w:rFonts w:ascii="Arial" w:hAnsi="Arial" w:cs="Arial"/>
          <w:bCs/>
          <w:sz w:val="24"/>
          <w:szCs w:val="24"/>
          <w:shd w:val="clear" w:color="auto" w:fill="FBFBFB"/>
        </w:rPr>
        <w:t>. Second edition. Harlow, England :, Pearson Education Limited.</w:t>
      </w:r>
    </w:p>
    <w:p w14:paraId="628183DF" w14:textId="77777777" w:rsidR="00563EC7" w:rsidRDefault="00563EC7" w:rsidP="00321A36">
      <w:pPr>
        <w:spacing w:after="0" w:line="480" w:lineRule="auto"/>
        <w:rPr>
          <w:rFonts w:ascii="Arial" w:hAnsi="Arial" w:cs="Arial"/>
          <w:bCs/>
          <w:sz w:val="24"/>
          <w:szCs w:val="24"/>
          <w:shd w:val="clear" w:color="auto" w:fill="FBFBFB"/>
        </w:rPr>
      </w:pPr>
    </w:p>
    <w:p w14:paraId="451DFB26" w14:textId="77777777" w:rsidR="008046A6" w:rsidRPr="008046A6" w:rsidRDefault="008046A6" w:rsidP="008046A6">
      <w:pPr>
        <w:spacing w:after="0" w:line="480" w:lineRule="auto"/>
        <w:rPr>
          <w:rFonts w:ascii="Arial" w:hAnsi="Arial" w:cs="Arial"/>
          <w:bCs/>
          <w:sz w:val="24"/>
          <w:szCs w:val="24"/>
          <w:shd w:val="clear" w:color="auto" w:fill="FBFBFB"/>
        </w:rPr>
      </w:pPr>
      <w:r w:rsidRPr="008046A6">
        <w:rPr>
          <w:rFonts w:ascii="Arial" w:hAnsi="Arial" w:cs="Arial"/>
          <w:bCs/>
          <w:i/>
          <w:iCs/>
          <w:sz w:val="24"/>
          <w:szCs w:val="24"/>
          <w:shd w:val="clear" w:color="auto" w:fill="FBFBFB"/>
        </w:rPr>
        <w:t>Offences Against the Person Act 186</w:t>
      </w:r>
      <w:r w:rsidRPr="008046A6">
        <w:rPr>
          <w:rFonts w:ascii="Arial" w:hAnsi="Arial" w:cs="Arial"/>
          <w:bCs/>
          <w:sz w:val="24"/>
          <w:szCs w:val="24"/>
          <w:shd w:val="clear" w:color="auto" w:fill="FBFBFB"/>
        </w:rPr>
        <w:t xml:space="preserve">, c. 100 </w:t>
      </w:r>
    </w:p>
    <w:p w14:paraId="2A38BAA5" w14:textId="77777777" w:rsidR="008046A6" w:rsidRPr="008046A6" w:rsidRDefault="008046A6" w:rsidP="008046A6">
      <w:pPr>
        <w:spacing w:after="0" w:line="480" w:lineRule="auto"/>
        <w:rPr>
          <w:rFonts w:ascii="Arial" w:hAnsi="Arial" w:cs="Arial"/>
          <w:bCs/>
          <w:i/>
          <w:iCs/>
          <w:sz w:val="24"/>
          <w:szCs w:val="24"/>
          <w:shd w:val="clear" w:color="auto" w:fill="FBFBFB"/>
        </w:rPr>
      </w:pPr>
      <w:r w:rsidRPr="008046A6">
        <w:rPr>
          <w:rFonts w:ascii="Arial" w:hAnsi="Arial" w:cs="Arial"/>
          <w:bCs/>
          <w:sz w:val="24"/>
          <w:szCs w:val="24"/>
          <w:shd w:val="clear" w:color="auto" w:fill="FBFBFB"/>
        </w:rPr>
        <w:t>Available at: https://www.legislation.gov.uk/ukpga/Vict/24-25/100/contents/enacted</w:t>
      </w:r>
    </w:p>
    <w:p w14:paraId="09565F24" w14:textId="77777777" w:rsidR="00A67EBA" w:rsidRDefault="00A67EBA" w:rsidP="00321A36">
      <w:pPr>
        <w:spacing w:after="0" w:line="480" w:lineRule="auto"/>
        <w:rPr>
          <w:rFonts w:ascii="Arial" w:hAnsi="Arial" w:cs="Arial"/>
          <w:bCs/>
          <w:sz w:val="24"/>
          <w:szCs w:val="24"/>
          <w:shd w:val="clear" w:color="auto" w:fill="FBFBFB"/>
        </w:rPr>
      </w:pPr>
    </w:p>
    <w:p w14:paraId="2C5402A0" w14:textId="77777777" w:rsidR="00A67EBA" w:rsidRPr="00A67EBA" w:rsidRDefault="00A67EBA" w:rsidP="00A67EBA">
      <w:pPr>
        <w:spacing w:after="0" w:line="480" w:lineRule="auto"/>
        <w:rPr>
          <w:rFonts w:ascii="Arial" w:hAnsi="Arial" w:cs="Arial"/>
          <w:bCs/>
          <w:sz w:val="24"/>
          <w:szCs w:val="24"/>
          <w:shd w:val="clear" w:color="auto" w:fill="FBFBFB"/>
        </w:rPr>
      </w:pPr>
    </w:p>
    <w:p w14:paraId="2DF58739" w14:textId="77777777" w:rsidR="00A67EBA" w:rsidRPr="00A67EBA" w:rsidRDefault="00A67EBA" w:rsidP="00A67EBA">
      <w:pPr>
        <w:spacing w:after="0" w:line="480" w:lineRule="auto"/>
        <w:rPr>
          <w:rFonts w:ascii="Arial" w:hAnsi="Arial" w:cs="Arial"/>
          <w:bCs/>
          <w:sz w:val="24"/>
          <w:szCs w:val="24"/>
          <w:shd w:val="clear" w:color="auto" w:fill="FBFBFB"/>
        </w:rPr>
      </w:pPr>
      <w:r w:rsidRPr="00A67EBA">
        <w:rPr>
          <w:rFonts w:ascii="Arial" w:hAnsi="Arial" w:cs="Arial"/>
          <w:bCs/>
          <w:i/>
          <w:iCs/>
          <w:sz w:val="24"/>
          <w:szCs w:val="24"/>
          <w:shd w:val="clear" w:color="auto" w:fill="FBFBFB"/>
        </w:rPr>
        <w:lastRenderedPageBreak/>
        <w:t>Offences against the person – modernising the law on violence</w:t>
      </w:r>
      <w:r w:rsidRPr="00A67EBA">
        <w:rPr>
          <w:rFonts w:ascii="Arial" w:hAnsi="Arial" w:cs="Arial"/>
          <w:bCs/>
          <w:sz w:val="24"/>
          <w:szCs w:val="24"/>
          <w:shd w:val="clear" w:color="auto" w:fill="FBFBFB"/>
        </w:rPr>
        <w:t xml:space="preserve"> (2019) </w:t>
      </w:r>
      <w:r w:rsidRPr="00A67EBA">
        <w:rPr>
          <w:rFonts w:ascii="Arial" w:hAnsi="Arial" w:cs="Arial"/>
          <w:bCs/>
          <w:i/>
          <w:iCs/>
          <w:sz w:val="24"/>
          <w:szCs w:val="24"/>
          <w:shd w:val="clear" w:color="auto" w:fill="FBFBFB"/>
        </w:rPr>
        <w:t>Law Commission</w:t>
      </w:r>
      <w:r w:rsidRPr="00A67EBA">
        <w:rPr>
          <w:rFonts w:ascii="Arial" w:hAnsi="Arial" w:cs="Arial"/>
          <w:bCs/>
          <w:sz w:val="24"/>
          <w:szCs w:val="24"/>
          <w:shd w:val="clear" w:color="auto" w:fill="FBFBFB"/>
        </w:rPr>
        <w:t xml:space="preserve">. Available at: https://lawcom.gov.uk/offences-against-the-person-modernising-the-law-on-violence-2/ (Accessed: 02 March 2024). </w:t>
      </w:r>
    </w:p>
    <w:p w14:paraId="250CB777" w14:textId="77777777" w:rsidR="00A67EBA" w:rsidRDefault="00A67EBA" w:rsidP="00321A36">
      <w:pPr>
        <w:spacing w:after="0" w:line="480" w:lineRule="auto"/>
        <w:rPr>
          <w:rFonts w:ascii="Arial" w:hAnsi="Arial" w:cs="Arial"/>
          <w:bCs/>
          <w:sz w:val="24"/>
          <w:szCs w:val="24"/>
          <w:shd w:val="clear" w:color="auto" w:fill="FBFBFB"/>
        </w:rPr>
      </w:pPr>
    </w:p>
    <w:p w14:paraId="3E4B8C83" w14:textId="77777777" w:rsidR="001F1385" w:rsidRPr="001F1385" w:rsidRDefault="001F1385" w:rsidP="001F1385">
      <w:pPr>
        <w:spacing w:after="0" w:line="480" w:lineRule="auto"/>
        <w:rPr>
          <w:rFonts w:ascii="Arial" w:hAnsi="Arial" w:cs="Arial"/>
          <w:bCs/>
          <w:sz w:val="24"/>
          <w:szCs w:val="24"/>
          <w:shd w:val="clear" w:color="auto" w:fill="FBFBFB"/>
        </w:rPr>
      </w:pPr>
      <w:r w:rsidRPr="001F1385">
        <w:rPr>
          <w:rFonts w:ascii="Arial" w:hAnsi="Arial" w:cs="Arial"/>
          <w:bCs/>
          <w:sz w:val="24"/>
          <w:szCs w:val="24"/>
          <w:shd w:val="clear" w:color="auto" w:fill="FBFBFB"/>
        </w:rPr>
        <w:t>Taylor, L. (2018) Elliott and Quinn1s criminal law. Twelfth edition. Harlow, England; New York, United States :; Pearson Education Limited.</w:t>
      </w:r>
    </w:p>
    <w:p w14:paraId="44AFED23" w14:textId="77777777" w:rsidR="00A67EBA" w:rsidRDefault="00A67EBA" w:rsidP="00321A36">
      <w:pPr>
        <w:spacing w:after="0" w:line="480" w:lineRule="auto"/>
        <w:rPr>
          <w:rFonts w:ascii="Arial" w:hAnsi="Arial" w:cs="Arial"/>
          <w:bCs/>
          <w:sz w:val="24"/>
          <w:szCs w:val="24"/>
          <w:shd w:val="clear" w:color="auto" w:fill="FBFBFB"/>
        </w:rPr>
      </w:pPr>
    </w:p>
    <w:p w14:paraId="340F4DF7" w14:textId="11E965A1" w:rsidR="0015109F" w:rsidRDefault="0015109F" w:rsidP="0015109F">
      <w:pPr>
        <w:spacing w:after="0" w:line="480" w:lineRule="auto"/>
        <w:rPr>
          <w:rFonts w:ascii="Arial" w:hAnsi="Arial" w:cs="Arial"/>
          <w:bCs/>
          <w:sz w:val="24"/>
          <w:szCs w:val="24"/>
          <w:shd w:val="clear" w:color="auto" w:fill="FBFBFB"/>
        </w:rPr>
      </w:pPr>
      <w:r w:rsidRPr="0015109F">
        <w:rPr>
          <w:rFonts w:ascii="Arial" w:hAnsi="Arial" w:cs="Arial"/>
          <w:bCs/>
          <w:sz w:val="24"/>
          <w:szCs w:val="24"/>
          <w:shd w:val="clear" w:color="auto" w:fill="FBFBFB"/>
        </w:rPr>
        <w:t xml:space="preserve">Tabbush, S. (2014) 'Reform of Offences Against the Person', </w:t>
      </w:r>
      <w:r w:rsidRPr="0015109F">
        <w:rPr>
          <w:rFonts w:ascii="Arial" w:hAnsi="Arial" w:cs="Arial"/>
          <w:bCs/>
          <w:i/>
          <w:iCs/>
          <w:sz w:val="24"/>
          <w:szCs w:val="24"/>
          <w:shd w:val="clear" w:color="auto" w:fill="FBFBFB"/>
        </w:rPr>
        <w:t>Criminal Law &amp; Justice Weekly</w:t>
      </w:r>
      <w:r w:rsidRPr="0015109F">
        <w:rPr>
          <w:rFonts w:ascii="Arial" w:hAnsi="Arial" w:cs="Arial"/>
          <w:bCs/>
          <w:sz w:val="24"/>
          <w:szCs w:val="24"/>
          <w:shd w:val="clear" w:color="auto" w:fill="FBFBFB"/>
        </w:rPr>
        <w:t xml:space="preserve">, 46, available at: </w:t>
      </w:r>
      <w:hyperlink r:id="rId9" w:history="1">
        <w:r w:rsidRPr="0015109F">
          <w:rPr>
            <w:rStyle w:val="Hyperlink"/>
            <w:rFonts w:ascii="Arial" w:hAnsi="Arial" w:cs="Arial"/>
            <w:bCs/>
            <w:sz w:val="24"/>
            <w:szCs w:val="24"/>
            <w:shd w:val="clear" w:color="auto" w:fill="FBFBFB"/>
          </w:rPr>
          <w:t>https://plus-lexis-com.ezproxy.uwtsd.ac.uk/uk/analytical-materials-uk/reform-of-offences-against-the-person-2014?crid=0f5aac15-10ad-420a-8424-43feee2544e9&amp;pdproductcontenttypeid=urn%3apct%3a241&amp;pdiskwicview=false&amp;pdpinpoint=&amp;identityprofileid=R6VFST67341&amp;aci=uk&amp;cbc=0&amp;lnsi=45b601ea-cbe2-463c-9013-0d530d10a52e&amp;rmflag=0&amp;sit=null</w:t>
        </w:r>
      </w:hyperlink>
      <w:r w:rsidRPr="0015109F">
        <w:rPr>
          <w:rFonts w:ascii="Arial" w:hAnsi="Arial" w:cs="Arial"/>
          <w:bCs/>
          <w:sz w:val="24"/>
          <w:szCs w:val="24"/>
          <w:shd w:val="clear" w:color="auto" w:fill="FBFBFB"/>
        </w:rPr>
        <w:t xml:space="preserve"> (</w:t>
      </w:r>
      <w:r>
        <w:rPr>
          <w:rFonts w:ascii="Arial" w:hAnsi="Arial" w:cs="Arial"/>
          <w:bCs/>
          <w:sz w:val="24"/>
          <w:szCs w:val="24"/>
          <w:shd w:val="clear" w:color="auto" w:fill="FBFBFB"/>
        </w:rPr>
        <w:t>A</w:t>
      </w:r>
      <w:r w:rsidRPr="0015109F">
        <w:rPr>
          <w:rFonts w:ascii="Arial" w:hAnsi="Arial" w:cs="Arial"/>
          <w:bCs/>
          <w:sz w:val="24"/>
          <w:szCs w:val="24"/>
          <w:shd w:val="clear" w:color="auto" w:fill="FBFBFB"/>
        </w:rPr>
        <w:t>ccessed on:05/03/2024)</w:t>
      </w:r>
    </w:p>
    <w:p w14:paraId="29B30089" w14:textId="77777777" w:rsidR="0015109F" w:rsidRDefault="0015109F" w:rsidP="0015109F">
      <w:pPr>
        <w:spacing w:after="0" w:line="480" w:lineRule="auto"/>
        <w:rPr>
          <w:rFonts w:ascii="Arial" w:hAnsi="Arial" w:cs="Arial"/>
          <w:bCs/>
          <w:sz w:val="24"/>
          <w:szCs w:val="24"/>
          <w:shd w:val="clear" w:color="auto" w:fill="FBFBFB"/>
        </w:rPr>
      </w:pPr>
    </w:p>
    <w:p w14:paraId="4E6678A8" w14:textId="77777777" w:rsidR="0015109F" w:rsidRDefault="0015109F" w:rsidP="0015109F">
      <w:pPr>
        <w:spacing w:after="0" w:line="480" w:lineRule="auto"/>
        <w:rPr>
          <w:rFonts w:ascii="Arial" w:hAnsi="Arial" w:cs="Arial"/>
          <w:bCs/>
          <w:sz w:val="24"/>
          <w:szCs w:val="24"/>
          <w:shd w:val="clear" w:color="auto" w:fill="FBFBFB"/>
        </w:rPr>
      </w:pPr>
    </w:p>
    <w:p w14:paraId="5D7E3F4E" w14:textId="77777777" w:rsidR="00EF3F05" w:rsidRDefault="00EF3F05" w:rsidP="0015109F">
      <w:pPr>
        <w:spacing w:after="0" w:line="480" w:lineRule="auto"/>
        <w:rPr>
          <w:rFonts w:ascii="Arial" w:hAnsi="Arial" w:cs="Arial"/>
          <w:b/>
          <w:sz w:val="24"/>
          <w:szCs w:val="24"/>
          <w:u w:val="single"/>
          <w:shd w:val="clear" w:color="auto" w:fill="FBFBFB"/>
        </w:rPr>
      </w:pPr>
    </w:p>
    <w:p w14:paraId="35F3BF52" w14:textId="77777777" w:rsidR="00EF3F05" w:rsidRDefault="00EF3F05" w:rsidP="0015109F">
      <w:pPr>
        <w:spacing w:after="0" w:line="480" w:lineRule="auto"/>
        <w:rPr>
          <w:rFonts w:ascii="Arial" w:hAnsi="Arial" w:cs="Arial"/>
          <w:b/>
          <w:sz w:val="24"/>
          <w:szCs w:val="24"/>
          <w:u w:val="single"/>
          <w:shd w:val="clear" w:color="auto" w:fill="FBFBFB"/>
        </w:rPr>
      </w:pPr>
    </w:p>
    <w:p w14:paraId="7F7804AF" w14:textId="77777777" w:rsidR="00EF3F05" w:rsidRDefault="00EF3F05" w:rsidP="0015109F">
      <w:pPr>
        <w:spacing w:after="0" w:line="480" w:lineRule="auto"/>
        <w:rPr>
          <w:rFonts w:ascii="Arial" w:hAnsi="Arial" w:cs="Arial"/>
          <w:b/>
          <w:sz w:val="24"/>
          <w:szCs w:val="24"/>
          <w:u w:val="single"/>
          <w:shd w:val="clear" w:color="auto" w:fill="FBFBFB"/>
        </w:rPr>
      </w:pPr>
    </w:p>
    <w:p w14:paraId="759CADCB" w14:textId="77777777" w:rsidR="00EF3F05" w:rsidRDefault="00EF3F05" w:rsidP="0015109F">
      <w:pPr>
        <w:spacing w:after="0" w:line="480" w:lineRule="auto"/>
        <w:rPr>
          <w:rFonts w:ascii="Arial" w:hAnsi="Arial" w:cs="Arial"/>
          <w:b/>
          <w:sz w:val="24"/>
          <w:szCs w:val="24"/>
          <w:u w:val="single"/>
          <w:shd w:val="clear" w:color="auto" w:fill="FBFBFB"/>
        </w:rPr>
      </w:pPr>
    </w:p>
    <w:p w14:paraId="03C98244" w14:textId="77777777" w:rsidR="00EF3F05" w:rsidRDefault="00EF3F05" w:rsidP="0015109F">
      <w:pPr>
        <w:spacing w:after="0" w:line="480" w:lineRule="auto"/>
        <w:rPr>
          <w:rFonts w:ascii="Arial" w:hAnsi="Arial" w:cs="Arial"/>
          <w:b/>
          <w:sz w:val="24"/>
          <w:szCs w:val="24"/>
          <w:u w:val="single"/>
          <w:shd w:val="clear" w:color="auto" w:fill="FBFBFB"/>
        </w:rPr>
      </w:pPr>
    </w:p>
    <w:p w14:paraId="139BC5D4" w14:textId="77777777" w:rsidR="00EF3F05" w:rsidRDefault="00EF3F05" w:rsidP="0015109F">
      <w:pPr>
        <w:spacing w:after="0" w:line="480" w:lineRule="auto"/>
        <w:rPr>
          <w:rFonts w:ascii="Arial" w:hAnsi="Arial" w:cs="Arial"/>
          <w:b/>
          <w:sz w:val="24"/>
          <w:szCs w:val="24"/>
          <w:u w:val="single"/>
          <w:shd w:val="clear" w:color="auto" w:fill="FBFBFB"/>
        </w:rPr>
      </w:pPr>
    </w:p>
    <w:p w14:paraId="73DBE3B2" w14:textId="77777777" w:rsidR="00EF3F05" w:rsidRDefault="00EF3F05" w:rsidP="0015109F">
      <w:pPr>
        <w:spacing w:after="0" w:line="480" w:lineRule="auto"/>
        <w:rPr>
          <w:rFonts w:ascii="Arial" w:hAnsi="Arial" w:cs="Arial"/>
          <w:b/>
          <w:sz w:val="24"/>
          <w:szCs w:val="24"/>
          <w:u w:val="single"/>
          <w:shd w:val="clear" w:color="auto" w:fill="FBFBFB"/>
        </w:rPr>
      </w:pPr>
    </w:p>
    <w:p w14:paraId="03879993" w14:textId="77777777" w:rsidR="00EF3F05" w:rsidRDefault="00EF3F05" w:rsidP="0015109F">
      <w:pPr>
        <w:spacing w:after="0" w:line="480" w:lineRule="auto"/>
        <w:rPr>
          <w:rFonts w:ascii="Arial" w:hAnsi="Arial" w:cs="Arial"/>
          <w:b/>
          <w:sz w:val="24"/>
          <w:szCs w:val="24"/>
          <w:u w:val="single"/>
          <w:shd w:val="clear" w:color="auto" w:fill="FBFBFB"/>
        </w:rPr>
      </w:pPr>
    </w:p>
    <w:p w14:paraId="3BBBC8C1" w14:textId="77777777" w:rsidR="00EF3F05" w:rsidRDefault="00EF3F05" w:rsidP="0015109F">
      <w:pPr>
        <w:spacing w:after="0" w:line="480" w:lineRule="auto"/>
        <w:rPr>
          <w:rFonts w:ascii="Arial" w:hAnsi="Arial" w:cs="Arial"/>
          <w:b/>
          <w:sz w:val="24"/>
          <w:szCs w:val="24"/>
          <w:u w:val="single"/>
          <w:shd w:val="clear" w:color="auto" w:fill="FBFBFB"/>
        </w:rPr>
      </w:pPr>
    </w:p>
    <w:p w14:paraId="1DCF0F30" w14:textId="1B919988" w:rsidR="00B10249" w:rsidRPr="0015109F" w:rsidRDefault="00B10249" w:rsidP="0015109F">
      <w:pPr>
        <w:spacing w:after="0" w:line="480" w:lineRule="auto"/>
        <w:rPr>
          <w:rFonts w:ascii="Arial" w:hAnsi="Arial" w:cs="Arial"/>
          <w:b/>
          <w:sz w:val="24"/>
          <w:szCs w:val="24"/>
          <w:u w:val="single"/>
          <w:shd w:val="clear" w:color="auto" w:fill="FBFBFB"/>
        </w:rPr>
      </w:pPr>
      <w:r w:rsidRPr="00B10249">
        <w:rPr>
          <w:rFonts w:ascii="Arial" w:hAnsi="Arial" w:cs="Arial"/>
          <w:b/>
          <w:sz w:val="24"/>
          <w:szCs w:val="24"/>
          <w:u w:val="single"/>
          <w:shd w:val="clear" w:color="auto" w:fill="FBFBFB"/>
        </w:rPr>
        <w:lastRenderedPageBreak/>
        <w:t>Cases</w:t>
      </w:r>
    </w:p>
    <w:p w14:paraId="396E4D66" w14:textId="77777777" w:rsidR="0015109F" w:rsidRPr="00321A36" w:rsidRDefault="0015109F" w:rsidP="00321A36">
      <w:pPr>
        <w:spacing w:after="0" w:line="480" w:lineRule="auto"/>
        <w:rPr>
          <w:rFonts w:ascii="Arial" w:hAnsi="Arial" w:cs="Arial"/>
          <w:bCs/>
          <w:sz w:val="24"/>
          <w:szCs w:val="24"/>
          <w:shd w:val="clear" w:color="auto" w:fill="FBFBFB"/>
        </w:rPr>
      </w:pPr>
    </w:p>
    <w:p w14:paraId="6BA03599" w14:textId="550252ED" w:rsidR="00321A36" w:rsidRDefault="00AA1199" w:rsidP="00B55021">
      <w:pPr>
        <w:spacing w:after="0" w:line="480" w:lineRule="auto"/>
      </w:pPr>
      <w:r w:rsidRPr="00AA1199">
        <w:rPr>
          <w:rFonts w:ascii="Arial" w:hAnsi="Arial" w:cs="Arial"/>
          <w:bCs/>
          <w:sz w:val="24"/>
          <w:szCs w:val="24"/>
          <w:shd w:val="clear" w:color="auto" w:fill="FBFBFB"/>
        </w:rPr>
        <w:br/>
      </w:r>
      <w:r w:rsidRPr="00AA1199">
        <w:rPr>
          <w:rFonts w:ascii="Arial" w:hAnsi="Arial" w:cs="Arial"/>
          <w:sz w:val="24"/>
          <w:szCs w:val="24"/>
          <w:shd w:val="clear" w:color="auto" w:fill="FBFBFB"/>
        </w:rPr>
        <w:t xml:space="preserve">C (a minor) v Eisenhower (1983) </w:t>
      </w:r>
      <w:r w:rsidRPr="00AA1199">
        <w:rPr>
          <w:rFonts w:ascii="Arial" w:hAnsi="Arial" w:cs="Arial"/>
          <w:i/>
          <w:iCs/>
          <w:sz w:val="24"/>
          <w:szCs w:val="24"/>
          <w:shd w:val="clear" w:color="auto" w:fill="FBFBFB"/>
        </w:rPr>
        <w:t>Weekly Law reports</w:t>
      </w:r>
      <w:r w:rsidRPr="00AA1199">
        <w:rPr>
          <w:rFonts w:ascii="Arial" w:hAnsi="Arial" w:cs="Arial"/>
          <w:sz w:val="24"/>
          <w:szCs w:val="24"/>
          <w:shd w:val="clear" w:color="auto" w:fill="FBFBFB"/>
        </w:rPr>
        <w:t>, 537</w:t>
      </w:r>
      <w:r>
        <w:rPr>
          <w:rFonts w:ascii="Arial" w:hAnsi="Arial" w:cs="Arial"/>
          <w:sz w:val="24"/>
          <w:szCs w:val="24"/>
          <w:shd w:val="clear" w:color="auto" w:fill="FBFBFB"/>
        </w:rPr>
        <w:t>. Available at:</w:t>
      </w:r>
      <w:r w:rsidR="00F46AAD" w:rsidRPr="00F46AAD">
        <w:t xml:space="preserve"> </w:t>
      </w:r>
      <w:hyperlink r:id="rId10" w:history="1">
        <w:r w:rsidR="00F46AAD" w:rsidRPr="005D37AF">
          <w:rPr>
            <w:rStyle w:val="Hyperlink"/>
          </w:rPr>
          <w:t>https://plus-lexis-com.ezproxy.uwtsd.ac.uk/uk/cases-uk/c-a-minor-v-eisenhower-sub-nom-jjc-a-minor-v?crid=49c81ead-712f-43cf-aa5e-feebaf5c2190</w:t>
        </w:r>
      </w:hyperlink>
      <w:r w:rsidR="00F46AAD">
        <w:t xml:space="preserve"> Accessed on:</w:t>
      </w:r>
      <w:r w:rsidR="00CA524E">
        <w:t xml:space="preserve"> </w:t>
      </w:r>
      <w:r w:rsidR="00995F6E">
        <w:t>(</w:t>
      </w:r>
      <w:r w:rsidR="00CA524E">
        <w:t>02</w:t>
      </w:r>
      <w:r w:rsidR="00995F6E">
        <w:t>/03/2024)</w:t>
      </w:r>
    </w:p>
    <w:p w14:paraId="328FD50D" w14:textId="77777777" w:rsidR="00E76909" w:rsidRDefault="00E76909" w:rsidP="00DF243A">
      <w:pPr>
        <w:spacing w:after="0" w:line="480" w:lineRule="auto"/>
      </w:pPr>
    </w:p>
    <w:p w14:paraId="37DAAF1D" w14:textId="495A9195" w:rsidR="00DF243A" w:rsidRDefault="00DF243A" w:rsidP="00DF243A">
      <w:pPr>
        <w:spacing w:after="0" w:line="480" w:lineRule="auto"/>
        <w:rPr>
          <w:rFonts w:ascii="Arial" w:hAnsi="Arial" w:cs="Arial"/>
          <w:sz w:val="24"/>
          <w:szCs w:val="24"/>
          <w:shd w:val="clear" w:color="auto" w:fill="FBFBFB"/>
        </w:rPr>
      </w:pPr>
      <w:r w:rsidRPr="00DF243A">
        <w:rPr>
          <w:rFonts w:ascii="Arial" w:hAnsi="Arial" w:cs="Arial"/>
          <w:sz w:val="24"/>
          <w:szCs w:val="24"/>
          <w:shd w:val="clear" w:color="auto" w:fill="FBFBFB"/>
        </w:rPr>
        <w:t>'DPP v Smith ' (1961)</w:t>
      </w:r>
      <w:r w:rsidR="008A1BEF">
        <w:rPr>
          <w:rFonts w:ascii="Arial" w:hAnsi="Arial" w:cs="Arial"/>
          <w:sz w:val="24"/>
          <w:szCs w:val="24"/>
          <w:shd w:val="clear" w:color="auto" w:fill="FBFBFB"/>
        </w:rPr>
        <w:t xml:space="preserve"> L</w:t>
      </w:r>
      <w:r w:rsidRPr="00DF243A">
        <w:rPr>
          <w:rFonts w:ascii="Arial" w:hAnsi="Arial" w:cs="Arial"/>
          <w:i/>
          <w:iCs/>
          <w:sz w:val="24"/>
          <w:szCs w:val="24"/>
          <w:shd w:val="clear" w:color="auto" w:fill="FBFBFB"/>
        </w:rPr>
        <w:t>aw reports</w:t>
      </w:r>
      <w:r w:rsidR="008A1BEF">
        <w:rPr>
          <w:rFonts w:ascii="Arial" w:hAnsi="Arial" w:cs="Arial"/>
          <w:i/>
          <w:iCs/>
          <w:sz w:val="24"/>
          <w:szCs w:val="24"/>
          <w:shd w:val="clear" w:color="auto" w:fill="FBFBFB"/>
        </w:rPr>
        <w:t xml:space="preserve"> appeal cases</w:t>
      </w:r>
      <w:r w:rsidRPr="00DF243A">
        <w:rPr>
          <w:rFonts w:ascii="Arial" w:hAnsi="Arial" w:cs="Arial"/>
          <w:sz w:val="24"/>
          <w:szCs w:val="24"/>
          <w:shd w:val="clear" w:color="auto" w:fill="FBFBFB"/>
        </w:rPr>
        <w:t xml:space="preserve">, </w:t>
      </w:r>
      <w:r w:rsidR="005E6C71">
        <w:rPr>
          <w:rFonts w:ascii="Arial" w:hAnsi="Arial" w:cs="Arial"/>
          <w:sz w:val="24"/>
          <w:szCs w:val="24"/>
          <w:shd w:val="clear" w:color="auto" w:fill="FBFBFB"/>
        </w:rPr>
        <w:t>290</w:t>
      </w:r>
      <w:r w:rsidRPr="00DF243A">
        <w:rPr>
          <w:rFonts w:ascii="Arial" w:hAnsi="Arial" w:cs="Arial"/>
          <w:sz w:val="24"/>
          <w:szCs w:val="24"/>
          <w:shd w:val="clear" w:color="auto" w:fill="FBFBFB"/>
        </w:rPr>
        <w:t>.</w:t>
      </w:r>
      <w:r>
        <w:rPr>
          <w:rFonts w:ascii="Arial" w:hAnsi="Arial" w:cs="Arial"/>
          <w:sz w:val="24"/>
          <w:szCs w:val="24"/>
          <w:shd w:val="clear" w:color="auto" w:fill="FBFBFB"/>
        </w:rPr>
        <w:t xml:space="preserve"> </w:t>
      </w:r>
      <w:r w:rsidR="000773A0">
        <w:rPr>
          <w:rFonts w:ascii="Arial" w:hAnsi="Arial" w:cs="Arial"/>
          <w:sz w:val="24"/>
          <w:szCs w:val="24"/>
          <w:shd w:val="clear" w:color="auto" w:fill="FBFBFB"/>
        </w:rPr>
        <w:t>Available at:</w:t>
      </w:r>
      <w:r w:rsidR="005E6C71">
        <w:rPr>
          <w:rFonts w:ascii="Arial" w:hAnsi="Arial" w:cs="Arial"/>
          <w:sz w:val="24"/>
          <w:szCs w:val="24"/>
          <w:shd w:val="clear" w:color="auto" w:fill="FBFBFB"/>
        </w:rPr>
        <w:t xml:space="preserve"> </w:t>
      </w:r>
      <w:hyperlink r:id="rId11" w:history="1">
        <w:r w:rsidR="005E6C71" w:rsidRPr="005D37AF">
          <w:rPr>
            <w:rStyle w:val="Hyperlink"/>
            <w:rFonts w:ascii="Arial" w:hAnsi="Arial" w:cs="Arial"/>
            <w:sz w:val="24"/>
            <w:szCs w:val="24"/>
            <w:shd w:val="clear" w:color="auto" w:fill="FBFBFB"/>
          </w:rPr>
          <w:t>https://plus-lexis-com.ezproxy.uwtsd.ac.uk/uk/cases-uk/dpp-v-smith_3?crid=aae376f5-be28-41eb-a8a2-388b4b34aae6</w:t>
        </w:r>
      </w:hyperlink>
      <w:r w:rsidR="005E6C71">
        <w:rPr>
          <w:rFonts w:ascii="Arial" w:hAnsi="Arial" w:cs="Arial"/>
          <w:sz w:val="24"/>
          <w:szCs w:val="24"/>
          <w:shd w:val="clear" w:color="auto" w:fill="FBFBFB"/>
        </w:rPr>
        <w:t xml:space="preserve"> (A</w:t>
      </w:r>
      <w:r w:rsidR="00386E69">
        <w:rPr>
          <w:rFonts w:ascii="Arial" w:hAnsi="Arial" w:cs="Arial"/>
          <w:sz w:val="24"/>
          <w:szCs w:val="24"/>
          <w:shd w:val="clear" w:color="auto" w:fill="FBFBFB"/>
        </w:rPr>
        <w:t>ccessed</w:t>
      </w:r>
      <w:r w:rsidR="005E6C71">
        <w:rPr>
          <w:rFonts w:ascii="Arial" w:hAnsi="Arial" w:cs="Arial"/>
          <w:sz w:val="24"/>
          <w:szCs w:val="24"/>
          <w:shd w:val="clear" w:color="auto" w:fill="FBFBFB"/>
        </w:rPr>
        <w:t xml:space="preserve"> </w:t>
      </w:r>
      <w:r w:rsidR="00386E69">
        <w:rPr>
          <w:rFonts w:ascii="Arial" w:hAnsi="Arial" w:cs="Arial"/>
          <w:sz w:val="24"/>
          <w:szCs w:val="24"/>
          <w:shd w:val="clear" w:color="auto" w:fill="FBFBFB"/>
        </w:rPr>
        <w:t>on</w:t>
      </w:r>
      <w:r w:rsidR="005E6C71">
        <w:rPr>
          <w:rFonts w:ascii="Arial" w:hAnsi="Arial" w:cs="Arial"/>
          <w:sz w:val="24"/>
          <w:szCs w:val="24"/>
          <w:shd w:val="clear" w:color="auto" w:fill="FBFBFB"/>
        </w:rPr>
        <w:t>:</w:t>
      </w:r>
      <w:r w:rsidR="00386E69">
        <w:rPr>
          <w:rFonts w:ascii="Arial" w:hAnsi="Arial" w:cs="Arial"/>
          <w:sz w:val="24"/>
          <w:szCs w:val="24"/>
          <w:shd w:val="clear" w:color="auto" w:fill="FBFBFB"/>
        </w:rPr>
        <w:t>08/03/2024)</w:t>
      </w:r>
    </w:p>
    <w:p w14:paraId="1DE834E6" w14:textId="77777777" w:rsidR="00386E69" w:rsidRDefault="00386E69" w:rsidP="00DF243A">
      <w:pPr>
        <w:spacing w:after="0" w:line="480" w:lineRule="auto"/>
        <w:rPr>
          <w:rFonts w:ascii="Arial" w:hAnsi="Arial" w:cs="Arial"/>
          <w:sz w:val="24"/>
          <w:szCs w:val="24"/>
          <w:shd w:val="clear" w:color="auto" w:fill="FBFBFB"/>
        </w:rPr>
      </w:pPr>
    </w:p>
    <w:p w14:paraId="7A154039" w14:textId="77777777" w:rsidR="002939DB" w:rsidRPr="002939DB" w:rsidRDefault="002939DB" w:rsidP="002939DB">
      <w:pPr>
        <w:spacing w:after="0" w:line="480" w:lineRule="auto"/>
        <w:rPr>
          <w:rFonts w:ascii="Arial" w:hAnsi="Arial" w:cs="Arial"/>
          <w:sz w:val="24"/>
          <w:szCs w:val="24"/>
          <w:shd w:val="clear" w:color="auto" w:fill="FBFBFB"/>
        </w:rPr>
      </w:pPr>
      <w:r w:rsidRPr="002939DB">
        <w:rPr>
          <w:rFonts w:ascii="Arial" w:hAnsi="Arial" w:cs="Arial"/>
          <w:sz w:val="24"/>
          <w:szCs w:val="24"/>
          <w:shd w:val="clear" w:color="auto" w:fill="FBFBFB"/>
        </w:rPr>
        <w:t xml:space="preserve">'R v Bollom' (2003) </w:t>
      </w:r>
      <w:r w:rsidRPr="002939DB">
        <w:rPr>
          <w:rFonts w:ascii="Arial" w:hAnsi="Arial" w:cs="Arial"/>
          <w:i/>
          <w:iCs/>
          <w:sz w:val="24"/>
          <w:szCs w:val="24"/>
          <w:shd w:val="clear" w:color="auto" w:fill="FBFBFB"/>
        </w:rPr>
        <w:t>Court of appeal</w:t>
      </w:r>
      <w:r w:rsidRPr="002939DB">
        <w:rPr>
          <w:rFonts w:ascii="Arial" w:hAnsi="Arial" w:cs="Arial"/>
          <w:sz w:val="24"/>
          <w:szCs w:val="24"/>
          <w:shd w:val="clear" w:color="auto" w:fill="FBFBFB"/>
        </w:rPr>
        <w:t>, 2846.</w:t>
      </w:r>
      <w:r w:rsidRPr="002939DB">
        <w:rPr>
          <w:rFonts w:ascii="Arial" w:hAnsi="Arial" w:cs="Arial"/>
          <w:i/>
          <w:iCs/>
          <w:sz w:val="24"/>
          <w:szCs w:val="24"/>
          <w:shd w:val="clear" w:color="auto" w:fill="FBFBFB"/>
        </w:rPr>
        <w:t xml:space="preserve"> BAILII</w:t>
      </w:r>
      <w:r w:rsidRPr="002939DB">
        <w:rPr>
          <w:rFonts w:ascii="Arial" w:hAnsi="Arial" w:cs="Arial"/>
          <w:sz w:val="24"/>
          <w:szCs w:val="24"/>
          <w:shd w:val="clear" w:color="auto" w:fill="FBFBFB"/>
        </w:rPr>
        <w:t>. Available at: https://www.bailii.org/ew/cases/EWCA/Crim/2003/2003_EWCA_Crim_2846.html (Accessed: 08/03/2024).</w:t>
      </w:r>
    </w:p>
    <w:p w14:paraId="359A25CA" w14:textId="77777777" w:rsidR="00386E69" w:rsidRDefault="00386E69" w:rsidP="00DF243A">
      <w:pPr>
        <w:spacing w:after="0" w:line="480" w:lineRule="auto"/>
        <w:rPr>
          <w:rFonts w:ascii="Arial" w:hAnsi="Arial" w:cs="Arial"/>
          <w:sz w:val="24"/>
          <w:szCs w:val="24"/>
          <w:shd w:val="clear" w:color="auto" w:fill="FBFBFB"/>
        </w:rPr>
      </w:pPr>
    </w:p>
    <w:p w14:paraId="04CF932A" w14:textId="77777777" w:rsidR="00E81963" w:rsidRPr="00E81963" w:rsidRDefault="00E81963" w:rsidP="00E81963">
      <w:pPr>
        <w:spacing w:after="0" w:line="480" w:lineRule="auto"/>
        <w:rPr>
          <w:rFonts w:ascii="Arial" w:hAnsi="Arial" w:cs="Arial"/>
          <w:sz w:val="24"/>
          <w:szCs w:val="24"/>
          <w:shd w:val="clear" w:color="auto" w:fill="FBFBFB"/>
        </w:rPr>
      </w:pPr>
      <w:r w:rsidRPr="00E81963">
        <w:rPr>
          <w:rFonts w:ascii="Arial" w:hAnsi="Arial" w:cs="Arial"/>
          <w:sz w:val="24"/>
          <w:szCs w:val="24"/>
          <w:shd w:val="clear" w:color="auto" w:fill="FBFBFB"/>
        </w:rPr>
        <w:t>'R v Burstow' (1997) </w:t>
      </w:r>
      <w:r w:rsidRPr="00E81963">
        <w:rPr>
          <w:rFonts w:ascii="Arial" w:hAnsi="Arial" w:cs="Arial"/>
          <w:i/>
          <w:iCs/>
          <w:sz w:val="24"/>
          <w:szCs w:val="24"/>
          <w:shd w:val="clear" w:color="auto" w:fill="FBFBFB"/>
        </w:rPr>
        <w:t>Criminal appeal reports</w:t>
      </w:r>
      <w:r w:rsidRPr="00E81963">
        <w:rPr>
          <w:rFonts w:ascii="Arial" w:hAnsi="Arial" w:cs="Arial"/>
          <w:sz w:val="24"/>
          <w:szCs w:val="24"/>
          <w:shd w:val="clear" w:color="auto" w:fill="FBFBFB"/>
        </w:rPr>
        <w:t xml:space="preserve">, 144. Available at: </w:t>
      </w:r>
      <w:hyperlink r:id="rId12" w:history="1">
        <w:r w:rsidRPr="00E81963">
          <w:rPr>
            <w:rStyle w:val="Hyperlink"/>
            <w:rFonts w:ascii="Arial" w:hAnsi="Arial" w:cs="Arial"/>
            <w:sz w:val="24"/>
            <w:szCs w:val="24"/>
            <w:shd w:val="clear" w:color="auto" w:fill="FBFBFB"/>
          </w:rPr>
          <w:t>https://plus-lexis-com.ezproxy.uwtsd.ac.uk/uk/cases-uk/r-v-burstow_2?crid=3ed69c75-879e-4c9f-9e33-cba028c2e490</w:t>
        </w:r>
      </w:hyperlink>
      <w:r w:rsidRPr="00E81963">
        <w:rPr>
          <w:rFonts w:ascii="Arial" w:hAnsi="Arial" w:cs="Arial"/>
          <w:sz w:val="24"/>
          <w:szCs w:val="24"/>
          <w:shd w:val="clear" w:color="auto" w:fill="FBFBFB"/>
        </w:rPr>
        <w:t xml:space="preserve"> (Accessed on:</w:t>
      </w:r>
      <w:r w:rsidRPr="00E81963">
        <w:rPr>
          <w:rFonts w:ascii="Arial" w:hAnsi="Arial" w:cs="Arial"/>
          <w:bCs/>
          <w:sz w:val="24"/>
          <w:szCs w:val="24"/>
          <w:shd w:val="clear" w:color="auto" w:fill="FBFBFB"/>
        </w:rPr>
        <w:t xml:space="preserve"> 04/03/2024</w:t>
      </w:r>
    </w:p>
    <w:p w14:paraId="66B57860" w14:textId="77777777" w:rsidR="002939DB" w:rsidRDefault="002939DB" w:rsidP="00DF243A">
      <w:pPr>
        <w:spacing w:after="0" w:line="480" w:lineRule="auto"/>
        <w:rPr>
          <w:rFonts w:ascii="Arial" w:hAnsi="Arial" w:cs="Arial"/>
          <w:sz w:val="24"/>
          <w:szCs w:val="24"/>
          <w:shd w:val="clear" w:color="auto" w:fill="FBFBFB"/>
        </w:rPr>
      </w:pPr>
    </w:p>
    <w:p w14:paraId="55D78971" w14:textId="77777777" w:rsidR="00E76909" w:rsidRPr="00E76909" w:rsidRDefault="00E76909" w:rsidP="00E76909">
      <w:pPr>
        <w:spacing w:after="0" w:line="480" w:lineRule="auto"/>
        <w:rPr>
          <w:rFonts w:ascii="Arial" w:hAnsi="Arial" w:cs="Arial"/>
          <w:bCs/>
          <w:sz w:val="24"/>
          <w:szCs w:val="24"/>
          <w:shd w:val="clear" w:color="auto" w:fill="FBFBFB"/>
        </w:rPr>
      </w:pPr>
      <w:r w:rsidRPr="00E76909">
        <w:rPr>
          <w:rFonts w:ascii="Arial" w:hAnsi="Arial" w:cs="Arial"/>
          <w:bCs/>
          <w:sz w:val="24"/>
          <w:szCs w:val="24"/>
          <w:shd w:val="clear" w:color="auto" w:fill="FBFBFB"/>
        </w:rPr>
        <w:t xml:space="preserve">'R v Cunningham' (1981) </w:t>
      </w:r>
      <w:r w:rsidRPr="00E76909">
        <w:rPr>
          <w:rFonts w:ascii="Arial" w:hAnsi="Arial" w:cs="Arial"/>
          <w:bCs/>
          <w:i/>
          <w:iCs/>
          <w:sz w:val="24"/>
          <w:szCs w:val="24"/>
          <w:shd w:val="clear" w:color="auto" w:fill="FBFBFB"/>
        </w:rPr>
        <w:t>Weekly Law Reports</w:t>
      </w:r>
      <w:r w:rsidRPr="00E76909">
        <w:rPr>
          <w:rFonts w:ascii="Arial" w:hAnsi="Arial" w:cs="Arial"/>
          <w:bCs/>
          <w:sz w:val="24"/>
          <w:szCs w:val="24"/>
          <w:shd w:val="clear" w:color="auto" w:fill="FBFBFB"/>
        </w:rPr>
        <w:t>, 223. Available at:</w:t>
      </w:r>
      <w:r w:rsidRPr="00E76909">
        <w:rPr>
          <w:rFonts w:ascii="Arial" w:hAnsi="Arial" w:cs="Arial"/>
          <w:sz w:val="24"/>
          <w:szCs w:val="24"/>
          <w:shd w:val="clear" w:color="auto" w:fill="FBFBFB"/>
        </w:rPr>
        <w:t xml:space="preserve"> </w:t>
      </w:r>
      <w:r w:rsidRPr="00E76909">
        <w:rPr>
          <w:rFonts w:ascii="Arial" w:hAnsi="Arial" w:cs="Arial"/>
          <w:bCs/>
          <w:sz w:val="24"/>
          <w:szCs w:val="24"/>
          <w:shd w:val="clear" w:color="auto" w:fill="FBFBFB"/>
        </w:rPr>
        <w:t>https://plus-lexis-com.ezproxy.uwtsd.ac.uk/uk/cases-uk/r-v-cunningham_13?crid=e97114d4-1196-47ae-ae42-1b8aaf66749d (Accessed on:05/03/2024)</w:t>
      </w:r>
    </w:p>
    <w:p w14:paraId="6DFE8A3B" w14:textId="77777777" w:rsidR="00EF3F05" w:rsidRDefault="00EF3F05" w:rsidP="003C465B">
      <w:pPr>
        <w:spacing w:after="0" w:line="480" w:lineRule="auto"/>
        <w:rPr>
          <w:rFonts w:ascii="Arial" w:hAnsi="Arial" w:cs="Arial"/>
          <w:sz w:val="24"/>
          <w:szCs w:val="24"/>
          <w:shd w:val="clear" w:color="auto" w:fill="FBFBFB"/>
        </w:rPr>
      </w:pPr>
    </w:p>
    <w:p w14:paraId="7D6A9626" w14:textId="09A7308F" w:rsidR="003C465B" w:rsidRDefault="003C465B" w:rsidP="003C465B">
      <w:pPr>
        <w:spacing w:after="0" w:line="480" w:lineRule="auto"/>
        <w:rPr>
          <w:rFonts w:ascii="Arial" w:hAnsi="Arial" w:cs="Arial"/>
          <w:sz w:val="24"/>
          <w:szCs w:val="24"/>
          <w:shd w:val="clear" w:color="auto" w:fill="FBFBFB"/>
        </w:rPr>
      </w:pPr>
      <w:r w:rsidRPr="003C465B">
        <w:rPr>
          <w:rFonts w:ascii="Arial" w:hAnsi="Arial" w:cs="Arial"/>
          <w:sz w:val="24"/>
          <w:szCs w:val="24"/>
          <w:shd w:val="clear" w:color="auto" w:fill="FBFBFB"/>
        </w:rPr>
        <w:lastRenderedPageBreak/>
        <w:t>'R v Dhaliwal' (2006) EWCA, 1139. </w:t>
      </w:r>
      <w:r w:rsidRPr="003C465B">
        <w:rPr>
          <w:rFonts w:ascii="Arial" w:hAnsi="Arial" w:cs="Arial"/>
          <w:i/>
          <w:iCs/>
          <w:sz w:val="24"/>
          <w:szCs w:val="24"/>
          <w:shd w:val="clear" w:color="auto" w:fill="FBFBFB"/>
        </w:rPr>
        <w:t>Lexis+ uk</w:t>
      </w:r>
      <w:r w:rsidRPr="003C465B">
        <w:rPr>
          <w:rFonts w:ascii="Arial" w:hAnsi="Arial" w:cs="Arial"/>
          <w:sz w:val="24"/>
          <w:szCs w:val="24"/>
          <w:shd w:val="clear" w:color="auto" w:fill="FBFBFB"/>
        </w:rPr>
        <w:t>. Available at: https://plus-lexis-com.ezproxy.uwtsd.ac.uk/uk/cases-uk/r-v-dhaliwal-appeal-under-s-58-of-the-crimina_2?crid=906224b9-0934-474c-8f6d-ae283480d698# (Accessed: 04/03/2024).</w:t>
      </w:r>
    </w:p>
    <w:p w14:paraId="54CB31BC" w14:textId="77777777" w:rsidR="00775757" w:rsidRDefault="00775757" w:rsidP="003C465B">
      <w:pPr>
        <w:spacing w:after="0" w:line="480" w:lineRule="auto"/>
        <w:rPr>
          <w:rFonts w:ascii="Arial" w:hAnsi="Arial" w:cs="Arial"/>
          <w:sz w:val="24"/>
          <w:szCs w:val="24"/>
          <w:shd w:val="clear" w:color="auto" w:fill="FBFBFB"/>
        </w:rPr>
      </w:pPr>
    </w:p>
    <w:p w14:paraId="65684F44" w14:textId="77777777" w:rsidR="00775757" w:rsidRPr="00775757" w:rsidRDefault="00775757" w:rsidP="00775757">
      <w:pPr>
        <w:spacing w:after="0" w:line="480" w:lineRule="auto"/>
        <w:rPr>
          <w:rFonts w:ascii="Arial" w:hAnsi="Arial" w:cs="Arial"/>
          <w:sz w:val="24"/>
          <w:szCs w:val="24"/>
          <w:shd w:val="clear" w:color="auto" w:fill="FBFBFB"/>
        </w:rPr>
      </w:pPr>
      <w:r w:rsidRPr="00775757">
        <w:rPr>
          <w:rFonts w:ascii="Arial" w:hAnsi="Arial" w:cs="Arial"/>
          <w:sz w:val="24"/>
          <w:szCs w:val="24"/>
          <w:shd w:val="clear" w:color="auto" w:fill="FBFBFB"/>
        </w:rPr>
        <w:t xml:space="preserve">'R v Dica' (2004) EWCA, </w:t>
      </w:r>
      <w:r w:rsidRPr="00775757">
        <w:rPr>
          <w:rFonts w:ascii="Arial" w:hAnsi="Arial" w:cs="Arial"/>
          <w:i/>
          <w:iCs/>
          <w:sz w:val="24"/>
          <w:szCs w:val="24"/>
          <w:shd w:val="clear" w:color="auto" w:fill="FBFBFB"/>
        </w:rPr>
        <w:t>1103. Lexis+ uk.</w:t>
      </w:r>
      <w:r w:rsidRPr="00775757">
        <w:rPr>
          <w:rFonts w:ascii="Arial" w:hAnsi="Arial" w:cs="Arial"/>
          <w:sz w:val="24"/>
          <w:szCs w:val="24"/>
          <w:shd w:val="clear" w:color="auto" w:fill="FBFBFB"/>
        </w:rPr>
        <w:t xml:space="preserve"> Available at: https://plus-lexis-com.ezproxy.uwtsd.ac.uk/uk/cases-uk/regina-v-dica-2004-qb-1257?crid=0b05f895-e038-4ca2-9cfb-c79359653488&amp;pdiskwicview=false (Accessed: 06/03/2024).</w:t>
      </w:r>
    </w:p>
    <w:p w14:paraId="30B83852" w14:textId="77777777" w:rsidR="00EF3F05" w:rsidRDefault="00EF3F05" w:rsidP="003C465B">
      <w:pPr>
        <w:spacing w:after="0" w:line="480" w:lineRule="auto"/>
        <w:rPr>
          <w:rFonts w:ascii="Arial" w:hAnsi="Arial" w:cs="Arial"/>
          <w:sz w:val="24"/>
          <w:szCs w:val="24"/>
          <w:shd w:val="clear" w:color="auto" w:fill="FBFBFB"/>
        </w:rPr>
      </w:pPr>
    </w:p>
    <w:p w14:paraId="1523FFEC" w14:textId="77777777" w:rsidR="00EF3F05" w:rsidRPr="00EF3F05" w:rsidRDefault="00EF3F05" w:rsidP="00EF3F05">
      <w:pPr>
        <w:spacing w:after="0" w:line="480" w:lineRule="auto"/>
        <w:rPr>
          <w:rFonts w:ascii="Arial" w:hAnsi="Arial" w:cs="Arial"/>
          <w:bCs/>
          <w:sz w:val="24"/>
          <w:szCs w:val="24"/>
          <w:shd w:val="clear" w:color="auto" w:fill="FBFBFB"/>
        </w:rPr>
      </w:pPr>
      <w:r w:rsidRPr="00EF3F05">
        <w:rPr>
          <w:rFonts w:ascii="Arial" w:hAnsi="Arial" w:cs="Arial"/>
          <w:bCs/>
          <w:sz w:val="24"/>
          <w:szCs w:val="24"/>
          <w:shd w:val="clear" w:color="auto" w:fill="FBFBFB"/>
        </w:rPr>
        <w:t xml:space="preserve">'R v Savage, R v Parmenter' (1991) </w:t>
      </w:r>
      <w:r w:rsidRPr="00EF3F05">
        <w:rPr>
          <w:rFonts w:ascii="Arial" w:hAnsi="Arial" w:cs="Arial"/>
          <w:bCs/>
          <w:i/>
          <w:iCs/>
          <w:sz w:val="24"/>
          <w:szCs w:val="24"/>
          <w:shd w:val="clear" w:color="auto" w:fill="FBFBFB"/>
        </w:rPr>
        <w:t>Weekly Law Reports</w:t>
      </w:r>
      <w:r w:rsidRPr="00EF3F05">
        <w:rPr>
          <w:rFonts w:ascii="Arial" w:hAnsi="Arial" w:cs="Arial"/>
          <w:bCs/>
          <w:sz w:val="24"/>
          <w:szCs w:val="24"/>
          <w:shd w:val="clear" w:color="auto" w:fill="FBFBFB"/>
        </w:rPr>
        <w:t>, 914. Available at:</w:t>
      </w:r>
      <w:r w:rsidRPr="00EF3F05">
        <w:rPr>
          <w:rFonts w:ascii="Arial" w:hAnsi="Arial" w:cs="Arial"/>
          <w:sz w:val="24"/>
          <w:szCs w:val="24"/>
          <w:shd w:val="clear" w:color="auto" w:fill="FBFBFB"/>
        </w:rPr>
        <w:t xml:space="preserve"> </w:t>
      </w:r>
      <w:hyperlink r:id="rId13" w:history="1">
        <w:r w:rsidRPr="00EF3F05">
          <w:rPr>
            <w:rStyle w:val="Hyperlink"/>
            <w:rFonts w:ascii="Arial" w:hAnsi="Arial" w:cs="Arial"/>
            <w:bCs/>
            <w:sz w:val="24"/>
            <w:szCs w:val="24"/>
            <w:shd w:val="clear" w:color="auto" w:fill="FBFBFB"/>
          </w:rPr>
          <w:t>https://plus-lexis-com.ezproxy.uwtsd.ac.uk/uk/cases-uk/regina-respondent-and-savage-appellant-direct_2?crid=a5a091d8-7086-4d91-8723-6e1d18562ab3&amp;pdproductcontenttypeid=urn:pct:285&amp;pdiskwicview=false&amp;pdpinpoint=</w:t>
        </w:r>
      </w:hyperlink>
      <w:r w:rsidRPr="00EF3F05">
        <w:rPr>
          <w:rFonts w:ascii="Arial" w:hAnsi="Arial" w:cs="Arial"/>
          <w:bCs/>
          <w:sz w:val="24"/>
          <w:szCs w:val="24"/>
          <w:shd w:val="clear" w:color="auto" w:fill="FBFBFB"/>
        </w:rPr>
        <w:t xml:space="preserve"> (Accessed on:04/03/2024)</w:t>
      </w:r>
    </w:p>
    <w:p w14:paraId="7DFBD89E" w14:textId="77777777" w:rsidR="00EF3F05" w:rsidRPr="003C465B" w:rsidRDefault="00EF3F05" w:rsidP="003C465B">
      <w:pPr>
        <w:spacing w:after="0" w:line="480" w:lineRule="auto"/>
        <w:rPr>
          <w:rFonts w:ascii="Arial" w:hAnsi="Arial" w:cs="Arial"/>
          <w:sz w:val="24"/>
          <w:szCs w:val="24"/>
          <w:shd w:val="clear" w:color="auto" w:fill="FBFBFB"/>
        </w:rPr>
      </w:pPr>
    </w:p>
    <w:p w14:paraId="39E40048" w14:textId="77777777" w:rsidR="00DF243A" w:rsidRPr="00B55021" w:rsidRDefault="00DF243A" w:rsidP="00B55021">
      <w:pPr>
        <w:spacing w:after="0" w:line="480" w:lineRule="auto"/>
        <w:rPr>
          <w:rFonts w:ascii="Arial" w:hAnsi="Arial" w:cs="Arial"/>
          <w:sz w:val="24"/>
          <w:szCs w:val="24"/>
          <w:shd w:val="clear" w:color="auto" w:fill="FBFBFB"/>
        </w:rPr>
      </w:pPr>
    </w:p>
    <w:p w14:paraId="54711EB0" w14:textId="678DF421" w:rsidR="00B55021" w:rsidRPr="00200391" w:rsidRDefault="00F46AAD" w:rsidP="00E7339B">
      <w:pPr>
        <w:spacing w:after="0" w:line="480" w:lineRule="auto"/>
        <w:rPr>
          <w:rFonts w:ascii="Arial" w:hAnsi="Arial" w:cs="Arial"/>
          <w:sz w:val="24"/>
          <w:szCs w:val="24"/>
          <w:shd w:val="clear" w:color="auto" w:fill="FBFBFB"/>
        </w:rPr>
      </w:pPr>
      <w:r>
        <w:rPr>
          <w:rFonts w:ascii="Arial" w:hAnsi="Arial" w:cs="Arial"/>
          <w:sz w:val="24"/>
          <w:szCs w:val="24"/>
          <w:shd w:val="clear" w:color="auto" w:fill="FBFBFB"/>
        </w:rPr>
        <w:t xml:space="preserve"> </w:t>
      </w:r>
    </w:p>
    <w:sectPr w:rsidR="00B55021" w:rsidRPr="0020039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F1803"/>
    <w:rsid w:val="0000447E"/>
    <w:rsid w:val="00016F67"/>
    <w:rsid w:val="0002219C"/>
    <w:rsid w:val="00030989"/>
    <w:rsid w:val="0003551F"/>
    <w:rsid w:val="00052823"/>
    <w:rsid w:val="00055170"/>
    <w:rsid w:val="00057766"/>
    <w:rsid w:val="000607E2"/>
    <w:rsid w:val="00074616"/>
    <w:rsid w:val="000755FD"/>
    <w:rsid w:val="000773A0"/>
    <w:rsid w:val="000844E8"/>
    <w:rsid w:val="000950E5"/>
    <w:rsid w:val="00096258"/>
    <w:rsid w:val="000A563B"/>
    <w:rsid w:val="000F221E"/>
    <w:rsid w:val="00102CAA"/>
    <w:rsid w:val="001043BE"/>
    <w:rsid w:val="00111172"/>
    <w:rsid w:val="00113144"/>
    <w:rsid w:val="001300F4"/>
    <w:rsid w:val="00142969"/>
    <w:rsid w:val="0014414F"/>
    <w:rsid w:val="00146C83"/>
    <w:rsid w:val="0015109F"/>
    <w:rsid w:val="00154FC8"/>
    <w:rsid w:val="00161167"/>
    <w:rsid w:val="00162511"/>
    <w:rsid w:val="0016526E"/>
    <w:rsid w:val="00166873"/>
    <w:rsid w:val="00167505"/>
    <w:rsid w:val="0017273E"/>
    <w:rsid w:val="00185674"/>
    <w:rsid w:val="001942C5"/>
    <w:rsid w:val="001A6B08"/>
    <w:rsid w:val="001B37D9"/>
    <w:rsid w:val="001C1F30"/>
    <w:rsid w:val="001C5134"/>
    <w:rsid w:val="001D5814"/>
    <w:rsid w:val="001E3155"/>
    <w:rsid w:val="001E318C"/>
    <w:rsid w:val="001E3F11"/>
    <w:rsid w:val="001E65F3"/>
    <w:rsid w:val="001F1385"/>
    <w:rsid w:val="001F5432"/>
    <w:rsid w:val="00200391"/>
    <w:rsid w:val="0020354D"/>
    <w:rsid w:val="002419BF"/>
    <w:rsid w:val="002456AD"/>
    <w:rsid w:val="002521EB"/>
    <w:rsid w:val="002523F9"/>
    <w:rsid w:val="002573D8"/>
    <w:rsid w:val="00267A82"/>
    <w:rsid w:val="00270FF9"/>
    <w:rsid w:val="002939DB"/>
    <w:rsid w:val="00293E93"/>
    <w:rsid w:val="002A29EA"/>
    <w:rsid w:val="002C3A2B"/>
    <w:rsid w:val="002D29BB"/>
    <w:rsid w:val="002F1D47"/>
    <w:rsid w:val="002F21A3"/>
    <w:rsid w:val="00321A36"/>
    <w:rsid w:val="00322694"/>
    <w:rsid w:val="00326113"/>
    <w:rsid w:val="0033689C"/>
    <w:rsid w:val="00337B23"/>
    <w:rsid w:val="00367A22"/>
    <w:rsid w:val="00384163"/>
    <w:rsid w:val="00386E69"/>
    <w:rsid w:val="003A24D8"/>
    <w:rsid w:val="003A721E"/>
    <w:rsid w:val="003B0C88"/>
    <w:rsid w:val="003C216E"/>
    <w:rsid w:val="003C3F23"/>
    <w:rsid w:val="003C465B"/>
    <w:rsid w:val="003D1703"/>
    <w:rsid w:val="003E688C"/>
    <w:rsid w:val="004060EA"/>
    <w:rsid w:val="004114C8"/>
    <w:rsid w:val="00421860"/>
    <w:rsid w:val="004453BF"/>
    <w:rsid w:val="00467370"/>
    <w:rsid w:val="004744BD"/>
    <w:rsid w:val="004847E8"/>
    <w:rsid w:val="0049331D"/>
    <w:rsid w:val="004A1EAF"/>
    <w:rsid w:val="004A4A56"/>
    <w:rsid w:val="004A520B"/>
    <w:rsid w:val="004A5A1E"/>
    <w:rsid w:val="004C626A"/>
    <w:rsid w:val="004E6828"/>
    <w:rsid w:val="00501031"/>
    <w:rsid w:val="00515908"/>
    <w:rsid w:val="00515A31"/>
    <w:rsid w:val="0051697D"/>
    <w:rsid w:val="005517F5"/>
    <w:rsid w:val="005534D7"/>
    <w:rsid w:val="00563125"/>
    <w:rsid w:val="00563EC7"/>
    <w:rsid w:val="00581792"/>
    <w:rsid w:val="00587CA0"/>
    <w:rsid w:val="0059086C"/>
    <w:rsid w:val="005D2F6C"/>
    <w:rsid w:val="005D3643"/>
    <w:rsid w:val="005E448F"/>
    <w:rsid w:val="005E6C71"/>
    <w:rsid w:val="005F055C"/>
    <w:rsid w:val="005F0C28"/>
    <w:rsid w:val="006112DC"/>
    <w:rsid w:val="006356C6"/>
    <w:rsid w:val="0066049B"/>
    <w:rsid w:val="006618A2"/>
    <w:rsid w:val="006648C7"/>
    <w:rsid w:val="006750F2"/>
    <w:rsid w:val="00691F00"/>
    <w:rsid w:val="00692774"/>
    <w:rsid w:val="00697808"/>
    <w:rsid w:val="006A12BB"/>
    <w:rsid w:val="006A2AAA"/>
    <w:rsid w:val="006A307D"/>
    <w:rsid w:val="006A7289"/>
    <w:rsid w:val="006B6A12"/>
    <w:rsid w:val="0070030D"/>
    <w:rsid w:val="00700534"/>
    <w:rsid w:val="00712876"/>
    <w:rsid w:val="00715560"/>
    <w:rsid w:val="00721D58"/>
    <w:rsid w:val="00725D62"/>
    <w:rsid w:val="0073122D"/>
    <w:rsid w:val="00731EFF"/>
    <w:rsid w:val="00755756"/>
    <w:rsid w:val="007627F8"/>
    <w:rsid w:val="0076334A"/>
    <w:rsid w:val="00766808"/>
    <w:rsid w:val="0077351A"/>
    <w:rsid w:val="00775757"/>
    <w:rsid w:val="00786FC7"/>
    <w:rsid w:val="007A2F42"/>
    <w:rsid w:val="007C2DB9"/>
    <w:rsid w:val="007D1E46"/>
    <w:rsid w:val="007E4835"/>
    <w:rsid w:val="00800BD2"/>
    <w:rsid w:val="0080165F"/>
    <w:rsid w:val="008046A6"/>
    <w:rsid w:val="00815E91"/>
    <w:rsid w:val="0081686F"/>
    <w:rsid w:val="00835AF7"/>
    <w:rsid w:val="0083678C"/>
    <w:rsid w:val="008373B6"/>
    <w:rsid w:val="00854191"/>
    <w:rsid w:val="00854F70"/>
    <w:rsid w:val="008876E4"/>
    <w:rsid w:val="008919D0"/>
    <w:rsid w:val="00895D6E"/>
    <w:rsid w:val="008A1BEF"/>
    <w:rsid w:val="008A31FC"/>
    <w:rsid w:val="008B5C97"/>
    <w:rsid w:val="008C42E0"/>
    <w:rsid w:val="008C7E49"/>
    <w:rsid w:val="008F0CEE"/>
    <w:rsid w:val="009150B9"/>
    <w:rsid w:val="00920156"/>
    <w:rsid w:val="0095321A"/>
    <w:rsid w:val="009777B1"/>
    <w:rsid w:val="00990D45"/>
    <w:rsid w:val="00992947"/>
    <w:rsid w:val="009939E5"/>
    <w:rsid w:val="00995F6E"/>
    <w:rsid w:val="00997E09"/>
    <w:rsid w:val="009A36BB"/>
    <w:rsid w:val="009A57A2"/>
    <w:rsid w:val="009B65F5"/>
    <w:rsid w:val="009E2F3E"/>
    <w:rsid w:val="009E4943"/>
    <w:rsid w:val="00A14EDF"/>
    <w:rsid w:val="00A23AF6"/>
    <w:rsid w:val="00A41FA2"/>
    <w:rsid w:val="00A45F5D"/>
    <w:rsid w:val="00A67EBA"/>
    <w:rsid w:val="00A76C99"/>
    <w:rsid w:val="00A809CB"/>
    <w:rsid w:val="00A96566"/>
    <w:rsid w:val="00A97B51"/>
    <w:rsid w:val="00AA1199"/>
    <w:rsid w:val="00AA6680"/>
    <w:rsid w:val="00AB0F1E"/>
    <w:rsid w:val="00AD251A"/>
    <w:rsid w:val="00AD5551"/>
    <w:rsid w:val="00B02177"/>
    <w:rsid w:val="00B05E0D"/>
    <w:rsid w:val="00B10249"/>
    <w:rsid w:val="00B1349E"/>
    <w:rsid w:val="00B16626"/>
    <w:rsid w:val="00B20FCE"/>
    <w:rsid w:val="00B55021"/>
    <w:rsid w:val="00B5633E"/>
    <w:rsid w:val="00B646D3"/>
    <w:rsid w:val="00B72BF1"/>
    <w:rsid w:val="00B8685D"/>
    <w:rsid w:val="00B87648"/>
    <w:rsid w:val="00B87F90"/>
    <w:rsid w:val="00B93348"/>
    <w:rsid w:val="00BA50D6"/>
    <w:rsid w:val="00BB4417"/>
    <w:rsid w:val="00BE282A"/>
    <w:rsid w:val="00BF09AD"/>
    <w:rsid w:val="00BF0C26"/>
    <w:rsid w:val="00BF1803"/>
    <w:rsid w:val="00BF1C79"/>
    <w:rsid w:val="00C00ECC"/>
    <w:rsid w:val="00C0142B"/>
    <w:rsid w:val="00C10767"/>
    <w:rsid w:val="00C21484"/>
    <w:rsid w:val="00C34B5B"/>
    <w:rsid w:val="00C37B78"/>
    <w:rsid w:val="00C4651A"/>
    <w:rsid w:val="00C46B8C"/>
    <w:rsid w:val="00C52080"/>
    <w:rsid w:val="00C70C31"/>
    <w:rsid w:val="00C71629"/>
    <w:rsid w:val="00C81F00"/>
    <w:rsid w:val="00C92418"/>
    <w:rsid w:val="00C94F3E"/>
    <w:rsid w:val="00C95D71"/>
    <w:rsid w:val="00CA4F8B"/>
    <w:rsid w:val="00CA524E"/>
    <w:rsid w:val="00CB14B0"/>
    <w:rsid w:val="00CB69BA"/>
    <w:rsid w:val="00CD44AD"/>
    <w:rsid w:val="00CE02A5"/>
    <w:rsid w:val="00CE031A"/>
    <w:rsid w:val="00CE30FE"/>
    <w:rsid w:val="00CF3C71"/>
    <w:rsid w:val="00D16CA2"/>
    <w:rsid w:val="00D2536B"/>
    <w:rsid w:val="00D335BB"/>
    <w:rsid w:val="00D40A3B"/>
    <w:rsid w:val="00D60070"/>
    <w:rsid w:val="00D612D6"/>
    <w:rsid w:val="00D727C9"/>
    <w:rsid w:val="00D75D5C"/>
    <w:rsid w:val="00D927D0"/>
    <w:rsid w:val="00D958EB"/>
    <w:rsid w:val="00DA734E"/>
    <w:rsid w:val="00DB4EC8"/>
    <w:rsid w:val="00DD293E"/>
    <w:rsid w:val="00DE1E18"/>
    <w:rsid w:val="00DE6A6C"/>
    <w:rsid w:val="00DF243A"/>
    <w:rsid w:val="00E121F8"/>
    <w:rsid w:val="00E2008F"/>
    <w:rsid w:val="00E22C17"/>
    <w:rsid w:val="00E3330B"/>
    <w:rsid w:val="00E43C87"/>
    <w:rsid w:val="00E52944"/>
    <w:rsid w:val="00E55FA4"/>
    <w:rsid w:val="00E7339B"/>
    <w:rsid w:val="00E76909"/>
    <w:rsid w:val="00E8120D"/>
    <w:rsid w:val="00E81963"/>
    <w:rsid w:val="00E85341"/>
    <w:rsid w:val="00E85C08"/>
    <w:rsid w:val="00EA2599"/>
    <w:rsid w:val="00EC51A4"/>
    <w:rsid w:val="00ED66CD"/>
    <w:rsid w:val="00EE5D89"/>
    <w:rsid w:val="00EF00FD"/>
    <w:rsid w:val="00EF1474"/>
    <w:rsid w:val="00EF3F05"/>
    <w:rsid w:val="00EF4F12"/>
    <w:rsid w:val="00F03E06"/>
    <w:rsid w:val="00F1408F"/>
    <w:rsid w:val="00F2273D"/>
    <w:rsid w:val="00F26922"/>
    <w:rsid w:val="00F32024"/>
    <w:rsid w:val="00F46AAD"/>
    <w:rsid w:val="00F554D9"/>
    <w:rsid w:val="00F76FA2"/>
    <w:rsid w:val="00F82069"/>
    <w:rsid w:val="00F83102"/>
    <w:rsid w:val="00F97B7B"/>
    <w:rsid w:val="00FB1886"/>
    <w:rsid w:val="00FB5B06"/>
    <w:rsid w:val="00FC600D"/>
    <w:rsid w:val="00FC757F"/>
    <w:rsid w:val="00FD7ED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04EC678"/>
  <w15:chartTrackingRefBased/>
  <w15:docId w15:val="{D01A8761-F8C6-419E-BA10-55937901DC5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F1803"/>
  </w:style>
  <w:style w:type="paragraph" w:styleId="Heading1">
    <w:name w:val="heading 1"/>
    <w:basedOn w:val="Normal"/>
    <w:next w:val="Normal"/>
    <w:link w:val="Heading1Char"/>
    <w:uiPriority w:val="9"/>
    <w:qFormat/>
    <w:rsid w:val="00BF1803"/>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BF1803"/>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BF1803"/>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BF1803"/>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BF1803"/>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BF1803"/>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BF1803"/>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BF1803"/>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BF1803"/>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BF1803"/>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BF1803"/>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BF1803"/>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BF1803"/>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BF1803"/>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BF1803"/>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BF1803"/>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BF1803"/>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BF1803"/>
    <w:rPr>
      <w:rFonts w:eastAsiaTheme="majorEastAsia" w:cstheme="majorBidi"/>
      <w:color w:val="272727" w:themeColor="text1" w:themeTint="D8"/>
    </w:rPr>
  </w:style>
  <w:style w:type="paragraph" w:styleId="Title">
    <w:name w:val="Title"/>
    <w:basedOn w:val="Normal"/>
    <w:next w:val="Normal"/>
    <w:link w:val="TitleChar"/>
    <w:uiPriority w:val="10"/>
    <w:qFormat/>
    <w:rsid w:val="00BF1803"/>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F1803"/>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BF1803"/>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BF1803"/>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BF1803"/>
    <w:pPr>
      <w:spacing w:before="160"/>
      <w:jc w:val="center"/>
    </w:pPr>
    <w:rPr>
      <w:i/>
      <w:iCs/>
      <w:color w:val="404040" w:themeColor="text1" w:themeTint="BF"/>
    </w:rPr>
  </w:style>
  <w:style w:type="character" w:customStyle="1" w:styleId="QuoteChar">
    <w:name w:val="Quote Char"/>
    <w:basedOn w:val="DefaultParagraphFont"/>
    <w:link w:val="Quote"/>
    <w:uiPriority w:val="29"/>
    <w:rsid w:val="00BF1803"/>
    <w:rPr>
      <w:i/>
      <w:iCs/>
      <w:color w:val="404040" w:themeColor="text1" w:themeTint="BF"/>
    </w:rPr>
  </w:style>
  <w:style w:type="paragraph" w:styleId="ListParagraph">
    <w:name w:val="List Paragraph"/>
    <w:basedOn w:val="Normal"/>
    <w:uiPriority w:val="34"/>
    <w:qFormat/>
    <w:rsid w:val="00BF1803"/>
    <w:pPr>
      <w:ind w:left="720"/>
      <w:contextualSpacing/>
    </w:pPr>
  </w:style>
  <w:style w:type="character" w:styleId="IntenseEmphasis">
    <w:name w:val="Intense Emphasis"/>
    <w:basedOn w:val="DefaultParagraphFont"/>
    <w:uiPriority w:val="21"/>
    <w:qFormat/>
    <w:rsid w:val="00BF1803"/>
    <w:rPr>
      <w:i/>
      <w:iCs/>
      <w:color w:val="0F4761" w:themeColor="accent1" w:themeShade="BF"/>
    </w:rPr>
  </w:style>
  <w:style w:type="paragraph" w:styleId="IntenseQuote">
    <w:name w:val="Intense Quote"/>
    <w:basedOn w:val="Normal"/>
    <w:next w:val="Normal"/>
    <w:link w:val="IntenseQuoteChar"/>
    <w:uiPriority w:val="30"/>
    <w:qFormat/>
    <w:rsid w:val="00BF1803"/>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BF1803"/>
    <w:rPr>
      <w:i/>
      <w:iCs/>
      <w:color w:val="0F4761" w:themeColor="accent1" w:themeShade="BF"/>
    </w:rPr>
  </w:style>
  <w:style w:type="character" w:styleId="IntenseReference">
    <w:name w:val="Intense Reference"/>
    <w:basedOn w:val="DefaultParagraphFont"/>
    <w:uiPriority w:val="32"/>
    <w:qFormat/>
    <w:rsid w:val="00BF1803"/>
    <w:rPr>
      <w:b/>
      <w:bCs/>
      <w:smallCaps/>
      <w:color w:val="0F4761" w:themeColor="accent1" w:themeShade="BF"/>
      <w:spacing w:val="5"/>
    </w:rPr>
  </w:style>
  <w:style w:type="character" w:styleId="Emphasis">
    <w:name w:val="Emphasis"/>
    <w:basedOn w:val="DefaultParagraphFont"/>
    <w:uiPriority w:val="20"/>
    <w:qFormat/>
    <w:rsid w:val="00BF1803"/>
    <w:rPr>
      <w:i/>
      <w:iCs/>
    </w:rPr>
  </w:style>
  <w:style w:type="paragraph" w:customStyle="1" w:styleId="paragraph">
    <w:name w:val="paragraph"/>
    <w:basedOn w:val="Normal"/>
    <w:rsid w:val="00BF180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BF1803"/>
  </w:style>
  <w:style w:type="character" w:customStyle="1" w:styleId="eop">
    <w:name w:val="eop"/>
    <w:basedOn w:val="DefaultParagraphFont"/>
    <w:rsid w:val="00BF1803"/>
  </w:style>
  <w:style w:type="paragraph" w:styleId="NormalWeb">
    <w:name w:val="Normal (Web)"/>
    <w:basedOn w:val="Normal"/>
    <w:uiPriority w:val="99"/>
    <w:unhideWhenUsed/>
    <w:rsid w:val="00BF1803"/>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styleId="Strong">
    <w:name w:val="Strong"/>
    <w:basedOn w:val="DefaultParagraphFont"/>
    <w:uiPriority w:val="22"/>
    <w:qFormat/>
    <w:rsid w:val="00F76FA2"/>
    <w:rPr>
      <w:b/>
      <w:bCs/>
    </w:rPr>
  </w:style>
  <w:style w:type="character" w:styleId="Hyperlink">
    <w:name w:val="Hyperlink"/>
    <w:basedOn w:val="DefaultParagraphFont"/>
    <w:uiPriority w:val="99"/>
    <w:unhideWhenUsed/>
    <w:rsid w:val="003A721E"/>
    <w:rPr>
      <w:color w:val="467886" w:themeColor="hyperlink"/>
      <w:u w:val="single"/>
    </w:rPr>
  </w:style>
  <w:style w:type="character" w:customStyle="1" w:styleId="sssh">
    <w:name w:val="ss_sh"/>
    <w:basedOn w:val="DefaultParagraphFont"/>
    <w:rsid w:val="003A721E"/>
  </w:style>
  <w:style w:type="character" w:styleId="FollowedHyperlink">
    <w:name w:val="FollowedHyperlink"/>
    <w:basedOn w:val="DefaultParagraphFont"/>
    <w:uiPriority w:val="99"/>
    <w:semiHidden/>
    <w:unhideWhenUsed/>
    <w:rsid w:val="0070030D"/>
    <w:rPr>
      <w:color w:val="96607D" w:themeColor="followedHyperlink"/>
      <w:u w:val="single"/>
    </w:rPr>
  </w:style>
  <w:style w:type="character" w:styleId="UnresolvedMention">
    <w:name w:val="Unresolved Mention"/>
    <w:basedOn w:val="DefaultParagraphFont"/>
    <w:uiPriority w:val="99"/>
    <w:semiHidden/>
    <w:unhideWhenUsed/>
    <w:rsid w:val="00F1408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50783426">
      <w:bodyDiv w:val="1"/>
      <w:marLeft w:val="0"/>
      <w:marRight w:val="0"/>
      <w:marTop w:val="0"/>
      <w:marBottom w:val="0"/>
      <w:divBdr>
        <w:top w:val="none" w:sz="0" w:space="0" w:color="auto"/>
        <w:left w:val="none" w:sz="0" w:space="0" w:color="auto"/>
        <w:bottom w:val="none" w:sz="0" w:space="0" w:color="auto"/>
        <w:right w:val="none" w:sz="0" w:space="0" w:color="auto"/>
      </w:divBdr>
    </w:div>
    <w:div w:id="103141793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assets.publishing.service.gov.uk/media/5a81679a40f0b62305b8ec5b/51950_LC_HC555_Web.pdf" TargetMode="External"/><Relationship Id="rId13" Type="http://schemas.openxmlformats.org/officeDocument/2006/relationships/hyperlink" Target="https://plus-lexis-com.ezproxy.uwtsd.ac.uk/uk/cases-uk/regina-respondent-and-savage-appellant-direct_2?crid=a5a091d8-7086-4d91-8723-6e1d18562ab3&amp;pdproductcontenttypeid=urn:pct:285&amp;pdiskwicview=false&amp;pdpinpoint=" TargetMode="External"/><Relationship Id="rId3" Type="http://schemas.openxmlformats.org/officeDocument/2006/relationships/customXml" Target="../customXml/item3.xml"/><Relationship Id="rId7" Type="http://schemas.openxmlformats.org/officeDocument/2006/relationships/hyperlink" Target="https://www-cambridge-org.ezproxy.uwtsd.ac.uk/core/journals/cambridge-law-journal/article/rationality-and-the-rule-of-law-in-offences-against-the-person/CCFD7032DA059AF0FF8F95066FB1EF2D" TargetMode="External"/><Relationship Id="rId12" Type="http://schemas.openxmlformats.org/officeDocument/2006/relationships/hyperlink" Target="https://plus-lexis-com.ezproxy.uwtsd.ac.uk/uk/cases-uk/r-v-burstow_2?crid=3ed69c75-879e-4c9f-9e33-cba028c2e490"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plus-lexis-com.ezproxy.uwtsd.ac.uk/uk/cases-uk/dpp-v-smith_3?crid=aae376f5-be28-41eb-a8a2-388b4b34aae6" TargetMode="External"/><Relationship Id="rId5" Type="http://schemas.openxmlformats.org/officeDocument/2006/relationships/settings" Target="settings.xml"/><Relationship Id="rId15" Type="http://schemas.openxmlformats.org/officeDocument/2006/relationships/theme" Target="theme/theme1.xml"/><Relationship Id="rId10" Type="http://schemas.openxmlformats.org/officeDocument/2006/relationships/hyperlink" Target="https://plus-lexis-com.ezproxy.uwtsd.ac.uk/uk/cases-uk/c-a-minor-v-eisenhower-sub-nom-jjc-a-minor-v?crid=49c81ead-712f-43cf-aa5e-feebaf5c2190" TargetMode="External"/><Relationship Id="rId4" Type="http://schemas.openxmlformats.org/officeDocument/2006/relationships/styles" Target="styles.xml"/><Relationship Id="rId9" Type="http://schemas.openxmlformats.org/officeDocument/2006/relationships/hyperlink" Target="https://plus-lexis-com.ezproxy.uwtsd.ac.uk/uk/analytical-materials-uk/reform-of-offences-against-the-person-2014?crid=0f5aac15-10ad-420a-8424-43feee2544e9&amp;pdproductcontenttypeid=urn%3apct%3a241&amp;pdiskwicview=false&amp;pdpinpoint=&amp;identityprofileid=R6VFST67341&amp;aci=uk&amp;cbc=0&amp;lnsi=45b601ea-cbe2-463c-9013-0d530d10a52e&amp;rmflag=0&amp;sit=null"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3" ma:contentTypeDescription="Create a new document." ma:contentTypeScope="" ma:versionID="cf453e58328fec31073bd3ee7d904aa3">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afeb4becee64491c29fba15b49cdb5fb"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System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SystemTags" ma:index="17" nillable="true" ma:displayName="MediaServiceSystemTags" ma:hidden="true" ma:internalName="MediaServiceSystemTags" ma:readOnly="true">
      <xsd:simpleType>
        <xsd:restriction base="dms:Note"/>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FAE9F1C7-A24E-4F0E-B711-C05D85B00779}">
  <ds:schemaRefs>
    <ds:schemaRef ds:uri="http://schemas.microsoft.com/office/2006/metadata/properties"/>
    <ds:schemaRef ds:uri="http://schemas.microsoft.com/office/infopath/2007/PartnerControls"/>
    <ds:schemaRef ds:uri="ad7316b1-23f1-480c-8fa6-cbf037f4db9c"/>
  </ds:schemaRefs>
</ds:datastoreItem>
</file>

<file path=customXml/itemProps2.xml><?xml version="1.0" encoding="utf-8"?>
<ds:datastoreItem xmlns:ds="http://schemas.openxmlformats.org/officeDocument/2006/customXml" ds:itemID="{54916A47-C230-4418-8EAF-E4836AE415AA}">
  <ds:schemaRefs>
    <ds:schemaRef ds:uri="http://schemas.microsoft.com/sharepoint/v3/contenttype/forms"/>
  </ds:schemaRefs>
</ds:datastoreItem>
</file>

<file path=customXml/itemProps3.xml><?xml version="1.0" encoding="utf-8"?>
<ds:datastoreItem xmlns:ds="http://schemas.openxmlformats.org/officeDocument/2006/customXml" ds:itemID="{E1305DB9-945B-4291-8932-3B4AA7A7C37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601</TotalTime>
  <Pages>11</Pages>
  <Words>2088</Words>
  <Characters>13302</Characters>
  <Application>Microsoft Office Word</Application>
  <DocSecurity>0</DocSecurity>
  <Lines>255</Lines>
  <Paragraphs>42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15348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Shannon Davies</dc:creator>
  <cp:keywords/>
  <dc:description/>
  <cp:lastModifiedBy>Shannon Davies</cp:lastModifiedBy>
  <cp:revision>274</cp:revision>
  <dcterms:created xsi:type="dcterms:W3CDTF">2024-03-08T22:44:00Z</dcterms:created>
  <dcterms:modified xsi:type="dcterms:W3CDTF">2024-03-12T20:00:00Z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y fmtid="{D5CDD505-2E9C-101B-9397-08002B2CF9AE}" pid="3" name="GrammarlyDocumentId">
    <vt:lpwstr>e9a27426359cc6d782feb6c05b079fb8473304c10fc5f011ee70377f1bd1f47d</vt:lpwstr>
  </property>
</Properties>
</file>