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92C4A9" w14:textId="10E9CB95" w:rsidR="00381282" w:rsidRPr="002B5C1D" w:rsidRDefault="00381282" w:rsidP="002B5C1D">
      <w:pPr>
        <w:spacing w:line="360" w:lineRule="auto"/>
        <w:jc w:val="both"/>
        <w:rPr>
          <w:rFonts w:ascii="Arial" w:hAnsi="Arial" w:cs="Arial"/>
          <w:sz w:val="24"/>
          <w:szCs w:val="24"/>
          <w:u w:val="single"/>
        </w:rPr>
      </w:pPr>
      <w:r w:rsidRPr="002B5C1D">
        <w:rPr>
          <w:rFonts w:ascii="Arial" w:hAnsi="Arial" w:cs="Arial"/>
          <w:sz w:val="24"/>
          <w:szCs w:val="24"/>
          <w:u w:val="single"/>
        </w:rPr>
        <w:t>The Role of Play in the Early Years</w:t>
      </w:r>
    </w:p>
    <w:p w14:paraId="038DA782" w14:textId="38D52254" w:rsidR="00747714" w:rsidRPr="002B5C1D" w:rsidRDefault="00747714" w:rsidP="002B5C1D">
      <w:pPr>
        <w:spacing w:line="360" w:lineRule="auto"/>
        <w:jc w:val="both"/>
        <w:rPr>
          <w:rFonts w:ascii="Arial" w:hAnsi="Arial" w:cs="Arial"/>
          <w:sz w:val="24"/>
          <w:szCs w:val="24"/>
          <w:u w:val="single"/>
        </w:rPr>
      </w:pPr>
      <w:r w:rsidRPr="002B5C1D">
        <w:rPr>
          <w:rFonts w:ascii="Arial" w:hAnsi="Arial" w:cs="Arial"/>
          <w:sz w:val="24"/>
          <w:szCs w:val="24"/>
          <w:u w:val="single"/>
        </w:rPr>
        <w:t>Section 1</w:t>
      </w:r>
    </w:p>
    <w:p w14:paraId="29F701A7" w14:textId="51DB994F" w:rsidR="00F97025" w:rsidRPr="002B5C1D" w:rsidRDefault="00175F0E" w:rsidP="002B5C1D">
      <w:pPr>
        <w:spacing w:line="360" w:lineRule="auto"/>
        <w:jc w:val="both"/>
        <w:rPr>
          <w:rFonts w:ascii="Arial" w:hAnsi="Arial" w:cs="Arial"/>
          <w:sz w:val="24"/>
          <w:szCs w:val="24"/>
        </w:rPr>
      </w:pPr>
      <w:r w:rsidRPr="002B5C1D">
        <w:rPr>
          <w:rFonts w:ascii="Arial" w:eastAsia="Arial" w:hAnsi="Arial" w:cs="Arial"/>
          <w:sz w:val="24"/>
          <w:szCs w:val="24"/>
        </w:rPr>
        <w:t xml:space="preserve">The Welsh Government (Wales - a Play Friendly Country, 2014) state that “play is central to their enjoyment of life and contributes to their well-being” when talking about making Wales ‘Play Friendly’. The UNCRC (1989) ensures that children have the right to rest, participate in leisure activities, and play in Article 31; children have the right to play and enjoy doing things for their own gain, not anyone else’s. The Welsh Government (Play Policy Implementation Plan, 2006) place a lot of value on the child and their experiences of play; they define play as something that is freely chosen, child led, comes naturally to the child, and has no goal or reward at the end. Play allows the child to explore the world around them in a natural and imaginative way; a few moments of play covers multiple developmental and learning opportunities that may not be available through structured learning (Ofsted, 2015).  As well as adults focusing on the importance of play, children also consider play to be one of the most important aspects of their own lives (IPA, 2010). </w:t>
      </w:r>
      <w:r w:rsidRPr="002B5C1D">
        <w:rPr>
          <w:rFonts w:ascii="Arial" w:eastAsia="Arial" w:hAnsi="Arial" w:cs="Arial"/>
          <w:sz w:val="24"/>
          <w:szCs w:val="24"/>
        </w:rPr>
        <w:br/>
        <w:t xml:space="preserve">Self-directed play is considered by the Welsh Government (Wales - a Play Friendly Country, 2014) to be a ‘fundamental and integral part of healthy development’ (pp. 14) for both the child and the society in which the child is part of. Self-directed play can be useful to observe development in early years settings as play is often when the child demonstrates their intelligence at the highest level of capability (Bruce, 2011). This idea is supported by Howard and McInnes (2012) as they concluded from their play research that children who consider themselves to be playing are more likely to be engaged with what </w:t>
      </w:r>
      <w:proofErr w:type="spellStart"/>
      <w:r w:rsidRPr="002B5C1D">
        <w:rPr>
          <w:rFonts w:ascii="Arial" w:eastAsia="Arial" w:hAnsi="Arial" w:cs="Arial"/>
          <w:sz w:val="24"/>
          <w:szCs w:val="24"/>
        </w:rPr>
        <w:t>their</w:t>
      </w:r>
      <w:proofErr w:type="spellEnd"/>
      <w:r w:rsidRPr="002B5C1D">
        <w:rPr>
          <w:rFonts w:ascii="Arial" w:eastAsia="Arial" w:hAnsi="Arial" w:cs="Arial"/>
          <w:sz w:val="24"/>
          <w:szCs w:val="24"/>
        </w:rPr>
        <w:t xml:space="preserve"> doing and more focused compared to children who consider the task to be work. Froebel believed that children learn best and thrive through play as it allows for problem solving. Froebel suggested that children do best when they feel emotionally secure which happens when the child has plenty of opportunities to play freely (Tovey, 2017). </w:t>
      </w:r>
      <w:r w:rsidRPr="002B5C1D">
        <w:rPr>
          <w:rFonts w:ascii="Arial" w:eastAsia="Arial" w:hAnsi="Arial" w:cs="Arial"/>
          <w:sz w:val="24"/>
          <w:szCs w:val="24"/>
        </w:rPr>
        <w:br/>
        <w:t xml:space="preserve">Adventurous play is strongly encouraged in early years settings as it allows the child to explore risk in a safe way (Bruce, 2012). The idea of adventurous play can be linked to McMillan (1930) who argued that children should be able to play “bravely and adventurously” (Broadhead et al., 2010, pp. 79). Adventurous play does include an element of risk; children look to push their boundaries and try new things out both with their bodies and with their toys (Broadhead et al., 2010). Broadhead et al. (2010) </w:t>
      </w:r>
      <w:r w:rsidRPr="002B5C1D">
        <w:rPr>
          <w:rFonts w:ascii="Arial" w:eastAsia="Arial" w:hAnsi="Arial" w:cs="Arial"/>
          <w:sz w:val="24"/>
          <w:szCs w:val="24"/>
        </w:rPr>
        <w:lastRenderedPageBreak/>
        <w:t xml:space="preserve">believes the benefits of adventurous play are that the child is learning their own limits in an environment that they are in control of rather than the adult, and they can choose the pace and degree of risk themselves. Adventurous play such as playing tag, climbing trees and skipping, according to </w:t>
      </w:r>
      <w:proofErr w:type="spellStart"/>
      <w:r w:rsidRPr="002B5C1D">
        <w:rPr>
          <w:rFonts w:ascii="Arial" w:eastAsia="Arial" w:hAnsi="Arial" w:cs="Arial"/>
          <w:sz w:val="24"/>
          <w:szCs w:val="24"/>
        </w:rPr>
        <w:t>Groos</w:t>
      </w:r>
      <w:proofErr w:type="spellEnd"/>
      <w:r w:rsidRPr="002B5C1D">
        <w:rPr>
          <w:rFonts w:ascii="Arial" w:eastAsia="Arial" w:hAnsi="Arial" w:cs="Arial"/>
          <w:sz w:val="24"/>
          <w:szCs w:val="24"/>
        </w:rPr>
        <w:t xml:space="preserve"> (1901), is a desire evolved from natural selection that allows children to develop both the physical and mental needs required throughout life.  </w:t>
      </w:r>
      <w:r w:rsidRPr="002B5C1D">
        <w:rPr>
          <w:rFonts w:ascii="Arial" w:eastAsia="Arial" w:hAnsi="Arial" w:cs="Arial"/>
          <w:sz w:val="24"/>
          <w:szCs w:val="24"/>
        </w:rPr>
        <w:br/>
        <w:t>The holistic development of the child should be considered in every early years setting (Welsh Government, 2015) and can encouraged through play. Self- directed play helps develop a child’s social skills; during self-directed play, children have the opportunity to engage with other children without it being forced by adults. They get the chance to solve their own problems and learn effective communication skills (Wilson, 2012). Vygotsky (1927, citied in Mooney, 2000) also suggests using his theory of the Zone of proximal development that children learn by watching others; this is often developed through social interaction (</w:t>
      </w:r>
      <w:proofErr w:type="spellStart"/>
      <w:r w:rsidRPr="002B5C1D">
        <w:rPr>
          <w:rFonts w:ascii="Arial" w:eastAsia="Arial" w:hAnsi="Arial" w:cs="Arial"/>
          <w:sz w:val="24"/>
          <w:szCs w:val="24"/>
        </w:rPr>
        <w:t>Kozulin</w:t>
      </w:r>
      <w:proofErr w:type="spellEnd"/>
      <w:r w:rsidRPr="002B5C1D">
        <w:rPr>
          <w:rFonts w:ascii="Arial" w:eastAsia="Arial" w:hAnsi="Arial" w:cs="Arial"/>
          <w:sz w:val="24"/>
          <w:szCs w:val="24"/>
        </w:rPr>
        <w:t xml:space="preserve"> et al, 2003). Play can often encompass dancing, running, and general moving around which means that the child is developing their gross motor skills by using their larger muscles (</w:t>
      </w:r>
      <w:proofErr w:type="spellStart"/>
      <w:r w:rsidRPr="002B5C1D">
        <w:rPr>
          <w:rFonts w:ascii="Arial" w:eastAsia="Arial" w:hAnsi="Arial" w:cs="Arial"/>
          <w:sz w:val="24"/>
          <w:szCs w:val="24"/>
        </w:rPr>
        <w:t>Galluhue</w:t>
      </w:r>
      <w:proofErr w:type="spellEnd"/>
      <w:r w:rsidRPr="002B5C1D">
        <w:rPr>
          <w:rFonts w:ascii="Arial" w:eastAsia="Arial" w:hAnsi="Arial" w:cs="Arial"/>
          <w:sz w:val="24"/>
          <w:szCs w:val="24"/>
        </w:rPr>
        <w:t>, 1982). As well as using their larger muscles, during play children often have the opportunity to use small and fine objects which can help develop their fine motor skills (</w:t>
      </w:r>
      <w:proofErr w:type="spellStart"/>
      <w:r w:rsidRPr="002B5C1D">
        <w:rPr>
          <w:rFonts w:ascii="Arial" w:eastAsia="Arial" w:hAnsi="Arial" w:cs="Arial"/>
          <w:sz w:val="24"/>
          <w:szCs w:val="24"/>
        </w:rPr>
        <w:t>Henniger</w:t>
      </w:r>
      <w:proofErr w:type="spellEnd"/>
      <w:r w:rsidRPr="002B5C1D">
        <w:rPr>
          <w:rFonts w:ascii="Arial" w:eastAsia="Arial" w:hAnsi="Arial" w:cs="Arial"/>
          <w:sz w:val="24"/>
          <w:szCs w:val="24"/>
        </w:rPr>
        <w:t xml:space="preserve">, 2008). </w:t>
      </w:r>
      <w:r w:rsidRPr="002B5C1D">
        <w:rPr>
          <w:rFonts w:ascii="Arial" w:eastAsia="Arial" w:hAnsi="Arial" w:cs="Arial"/>
          <w:sz w:val="24"/>
          <w:szCs w:val="24"/>
        </w:rPr>
        <w:br/>
        <w:t>Emotional development is also strengthened during play as play encourages children to find ways of dealing with their emotions and understand how they are feeling without an adult telling them. Gordon Biddle et al. (2013) suggests that play helps children feel proud of themselves as there is no right or wrong way to play, therefore it is always a positive experience. Play can add value to the adults around the child as playing with the child allows the adult to engage with the child in a way that the child can respond to (</w:t>
      </w:r>
      <w:proofErr w:type="spellStart"/>
      <w:r w:rsidRPr="002B5C1D">
        <w:rPr>
          <w:rFonts w:ascii="Arial" w:eastAsia="Arial" w:hAnsi="Arial" w:cs="Arial"/>
          <w:sz w:val="24"/>
          <w:szCs w:val="24"/>
        </w:rPr>
        <w:t>Yogman</w:t>
      </w:r>
      <w:proofErr w:type="spellEnd"/>
      <w:r w:rsidRPr="002B5C1D">
        <w:rPr>
          <w:rFonts w:ascii="Arial" w:eastAsia="Arial" w:hAnsi="Arial" w:cs="Arial"/>
          <w:sz w:val="24"/>
          <w:szCs w:val="24"/>
        </w:rPr>
        <w:t xml:space="preserve"> et al., 2018). This is particularly important when building a relationship with the child and develops the child’s social and emotional development.  </w:t>
      </w:r>
    </w:p>
    <w:p w14:paraId="2276B0EE" w14:textId="3E6E5ECC" w:rsidR="00F97025" w:rsidRPr="002B5C1D" w:rsidRDefault="00F97025" w:rsidP="002B5C1D">
      <w:pPr>
        <w:spacing w:line="360" w:lineRule="auto"/>
        <w:jc w:val="both"/>
        <w:rPr>
          <w:rFonts w:ascii="Arial" w:hAnsi="Arial" w:cs="Arial"/>
          <w:sz w:val="24"/>
          <w:szCs w:val="24"/>
        </w:rPr>
      </w:pPr>
    </w:p>
    <w:p w14:paraId="2B3784C3" w14:textId="0BECFFB7" w:rsidR="00F97025" w:rsidRPr="002B5C1D" w:rsidRDefault="00F97025" w:rsidP="002B5C1D">
      <w:pPr>
        <w:spacing w:line="360" w:lineRule="auto"/>
        <w:jc w:val="both"/>
        <w:rPr>
          <w:rFonts w:ascii="Arial" w:hAnsi="Arial" w:cs="Arial"/>
          <w:sz w:val="24"/>
          <w:szCs w:val="24"/>
        </w:rPr>
      </w:pPr>
    </w:p>
    <w:p w14:paraId="1E1ABEEA" w14:textId="031AC9AA" w:rsidR="00F97025" w:rsidRPr="002B5C1D" w:rsidRDefault="00F97025" w:rsidP="002B5C1D">
      <w:pPr>
        <w:spacing w:line="360" w:lineRule="auto"/>
        <w:jc w:val="both"/>
        <w:rPr>
          <w:rFonts w:ascii="Arial" w:hAnsi="Arial" w:cs="Arial"/>
          <w:sz w:val="24"/>
          <w:szCs w:val="24"/>
        </w:rPr>
      </w:pPr>
    </w:p>
    <w:p w14:paraId="581C8CA4" w14:textId="77777777" w:rsidR="00175F0E" w:rsidRPr="002B5C1D" w:rsidRDefault="00175F0E" w:rsidP="002B5C1D">
      <w:pPr>
        <w:spacing w:line="360" w:lineRule="auto"/>
        <w:jc w:val="both"/>
        <w:rPr>
          <w:rFonts w:ascii="Arial" w:hAnsi="Arial" w:cs="Arial"/>
          <w:sz w:val="24"/>
          <w:szCs w:val="24"/>
          <w:u w:val="single"/>
        </w:rPr>
      </w:pPr>
    </w:p>
    <w:p w14:paraId="3D080FC4" w14:textId="77777777" w:rsidR="00175F0E" w:rsidRPr="002B5C1D" w:rsidRDefault="00175F0E" w:rsidP="002B5C1D">
      <w:pPr>
        <w:spacing w:line="360" w:lineRule="auto"/>
        <w:jc w:val="both"/>
        <w:rPr>
          <w:rFonts w:ascii="Arial" w:hAnsi="Arial" w:cs="Arial"/>
          <w:sz w:val="24"/>
          <w:szCs w:val="24"/>
          <w:u w:val="single"/>
        </w:rPr>
      </w:pPr>
    </w:p>
    <w:p w14:paraId="63D0B4CB" w14:textId="5A4C528F" w:rsidR="00F97025" w:rsidRPr="002B5C1D" w:rsidRDefault="00747714" w:rsidP="002B5C1D">
      <w:pPr>
        <w:spacing w:line="360" w:lineRule="auto"/>
        <w:jc w:val="both"/>
        <w:rPr>
          <w:rFonts w:ascii="Arial" w:hAnsi="Arial" w:cs="Arial"/>
          <w:sz w:val="24"/>
          <w:szCs w:val="24"/>
          <w:u w:val="single"/>
        </w:rPr>
      </w:pPr>
      <w:r w:rsidRPr="002B5C1D">
        <w:rPr>
          <w:rFonts w:ascii="Arial" w:hAnsi="Arial" w:cs="Arial"/>
          <w:sz w:val="24"/>
          <w:szCs w:val="24"/>
          <w:u w:val="single"/>
        </w:rPr>
        <w:lastRenderedPageBreak/>
        <w:t>Section 2</w:t>
      </w:r>
    </w:p>
    <w:p w14:paraId="1DACEF39" w14:textId="77777777" w:rsidR="00175F0E" w:rsidRPr="002B5C1D" w:rsidRDefault="00175F0E" w:rsidP="002B5C1D">
      <w:pPr>
        <w:spacing w:line="360" w:lineRule="auto"/>
        <w:jc w:val="both"/>
        <w:rPr>
          <w:rFonts w:ascii="Arial" w:eastAsia="Arial" w:hAnsi="Arial" w:cs="Arial"/>
          <w:sz w:val="24"/>
          <w:szCs w:val="24"/>
        </w:rPr>
      </w:pPr>
      <w:r w:rsidRPr="002B5C1D">
        <w:rPr>
          <w:rFonts w:ascii="Arial" w:eastAsia="Arial" w:hAnsi="Arial" w:cs="Arial"/>
          <w:sz w:val="24"/>
          <w:szCs w:val="24"/>
        </w:rPr>
        <w:t xml:space="preserve">Little (2006) defined risk as a behaviour in which the outcome was not certain; there is potential success as well as potential failure. Whilst ensuring that children remain safe and away from harm is a main role for the adult, </w:t>
      </w:r>
      <w:proofErr w:type="spellStart"/>
      <w:r w:rsidRPr="002B5C1D">
        <w:rPr>
          <w:rFonts w:ascii="Arial" w:eastAsia="Arial" w:hAnsi="Arial" w:cs="Arial"/>
          <w:sz w:val="24"/>
          <w:szCs w:val="24"/>
        </w:rPr>
        <w:t>Brussoni</w:t>
      </w:r>
      <w:proofErr w:type="spellEnd"/>
      <w:r w:rsidRPr="002B5C1D">
        <w:rPr>
          <w:rFonts w:ascii="Arial" w:eastAsia="Arial" w:hAnsi="Arial" w:cs="Arial"/>
          <w:sz w:val="24"/>
          <w:szCs w:val="24"/>
        </w:rPr>
        <w:t xml:space="preserve"> et al. (2012a) suggests that imposing restrictions on a child’s outdoor play to a high level can hinder their development. According to Eager and Little (2011, cited in </w:t>
      </w:r>
      <w:proofErr w:type="spellStart"/>
      <w:r w:rsidRPr="002B5C1D">
        <w:rPr>
          <w:rFonts w:ascii="Arial" w:eastAsia="Arial" w:hAnsi="Arial" w:cs="Arial"/>
          <w:sz w:val="24"/>
          <w:szCs w:val="24"/>
        </w:rPr>
        <w:t>Brussoni</w:t>
      </w:r>
      <w:proofErr w:type="spellEnd"/>
      <w:r w:rsidRPr="002B5C1D">
        <w:rPr>
          <w:rFonts w:ascii="Arial" w:eastAsia="Arial" w:hAnsi="Arial" w:cs="Arial"/>
          <w:sz w:val="24"/>
          <w:szCs w:val="24"/>
        </w:rPr>
        <w:t xml:space="preserve"> et al., 2012b, pp. 3135) children who do not experience risky play are linked with mental health concerns in the future and a lack of independence as they grow up. Risk taking in play allows children to push their own boundaries and find their own personal limits; the boundaries are set by their own confidence and competence and are not controlled by adults (Broadhead et al., 2010). </w:t>
      </w:r>
      <w:proofErr w:type="spellStart"/>
      <w:r w:rsidRPr="002B5C1D">
        <w:rPr>
          <w:rFonts w:ascii="Arial" w:eastAsia="Arial" w:hAnsi="Arial" w:cs="Arial"/>
          <w:sz w:val="24"/>
          <w:szCs w:val="24"/>
        </w:rPr>
        <w:t>Sandseter</w:t>
      </w:r>
      <w:proofErr w:type="spellEnd"/>
      <w:r w:rsidRPr="002B5C1D">
        <w:rPr>
          <w:rFonts w:ascii="Arial" w:eastAsia="Arial" w:hAnsi="Arial" w:cs="Arial"/>
          <w:sz w:val="24"/>
          <w:szCs w:val="24"/>
        </w:rPr>
        <w:t xml:space="preserve"> (2007) and Stephenson (2003) both noted in research surrounding children’s play and risk that children increase the level of risk as play which could suggest that children enjoy the feeling of fear and elation when they complete a risky activity. Play Wales (2013) emphasise an importance on children taking risks when outdoors as it allows the child to learn how to trust others and themselves as well as contributing to their social and emotional development. Outdoor learning is a way that schools and early years settings introduce an element of risk in a manageable way; the outdoor environment facilitates risk taking such as climbing and being imaginative with their surroundings as well as testing their own boundaries (Estyn, 2015).  </w:t>
      </w:r>
      <w:r w:rsidRPr="002B5C1D">
        <w:rPr>
          <w:rFonts w:ascii="Arial" w:eastAsia="Arial" w:hAnsi="Arial" w:cs="Arial"/>
          <w:sz w:val="24"/>
          <w:szCs w:val="24"/>
        </w:rPr>
        <w:br/>
      </w:r>
      <w:proofErr w:type="spellStart"/>
      <w:r w:rsidRPr="002B5C1D">
        <w:rPr>
          <w:rFonts w:ascii="Arial" w:eastAsia="Arial" w:hAnsi="Arial" w:cs="Arial"/>
          <w:sz w:val="24"/>
          <w:szCs w:val="24"/>
        </w:rPr>
        <w:t>Sandseter</w:t>
      </w:r>
      <w:proofErr w:type="spellEnd"/>
      <w:r w:rsidRPr="002B5C1D">
        <w:rPr>
          <w:rFonts w:ascii="Arial" w:eastAsia="Arial" w:hAnsi="Arial" w:cs="Arial"/>
          <w:sz w:val="24"/>
          <w:szCs w:val="24"/>
        </w:rPr>
        <w:t xml:space="preserve"> &amp; </w:t>
      </w:r>
      <w:proofErr w:type="spellStart"/>
      <w:r w:rsidRPr="002B5C1D">
        <w:rPr>
          <w:rFonts w:ascii="Arial" w:eastAsia="Arial" w:hAnsi="Arial" w:cs="Arial"/>
          <w:sz w:val="24"/>
          <w:szCs w:val="24"/>
        </w:rPr>
        <w:t>Kennair</w:t>
      </w:r>
      <w:proofErr w:type="spellEnd"/>
      <w:r w:rsidRPr="002B5C1D">
        <w:rPr>
          <w:rFonts w:ascii="Arial" w:eastAsia="Arial" w:hAnsi="Arial" w:cs="Arial"/>
          <w:sz w:val="24"/>
          <w:szCs w:val="24"/>
        </w:rPr>
        <w:t xml:space="preserve"> (2011) suggest that risky play is beneficial to children’s development as it allows them to explore their environment and test their fears; it’s suggested that if a child is not exposed to risky play then their fears may remain irrationally into adulthood. The desire of risk is innate in all children; if children are not able to explore that risk during play then there is a fear that they may seek to experience it away from adults (</w:t>
      </w:r>
      <w:proofErr w:type="spellStart"/>
      <w:r w:rsidRPr="002B5C1D">
        <w:rPr>
          <w:rFonts w:ascii="Arial" w:eastAsia="Arial" w:hAnsi="Arial" w:cs="Arial"/>
          <w:sz w:val="24"/>
          <w:szCs w:val="24"/>
        </w:rPr>
        <w:t>Brussoni</w:t>
      </w:r>
      <w:proofErr w:type="spellEnd"/>
      <w:r w:rsidRPr="002B5C1D">
        <w:rPr>
          <w:rFonts w:ascii="Arial" w:eastAsia="Arial" w:hAnsi="Arial" w:cs="Arial"/>
          <w:sz w:val="24"/>
          <w:szCs w:val="24"/>
        </w:rPr>
        <w:t xml:space="preserve"> et al, 2012). Not only does exploring risk in play keep the child safe, risk allows children to develop their social development through demonstrating their courage and physical skills to both themselves and their peers (Green, 1997). This will allow the child to develop on their own self-esteem, learn their own abilities, and develop a sense of independence once they are aware of their limits, according to Play Scotland (</w:t>
      </w:r>
      <w:proofErr w:type="spellStart"/>
      <w:r w:rsidRPr="002B5C1D">
        <w:rPr>
          <w:rFonts w:ascii="Arial" w:eastAsia="Arial" w:hAnsi="Arial" w:cs="Arial"/>
          <w:sz w:val="24"/>
          <w:szCs w:val="24"/>
        </w:rPr>
        <w:t>n.d</w:t>
      </w:r>
      <w:proofErr w:type="spellEnd"/>
      <w:r w:rsidRPr="002B5C1D">
        <w:rPr>
          <w:rFonts w:ascii="Arial" w:eastAsia="Arial" w:hAnsi="Arial" w:cs="Arial"/>
          <w:sz w:val="24"/>
          <w:szCs w:val="24"/>
        </w:rPr>
        <w:t xml:space="preserve">). This is supported by Erikson (1950, cited in Mooney, 2000) who suggested that the second stage of psychosocial development is when the child develops their sense of independence without feeling </w:t>
      </w:r>
      <w:r w:rsidRPr="002B5C1D">
        <w:rPr>
          <w:rFonts w:ascii="Arial" w:eastAsia="Arial" w:hAnsi="Arial" w:cs="Arial"/>
          <w:sz w:val="24"/>
          <w:szCs w:val="24"/>
        </w:rPr>
        <w:lastRenderedPageBreak/>
        <w:t>embarrassed. By exploring their risks in play, children are more likely to reach their psychosocial developmental targets accordingly.  Risky play involves a lot of moving around such as jumping, running, climbing, and balancing; this sort of risky play is vital for gross motor development for children (</w:t>
      </w:r>
      <w:proofErr w:type="spellStart"/>
      <w:r w:rsidRPr="002B5C1D">
        <w:rPr>
          <w:rFonts w:ascii="Arial" w:eastAsia="Arial" w:hAnsi="Arial" w:cs="Arial"/>
          <w:sz w:val="24"/>
          <w:szCs w:val="24"/>
        </w:rPr>
        <w:t>Bottrill</w:t>
      </w:r>
      <w:proofErr w:type="spellEnd"/>
      <w:r w:rsidRPr="002B5C1D">
        <w:rPr>
          <w:rFonts w:ascii="Arial" w:eastAsia="Arial" w:hAnsi="Arial" w:cs="Arial"/>
          <w:sz w:val="24"/>
          <w:szCs w:val="24"/>
        </w:rPr>
        <w:t xml:space="preserve">, 2018). </w:t>
      </w:r>
      <w:proofErr w:type="spellStart"/>
      <w:r w:rsidRPr="002B5C1D">
        <w:rPr>
          <w:rFonts w:ascii="Arial" w:eastAsia="Arial" w:hAnsi="Arial" w:cs="Arial"/>
          <w:sz w:val="24"/>
          <w:szCs w:val="24"/>
        </w:rPr>
        <w:t>Bottrill</w:t>
      </w:r>
      <w:proofErr w:type="spellEnd"/>
      <w:r w:rsidRPr="002B5C1D">
        <w:rPr>
          <w:rFonts w:ascii="Arial" w:eastAsia="Arial" w:hAnsi="Arial" w:cs="Arial"/>
          <w:sz w:val="24"/>
          <w:szCs w:val="24"/>
        </w:rPr>
        <w:t xml:space="preserve"> (2018) suggests that gross motor development is needed for body strength, self-esteem, and brain development; being physical is not just about achieving physical outcomes but gives children a sense of worth. Martin (2010, cited in Moyles, 2010) recommends that children are encouraged by adults to explore risks as children who feel as though they are trusted to play independently are likely to feel trust in adults; the level of trust the child has for the adult can help them develop a relationship where they feel confident to talk to the adult and interact with them. </w:t>
      </w:r>
      <w:r w:rsidRPr="002B5C1D">
        <w:rPr>
          <w:rFonts w:ascii="Arial" w:eastAsia="Arial" w:hAnsi="Arial" w:cs="Arial"/>
          <w:sz w:val="24"/>
          <w:szCs w:val="24"/>
        </w:rPr>
        <w:br/>
        <w:t xml:space="preserve">Whilst risky play is beneficial for the development and learning in the early years settings, risky play does not come without risk (Play Wales, 2008). The law in Wales is that all risks must be assessed and deemed that the benefits outweigh the risks and that the risks are manageable (Health and Safety code of practise, 2017). Risk assessments are required to be completed by the early years settings looking at how risk can be managed without removing the benefits that the children will receive. </w:t>
      </w:r>
      <w:proofErr w:type="spellStart"/>
      <w:r w:rsidRPr="002B5C1D">
        <w:rPr>
          <w:rFonts w:ascii="Arial" w:eastAsia="Arial" w:hAnsi="Arial" w:cs="Arial"/>
          <w:sz w:val="24"/>
          <w:szCs w:val="24"/>
        </w:rPr>
        <w:t>Bottrill</w:t>
      </w:r>
      <w:proofErr w:type="spellEnd"/>
      <w:r w:rsidRPr="002B5C1D">
        <w:rPr>
          <w:rFonts w:ascii="Arial" w:eastAsia="Arial" w:hAnsi="Arial" w:cs="Arial"/>
          <w:sz w:val="24"/>
          <w:szCs w:val="24"/>
        </w:rPr>
        <w:t xml:space="preserve"> (2018) suggests that risk should be assessed with the children and negotiated with them; this will allow the children to realise the importance of following the rules and feels real. An example that </w:t>
      </w:r>
      <w:proofErr w:type="spellStart"/>
      <w:r w:rsidRPr="002B5C1D">
        <w:rPr>
          <w:rFonts w:ascii="Arial" w:eastAsia="Arial" w:hAnsi="Arial" w:cs="Arial"/>
          <w:sz w:val="24"/>
          <w:szCs w:val="24"/>
        </w:rPr>
        <w:t>Bottrill</w:t>
      </w:r>
      <w:proofErr w:type="spellEnd"/>
      <w:r w:rsidRPr="002B5C1D">
        <w:rPr>
          <w:rFonts w:ascii="Arial" w:eastAsia="Arial" w:hAnsi="Arial" w:cs="Arial"/>
          <w:sz w:val="24"/>
          <w:szCs w:val="24"/>
        </w:rPr>
        <w:t xml:space="preserve"> (2018) gives is climbing a tree; he suggests that if the children want to climb a tree, the adult can tie a ribbon around the tree to mark off the maximum height or climb the tree with the children testing the branches together.</w:t>
      </w:r>
    </w:p>
    <w:p w14:paraId="29462D04" w14:textId="0439AAE1" w:rsidR="000C1B66" w:rsidRPr="002B5C1D" w:rsidRDefault="000C1B66" w:rsidP="002B5C1D">
      <w:pPr>
        <w:spacing w:line="360" w:lineRule="auto"/>
        <w:jc w:val="both"/>
        <w:rPr>
          <w:rFonts w:ascii="Arial" w:hAnsi="Arial" w:cs="Arial"/>
          <w:sz w:val="24"/>
          <w:szCs w:val="24"/>
        </w:rPr>
      </w:pPr>
    </w:p>
    <w:p w14:paraId="335D301A" w14:textId="190B13AD" w:rsidR="000C1B66" w:rsidRPr="002B5C1D" w:rsidRDefault="000C1B66" w:rsidP="002B5C1D">
      <w:pPr>
        <w:spacing w:line="360" w:lineRule="auto"/>
        <w:jc w:val="both"/>
        <w:rPr>
          <w:rFonts w:ascii="Arial" w:hAnsi="Arial" w:cs="Arial"/>
          <w:sz w:val="24"/>
          <w:szCs w:val="24"/>
        </w:rPr>
      </w:pPr>
    </w:p>
    <w:p w14:paraId="58FE94D9" w14:textId="39A1257B" w:rsidR="000C1B66" w:rsidRPr="002B5C1D" w:rsidRDefault="000C1B66" w:rsidP="002B5C1D">
      <w:pPr>
        <w:spacing w:line="360" w:lineRule="auto"/>
        <w:jc w:val="both"/>
        <w:rPr>
          <w:rFonts w:ascii="Arial" w:hAnsi="Arial" w:cs="Arial"/>
          <w:sz w:val="24"/>
          <w:szCs w:val="24"/>
        </w:rPr>
      </w:pPr>
    </w:p>
    <w:p w14:paraId="7627BD57" w14:textId="6D97B4C1" w:rsidR="000C1B66" w:rsidRPr="002B5C1D" w:rsidRDefault="000C1B66" w:rsidP="002B5C1D">
      <w:pPr>
        <w:spacing w:line="360" w:lineRule="auto"/>
        <w:jc w:val="both"/>
        <w:rPr>
          <w:rFonts w:ascii="Arial" w:hAnsi="Arial" w:cs="Arial"/>
          <w:sz w:val="24"/>
          <w:szCs w:val="24"/>
        </w:rPr>
      </w:pPr>
    </w:p>
    <w:p w14:paraId="1FC323D2" w14:textId="1C41E757" w:rsidR="000C1B66" w:rsidRPr="002B5C1D" w:rsidRDefault="000C1B66" w:rsidP="002B5C1D">
      <w:pPr>
        <w:spacing w:line="360" w:lineRule="auto"/>
        <w:jc w:val="both"/>
        <w:rPr>
          <w:rFonts w:ascii="Arial" w:hAnsi="Arial" w:cs="Arial"/>
          <w:sz w:val="24"/>
          <w:szCs w:val="24"/>
        </w:rPr>
      </w:pPr>
    </w:p>
    <w:p w14:paraId="2754A2FD" w14:textId="0B7A0711" w:rsidR="000C1B66" w:rsidRPr="002B5C1D" w:rsidRDefault="000C1B66" w:rsidP="002B5C1D">
      <w:pPr>
        <w:spacing w:line="360" w:lineRule="auto"/>
        <w:jc w:val="both"/>
        <w:rPr>
          <w:rFonts w:ascii="Arial" w:hAnsi="Arial" w:cs="Arial"/>
          <w:sz w:val="24"/>
          <w:szCs w:val="24"/>
        </w:rPr>
      </w:pPr>
    </w:p>
    <w:p w14:paraId="3AB16ACA" w14:textId="77777777" w:rsidR="00175F0E" w:rsidRPr="002B5C1D" w:rsidRDefault="00175F0E" w:rsidP="002B5C1D">
      <w:pPr>
        <w:spacing w:line="360" w:lineRule="auto"/>
        <w:jc w:val="both"/>
        <w:rPr>
          <w:rFonts w:ascii="Arial" w:hAnsi="Arial" w:cs="Arial"/>
          <w:sz w:val="24"/>
          <w:szCs w:val="24"/>
          <w:u w:val="single"/>
        </w:rPr>
      </w:pPr>
    </w:p>
    <w:p w14:paraId="08CAC3A8" w14:textId="77777777" w:rsidR="00175F0E" w:rsidRPr="002B5C1D" w:rsidRDefault="00175F0E" w:rsidP="002B5C1D">
      <w:pPr>
        <w:spacing w:line="360" w:lineRule="auto"/>
        <w:jc w:val="both"/>
        <w:rPr>
          <w:rFonts w:ascii="Arial" w:hAnsi="Arial" w:cs="Arial"/>
          <w:sz w:val="24"/>
          <w:szCs w:val="24"/>
          <w:u w:val="single"/>
        </w:rPr>
      </w:pPr>
    </w:p>
    <w:p w14:paraId="636DD896" w14:textId="435AADCF" w:rsidR="005617F3" w:rsidRPr="002B5C1D" w:rsidRDefault="00747714" w:rsidP="002B5C1D">
      <w:pPr>
        <w:spacing w:line="360" w:lineRule="auto"/>
        <w:jc w:val="both"/>
        <w:rPr>
          <w:rFonts w:ascii="Arial" w:hAnsi="Arial" w:cs="Arial"/>
          <w:sz w:val="24"/>
          <w:szCs w:val="24"/>
          <w:u w:val="single"/>
        </w:rPr>
      </w:pPr>
      <w:r w:rsidRPr="002B5C1D">
        <w:rPr>
          <w:rFonts w:ascii="Arial" w:hAnsi="Arial" w:cs="Arial"/>
          <w:sz w:val="24"/>
          <w:szCs w:val="24"/>
          <w:u w:val="single"/>
        </w:rPr>
        <w:lastRenderedPageBreak/>
        <w:t>Section 3</w:t>
      </w:r>
    </w:p>
    <w:p w14:paraId="2CF68BC8" w14:textId="77777777" w:rsidR="00175F0E" w:rsidRPr="002B5C1D" w:rsidRDefault="00175F0E" w:rsidP="002B5C1D">
      <w:pPr>
        <w:spacing w:line="360" w:lineRule="auto"/>
        <w:jc w:val="both"/>
        <w:rPr>
          <w:rFonts w:ascii="Arial" w:eastAsia="Arial" w:hAnsi="Arial" w:cs="Arial"/>
          <w:sz w:val="24"/>
          <w:szCs w:val="24"/>
        </w:rPr>
      </w:pPr>
      <w:r w:rsidRPr="002B5C1D">
        <w:rPr>
          <w:rFonts w:ascii="Arial" w:eastAsia="Arial" w:hAnsi="Arial" w:cs="Arial"/>
          <w:sz w:val="24"/>
          <w:szCs w:val="24"/>
        </w:rPr>
        <w:t xml:space="preserve">The Foundation Phase Profile (FPP) observation is an assessment tool that the Welsh Government have implemented in the early years settings to monitor the progress of children in those settings (Foundation Phase Profile Handbook, 2017a). The FPP supports the assessment of the children’s learning and development throughout their time in the foundation years and provides a nationally consistent baseline for the whole country. According to the Welsh Government (Foundation Phase Profile Handbook, 2017a), the FPP is a continuous observation throughout early years that supports the early identification of SEN/ALN and allows for early intervention. The FPP frequently asked questions (Welsh Government, 2017b) outlines the four key areas of learning: personal and social development including well-being and cultural diversity, communication skills including language and literacy, mathematical development, and the child’s physical development. </w:t>
      </w:r>
      <w:r w:rsidRPr="002B5C1D">
        <w:rPr>
          <w:rFonts w:ascii="Arial" w:eastAsia="Arial" w:hAnsi="Arial" w:cs="Arial"/>
          <w:sz w:val="24"/>
          <w:szCs w:val="24"/>
        </w:rPr>
        <w:br/>
        <w:t xml:space="preserve">The FPP looks at meeting developmental ‘norms’ that link back to the work of Piaget (1967, cited in Doherty and Hughes, 2009, pp. 261); the stages of development relate to what the child should be achieving at their age and looking at their progress. This is beneficial to early years settings as the observations will highlight any potential ALN or SEN that the child may have by comparing them to the national scores. Flavell, Miller &amp; Miller (2002) argues that Piaget’s stages are too rigid and that children develop at their own rate; slow development doesn’t necessarily mean that the child has ALN or SEN but that the child will reach the developmental milestone in their own time.  </w:t>
      </w:r>
      <w:r w:rsidRPr="002B5C1D">
        <w:rPr>
          <w:rFonts w:ascii="Arial" w:eastAsia="Arial" w:hAnsi="Arial" w:cs="Arial"/>
          <w:sz w:val="24"/>
          <w:szCs w:val="24"/>
        </w:rPr>
        <w:br/>
        <w:t xml:space="preserve">Piaget (1967, cited in Mooney, 2000, pp. 62) suggests that children are required to do things independently in order to fully develop their potential and children learn best when adults are not directing them; this advocates the FPP observation as the child is likely to be playing or being independent when the progress is being monitored. Montessori (1907, cited in Mooney, 2000, pp. 29) heavily based her work on children learning best through doing and repeating; the FPP observations do not allow for continuous flow of observations which means the child is observed once after 6 weeks. This does not allow for that repetition that Montessori (1907) supported. When children are being observed multiple times, this can help identify the true capabilities of the child rather than just a one off snap shot; Riddell-Leech (2008) emphasises that when a child is feeling sad or unhappy, they are not likely to engage with play or show their true developmental abilities which would mean the child would not appear to make </w:t>
      </w:r>
      <w:r w:rsidRPr="002B5C1D">
        <w:rPr>
          <w:rFonts w:ascii="Arial" w:eastAsia="Arial" w:hAnsi="Arial" w:cs="Arial"/>
          <w:sz w:val="24"/>
          <w:szCs w:val="24"/>
        </w:rPr>
        <w:lastRenderedPageBreak/>
        <w:t>progress during that observation. The FPP observations are required to be completed within the first 6 weeks of the child entering reception class; this does not give all children enough time to settle into their new surroundings and feel comfortable enough to show their full abilities.</w:t>
      </w:r>
      <w:r w:rsidRPr="002B5C1D">
        <w:rPr>
          <w:rFonts w:ascii="Arial" w:eastAsia="Arial" w:hAnsi="Arial" w:cs="Arial"/>
          <w:sz w:val="24"/>
          <w:szCs w:val="24"/>
        </w:rPr>
        <w:br/>
        <w:t xml:space="preserve">According to the FPP handbook (2017) there is no universal way to record the observations in the foundation phase; whilst this means each setting can choose the method that works for them, it also means that the observations could become biased. Riddell-Leech (2008) recommends that observations remain non-judgemental and unbiased, looking at what the child has done in that observation time and not what the observer knows the child can do. As well as remaining unbiased, the observer may not include important details that could explain or be the cause of an anomaly during the observation. Environmental factors should be considered, for example, if it was a hot day, the behaviour of the child may be unusual and show regression in their development; any potential cause for behaviours should be recorded (Hobart &amp; Frankel, 2004). An example of this is the FPP behavioural regulation mentions that the child is able to be calmed by an adult; if the child was particularly hot and uncomfortable due to the weather then the child is less likely to calmed compared to a typically ‘normal’ day. The FPP is the information gathered that is then fed back to parents/carers to update them on their child’s progress (Foundation Phase Profile Handbook, 2017). Whilst feeding this information back is important to maintain good communication with the parents (Estyn, 2018), feeding back information when the child is not reaching developmental ‘norms’ could potentially cause the parents to experience anxiety over the child’s performance when there is no need. The FPP specifically mentions that whilst the information gained can highlight potential ALN or SEN it is not designed to diagnose children. </w:t>
      </w:r>
      <w:r w:rsidRPr="002B5C1D">
        <w:rPr>
          <w:rFonts w:ascii="Arial" w:eastAsia="Arial" w:hAnsi="Arial" w:cs="Arial"/>
          <w:sz w:val="24"/>
          <w:szCs w:val="24"/>
        </w:rPr>
        <w:br/>
        <w:t>Whilst the FPP is a nationally distributed observation tools designed for the early years settings, the lack of guidance on completing the observations appears to mean it is ambiguous and personal to each individual setting (Riddell-Leech, 2008) which then removes the consistency it originally conveyed.</w:t>
      </w:r>
    </w:p>
    <w:p w14:paraId="1ABC6CAC" w14:textId="56E630C2" w:rsidR="005617F3" w:rsidRPr="002B5C1D" w:rsidRDefault="005617F3" w:rsidP="002B5C1D">
      <w:pPr>
        <w:spacing w:line="360" w:lineRule="auto"/>
        <w:jc w:val="both"/>
        <w:rPr>
          <w:rFonts w:ascii="Arial" w:hAnsi="Arial" w:cs="Arial"/>
          <w:sz w:val="24"/>
          <w:szCs w:val="24"/>
        </w:rPr>
      </w:pPr>
    </w:p>
    <w:p w14:paraId="728A1560" w14:textId="77777777" w:rsidR="00175F0E" w:rsidRPr="002B5C1D" w:rsidRDefault="00175F0E" w:rsidP="002B5C1D">
      <w:pPr>
        <w:spacing w:line="360" w:lineRule="auto"/>
        <w:jc w:val="both"/>
        <w:rPr>
          <w:rFonts w:ascii="Arial" w:hAnsi="Arial" w:cs="Arial"/>
          <w:sz w:val="24"/>
          <w:szCs w:val="24"/>
        </w:rPr>
      </w:pPr>
    </w:p>
    <w:p w14:paraId="19BC1A07" w14:textId="77777777" w:rsidR="00747714" w:rsidRPr="002B5C1D" w:rsidRDefault="00747714" w:rsidP="002B5C1D">
      <w:pPr>
        <w:spacing w:line="360" w:lineRule="auto"/>
        <w:jc w:val="both"/>
        <w:rPr>
          <w:rFonts w:ascii="Arial" w:hAnsi="Arial" w:cs="Arial"/>
          <w:sz w:val="24"/>
          <w:szCs w:val="24"/>
        </w:rPr>
      </w:pPr>
    </w:p>
    <w:p w14:paraId="743232B1" w14:textId="4DB4DF3A" w:rsidR="00747714" w:rsidRPr="002B5C1D" w:rsidRDefault="00747714" w:rsidP="002B5C1D">
      <w:pPr>
        <w:spacing w:line="360" w:lineRule="auto"/>
        <w:jc w:val="both"/>
        <w:rPr>
          <w:rFonts w:ascii="Arial" w:hAnsi="Arial" w:cs="Arial"/>
          <w:sz w:val="24"/>
          <w:szCs w:val="24"/>
          <w:u w:val="single"/>
        </w:rPr>
      </w:pPr>
      <w:r w:rsidRPr="002B5C1D">
        <w:rPr>
          <w:rFonts w:ascii="Arial" w:hAnsi="Arial" w:cs="Arial"/>
          <w:sz w:val="24"/>
          <w:szCs w:val="24"/>
          <w:u w:val="single"/>
        </w:rPr>
        <w:lastRenderedPageBreak/>
        <w:t>Section 4</w:t>
      </w:r>
    </w:p>
    <w:p w14:paraId="520D66D8" w14:textId="77777777" w:rsidR="00175F0E" w:rsidRPr="002B5C1D" w:rsidRDefault="00175F0E" w:rsidP="002B5C1D">
      <w:pPr>
        <w:spacing w:line="360" w:lineRule="auto"/>
        <w:jc w:val="both"/>
        <w:rPr>
          <w:rFonts w:ascii="Arial" w:eastAsia="Arial" w:hAnsi="Arial" w:cs="Arial"/>
          <w:sz w:val="24"/>
          <w:szCs w:val="24"/>
        </w:rPr>
      </w:pPr>
      <w:r w:rsidRPr="002B5C1D">
        <w:rPr>
          <w:rFonts w:ascii="Arial" w:eastAsia="Arial" w:hAnsi="Arial" w:cs="Arial"/>
          <w:sz w:val="24"/>
          <w:szCs w:val="24"/>
        </w:rPr>
        <w:t>Riddell-Leech (2008) considers observations to be the fundamental way of understanding children’s needs. Observations are often used a form of assessments in early years settings as they allow practitioners to gather information on the child’s developmental progress (Riddell-Leech, 2008). Most observations are conducted in the child’s everyday environment such as when they are playing or following their usual routine; this allows the child to remain settled but allows for the practitioner to complete assessments (Doherty and Hughes, 2009). The Foundation Phase Profile Handbook (Welsh Government, 2017) discuss using observations as a tool for assessment, talking about how child-led activities are encouraged. Child-led activities are activities which the child has chosen themselves without any adult input or for any end goal (Bruce, 2011). Fisher (2008, pp. 140) states that “play is the natural way in which children go about the business of learning.” This suggests that children learn their best through playing, therefore observing them whilst playing will demonstrate their full ability academically. For assessments, practitioners expect the child to demonstrate their full capabilities which requires them to be fully engaged; Howard and McInnes (2012) found in their research that children who completed an activity designed to feel like play were much more engaged throughout compared to children who thought they were ‘learning’. During play, children feel happy, secure, and have a sense of choice (</w:t>
      </w:r>
      <w:proofErr w:type="spellStart"/>
      <w:r w:rsidRPr="002B5C1D">
        <w:rPr>
          <w:rFonts w:ascii="Arial" w:eastAsia="Arial" w:hAnsi="Arial" w:cs="Arial"/>
          <w:sz w:val="24"/>
          <w:szCs w:val="24"/>
        </w:rPr>
        <w:t>Fattore</w:t>
      </w:r>
      <w:proofErr w:type="spellEnd"/>
      <w:r w:rsidRPr="002B5C1D">
        <w:rPr>
          <w:rFonts w:ascii="Arial" w:eastAsia="Arial" w:hAnsi="Arial" w:cs="Arial"/>
          <w:sz w:val="24"/>
          <w:szCs w:val="24"/>
        </w:rPr>
        <w:t xml:space="preserve">, Mason, &amp; Watson, 2007) which allows the child to demonstrate their abilities. </w:t>
      </w:r>
      <w:proofErr w:type="spellStart"/>
      <w:r w:rsidRPr="002B5C1D">
        <w:rPr>
          <w:rFonts w:ascii="Arial" w:eastAsia="Arial" w:hAnsi="Arial" w:cs="Arial"/>
          <w:sz w:val="24"/>
          <w:szCs w:val="24"/>
        </w:rPr>
        <w:t>Bottrill</w:t>
      </w:r>
      <w:proofErr w:type="spellEnd"/>
      <w:r w:rsidRPr="002B5C1D">
        <w:rPr>
          <w:rFonts w:ascii="Arial" w:eastAsia="Arial" w:hAnsi="Arial" w:cs="Arial"/>
          <w:sz w:val="24"/>
          <w:szCs w:val="24"/>
        </w:rPr>
        <w:t xml:space="preserve"> (2018) explains that children are often taken from their own self-led learning and told by practitioners to complete a task of the adult’s choice which will often lead to the child to lack enthusiasm and motivation. </w:t>
      </w:r>
      <w:proofErr w:type="spellStart"/>
      <w:r w:rsidRPr="002B5C1D">
        <w:rPr>
          <w:rFonts w:ascii="Arial" w:eastAsia="Arial" w:hAnsi="Arial" w:cs="Arial"/>
          <w:sz w:val="24"/>
          <w:szCs w:val="24"/>
        </w:rPr>
        <w:t>Bottrill</w:t>
      </w:r>
      <w:proofErr w:type="spellEnd"/>
      <w:r w:rsidRPr="002B5C1D">
        <w:rPr>
          <w:rFonts w:ascii="Arial" w:eastAsia="Arial" w:hAnsi="Arial" w:cs="Arial"/>
          <w:sz w:val="24"/>
          <w:szCs w:val="24"/>
        </w:rPr>
        <w:t xml:space="preserve"> (2018) suggests that early years environment should allow for the child to reach holistic developmental milestones naturally and through play rather than on the adult’s terms. For the environment to be engaging to the child, Hobart and Frankel (2004) believe that observing the children play allows practitioners to find out what fully engages the children and create activities surrounding their interests. Wood (2014) suggests that when observing children during play, they show you their academic development providing they are given the right tools. Wood (2014) saw that a child in an early years setting was able to count back from 15 when playing hopscotch rather than counting back from 15 because an adult had told her to. As well as academic performance, observing free play allows for practitioners to observe emotional and </w:t>
      </w:r>
      <w:bookmarkStart w:id="0" w:name="_GoBack"/>
      <w:bookmarkEnd w:id="0"/>
      <w:r w:rsidRPr="002B5C1D">
        <w:rPr>
          <w:rFonts w:ascii="Arial" w:eastAsia="Arial" w:hAnsi="Arial" w:cs="Arial"/>
          <w:sz w:val="24"/>
          <w:szCs w:val="24"/>
        </w:rPr>
        <w:lastRenderedPageBreak/>
        <w:t xml:space="preserve">social development; free play can often include playing with or alongside peers as well as potential engagement with adults (Willan, Parker-Rees &amp; Savage, 2004). Broadhead (2004) supports the idea that observation of play allows practitioners to observe the emotional development of a child by how they interact with peers and deal with any problems that arise during play. Using observations to assess development allows for practitioners to identify any concerns surrounding social and cognitive development through the child’s engagement in various play behaviours (Dougan-Farmer &amp; </w:t>
      </w:r>
      <w:proofErr w:type="spellStart"/>
      <w:r w:rsidRPr="002B5C1D">
        <w:rPr>
          <w:rFonts w:ascii="Arial" w:eastAsia="Arial" w:hAnsi="Arial" w:cs="Arial"/>
          <w:color w:val="000000"/>
          <w:sz w:val="24"/>
          <w:szCs w:val="24"/>
        </w:rPr>
        <w:t>Kaszuba</w:t>
      </w:r>
      <w:proofErr w:type="spellEnd"/>
      <w:r w:rsidRPr="002B5C1D">
        <w:rPr>
          <w:rFonts w:ascii="Arial" w:eastAsia="Arial" w:hAnsi="Arial" w:cs="Arial"/>
          <w:color w:val="000000"/>
          <w:sz w:val="24"/>
          <w:szCs w:val="24"/>
        </w:rPr>
        <w:t xml:space="preserve">, 1999). </w:t>
      </w:r>
      <w:r w:rsidRPr="002B5C1D">
        <w:rPr>
          <w:rFonts w:ascii="Arial" w:eastAsia="Arial" w:hAnsi="Arial" w:cs="Arial"/>
          <w:color w:val="000000"/>
          <w:sz w:val="24"/>
          <w:szCs w:val="24"/>
        </w:rPr>
        <w:br/>
      </w:r>
      <w:r w:rsidRPr="002B5C1D">
        <w:rPr>
          <w:rFonts w:ascii="Arial" w:eastAsia="Arial" w:hAnsi="Arial" w:cs="Arial"/>
          <w:sz w:val="24"/>
          <w:szCs w:val="24"/>
        </w:rPr>
        <w:t>When observing a child during free play for the assessment of social and emotional development, Hobart and Frankel (2004) suggest that practitioners should consider the possibility that the observation may not be a true representation of the child as certain behaviours will not be present when the child is playing. Children will often pick up if the adult is watching them play and can respond to that by acting in a way they think the practitioner wants to see (Riddell-Leech, 2008), an example of this is if a child is met with confrontation during play, they are more likely to tell an adult if the adult is observing them than deal with it themselves. When reflecting on the observation, practitioners should consider this suggestion when determining if the observation gives an accurate picture on the child’s holistic development.</w:t>
      </w:r>
      <w:r w:rsidRPr="002B5C1D">
        <w:rPr>
          <w:rFonts w:ascii="Arial" w:eastAsia="Arial" w:hAnsi="Arial" w:cs="Arial"/>
          <w:sz w:val="24"/>
          <w:szCs w:val="24"/>
        </w:rPr>
        <w:br/>
        <w:t xml:space="preserve">Structured observations are often used, and activities are designed for it to be considered ‘play’; whilst structured observations allow practitioners to observe a specific area of development, it is not considered as play as it is not freely chosen (Play Policy Implementation Plan, 2006). </w:t>
      </w:r>
      <w:r w:rsidRPr="002B5C1D">
        <w:rPr>
          <w:rFonts w:ascii="Arial" w:eastAsia="Arial" w:hAnsi="Arial" w:cs="Arial"/>
          <w:sz w:val="24"/>
          <w:szCs w:val="24"/>
        </w:rPr>
        <w:br/>
        <w:t>The practitioners play a role in how the child will perceive the activity they are doing, if the adult is next to them then the child is likely to see this as ‘work’ even if the practitioner views it as play (Moyles, 2010). For the child, if the adult communicates with them without the child giving a cue, then the child will also see this as work rather than play (</w:t>
      </w:r>
      <w:proofErr w:type="spellStart"/>
      <w:r w:rsidRPr="002B5C1D">
        <w:rPr>
          <w:rFonts w:ascii="Arial" w:eastAsia="Arial" w:hAnsi="Arial" w:cs="Arial"/>
          <w:sz w:val="24"/>
          <w:szCs w:val="24"/>
        </w:rPr>
        <w:t>Bottrill</w:t>
      </w:r>
      <w:proofErr w:type="spellEnd"/>
      <w:r w:rsidRPr="002B5C1D">
        <w:rPr>
          <w:rFonts w:ascii="Arial" w:eastAsia="Arial" w:hAnsi="Arial" w:cs="Arial"/>
          <w:sz w:val="24"/>
          <w:szCs w:val="24"/>
        </w:rPr>
        <w:t xml:space="preserve">, 2018). Vygotsky (1927, cited in Mooney, 2000 believed that practitioners needed to observe children playing to determine where children are academically and what they can achieve as well as looking at social concepts. </w:t>
      </w:r>
    </w:p>
    <w:p w14:paraId="672F4183" w14:textId="77777777" w:rsidR="00175F0E" w:rsidRPr="002B5C1D" w:rsidRDefault="00175F0E" w:rsidP="002B5C1D">
      <w:pPr>
        <w:spacing w:line="360" w:lineRule="auto"/>
        <w:jc w:val="both"/>
        <w:rPr>
          <w:rFonts w:ascii="Arial" w:eastAsia="Arial" w:hAnsi="Arial" w:cs="Arial"/>
          <w:sz w:val="24"/>
          <w:szCs w:val="24"/>
        </w:rPr>
      </w:pPr>
    </w:p>
    <w:p w14:paraId="16C4B604" w14:textId="13877CEA" w:rsidR="00750E5A" w:rsidRPr="002B5C1D" w:rsidRDefault="00750E5A" w:rsidP="002B5C1D">
      <w:pPr>
        <w:spacing w:line="360" w:lineRule="auto"/>
        <w:jc w:val="both"/>
        <w:rPr>
          <w:rFonts w:ascii="Arial" w:hAnsi="Arial" w:cs="Arial"/>
          <w:sz w:val="24"/>
          <w:szCs w:val="24"/>
        </w:rPr>
      </w:pPr>
    </w:p>
    <w:p w14:paraId="4FCFDF18" w14:textId="74AE7D7F" w:rsidR="00750E5A" w:rsidRPr="002B5C1D" w:rsidRDefault="00750E5A" w:rsidP="002B5C1D">
      <w:pPr>
        <w:spacing w:line="360" w:lineRule="auto"/>
        <w:jc w:val="both"/>
        <w:rPr>
          <w:rFonts w:ascii="Arial" w:hAnsi="Arial" w:cs="Arial"/>
          <w:sz w:val="24"/>
          <w:szCs w:val="24"/>
        </w:rPr>
      </w:pPr>
    </w:p>
    <w:p w14:paraId="651172E9" w14:textId="6972458F" w:rsidR="00750E5A" w:rsidRPr="002B5C1D" w:rsidRDefault="00750E5A" w:rsidP="002B5C1D">
      <w:pPr>
        <w:spacing w:line="360" w:lineRule="auto"/>
        <w:jc w:val="both"/>
        <w:rPr>
          <w:rFonts w:ascii="Arial" w:hAnsi="Arial" w:cs="Arial"/>
          <w:sz w:val="24"/>
          <w:szCs w:val="24"/>
        </w:rPr>
      </w:pPr>
    </w:p>
    <w:p w14:paraId="5FE374E2" w14:textId="395F93E5" w:rsidR="00750E5A" w:rsidRPr="002B5C1D" w:rsidRDefault="00750E5A" w:rsidP="002B5C1D">
      <w:pPr>
        <w:spacing w:line="360" w:lineRule="auto"/>
        <w:jc w:val="both"/>
        <w:rPr>
          <w:rFonts w:ascii="Arial" w:hAnsi="Arial" w:cs="Arial"/>
          <w:sz w:val="24"/>
          <w:szCs w:val="24"/>
          <w:u w:val="single"/>
        </w:rPr>
      </w:pPr>
      <w:r w:rsidRPr="002B5C1D">
        <w:rPr>
          <w:rFonts w:ascii="Arial" w:hAnsi="Arial" w:cs="Arial"/>
          <w:sz w:val="24"/>
          <w:szCs w:val="24"/>
          <w:u w:val="single"/>
        </w:rPr>
        <w:t>References</w:t>
      </w:r>
    </w:p>
    <w:tbl>
      <w:tblPr>
        <w:tblpPr w:leftFromText="180" w:rightFromText="180" w:vertAnchor="text" w:horzAnchor="page" w:tblpX="1009" w:tblpY="366"/>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50E5A" w:rsidRPr="002B5C1D" w14:paraId="738F0446" w14:textId="77777777" w:rsidTr="000E7BBD">
        <w:trPr>
          <w:tblCellSpacing w:w="15" w:type="dxa"/>
        </w:trPr>
        <w:tc>
          <w:tcPr>
            <w:tcW w:w="0" w:type="auto"/>
            <w:vAlign w:val="center"/>
            <w:hideMark/>
          </w:tcPr>
          <w:p w14:paraId="440D0F9D" w14:textId="77777777" w:rsidR="00750E5A" w:rsidRPr="002B5C1D" w:rsidRDefault="00750E5A" w:rsidP="002B5C1D">
            <w:pPr>
              <w:spacing w:line="360" w:lineRule="auto"/>
              <w:jc w:val="both"/>
              <w:rPr>
                <w:rFonts w:ascii="Arial" w:hAnsi="Arial" w:cs="Arial"/>
                <w:color w:val="000000" w:themeColor="text1"/>
                <w:sz w:val="24"/>
                <w:szCs w:val="24"/>
              </w:rPr>
            </w:pPr>
          </w:p>
          <w:p w14:paraId="441CCE08" w14:textId="77777777" w:rsidR="00750E5A" w:rsidRPr="002B5C1D" w:rsidRDefault="00750E5A" w:rsidP="002B5C1D">
            <w:pPr>
              <w:spacing w:line="360" w:lineRule="auto"/>
              <w:jc w:val="both"/>
              <w:rPr>
                <w:rFonts w:ascii="Arial" w:hAnsi="Arial" w:cs="Arial"/>
                <w:color w:val="000000" w:themeColor="text1"/>
                <w:sz w:val="24"/>
                <w:szCs w:val="24"/>
              </w:rPr>
            </w:pPr>
          </w:p>
          <w:p w14:paraId="2018D423" w14:textId="77777777" w:rsidR="00750E5A" w:rsidRPr="002B5C1D" w:rsidRDefault="00750E5A" w:rsidP="002B5C1D">
            <w:pPr>
              <w:spacing w:after="0" w:line="360" w:lineRule="auto"/>
              <w:jc w:val="both"/>
              <w:rPr>
                <w:rFonts w:ascii="Arial" w:eastAsia="Times New Roman" w:hAnsi="Arial" w:cs="Arial"/>
                <w:color w:val="000000" w:themeColor="text1"/>
                <w:sz w:val="24"/>
                <w:szCs w:val="24"/>
                <w:lang w:eastAsia="en-GB"/>
              </w:rPr>
            </w:pPr>
          </w:p>
        </w:tc>
      </w:tr>
    </w:tbl>
    <w:p w14:paraId="50A3EF29" w14:textId="77777777" w:rsidR="00750E5A" w:rsidRPr="002B5C1D" w:rsidRDefault="00750E5A" w:rsidP="002B5C1D">
      <w:pPr>
        <w:spacing w:line="360" w:lineRule="auto"/>
        <w:jc w:val="both"/>
        <w:rPr>
          <w:rFonts w:ascii="Arial" w:hAnsi="Arial" w:cs="Arial"/>
          <w:color w:val="000000" w:themeColor="text1"/>
          <w:sz w:val="24"/>
          <w:szCs w:val="24"/>
        </w:rPr>
      </w:pPr>
      <w:proofErr w:type="spellStart"/>
      <w:r w:rsidRPr="002B5C1D">
        <w:rPr>
          <w:rFonts w:ascii="Arial" w:hAnsi="Arial" w:cs="Arial"/>
          <w:color w:val="000000" w:themeColor="text1"/>
          <w:sz w:val="24"/>
          <w:szCs w:val="24"/>
        </w:rPr>
        <w:t>Bottrill</w:t>
      </w:r>
      <w:proofErr w:type="spellEnd"/>
      <w:r w:rsidRPr="002B5C1D">
        <w:rPr>
          <w:rFonts w:ascii="Arial" w:hAnsi="Arial" w:cs="Arial"/>
          <w:color w:val="000000" w:themeColor="text1"/>
          <w:sz w:val="24"/>
          <w:szCs w:val="24"/>
        </w:rPr>
        <w:t xml:space="preserve">, G. (2018) </w:t>
      </w:r>
      <w:r w:rsidRPr="002B5C1D">
        <w:rPr>
          <w:rFonts w:ascii="Arial" w:hAnsi="Arial" w:cs="Arial"/>
          <w:i/>
          <w:iCs/>
          <w:color w:val="000000" w:themeColor="text1"/>
          <w:sz w:val="24"/>
          <w:szCs w:val="24"/>
        </w:rPr>
        <w:t xml:space="preserve">Can I go and Play Now? </w:t>
      </w:r>
      <w:r w:rsidRPr="002B5C1D">
        <w:rPr>
          <w:rFonts w:ascii="Arial" w:hAnsi="Arial" w:cs="Arial"/>
          <w:color w:val="000000" w:themeColor="text1"/>
          <w:sz w:val="24"/>
          <w:szCs w:val="24"/>
        </w:rPr>
        <w:t>London: Sage Publications</w:t>
      </w:r>
    </w:p>
    <w:p w14:paraId="3C1AC9F1"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Broadhead et al. (2010) </w:t>
      </w:r>
      <w:r w:rsidRPr="002B5C1D">
        <w:rPr>
          <w:rFonts w:ascii="Arial" w:hAnsi="Arial" w:cs="Arial"/>
          <w:i/>
          <w:iCs/>
          <w:color w:val="000000" w:themeColor="text1"/>
          <w:sz w:val="24"/>
          <w:szCs w:val="24"/>
        </w:rPr>
        <w:t>Play and learning in the early years from research to practice</w:t>
      </w:r>
      <w:r w:rsidRPr="002B5C1D">
        <w:rPr>
          <w:rFonts w:ascii="Arial" w:hAnsi="Arial" w:cs="Arial"/>
          <w:color w:val="000000" w:themeColor="text1"/>
          <w:sz w:val="24"/>
          <w:szCs w:val="24"/>
        </w:rPr>
        <w:t xml:space="preserve">. </w:t>
      </w:r>
    </w:p>
    <w:p w14:paraId="6AC1F86B"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Broadhead, P. (2004) </w:t>
      </w:r>
      <w:r w:rsidRPr="002B5C1D">
        <w:rPr>
          <w:rFonts w:ascii="Arial" w:hAnsi="Arial" w:cs="Arial"/>
          <w:i/>
          <w:iCs/>
          <w:color w:val="000000" w:themeColor="text1"/>
          <w:sz w:val="24"/>
          <w:szCs w:val="24"/>
        </w:rPr>
        <w:t xml:space="preserve">Early Years Play and Learning: Developing Social Skills and Cooperation. </w:t>
      </w:r>
      <w:r w:rsidRPr="002B5C1D">
        <w:rPr>
          <w:rFonts w:ascii="Arial" w:hAnsi="Arial" w:cs="Arial"/>
          <w:color w:val="000000" w:themeColor="text1"/>
          <w:sz w:val="24"/>
          <w:szCs w:val="24"/>
        </w:rPr>
        <w:t xml:space="preserve">London: </w:t>
      </w:r>
      <w:proofErr w:type="spellStart"/>
      <w:r w:rsidRPr="002B5C1D">
        <w:rPr>
          <w:rFonts w:ascii="Arial" w:hAnsi="Arial" w:cs="Arial"/>
          <w:color w:val="000000" w:themeColor="text1"/>
          <w:sz w:val="24"/>
          <w:szCs w:val="24"/>
        </w:rPr>
        <w:t>RoutledgeFalmer</w:t>
      </w:r>
      <w:proofErr w:type="spellEnd"/>
    </w:p>
    <w:p w14:paraId="2E6400DB"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Bruce T. (2012) </w:t>
      </w:r>
      <w:r w:rsidRPr="002B5C1D">
        <w:rPr>
          <w:rFonts w:ascii="Arial" w:hAnsi="Arial" w:cs="Arial"/>
          <w:i/>
          <w:iCs/>
          <w:color w:val="000000" w:themeColor="text1"/>
          <w:sz w:val="24"/>
          <w:szCs w:val="24"/>
        </w:rPr>
        <w:t>Early childhood practice : Froebel today</w:t>
      </w:r>
      <w:r w:rsidRPr="002B5C1D">
        <w:rPr>
          <w:rFonts w:ascii="Arial" w:hAnsi="Arial" w:cs="Arial"/>
          <w:color w:val="000000" w:themeColor="text1"/>
          <w:sz w:val="24"/>
          <w:szCs w:val="24"/>
        </w:rPr>
        <w:t>. London: SAGE.</w:t>
      </w:r>
    </w:p>
    <w:p w14:paraId="4D819F2F"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Bruce, T. (2011</w:t>
      </w:r>
      <w:r w:rsidRPr="002B5C1D">
        <w:rPr>
          <w:rFonts w:ascii="Arial" w:hAnsi="Arial" w:cs="Arial"/>
          <w:i/>
          <w:iCs/>
          <w:color w:val="000000" w:themeColor="text1"/>
          <w:sz w:val="24"/>
          <w:szCs w:val="24"/>
        </w:rPr>
        <w:t>) Learning through play: for babies toddlers and young children.</w:t>
      </w:r>
      <w:r w:rsidRPr="002B5C1D">
        <w:rPr>
          <w:rFonts w:ascii="Arial" w:hAnsi="Arial" w:cs="Arial"/>
          <w:color w:val="000000" w:themeColor="text1"/>
          <w:sz w:val="24"/>
          <w:szCs w:val="24"/>
        </w:rPr>
        <w:t xml:space="preserve"> 2nd ed. London: Hodder Education.</w:t>
      </w:r>
    </w:p>
    <w:p w14:paraId="00C4AED0" w14:textId="77777777" w:rsidR="00750E5A" w:rsidRPr="002B5C1D" w:rsidRDefault="00750E5A" w:rsidP="002B5C1D">
      <w:pPr>
        <w:spacing w:line="360" w:lineRule="auto"/>
        <w:jc w:val="both"/>
        <w:rPr>
          <w:rFonts w:ascii="Arial" w:hAnsi="Arial" w:cs="Arial"/>
          <w:color w:val="000000" w:themeColor="text1"/>
          <w:sz w:val="24"/>
          <w:szCs w:val="24"/>
        </w:rPr>
      </w:pPr>
      <w:proofErr w:type="spellStart"/>
      <w:r w:rsidRPr="002B5C1D">
        <w:rPr>
          <w:rFonts w:ascii="Arial" w:hAnsi="Arial" w:cs="Arial"/>
          <w:color w:val="000000" w:themeColor="text1"/>
          <w:sz w:val="24"/>
          <w:szCs w:val="24"/>
        </w:rPr>
        <w:t>Brussoni</w:t>
      </w:r>
      <w:proofErr w:type="spellEnd"/>
      <w:r w:rsidRPr="002B5C1D">
        <w:rPr>
          <w:rFonts w:ascii="Arial" w:hAnsi="Arial" w:cs="Arial"/>
          <w:color w:val="000000" w:themeColor="text1"/>
          <w:sz w:val="24"/>
          <w:szCs w:val="24"/>
        </w:rPr>
        <w:t xml:space="preserve"> et al. (2012) ‘Risky Play and Children’s Safety: Balancing Priorities for Optimal Child Development’, </w:t>
      </w:r>
      <w:r w:rsidRPr="002B5C1D">
        <w:rPr>
          <w:rFonts w:ascii="Arial" w:hAnsi="Arial" w:cs="Arial"/>
          <w:i/>
          <w:iCs/>
          <w:color w:val="000000" w:themeColor="text1"/>
          <w:sz w:val="24"/>
          <w:szCs w:val="24"/>
        </w:rPr>
        <w:t xml:space="preserve">International Journal of Environmental Research and Public Health. </w:t>
      </w:r>
      <w:r w:rsidRPr="002B5C1D">
        <w:rPr>
          <w:rFonts w:ascii="Arial" w:hAnsi="Arial" w:cs="Arial"/>
          <w:color w:val="000000" w:themeColor="text1"/>
          <w:sz w:val="24"/>
          <w:szCs w:val="24"/>
        </w:rPr>
        <w:t xml:space="preserve">9(9), pp. 3134-3148. </w:t>
      </w:r>
      <w:r w:rsidRPr="002B5C1D">
        <w:rPr>
          <w:rStyle w:val="doi"/>
          <w:rFonts w:ascii="Arial" w:hAnsi="Arial" w:cs="Arial"/>
          <w:color w:val="000000" w:themeColor="text1"/>
          <w:sz w:val="24"/>
          <w:szCs w:val="24"/>
        </w:rPr>
        <w:t>DOI: 10.3390/ijerph9093134 (Accessed: 3</w:t>
      </w:r>
      <w:r w:rsidRPr="002B5C1D">
        <w:rPr>
          <w:rStyle w:val="doi"/>
          <w:rFonts w:ascii="Arial" w:hAnsi="Arial" w:cs="Arial"/>
          <w:color w:val="000000" w:themeColor="text1"/>
          <w:sz w:val="24"/>
          <w:szCs w:val="24"/>
          <w:vertAlign w:val="superscript"/>
        </w:rPr>
        <w:t>rd</w:t>
      </w:r>
      <w:r w:rsidRPr="002B5C1D">
        <w:rPr>
          <w:rStyle w:val="doi"/>
          <w:rFonts w:ascii="Arial" w:hAnsi="Arial" w:cs="Arial"/>
          <w:color w:val="000000" w:themeColor="text1"/>
          <w:sz w:val="24"/>
          <w:szCs w:val="24"/>
        </w:rPr>
        <w:t xml:space="preserve"> January 2020) </w:t>
      </w:r>
    </w:p>
    <w:p w14:paraId="147301C9"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Doherty, J and Hughes, M. (2009) </w:t>
      </w:r>
      <w:r w:rsidRPr="002B5C1D">
        <w:rPr>
          <w:rFonts w:ascii="Arial" w:hAnsi="Arial" w:cs="Arial"/>
          <w:i/>
          <w:iCs/>
          <w:color w:val="000000" w:themeColor="text1"/>
          <w:sz w:val="24"/>
          <w:szCs w:val="24"/>
        </w:rPr>
        <w:t xml:space="preserve">Child Development: Theory and Practice 0-11. </w:t>
      </w:r>
      <w:r w:rsidRPr="002B5C1D">
        <w:rPr>
          <w:rFonts w:ascii="Arial" w:hAnsi="Arial" w:cs="Arial"/>
          <w:color w:val="000000" w:themeColor="text1"/>
          <w:sz w:val="24"/>
          <w:szCs w:val="24"/>
        </w:rPr>
        <w:t>Harlow: Pearson Education Limited</w:t>
      </w:r>
    </w:p>
    <w:p w14:paraId="1B18338C" w14:textId="77777777" w:rsidR="00750E5A" w:rsidRPr="002B5C1D" w:rsidRDefault="00750E5A" w:rsidP="002B5C1D">
      <w:pPr>
        <w:pStyle w:val="Heading1"/>
        <w:spacing w:line="360" w:lineRule="auto"/>
        <w:jc w:val="both"/>
        <w:rPr>
          <w:rFonts w:ascii="Arial" w:hAnsi="Arial" w:cs="Arial"/>
          <w:b w:val="0"/>
          <w:bCs w:val="0"/>
          <w:sz w:val="24"/>
          <w:szCs w:val="24"/>
        </w:rPr>
      </w:pPr>
      <w:r w:rsidRPr="002B5C1D">
        <w:rPr>
          <w:rFonts w:ascii="Arial" w:hAnsi="Arial" w:cs="Arial"/>
          <w:b w:val="0"/>
          <w:bCs w:val="0"/>
          <w:color w:val="000000" w:themeColor="text1"/>
          <w:sz w:val="24"/>
          <w:szCs w:val="24"/>
        </w:rPr>
        <w:t xml:space="preserve">Dougan-Farmer, V. &amp; </w:t>
      </w:r>
      <w:proofErr w:type="spellStart"/>
      <w:r w:rsidRPr="002B5C1D">
        <w:rPr>
          <w:rFonts w:ascii="Arial" w:hAnsi="Arial" w:cs="Arial"/>
          <w:b w:val="0"/>
          <w:bCs w:val="0"/>
          <w:color w:val="000000" w:themeColor="text1"/>
          <w:sz w:val="24"/>
          <w:szCs w:val="24"/>
        </w:rPr>
        <w:t>Kaszuba</w:t>
      </w:r>
      <w:proofErr w:type="spellEnd"/>
      <w:r w:rsidRPr="002B5C1D">
        <w:rPr>
          <w:rFonts w:ascii="Arial" w:hAnsi="Arial" w:cs="Arial"/>
          <w:b w:val="0"/>
          <w:bCs w:val="0"/>
          <w:color w:val="000000" w:themeColor="text1"/>
          <w:sz w:val="24"/>
          <w:szCs w:val="24"/>
        </w:rPr>
        <w:t>, T. (1999) ‘</w:t>
      </w:r>
      <w:r w:rsidRPr="002B5C1D">
        <w:rPr>
          <w:rFonts w:ascii="Arial" w:hAnsi="Arial" w:cs="Arial"/>
          <w:b w:val="0"/>
          <w:bCs w:val="0"/>
          <w:sz w:val="24"/>
          <w:szCs w:val="24"/>
        </w:rPr>
        <w:t xml:space="preserve">Reliability and validity of play-based observations: Relationship between the PLAY behaviour observation system and standardised measures of cognitive and social skills’, </w:t>
      </w:r>
      <w:r w:rsidRPr="002B5C1D">
        <w:rPr>
          <w:rFonts w:ascii="Arial" w:hAnsi="Arial" w:cs="Arial"/>
          <w:b w:val="0"/>
          <w:bCs w:val="0"/>
          <w:i/>
          <w:iCs/>
          <w:sz w:val="24"/>
          <w:szCs w:val="24"/>
        </w:rPr>
        <w:t xml:space="preserve">Educational Psychology. </w:t>
      </w:r>
      <w:r w:rsidRPr="002B5C1D">
        <w:rPr>
          <w:rFonts w:ascii="Arial" w:hAnsi="Arial" w:cs="Arial"/>
          <w:b w:val="0"/>
          <w:bCs w:val="0"/>
          <w:sz w:val="24"/>
          <w:szCs w:val="24"/>
        </w:rPr>
        <w:t>19(4), pp. 429-440. Available at: https://search-proquest-com.ezproxy.uwtsd.ac.uk/docview/208810068/fulltextPDF/F184EB15943342B1PQ/1?accountid=130472 (Accessed: 12</w:t>
      </w:r>
      <w:r w:rsidRPr="002B5C1D">
        <w:rPr>
          <w:rFonts w:ascii="Arial" w:hAnsi="Arial" w:cs="Arial"/>
          <w:b w:val="0"/>
          <w:bCs w:val="0"/>
          <w:sz w:val="24"/>
          <w:szCs w:val="24"/>
          <w:vertAlign w:val="superscript"/>
        </w:rPr>
        <w:t>th</w:t>
      </w:r>
      <w:r w:rsidRPr="002B5C1D">
        <w:rPr>
          <w:rFonts w:ascii="Arial" w:hAnsi="Arial" w:cs="Arial"/>
          <w:b w:val="0"/>
          <w:bCs w:val="0"/>
          <w:sz w:val="24"/>
          <w:szCs w:val="24"/>
        </w:rPr>
        <w:t xml:space="preserve"> January 2020)</w:t>
      </w:r>
    </w:p>
    <w:p w14:paraId="0A7E3154"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Style w:val="doi"/>
          <w:rFonts w:ascii="Arial" w:hAnsi="Arial" w:cs="Arial"/>
          <w:color w:val="000000" w:themeColor="text1"/>
          <w:sz w:val="24"/>
          <w:szCs w:val="24"/>
        </w:rPr>
        <w:t xml:space="preserve">Estyn (2015) </w:t>
      </w:r>
      <w:r w:rsidRPr="002B5C1D">
        <w:rPr>
          <w:rStyle w:val="doi"/>
          <w:rFonts w:ascii="Arial" w:hAnsi="Arial" w:cs="Arial"/>
          <w:i/>
          <w:iCs/>
          <w:color w:val="000000" w:themeColor="text1"/>
          <w:sz w:val="24"/>
          <w:szCs w:val="24"/>
        </w:rPr>
        <w:t xml:space="preserve">Using the outdoors to increase pupils’ wellbeing. </w:t>
      </w:r>
      <w:r w:rsidRPr="002B5C1D">
        <w:rPr>
          <w:rStyle w:val="doi"/>
          <w:rFonts w:ascii="Arial" w:hAnsi="Arial" w:cs="Arial"/>
          <w:color w:val="000000" w:themeColor="text1"/>
          <w:sz w:val="24"/>
          <w:szCs w:val="24"/>
        </w:rPr>
        <w:t>Available at: https://www.estyn.gov.wales/effective-practice/using-outdoors-increase-pupils%E2%80%99-wellbeing</w:t>
      </w:r>
      <w:r w:rsidRPr="002B5C1D">
        <w:rPr>
          <w:rFonts w:ascii="Arial" w:hAnsi="Arial" w:cs="Arial"/>
          <w:color w:val="000000" w:themeColor="text1"/>
          <w:sz w:val="24"/>
          <w:szCs w:val="24"/>
        </w:rPr>
        <w:t xml:space="preserve"> (Accessed: 3</w:t>
      </w:r>
      <w:r w:rsidRPr="002B5C1D">
        <w:rPr>
          <w:rFonts w:ascii="Arial" w:hAnsi="Arial" w:cs="Arial"/>
          <w:color w:val="000000" w:themeColor="text1"/>
          <w:sz w:val="24"/>
          <w:szCs w:val="24"/>
          <w:vertAlign w:val="superscript"/>
        </w:rPr>
        <w:t>rd</w:t>
      </w:r>
      <w:r w:rsidRPr="002B5C1D">
        <w:rPr>
          <w:rFonts w:ascii="Arial" w:hAnsi="Arial" w:cs="Arial"/>
          <w:color w:val="000000" w:themeColor="text1"/>
          <w:sz w:val="24"/>
          <w:szCs w:val="24"/>
        </w:rPr>
        <w:t xml:space="preserve"> January 2020)</w:t>
      </w:r>
    </w:p>
    <w:p w14:paraId="26372CD6" w14:textId="684374D1" w:rsidR="00750E5A" w:rsidRPr="002B5C1D" w:rsidRDefault="00750E5A" w:rsidP="002B5C1D">
      <w:pPr>
        <w:spacing w:line="360" w:lineRule="auto"/>
        <w:jc w:val="both"/>
        <w:rPr>
          <w:rFonts w:ascii="Arial" w:hAnsi="Arial" w:cs="Arial"/>
          <w:sz w:val="24"/>
          <w:szCs w:val="24"/>
        </w:rPr>
      </w:pPr>
      <w:r w:rsidRPr="002B5C1D">
        <w:rPr>
          <w:rFonts w:ascii="Arial" w:hAnsi="Arial" w:cs="Arial"/>
          <w:sz w:val="24"/>
          <w:szCs w:val="24"/>
        </w:rPr>
        <w:t xml:space="preserve">Estyn (2018) </w:t>
      </w:r>
      <w:r w:rsidRPr="002B5C1D">
        <w:rPr>
          <w:rFonts w:ascii="Arial" w:hAnsi="Arial" w:cs="Arial"/>
          <w:i/>
          <w:iCs/>
          <w:sz w:val="24"/>
          <w:szCs w:val="24"/>
        </w:rPr>
        <w:t>Involving Parents – Communication between schools and parents of school-aged children</w:t>
      </w:r>
      <w:r w:rsidRPr="002B5C1D">
        <w:rPr>
          <w:rFonts w:ascii="Arial" w:hAnsi="Arial" w:cs="Arial"/>
          <w:sz w:val="24"/>
          <w:szCs w:val="24"/>
        </w:rPr>
        <w:t>. Available at: https://www.estyn.gov.wales/thematic-reports/involving-parents-communication-between-schools-and-parents-school-aged-children (Accessed: 19th October 2019)</w:t>
      </w:r>
    </w:p>
    <w:p w14:paraId="2DBFCA40" w14:textId="77777777" w:rsidR="00750E5A" w:rsidRPr="002B5C1D" w:rsidRDefault="00750E5A" w:rsidP="002B5C1D">
      <w:pPr>
        <w:spacing w:line="360" w:lineRule="auto"/>
        <w:jc w:val="both"/>
        <w:rPr>
          <w:rFonts w:ascii="Arial" w:hAnsi="Arial" w:cs="Arial"/>
          <w:sz w:val="24"/>
          <w:szCs w:val="24"/>
        </w:rPr>
      </w:pPr>
      <w:proofErr w:type="spellStart"/>
      <w:r w:rsidRPr="002B5C1D">
        <w:rPr>
          <w:rFonts w:ascii="Arial" w:hAnsi="Arial" w:cs="Arial"/>
          <w:sz w:val="24"/>
          <w:szCs w:val="24"/>
        </w:rPr>
        <w:lastRenderedPageBreak/>
        <w:t>Fattore</w:t>
      </w:r>
      <w:proofErr w:type="spellEnd"/>
      <w:r w:rsidRPr="002B5C1D">
        <w:rPr>
          <w:rFonts w:ascii="Arial" w:hAnsi="Arial" w:cs="Arial"/>
          <w:sz w:val="24"/>
          <w:szCs w:val="24"/>
        </w:rPr>
        <w:t xml:space="preserve">, T., Mason, J. &amp; Watson, E. (2007) ‘Children’s conceptualisation(s) of their well-being’, </w:t>
      </w:r>
      <w:r w:rsidRPr="002B5C1D">
        <w:rPr>
          <w:rFonts w:ascii="Arial" w:hAnsi="Arial" w:cs="Arial"/>
          <w:i/>
          <w:iCs/>
          <w:sz w:val="24"/>
          <w:szCs w:val="24"/>
        </w:rPr>
        <w:t>Social Indicators Research.</w:t>
      </w:r>
      <w:r w:rsidRPr="002B5C1D">
        <w:rPr>
          <w:rFonts w:ascii="Arial" w:hAnsi="Arial" w:cs="Arial"/>
          <w:sz w:val="24"/>
          <w:szCs w:val="24"/>
        </w:rPr>
        <w:t xml:space="preserve"> 80(1), pp. 5-29. Available at: https://link.springer.com/article/10.1007/s11205-006-9019-9. (Accessed: 16</w:t>
      </w:r>
      <w:r w:rsidRPr="002B5C1D">
        <w:rPr>
          <w:rFonts w:ascii="Arial" w:hAnsi="Arial" w:cs="Arial"/>
          <w:sz w:val="24"/>
          <w:szCs w:val="24"/>
          <w:vertAlign w:val="superscript"/>
        </w:rPr>
        <w:t>th</w:t>
      </w:r>
      <w:r w:rsidRPr="002B5C1D">
        <w:rPr>
          <w:rFonts w:ascii="Arial" w:hAnsi="Arial" w:cs="Arial"/>
          <w:sz w:val="24"/>
          <w:szCs w:val="24"/>
        </w:rPr>
        <w:t xml:space="preserve"> January 2020)</w:t>
      </w:r>
    </w:p>
    <w:p w14:paraId="31BEB36F"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Fisher, J. (2008) </w:t>
      </w:r>
      <w:r w:rsidRPr="002B5C1D">
        <w:rPr>
          <w:rFonts w:ascii="Arial" w:hAnsi="Arial" w:cs="Arial"/>
          <w:i/>
          <w:iCs/>
          <w:color w:val="000000" w:themeColor="text1"/>
          <w:sz w:val="24"/>
          <w:szCs w:val="24"/>
        </w:rPr>
        <w:t xml:space="preserve">Starting from the child. </w:t>
      </w:r>
      <w:r w:rsidRPr="002B5C1D">
        <w:rPr>
          <w:rFonts w:ascii="Arial" w:hAnsi="Arial" w:cs="Arial"/>
          <w:color w:val="000000" w:themeColor="text1"/>
          <w:sz w:val="24"/>
          <w:szCs w:val="24"/>
        </w:rPr>
        <w:t>Maidenhead: Open University Press</w:t>
      </w:r>
    </w:p>
    <w:p w14:paraId="7BF671AA"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Flavell, J., Miller, P. &amp; Miller, S. (2002) </w:t>
      </w:r>
      <w:r w:rsidRPr="002B5C1D">
        <w:rPr>
          <w:rFonts w:ascii="Arial" w:hAnsi="Arial" w:cs="Arial"/>
          <w:i/>
          <w:iCs/>
          <w:color w:val="000000" w:themeColor="text1"/>
          <w:sz w:val="24"/>
          <w:szCs w:val="24"/>
        </w:rPr>
        <w:t xml:space="preserve">Cognitive Development. </w:t>
      </w:r>
      <w:r w:rsidRPr="002B5C1D">
        <w:rPr>
          <w:rFonts w:ascii="Arial" w:hAnsi="Arial" w:cs="Arial"/>
          <w:color w:val="000000" w:themeColor="text1"/>
          <w:sz w:val="24"/>
          <w:szCs w:val="24"/>
        </w:rPr>
        <w:t>4</w:t>
      </w:r>
      <w:r w:rsidRPr="002B5C1D">
        <w:rPr>
          <w:rFonts w:ascii="Arial" w:hAnsi="Arial" w:cs="Arial"/>
          <w:color w:val="000000" w:themeColor="text1"/>
          <w:sz w:val="24"/>
          <w:szCs w:val="24"/>
          <w:vertAlign w:val="superscript"/>
        </w:rPr>
        <w:t>th</w:t>
      </w:r>
      <w:r w:rsidRPr="002B5C1D">
        <w:rPr>
          <w:rFonts w:ascii="Arial" w:hAnsi="Arial" w:cs="Arial"/>
          <w:color w:val="000000" w:themeColor="text1"/>
          <w:sz w:val="24"/>
          <w:szCs w:val="24"/>
        </w:rPr>
        <w:t xml:space="preserve"> ed. Harlow: Pearson Education Limited</w:t>
      </w:r>
    </w:p>
    <w:p w14:paraId="38738221" w14:textId="77777777" w:rsidR="00750E5A" w:rsidRPr="002B5C1D" w:rsidRDefault="00750E5A" w:rsidP="002B5C1D">
      <w:pPr>
        <w:spacing w:line="360" w:lineRule="auto"/>
        <w:jc w:val="both"/>
        <w:rPr>
          <w:rFonts w:ascii="Arial" w:hAnsi="Arial" w:cs="Arial"/>
          <w:color w:val="000000" w:themeColor="text1"/>
          <w:sz w:val="24"/>
          <w:szCs w:val="24"/>
        </w:rPr>
      </w:pPr>
      <w:proofErr w:type="spellStart"/>
      <w:r w:rsidRPr="002B5C1D">
        <w:rPr>
          <w:rFonts w:ascii="Arial" w:hAnsi="Arial" w:cs="Arial"/>
          <w:color w:val="000000" w:themeColor="text1"/>
          <w:sz w:val="24"/>
          <w:szCs w:val="24"/>
        </w:rPr>
        <w:t>Gallahue</w:t>
      </w:r>
      <w:proofErr w:type="spellEnd"/>
      <w:r w:rsidRPr="002B5C1D">
        <w:rPr>
          <w:rFonts w:ascii="Arial" w:hAnsi="Arial" w:cs="Arial"/>
          <w:color w:val="000000" w:themeColor="text1"/>
          <w:sz w:val="24"/>
          <w:szCs w:val="24"/>
        </w:rPr>
        <w:t>, D.L. &amp; Ozmun, J.C. (1997</w:t>
      </w:r>
      <w:r w:rsidRPr="002B5C1D">
        <w:rPr>
          <w:rFonts w:ascii="Arial" w:hAnsi="Arial" w:cs="Arial"/>
          <w:i/>
          <w:iCs/>
          <w:color w:val="000000" w:themeColor="text1"/>
          <w:sz w:val="24"/>
          <w:szCs w:val="24"/>
        </w:rPr>
        <w:t>) Understanding motor development: infants, children, adolescents, adults</w:t>
      </w:r>
      <w:r w:rsidRPr="002B5C1D">
        <w:rPr>
          <w:rFonts w:ascii="Arial" w:hAnsi="Arial" w:cs="Arial"/>
          <w:color w:val="000000" w:themeColor="text1"/>
          <w:sz w:val="24"/>
          <w:szCs w:val="24"/>
        </w:rPr>
        <w:t>. 4th. ed. Boston, Massachusetts: McGraw Hill.</w:t>
      </w:r>
    </w:p>
    <w:p w14:paraId="4253F57E"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Gordon Biddle et al. (2013) </w:t>
      </w:r>
      <w:r w:rsidRPr="002B5C1D">
        <w:rPr>
          <w:rFonts w:ascii="Arial" w:hAnsi="Arial" w:cs="Arial"/>
          <w:i/>
          <w:iCs/>
          <w:color w:val="000000" w:themeColor="text1"/>
          <w:sz w:val="24"/>
          <w:szCs w:val="24"/>
        </w:rPr>
        <w:t xml:space="preserve">Early Childhood Education: Becoming a Professional. </w:t>
      </w:r>
      <w:r w:rsidRPr="002B5C1D">
        <w:rPr>
          <w:rFonts w:ascii="Arial" w:hAnsi="Arial" w:cs="Arial"/>
          <w:color w:val="000000" w:themeColor="text1"/>
          <w:sz w:val="24"/>
          <w:szCs w:val="24"/>
        </w:rPr>
        <w:t>Sage Publications.</w:t>
      </w:r>
    </w:p>
    <w:p w14:paraId="29FDC3E2"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Green, J. (1997) ‘Risk and the construction of social identity: children’s talk about accidents’, </w:t>
      </w:r>
      <w:r w:rsidRPr="002B5C1D">
        <w:rPr>
          <w:rFonts w:ascii="Arial" w:hAnsi="Arial" w:cs="Arial"/>
          <w:i/>
          <w:iCs/>
          <w:color w:val="000000" w:themeColor="text1"/>
          <w:sz w:val="24"/>
          <w:szCs w:val="24"/>
        </w:rPr>
        <w:t xml:space="preserve">Sociology of Health and Illness. </w:t>
      </w:r>
      <w:r w:rsidRPr="002B5C1D">
        <w:rPr>
          <w:rFonts w:ascii="Arial" w:hAnsi="Arial" w:cs="Arial"/>
          <w:color w:val="000000" w:themeColor="text1"/>
          <w:sz w:val="24"/>
          <w:szCs w:val="24"/>
        </w:rPr>
        <w:t>19(4), pp. 457-479. Available at: https://doi.org/10.1111/j.1467-9566.1997.tb00413.x (Accessed: 6</w:t>
      </w:r>
      <w:r w:rsidRPr="002B5C1D">
        <w:rPr>
          <w:rFonts w:ascii="Arial" w:hAnsi="Arial" w:cs="Arial"/>
          <w:color w:val="000000" w:themeColor="text1"/>
          <w:sz w:val="24"/>
          <w:szCs w:val="24"/>
          <w:vertAlign w:val="superscript"/>
        </w:rPr>
        <w:t>th</w:t>
      </w:r>
      <w:r w:rsidRPr="002B5C1D">
        <w:rPr>
          <w:rFonts w:ascii="Arial" w:hAnsi="Arial" w:cs="Arial"/>
          <w:color w:val="000000" w:themeColor="text1"/>
          <w:sz w:val="24"/>
          <w:szCs w:val="24"/>
        </w:rPr>
        <w:t xml:space="preserve"> January 2020)</w:t>
      </w:r>
    </w:p>
    <w:p w14:paraId="0750782B" w14:textId="77777777" w:rsidR="00750E5A" w:rsidRPr="002B5C1D" w:rsidRDefault="00750E5A" w:rsidP="002B5C1D">
      <w:pPr>
        <w:spacing w:line="360" w:lineRule="auto"/>
        <w:jc w:val="both"/>
        <w:rPr>
          <w:rFonts w:ascii="Arial" w:hAnsi="Arial" w:cs="Arial"/>
          <w:color w:val="000000" w:themeColor="text1"/>
          <w:sz w:val="24"/>
          <w:szCs w:val="24"/>
        </w:rPr>
      </w:pPr>
      <w:proofErr w:type="spellStart"/>
      <w:r w:rsidRPr="002B5C1D">
        <w:rPr>
          <w:rFonts w:ascii="Arial" w:hAnsi="Arial" w:cs="Arial"/>
          <w:color w:val="000000" w:themeColor="text1"/>
          <w:sz w:val="24"/>
          <w:szCs w:val="24"/>
        </w:rPr>
        <w:t>Groos</w:t>
      </w:r>
      <w:proofErr w:type="spellEnd"/>
      <w:r w:rsidRPr="002B5C1D">
        <w:rPr>
          <w:rFonts w:ascii="Arial" w:hAnsi="Arial" w:cs="Arial"/>
          <w:color w:val="000000" w:themeColor="text1"/>
          <w:sz w:val="24"/>
          <w:szCs w:val="24"/>
        </w:rPr>
        <w:t xml:space="preserve">, K. (1901) </w:t>
      </w:r>
      <w:r w:rsidRPr="002B5C1D">
        <w:rPr>
          <w:rFonts w:ascii="Arial" w:hAnsi="Arial" w:cs="Arial"/>
          <w:i/>
          <w:iCs/>
          <w:color w:val="000000" w:themeColor="text1"/>
          <w:sz w:val="24"/>
          <w:szCs w:val="24"/>
        </w:rPr>
        <w:t xml:space="preserve">The Play of Man. </w:t>
      </w:r>
      <w:r w:rsidRPr="002B5C1D">
        <w:rPr>
          <w:rFonts w:ascii="Arial" w:hAnsi="Arial" w:cs="Arial"/>
          <w:color w:val="000000" w:themeColor="text1"/>
          <w:sz w:val="24"/>
          <w:szCs w:val="24"/>
        </w:rPr>
        <w:t>New York: Appleton and Company.</w:t>
      </w:r>
    </w:p>
    <w:p w14:paraId="351EAC8A" w14:textId="77777777" w:rsidR="00750E5A" w:rsidRPr="002B5C1D" w:rsidRDefault="00750E5A" w:rsidP="002B5C1D">
      <w:pPr>
        <w:spacing w:line="360" w:lineRule="auto"/>
        <w:jc w:val="both"/>
        <w:rPr>
          <w:rFonts w:ascii="Arial" w:hAnsi="Arial" w:cs="Arial"/>
          <w:color w:val="000000" w:themeColor="text1"/>
          <w:sz w:val="24"/>
          <w:szCs w:val="24"/>
        </w:rPr>
      </w:pPr>
      <w:proofErr w:type="spellStart"/>
      <w:r w:rsidRPr="002B5C1D">
        <w:rPr>
          <w:rFonts w:ascii="Arial" w:hAnsi="Arial" w:cs="Arial"/>
          <w:color w:val="000000" w:themeColor="text1"/>
          <w:sz w:val="24"/>
          <w:szCs w:val="24"/>
        </w:rPr>
        <w:t>Henniger</w:t>
      </w:r>
      <w:proofErr w:type="spellEnd"/>
      <w:r w:rsidRPr="002B5C1D">
        <w:rPr>
          <w:rFonts w:ascii="Arial" w:hAnsi="Arial" w:cs="Arial"/>
          <w:color w:val="000000" w:themeColor="text1"/>
          <w:sz w:val="24"/>
          <w:szCs w:val="24"/>
        </w:rPr>
        <w:t xml:space="preserve">, M. (2008) </w:t>
      </w:r>
      <w:r w:rsidRPr="002B5C1D">
        <w:rPr>
          <w:rFonts w:ascii="Arial" w:hAnsi="Arial" w:cs="Arial"/>
          <w:i/>
          <w:iCs/>
          <w:color w:val="000000" w:themeColor="text1"/>
          <w:sz w:val="24"/>
          <w:szCs w:val="24"/>
        </w:rPr>
        <w:t>Teaching young children: an introduction</w:t>
      </w:r>
      <w:r w:rsidRPr="002B5C1D">
        <w:rPr>
          <w:rFonts w:ascii="Arial" w:hAnsi="Arial" w:cs="Arial"/>
          <w:color w:val="000000" w:themeColor="text1"/>
          <w:sz w:val="24"/>
          <w:szCs w:val="24"/>
        </w:rPr>
        <w:t>. 4</w:t>
      </w:r>
      <w:r w:rsidRPr="002B5C1D">
        <w:rPr>
          <w:rFonts w:ascii="Arial" w:hAnsi="Arial" w:cs="Arial"/>
          <w:color w:val="000000" w:themeColor="text1"/>
          <w:sz w:val="24"/>
          <w:szCs w:val="24"/>
          <w:vertAlign w:val="superscript"/>
        </w:rPr>
        <w:t>th</w:t>
      </w:r>
      <w:r w:rsidRPr="002B5C1D">
        <w:rPr>
          <w:rFonts w:ascii="Arial" w:hAnsi="Arial" w:cs="Arial"/>
          <w:color w:val="000000" w:themeColor="text1"/>
          <w:sz w:val="24"/>
          <w:szCs w:val="24"/>
        </w:rPr>
        <w:t xml:space="preserve"> ed. </w:t>
      </w:r>
      <w:proofErr w:type="spellStart"/>
      <w:r w:rsidRPr="002B5C1D">
        <w:rPr>
          <w:rFonts w:ascii="Arial" w:hAnsi="Arial" w:cs="Arial"/>
          <w:color w:val="000000" w:themeColor="text1"/>
          <w:sz w:val="24"/>
          <w:szCs w:val="24"/>
        </w:rPr>
        <w:t>Pearsons</w:t>
      </w:r>
      <w:proofErr w:type="spellEnd"/>
    </w:p>
    <w:p w14:paraId="74CDF655"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Hobart, C. &amp; Frankel, J. (2004) </w:t>
      </w:r>
      <w:r w:rsidRPr="002B5C1D">
        <w:rPr>
          <w:rFonts w:ascii="Arial" w:hAnsi="Arial" w:cs="Arial"/>
          <w:i/>
          <w:iCs/>
          <w:color w:val="000000" w:themeColor="text1"/>
          <w:sz w:val="24"/>
          <w:szCs w:val="24"/>
        </w:rPr>
        <w:t xml:space="preserve">A Practical Guide to Child Observation and Assessment. </w:t>
      </w:r>
      <w:r w:rsidRPr="002B5C1D">
        <w:rPr>
          <w:rFonts w:ascii="Arial" w:hAnsi="Arial" w:cs="Arial"/>
          <w:color w:val="000000" w:themeColor="text1"/>
          <w:sz w:val="24"/>
          <w:szCs w:val="24"/>
        </w:rPr>
        <w:t>3</w:t>
      </w:r>
      <w:r w:rsidRPr="002B5C1D">
        <w:rPr>
          <w:rFonts w:ascii="Arial" w:hAnsi="Arial" w:cs="Arial"/>
          <w:color w:val="000000" w:themeColor="text1"/>
          <w:sz w:val="24"/>
          <w:szCs w:val="24"/>
          <w:vertAlign w:val="superscript"/>
        </w:rPr>
        <w:t>rd</w:t>
      </w:r>
      <w:r w:rsidRPr="002B5C1D">
        <w:rPr>
          <w:rFonts w:ascii="Arial" w:hAnsi="Arial" w:cs="Arial"/>
          <w:color w:val="000000" w:themeColor="text1"/>
          <w:sz w:val="24"/>
          <w:szCs w:val="24"/>
        </w:rPr>
        <w:t xml:space="preserve"> ed. Cheltenham: Nelson Thornes</w:t>
      </w:r>
    </w:p>
    <w:p w14:paraId="1C7010AB"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Howard, J. and McInnes, K. (2012) ‘The Impact of children’s perception of an activity as play rather than not play on emotional well-being’, </w:t>
      </w:r>
      <w:r w:rsidRPr="002B5C1D">
        <w:rPr>
          <w:rFonts w:ascii="Arial" w:hAnsi="Arial" w:cs="Arial"/>
          <w:i/>
          <w:iCs/>
          <w:color w:val="000000" w:themeColor="text1"/>
          <w:sz w:val="24"/>
          <w:szCs w:val="24"/>
        </w:rPr>
        <w:t xml:space="preserve">Child: care, health and development. </w:t>
      </w:r>
      <w:r w:rsidRPr="002B5C1D">
        <w:rPr>
          <w:rFonts w:ascii="Arial" w:hAnsi="Arial" w:cs="Arial"/>
          <w:color w:val="000000" w:themeColor="text1"/>
          <w:sz w:val="24"/>
          <w:szCs w:val="24"/>
        </w:rPr>
        <w:t>39(5) pp. 737-742. https://doi.org/10.1111/j.1365-2214.2012.01405.x (Accessed: 14</w:t>
      </w:r>
      <w:r w:rsidRPr="002B5C1D">
        <w:rPr>
          <w:rFonts w:ascii="Arial" w:hAnsi="Arial" w:cs="Arial"/>
          <w:color w:val="000000" w:themeColor="text1"/>
          <w:sz w:val="24"/>
          <w:szCs w:val="24"/>
          <w:vertAlign w:val="superscript"/>
        </w:rPr>
        <w:t>th</w:t>
      </w:r>
      <w:r w:rsidRPr="002B5C1D">
        <w:rPr>
          <w:rFonts w:ascii="Arial" w:hAnsi="Arial" w:cs="Arial"/>
          <w:color w:val="000000" w:themeColor="text1"/>
          <w:sz w:val="24"/>
          <w:szCs w:val="24"/>
        </w:rPr>
        <w:t xml:space="preserve"> December 2019)</w:t>
      </w:r>
    </w:p>
    <w:p w14:paraId="123C3848"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IPA (2010). </w:t>
      </w:r>
      <w:r w:rsidRPr="002B5C1D">
        <w:rPr>
          <w:rFonts w:ascii="Arial" w:hAnsi="Arial" w:cs="Arial"/>
          <w:i/>
          <w:iCs/>
          <w:color w:val="000000" w:themeColor="text1"/>
          <w:sz w:val="24"/>
          <w:szCs w:val="24"/>
        </w:rPr>
        <w:t>Promoting the Child’s Right to Play: IPA Global Consultations on Children’s Right to Play Report.</w:t>
      </w:r>
      <w:r w:rsidRPr="002B5C1D">
        <w:rPr>
          <w:rFonts w:ascii="Arial" w:hAnsi="Arial" w:cs="Arial"/>
          <w:color w:val="000000" w:themeColor="text1"/>
          <w:sz w:val="24"/>
          <w:szCs w:val="24"/>
        </w:rPr>
        <w:t xml:space="preserve"> Available at: </w:t>
      </w:r>
      <w:hyperlink r:id="rId6" w:history="1">
        <w:r w:rsidRPr="002B5C1D">
          <w:rPr>
            <w:rStyle w:val="Hyperlink"/>
            <w:rFonts w:ascii="Arial" w:hAnsi="Arial" w:cs="Arial"/>
            <w:color w:val="000000" w:themeColor="text1"/>
            <w:sz w:val="24"/>
            <w:szCs w:val="24"/>
          </w:rPr>
          <w:t>http://www.harryshier.net/docs/IPA_Global_Report_summary.pdf</w:t>
        </w:r>
      </w:hyperlink>
      <w:r w:rsidRPr="002B5C1D">
        <w:rPr>
          <w:rFonts w:ascii="Arial" w:hAnsi="Arial" w:cs="Arial"/>
          <w:color w:val="000000" w:themeColor="text1"/>
          <w:sz w:val="24"/>
          <w:szCs w:val="24"/>
        </w:rPr>
        <w:t xml:space="preserve"> (Accessed: 12</w:t>
      </w:r>
      <w:r w:rsidRPr="002B5C1D">
        <w:rPr>
          <w:rFonts w:ascii="Arial" w:hAnsi="Arial" w:cs="Arial"/>
          <w:color w:val="000000" w:themeColor="text1"/>
          <w:sz w:val="24"/>
          <w:szCs w:val="24"/>
          <w:vertAlign w:val="superscript"/>
        </w:rPr>
        <w:t>th</w:t>
      </w:r>
      <w:r w:rsidRPr="002B5C1D">
        <w:rPr>
          <w:rFonts w:ascii="Arial" w:hAnsi="Arial" w:cs="Arial"/>
          <w:color w:val="000000" w:themeColor="text1"/>
          <w:sz w:val="24"/>
          <w:szCs w:val="24"/>
        </w:rPr>
        <w:t xml:space="preserve"> December 2019)</w:t>
      </w:r>
    </w:p>
    <w:p w14:paraId="2B47D290" w14:textId="77777777" w:rsidR="00750E5A" w:rsidRPr="002B5C1D" w:rsidRDefault="00750E5A" w:rsidP="002B5C1D">
      <w:pPr>
        <w:spacing w:line="360" w:lineRule="auto"/>
        <w:jc w:val="both"/>
        <w:rPr>
          <w:rFonts w:ascii="Arial" w:hAnsi="Arial" w:cs="Arial"/>
          <w:color w:val="000000" w:themeColor="text1"/>
          <w:sz w:val="24"/>
          <w:szCs w:val="24"/>
        </w:rPr>
      </w:pPr>
      <w:proofErr w:type="spellStart"/>
      <w:r w:rsidRPr="002B5C1D">
        <w:rPr>
          <w:rFonts w:ascii="Arial" w:hAnsi="Arial" w:cs="Arial"/>
          <w:color w:val="000000" w:themeColor="text1"/>
          <w:sz w:val="24"/>
          <w:szCs w:val="24"/>
        </w:rPr>
        <w:t>Kozulin</w:t>
      </w:r>
      <w:proofErr w:type="spellEnd"/>
      <w:r w:rsidRPr="002B5C1D">
        <w:rPr>
          <w:rFonts w:ascii="Arial" w:hAnsi="Arial" w:cs="Arial"/>
          <w:color w:val="000000" w:themeColor="text1"/>
          <w:sz w:val="24"/>
          <w:szCs w:val="24"/>
        </w:rPr>
        <w:t xml:space="preserve">, A et al. (2003) </w:t>
      </w:r>
      <w:r w:rsidRPr="002B5C1D">
        <w:rPr>
          <w:rFonts w:ascii="Arial" w:hAnsi="Arial" w:cs="Arial"/>
          <w:i/>
          <w:iCs/>
          <w:color w:val="000000" w:themeColor="text1"/>
          <w:sz w:val="24"/>
          <w:szCs w:val="24"/>
        </w:rPr>
        <w:t xml:space="preserve">Vygotsky’s Educational Theory in Cultural Context. </w:t>
      </w:r>
      <w:r w:rsidRPr="002B5C1D">
        <w:rPr>
          <w:rFonts w:ascii="Arial" w:hAnsi="Arial" w:cs="Arial"/>
          <w:color w:val="000000" w:themeColor="text1"/>
          <w:sz w:val="24"/>
          <w:szCs w:val="24"/>
        </w:rPr>
        <w:t>New York: Cambridge University Press</w:t>
      </w:r>
    </w:p>
    <w:p w14:paraId="7D659ED3"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lastRenderedPageBreak/>
        <w:t xml:space="preserve">Little, H. (2006) ‘Children’s risk-taking behaviour: Implications for early childhood policy and practice’, </w:t>
      </w:r>
      <w:r w:rsidRPr="002B5C1D">
        <w:rPr>
          <w:rFonts w:ascii="Arial" w:hAnsi="Arial" w:cs="Arial"/>
          <w:i/>
          <w:iCs/>
          <w:color w:val="000000" w:themeColor="text1"/>
          <w:sz w:val="24"/>
          <w:szCs w:val="24"/>
        </w:rPr>
        <w:t xml:space="preserve">International Journal of Early Years Education. </w:t>
      </w:r>
      <w:r w:rsidRPr="002B5C1D">
        <w:rPr>
          <w:rFonts w:ascii="Arial" w:hAnsi="Arial" w:cs="Arial"/>
          <w:color w:val="000000" w:themeColor="text1"/>
          <w:sz w:val="24"/>
          <w:szCs w:val="24"/>
        </w:rPr>
        <w:t>14(2), pp. 141-152. Available at: https://www.tandfonline.com/doi/abs/10.1080/09669760600661427 (Accessed: 3</w:t>
      </w:r>
      <w:r w:rsidRPr="002B5C1D">
        <w:rPr>
          <w:rFonts w:ascii="Arial" w:hAnsi="Arial" w:cs="Arial"/>
          <w:color w:val="000000" w:themeColor="text1"/>
          <w:sz w:val="24"/>
          <w:szCs w:val="24"/>
          <w:vertAlign w:val="superscript"/>
        </w:rPr>
        <w:t>rd</w:t>
      </w:r>
      <w:r w:rsidRPr="002B5C1D">
        <w:rPr>
          <w:rFonts w:ascii="Arial" w:hAnsi="Arial" w:cs="Arial"/>
          <w:color w:val="000000" w:themeColor="text1"/>
          <w:sz w:val="24"/>
          <w:szCs w:val="24"/>
        </w:rPr>
        <w:t xml:space="preserve"> January 2020)</w:t>
      </w:r>
    </w:p>
    <w:p w14:paraId="3E8AED8D"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London: SAGE.</w:t>
      </w:r>
    </w:p>
    <w:p w14:paraId="72C81F73"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Mooney, C. (2000) </w:t>
      </w:r>
      <w:r w:rsidRPr="002B5C1D">
        <w:rPr>
          <w:rFonts w:ascii="Arial" w:hAnsi="Arial" w:cs="Arial"/>
          <w:i/>
          <w:iCs/>
          <w:color w:val="000000" w:themeColor="text1"/>
          <w:sz w:val="24"/>
          <w:szCs w:val="24"/>
        </w:rPr>
        <w:t xml:space="preserve">Theories of Childhood: An Introduction to Dewey, Montessori, Erikson, Piaget and Vygotsky. </w:t>
      </w:r>
      <w:r w:rsidRPr="002B5C1D">
        <w:rPr>
          <w:rFonts w:ascii="Arial" w:hAnsi="Arial" w:cs="Arial"/>
          <w:color w:val="000000" w:themeColor="text1"/>
          <w:sz w:val="24"/>
          <w:szCs w:val="24"/>
        </w:rPr>
        <w:t xml:space="preserve">Minnesota: </w:t>
      </w:r>
      <w:proofErr w:type="spellStart"/>
      <w:r w:rsidRPr="002B5C1D">
        <w:rPr>
          <w:rFonts w:ascii="Arial" w:hAnsi="Arial" w:cs="Arial"/>
          <w:color w:val="000000" w:themeColor="text1"/>
          <w:sz w:val="24"/>
          <w:szCs w:val="24"/>
        </w:rPr>
        <w:t>Redleaf</w:t>
      </w:r>
      <w:proofErr w:type="spellEnd"/>
      <w:r w:rsidRPr="002B5C1D">
        <w:rPr>
          <w:rFonts w:ascii="Arial" w:hAnsi="Arial" w:cs="Arial"/>
          <w:color w:val="000000" w:themeColor="text1"/>
          <w:sz w:val="24"/>
          <w:szCs w:val="24"/>
        </w:rPr>
        <w:t xml:space="preserve"> Press</w:t>
      </w:r>
    </w:p>
    <w:p w14:paraId="026B67D5"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Moyles, J. (2010) </w:t>
      </w:r>
      <w:r w:rsidRPr="002B5C1D">
        <w:rPr>
          <w:rFonts w:ascii="Arial" w:hAnsi="Arial" w:cs="Arial"/>
          <w:i/>
          <w:iCs/>
          <w:color w:val="000000" w:themeColor="text1"/>
          <w:sz w:val="24"/>
          <w:szCs w:val="24"/>
        </w:rPr>
        <w:t xml:space="preserve">Thinking About Play. </w:t>
      </w:r>
      <w:r w:rsidRPr="002B5C1D">
        <w:rPr>
          <w:rFonts w:ascii="Arial" w:hAnsi="Arial" w:cs="Arial"/>
          <w:color w:val="000000" w:themeColor="text1"/>
          <w:sz w:val="24"/>
          <w:szCs w:val="24"/>
        </w:rPr>
        <w:t>Berkshire: Open University Press</w:t>
      </w:r>
    </w:p>
    <w:p w14:paraId="6D7AFCF7" w14:textId="7C101DED"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Ofsted (2015) </w:t>
      </w:r>
      <w:r w:rsidRPr="002B5C1D">
        <w:rPr>
          <w:rFonts w:ascii="Arial" w:hAnsi="Arial" w:cs="Arial"/>
          <w:i/>
          <w:iCs/>
          <w:color w:val="000000" w:themeColor="text1"/>
          <w:sz w:val="24"/>
          <w:szCs w:val="24"/>
        </w:rPr>
        <w:t xml:space="preserve">Teaching and play in the early years –a balancing act? </w:t>
      </w:r>
      <w:r w:rsidRPr="002B5C1D">
        <w:rPr>
          <w:rFonts w:ascii="Arial" w:hAnsi="Arial" w:cs="Arial"/>
          <w:color w:val="000000" w:themeColor="text1"/>
          <w:sz w:val="24"/>
          <w:szCs w:val="24"/>
        </w:rPr>
        <w:t xml:space="preserve">Available at: </w:t>
      </w:r>
      <w:r w:rsidRPr="002B5C1D">
        <w:rPr>
          <w:rFonts w:ascii="Arial" w:hAnsi="Arial" w:cs="Arial"/>
          <w:sz w:val="24"/>
          <w:szCs w:val="24"/>
        </w:rPr>
        <w:t>https://assets.publishing.service.gov.uk/government/uploads/system/uploads/attachment_data/file/444147/Teaching-and-play-in-the-early-years-a-balancing-act.pdf</w:t>
      </w:r>
      <w:r w:rsidRPr="002B5C1D">
        <w:rPr>
          <w:rFonts w:ascii="Arial" w:hAnsi="Arial" w:cs="Arial"/>
          <w:color w:val="000000" w:themeColor="text1"/>
          <w:sz w:val="24"/>
          <w:szCs w:val="24"/>
        </w:rPr>
        <w:t xml:space="preserve"> (Accessed: 12</w:t>
      </w:r>
      <w:r w:rsidRPr="002B5C1D">
        <w:rPr>
          <w:rFonts w:ascii="Arial" w:hAnsi="Arial" w:cs="Arial"/>
          <w:color w:val="000000" w:themeColor="text1"/>
          <w:sz w:val="24"/>
          <w:szCs w:val="24"/>
          <w:vertAlign w:val="superscript"/>
        </w:rPr>
        <w:t>th</w:t>
      </w:r>
      <w:r w:rsidRPr="002B5C1D">
        <w:rPr>
          <w:rFonts w:ascii="Arial" w:hAnsi="Arial" w:cs="Arial"/>
          <w:color w:val="000000" w:themeColor="text1"/>
          <w:sz w:val="24"/>
          <w:szCs w:val="24"/>
        </w:rPr>
        <w:t xml:space="preserve"> December 2019)</w:t>
      </w:r>
    </w:p>
    <w:p w14:paraId="22477E7B"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Play Scotland (</w:t>
      </w:r>
      <w:proofErr w:type="spellStart"/>
      <w:r w:rsidRPr="002B5C1D">
        <w:rPr>
          <w:rFonts w:ascii="Arial" w:hAnsi="Arial" w:cs="Arial"/>
          <w:color w:val="000000" w:themeColor="text1"/>
          <w:sz w:val="24"/>
          <w:szCs w:val="24"/>
        </w:rPr>
        <w:t>n.d</w:t>
      </w:r>
      <w:proofErr w:type="spellEnd"/>
      <w:r w:rsidRPr="002B5C1D">
        <w:rPr>
          <w:rFonts w:ascii="Arial" w:hAnsi="Arial" w:cs="Arial"/>
          <w:color w:val="000000" w:themeColor="text1"/>
          <w:sz w:val="24"/>
          <w:szCs w:val="24"/>
        </w:rPr>
        <w:t xml:space="preserve">) </w:t>
      </w:r>
      <w:r w:rsidRPr="002B5C1D">
        <w:rPr>
          <w:rFonts w:ascii="Arial" w:hAnsi="Arial" w:cs="Arial"/>
          <w:i/>
          <w:iCs/>
          <w:color w:val="000000" w:themeColor="text1"/>
          <w:sz w:val="24"/>
          <w:szCs w:val="24"/>
        </w:rPr>
        <w:t xml:space="preserve">Risky Play. </w:t>
      </w:r>
      <w:r w:rsidRPr="002B5C1D">
        <w:rPr>
          <w:rFonts w:ascii="Arial" w:hAnsi="Arial" w:cs="Arial"/>
          <w:color w:val="000000" w:themeColor="text1"/>
          <w:sz w:val="24"/>
          <w:szCs w:val="24"/>
        </w:rPr>
        <w:t>Available at: http://www.playscotland.org/wp-content/uploads/Risky-Play-Leaflet_web.pdf (Accessed: 7</w:t>
      </w:r>
      <w:r w:rsidRPr="002B5C1D">
        <w:rPr>
          <w:rFonts w:ascii="Arial" w:hAnsi="Arial" w:cs="Arial"/>
          <w:color w:val="000000" w:themeColor="text1"/>
          <w:sz w:val="24"/>
          <w:szCs w:val="24"/>
          <w:vertAlign w:val="superscript"/>
        </w:rPr>
        <w:t>th</w:t>
      </w:r>
      <w:r w:rsidRPr="002B5C1D">
        <w:rPr>
          <w:rFonts w:ascii="Arial" w:hAnsi="Arial" w:cs="Arial"/>
          <w:color w:val="000000" w:themeColor="text1"/>
          <w:sz w:val="24"/>
          <w:szCs w:val="24"/>
        </w:rPr>
        <w:t xml:space="preserve"> January 2020)</w:t>
      </w:r>
    </w:p>
    <w:p w14:paraId="2BCBEAB5" w14:textId="77777777" w:rsidR="00750E5A" w:rsidRPr="002B5C1D" w:rsidRDefault="00750E5A" w:rsidP="002B5C1D">
      <w:pPr>
        <w:spacing w:line="360" w:lineRule="auto"/>
        <w:jc w:val="both"/>
        <w:rPr>
          <w:rStyle w:val="doi"/>
          <w:rFonts w:ascii="Arial" w:hAnsi="Arial" w:cs="Arial"/>
          <w:color w:val="000000" w:themeColor="text1"/>
          <w:sz w:val="24"/>
          <w:szCs w:val="24"/>
        </w:rPr>
      </w:pPr>
      <w:r w:rsidRPr="002B5C1D">
        <w:rPr>
          <w:rStyle w:val="doi"/>
          <w:rFonts w:ascii="Arial" w:hAnsi="Arial" w:cs="Arial"/>
          <w:color w:val="000000" w:themeColor="text1"/>
          <w:sz w:val="24"/>
          <w:szCs w:val="24"/>
        </w:rPr>
        <w:t xml:space="preserve">Play Wales (2013) </w:t>
      </w:r>
      <w:r w:rsidRPr="002B5C1D">
        <w:rPr>
          <w:rStyle w:val="doi"/>
          <w:rFonts w:ascii="Arial" w:hAnsi="Arial" w:cs="Arial"/>
          <w:i/>
          <w:iCs/>
          <w:color w:val="000000" w:themeColor="text1"/>
          <w:sz w:val="24"/>
          <w:szCs w:val="24"/>
        </w:rPr>
        <w:t xml:space="preserve">Play and early years: birth to seven years. </w:t>
      </w:r>
      <w:r w:rsidRPr="002B5C1D">
        <w:rPr>
          <w:rStyle w:val="doi"/>
          <w:rFonts w:ascii="Arial" w:hAnsi="Arial" w:cs="Arial"/>
          <w:color w:val="000000" w:themeColor="text1"/>
          <w:sz w:val="24"/>
          <w:szCs w:val="24"/>
        </w:rPr>
        <w:t>Available at: https://www.playwales.org.uk/login/uploaded/documents/INFORMATION%20SHEETS/play%20and%20early%20years.pdf (Accessed: 3</w:t>
      </w:r>
      <w:r w:rsidRPr="002B5C1D">
        <w:rPr>
          <w:rStyle w:val="doi"/>
          <w:rFonts w:ascii="Arial" w:hAnsi="Arial" w:cs="Arial"/>
          <w:color w:val="000000" w:themeColor="text1"/>
          <w:sz w:val="24"/>
          <w:szCs w:val="24"/>
          <w:vertAlign w:val="superscript"/>
        </w:rPr>
        <w:t>rd</w:t>
      </w:r>
      <w:r w:rsidRPr="002B5C1D">
        <w:rPr>
          <w:rStyle w:val="doi"/>
          <w:rFonts w:ascii="Arial" w:hAnsi="Arial" w:cs="Arial"/>
          <w:color w:val="000000" w:themeColor="text1"/>
          <w:sz w:val="24"/>
          <w:szCs w:val="24"/>
        </w:rPr>
        <w:t xml:space="preserve"> January 2020)</w:t>
      </w:r>
    </w:p>
    <w:p w14:paraId="48F7FA2B" w14:textId="77777777" w:rsidR="00750E5A" w:rsidRPr="002B5C1D" w:rsidRDefault="00750E5A" w:rsidP="002B5C1D">
      <w:pPr>
        <w:spacing w:line="360" w:lineRule="auto"/>
        <w:jc w:val="both"/>
        <w:rPr>
          <w:rStyle w:val="doi"/>
          <w:rFonts w:ascii="Arial" w:hAnsi="Arial" w:cs="Arial"/>
          <w:color w:val="000000" w:themeColor="text1"/>
          <w:sz w:val="24"/>
          <w:szCs w:val="24"/>
        </w:rPr>
      </w:pPr>
      <w:r w:rsidRPr="002B5C1D">
        <w:rPr>
          <w:rStyle w:val="doi"/>
          <w:rFonts w:ascii="Arial" w:hAnsi="Arial" w:cs="Arial"/>
          <w:color w:val="000000" w:themeColor="text1"/>
          <w:sz w:val="24"/>
          <w:szCs w:val="24"/>
        </w:rPr>
        <w:t xml:space="preserve">Riddell-Leech, S. (2008) </w:t>
      </w:r>
      <w:r w:rsidRPr="002B5C1D">
        <w:rPr>
          <w:rStyle w:val="doi"/>
          <w:rFonts w:ascii="Arial" w:hAnsi="Arial" w:cs="Arial"/>
          <w:i/>
          <w:iCs/>
          <w:color w:val="000000" w:themeColor="text1"/>
          <w:sz w:val="24"/>
          <w:szCs w:val="24"/>
        </w:rPr>
        <w:t xml:space="preserve">How to observe children. </w:t>
      </w:r>
      <w:r w:rsidRPr="002B5C1D">
        <w:rPr>
          <w:rStyle w:val="doi"/>
          <w:rFonts w:ascii="Arial" w:hAnsi="Arial" w:cs="Arial"/>
          <w:color w:val="000000" w:themeColor="text1"/>
          <w:sz w:val="24"/>
          <w:szCs w:val="24"/>
        </w:rPr>
        <w:t xml:space="preserve">Harlow: </w:t>
      </w:r>
      <w:proofErr w:type="spellStart"/>
      <w:r w:rsidRPr="002B5C1D">
        <w:rPr>
          <w:rStyle w:val="doi"/>
          <w:rFonts w:ascii="Arial" w:hAnsi="Arial" w:cs="Arial"/>
          <w:color w:val="000000" w:themeColor="text1"/>
          <w:sz w:val="24"/>
          <w:szCs w:val="24"/>
        </w:rPr>
        <w:t>Pearsons</w:t>
      </w:r>
      <w:proofErr w:type="spellEnd"/>
    </w:p>
    <w:p w14:paraId="6C452A58" w14:textId="77777777" w:rsidR="00750E5A" w:rsidRPr="002B5C1D" w:rsidRDefault="00750E5A" w:rsidP="002B5C1D">
      <w:pPr>
        <w:spacing w:line="360" w:lineRule="auto"/>
        <w:jc w:val="both"/>
        <w:rPr>
          <w:rFonts w:ascii="Arial" w:hAnsi="Arial" w:cs="Arial"/>
          <w:color w:val="000000" w:themeColor="text1"/>
          <w:sz w:val="24"/>
          <w:szCs w:val="24"/>
        </w:rPr>
      </w:pPr>
      <w:proofErr w:type="spellStart"/>
      <w:r w:rsidRPr="002B5C1D">
        <w:rPr>
          <w:rFonts w:ascii="Arial" w:hAnsi="Arial" w:cs="Arial"/>
          <w:color w:val="000000" w:themeColor="text1"/>
          <w:sz w:val="24"/>
          <w:szCs w:val="24"/>
        </w:rPr>
        <w:t>Sandseter</w:t>
      </w:r>
      <w:proofErr w:type="spellEnd"/>
      <w:r w:rsidRPr="002B5C1D">
        <w:rPr>
          <w:rFonts w:ascii="Arial" w:hAnsi="Arial" w:cs="Arial"/>
          <w:color w:val="000000" w:themeColor="text1"/>
          <w:sz w:val="24"/>
          <w:szCs w:val="24"/>
        </w:rPr>
        <w:t xml:space="preserve">, E. &amp; </w:t>
      </w:r>
      <w:proofErr w:type="spellStart"/>
      <w:r w:rsidRPr="002B5C1D">
        <w:rPr>
          <w:rFonts w:ascii="Arial" w:hAnsi="Arial" w:cs="Arial"/>
          <w:color w:val="000000" w:themeColor="text1"/>
          <w:sz w:val="24"/>
          <w:szCs w:val="24"/>
        </w:rPr>
        <w:t>Kennair</w:t>
      </w:r>
      <w:proofErr w:type="spellEnd"/>
      <w:r w:rsidRPr="002B5C1D">
        <w:rPr>
          <w:rFonts w:ascii="Arial" w:hAnsi="Arial" w:cs="Arial"/>
          <w:color w:val="000000" w:themeColor="text1"/>
          <w:sz w:val="24"/>
          <w:szCs w:val="24"/>
        </w:rPr>
        <w:t xml:space="preserve">, L. (2011) ‘Children's Risky Play from an Evolutionary Perspective: The Anti-Phobic Effects of Thrilling Experiences’, </w:t>
      </w:r>
      <w:r w:rsidRPr="002B5C1D">
        <w:rPr>
          <w:rFonts w:ascii="Arial" w:hAnsi="Arial" w:cs="Arial"/>
          <w:i/>
          <w:iCs/>
          <w:color w:val="000000" w:themeColor="text1"/>
          <w:sz w:val="24"/>
          <w:szCs w:val="24"/>
        </w:rPr>
        <w:t xml:space="preserve">Evolutionary Psychology. </w:t>
      </w:r>
      <w:r w:rsidRPr="002B5C1D">
        <w:rPr>
          <w:rFonts w:ascii="Arial" w:hAnsi="Arial" w:cs="Arial"/>
          <w:color w:val="000000" w:themeColor="text1"/>
          <w:sz w:val="24"/>
          <w:szCs w:val="24"/>
        </w:rPr>
        <w:t>9(2), pp. 257-284. Available at: https://doi.org/10.1177/147470491100900212 (Accessed: 6</w:t>
      </w:r>
      <w:r w:rsidRPr="002B5C1D">
        <w:rPr>
          <w:rFonts w:ascii="Arial" w:hAnsi="Arial" w:cs="Arial"/>
          <w:color w:val="000000" w:themeColor="text1"/>
          <w:sz w:val="24"/>
          <w:szCs w:val="24"/>
          <w:vertAlign w:val="superscript"/>
        </w:rPr>
        <w:t>th</w:t>
      </w:r>
      <w:r w:rsidRPr="002B5C1D">
        <w:rPr>
          <w:rFonts w:ascii="Arial" w:hAnsi="Arial" w:cs="Arial"/>
          <w:color w:val="000000" w:themeColor="text1"/>
          <w:sz w:val="24"/>
          <w:szCs w:val="24"/>
        </w:rPr>
        <w:t xml:space="preserve"> January 2020)</w:t>
      </w:r>
    </w:p>
    <w:p w14:paraId="3476734C" w14:textId="77777777" w:rsidR="00750E5A" w:rsidRPr="002B5C1D" w:rsidRDefault="00750E5A" w:rsidP="002B5C1D">
      <w:pPr>
        <w:spacing w:line="360" w:lineRule="auto"/>
        <w:jc w:val="both"/>
        <w:rPr>
          <w:rFonts w:ascii="Arial" w:hAnsi="Arial" w:cs="Arial"/>
          <w:color w:val="000000" w:themeColor="text1"/>
          <w:sz w:val="24"/>
          <w:szCs w:val="24"/>
        </w:rPr>
      </w:pPr>
      <w:proofErr w:type="spellStart"/>
      <w:r w:rsidRPr="002B5C1D">
        <w:rPr>
          <w:rFonts w:ascii="Arial" w:hAnsi="Arial" w:cs="Arial"/>
          <w:color w:val="000000" w:themeColor="text1"/>
          <w:sz w:val="24"/>
          <w:szCs w:val="24"/>
        </w:rPr>
        <w:t>Sandseter</w:t>
      </w:r>
      <w:proofErr w:type="spellEnd"/>
      <w:r w:rsidRPr="002B5C1D">
        <w:rPr>
          <w:rFonts w:ascii="Arial" w:hAnsi="Arial" w:cs="Arial"/>
          <w:color w:val="000000" w:themeColor="text1"/>
          <w:sz w:val="24"/>
          <w:szCs w:val="24"/>
        </w:rPr>
        <w:t xml:space="preserve">, E. (2007) ‘Categorising Risky Play--How Can We Identify Risk-Taking in Children's Play?’, </w:t>
      </w:r>
      <w:r w:rsidRPr="002B5C1D">
        <w:rPr>
          <w:rFonts w:ascii="Arial" w:hAnsi="Arial" w:cs="Arial"/>
          <w:i/>
          <w:iCs/>
          <w:color w:val="000000" w:themeColor="text1"/>
          <w:sz w:val="24"/>
          <w:szCs w:val="24"/>
        </w:rPr>
        <w:t>European Early Childhood Education Research Journal</w:t>
      </w:r>
      <w:r w:rsidRPr="002B5C1D">
        <w:rPr>
          <w:rFonts w:ascii="Arial" w:hAnsi="Arial" w:cs="Arial"/>
          <w:color w:val="000000" w:themeColor="text1"/>
          <w:sz w:val="24"/>
          <w:szCs w:val="24"/>
        </w:rPr>
        <w:t>. 15(2), pp.237–252. Available at: https://www-tandfonline-com.ezproxy.uwtsd.ac.uk/doi/full/10.1080/13502930701321733 (Accessed: 3</w:t>
      </w:r>
      <w:r w:rsidRPr="002B5C1D">
        <w:rPr>
          <w:rFonts w:ascii="Arial" w:hAnsi="Arial" w:cs="Arial"/>
          <w:color w:val="000000" w:themeColor="text1"/>
          <w:sz w:val="24"/>
          <w:szCs w:val="24"/>
          <w:vertAlign w:val="superscript"/>
        </w:rPr>
        <w:t>rd</w:t>
      </w:r>
      <w:r w:rsidRPr="002B5C1D">
        <w:rPr>
          <w:rFonts w:ascii="Arial" w:hAnsi="Arial" w:cs="Arial"/>
          <w:color w:val="000000" w:themeColor="text1"/>
          <w:sz w:val="24"/>
          <w:szCs w:val="24"/>
        </w:rPr>
        <w:t xml:space="preserve"> January 2020)</w:t>
      </w:r>
    </w:p>
    <w:p w14:paraId="3F31F1DE"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Stephenson, A. (2003) ‘Physical Risk-taking: dangerous or endangered?’, </w:t>
      </w:r>
      <w:r w:rsidRPr="002B5C1D">
        <w:rPr>
          <w:rFonts w:ascii="Arial" w:hAnsi="Arial" w:cs="Arial"/>
          <w:i/>
          <w:iCs/>
          <w:color w:val="000000" w:themeColor="text1"/>
          <w:sz w:val="24"/>
          <w:szCs w:val="24"/>
        </w:rPr>
        <w:t>Early Years: Journal of International Research &amp; Development</w:t>
      </w:r>
      <w:r w:rsidRPr="002B5C1D">
        <w:rPr>
          <w:rFonts w:ascii="Arial" w:hAnsi="Arial" w:cs="Arial"/>
          <w:color w:val="000000" w:themeColor="text1"/>
          <w:sz w:val="24"/>
          <w:szCs w:val="24"/>
        </w:rPr>
        <w:t>. 23(1), pp.35–44. Available at: https://www-tandfonline-</w:t>
      </w:r>
      <w:r w:rsidRPr="002B5C1D">
        <w:rPr>
          <w:rFonts w:ascii="Arial" w:hAnsi="Arial" w:cs="Arial"/>
          <w:color w:val="000000" w:themeColor="text1"/>
          <w:sz w:val="24"/>
          <w:szCs w:val="24"/>
        </w:rPr>
        <w:lastRenderedPageBreak/>
        <w:t>com.ezproxy.uwtsd.ac.uk/doi/abs/10.1080/0957514032000045573 (Accessed: 3</w:t>
      </w:r>
      <w:r w:rsidRPr="002B5C1D">
        <w:rPr>
          <w:rFonts w:ascii="Arial" w:hAnsi="Arial" w:cs="Arial"/>
          <w:color w:val="000000" w:themeColor="text1"/>
          <w:sz w:val="24"/>
          <w:szCs w:val="24"/>
          <w:vertAlign w:val="superscript"/>
        </w:rPr>
        <w:t>rd</w:t>
      </w:r>
      <w:r w:rsidRPr="002B5C1D">
        <w:rPr>
          <w:rFonts w:ascii="Arial" w:hAnsi="Arial" w:cs="Arial"/>
          <w:color w:val="000000" w:themeColor="text1"/>
          <w:sz w:val="24"/>
          <w:szCs w:val="24"/>
        </w:rPr>
        <w:t xml:space="preserve"> January 2020)</w:t>
      </w:r>
    </w:p>
    <w:p w14:paraId="7A18A185"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Tovey, H. (2017) </w:t>
      </w:r>
      <w:r w:rsidRPr="002B5C1D">
        <w:rPr>
          <w:rFonts w:ascii="Arial" w:hAnsi="Arial" w:cs="Arial"/>
          <w:i/>
          <w:iCs/>
          <w:color w:val="000000" w:themeColor="text1"/>
          <w:sz w:val="24"/>
          <w:szCs w:val="24"/>
        </w:rPr>
        <w:t xml:space="preserve">Bringing the Froebel Approach to your Early Years Practice. </w:t>
      </w:r>
      <w:r w:rsidRPr="002B5C1D">
        <w:rPr>
          <w:rFonts w:ascii="Arial" w:hAnsi="Arial" w:cs="Arial"/>
          <w:color w:val="000000" w:themeColor="text1"/>
          <w:sz w:val="24"/>
          <w:szCs w:val="24"/>
        </w:rPr>
        <w:t>2</w:t>
      </w:r>
      <w:r w:rsidRPr="002B5C1D">
        <w:rPr>
          <w:rFonts w:ascii="Arial" w:hAnsi="Arial" w:cs="Arial"/>
          <w:color w:val="000000" w:themeColor="text1"/>
          <w:sz w:val="24"/>
          <w:szCs w:val="24"/>
          <w:vertAlign w:val="superscript"/>
        </w:rPr>
        <w:t>nd</w:t>
      </w:r>
      <w:r w:rsidRPr="002B5C1D">
        <w:rPr>
          <w:rFonts w:ascii="Arial" w:hAnsi="Arial" w:cs="Arial"/>
          <w:color w:val="000000" w:themeColor="text1"/>
          <w:sz w:val="24"/>
          <w:szCs w:val="24"/>
        </w:rPr>
        <w:t xml:space="preserve"> ed. Oxon: Routledge.</w:t>
      </w:r>
    </w:p>
    <w:p w14:paraId="1DF95D49"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UN General Assembly (1989) ‘Convention on the Rights of the Child’, United Nations, Treaty Series. 1577, pp. 3. Available at: https://www.refworld.org/docid/3ae6b38f0.html (Accessed:14th December 2019)</w:t>
      </w:r>
    </w:p>
    <w:p w14:paraId="027C77A4" w14:textId="1CD69D62"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Welsh Government (2006) </w:t>
      </w:r>
      <w:r w:rsidRPr="002B5C1D">
        <w:rPr>
          <w:rFonts w:ascii="Arial" w:hAnsi="Arial" w:cs="Arial"/>
          <w:i/>
          <w:iCs/>
          <w:color w:val="000000" w:themeColor="text1"/>
          <w:sz w:val="24"/>
          <w:szCs w:val="24"/>
        </w:rPr>
        <w:t xml:space="preserve">Play Policy Implementation Plan. </w:t>
      </w:r>
      <w:r w:rsidRPr="002B5C1D">
        <w:rPr>
          <w:rFonts w:ascii="Arial" w:hAnsi="Arial" w:cs="Arial"/>
          <w:color w:val="000000" w:themeColor="text1"/>
          <w:sz w:val="24"/>
          <w:szCs w:val="24"/>
        </w:rPr>
        <w:t xml:space="preserve">Available at: </w:t>
      </w:r>
      <w:r w:rsidRPr="002B5C1D">
        <w:rPr>
          <w:rFonts w:ascii="Arial" w:hAnsi="Arial" w:cs="Arial"/>
          <w:sz w:val="24"/>
          <w:szCs w:val="24"/>
        </w:rPr>
        <w:t>https://www.aber.ac.uk/en/media/departmental/sell/pdf/wellbeinghealth/Policy-Implementation-Plan-2006.pdf</w:t>
      </w:r>
      <w:r w:rsidRPr="002B5C1D">
        <w:rPr>
          <w:rFonts w:ascii="Arial" w:hAnsi="Arial" w:cs="Arial"/>
          <w:color w:val="000000" w:themeColor="text1"/>
          <w:sz w:val="24"/>
          <w:szCs w:val="24"/>
        </w:rPr>
        <w:t xml:space="preserve"> (Accessed: 12</w:t>
      </w:r>
      <w:r w:rsidRPr="002B5C1D">
        <w:rPr>
          <w:rFonts w:ascii="Arial" w:hAnsi="Arial" w:cs="Arial"/>
          <w:color w:val="000000" w:themeColor="text1"/>
          <w:sz w:val="24"/>
          <w:szCs w:val="24"/>
          <w:vertAlign w:val="superscript"/>
        </w:rPr>
        <w:t>th</w:t>
      </w:r>
      <w:r w:rsidRPr="002B5C1D">
        <w:rPr>
          <w:rFonts w:ascii="Arial" w:hAnsi="Arial" w:cs="Arial"/>
          <w:color w:val="000000" w:themeColor="text1"/>
          <w:sz w:val="24"/>
          <w:szCs w:val="24"/>
        </w:rPr>
        <w:t xml:space="preserve"> December 2019)</w:t>
      </w:r>
    </w:p>
    <w:p w14:paraId="7C0671F1"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Welsh Government (2014) </w:t>
      </w:r>
      <w:r w:rsidRPr="002B5C1D">
        <w:rPr>
          <w:rFonts w:ascii="Arial" w:hAnsi="Arial" w:cs="Arial"/>
          <w:i/>
          <w:iCs/>
          <w:color w:val="000000" w:themeColor="text1"/>
          <w:sz w:val="24"/>
          <w:szCs w:val="24"/>
        </w:rPr>
        <w:t xml:space="preserve">Wales – a Play Friendly Country. </w:t>
      </w:r>
      <w:r w:rsidRPr="002B5C1D">
        <w:rPr>
          <w:rFonts w:ascii="Arial" w:hAnsi="Arial" w:cs="Arial"/>
          <w:color w:val="000000" w:themeColor="text1"/>
          <w:sz w:val="24"/>
          <w:szCs w:val="24"/>
        </w:rPr>
        <w:t>Available at: https://gov.wales/sites/default/files/publications/2019-07/wales-a-play-friendly-country.pdf (Accessed: 14</w:t>
      </w:r>
      <w:r w:rsidRPr="002B5C1D">
        <w:rPr>
          <w:rFonts w:ascii="Arial" w:hAnsi="Arial" w:cs="Arial"/>
          <w:color w:val="000000" w:themeColor="text1"/>
          <w:sz w:val="24"/>
          <w:szCs w:val="24"/>
          <w:vertAlign w:val="superscript"/>
        </w:rPr>
        <w:t>th</w:t>
      </w:r>
      <w:r w:rsidRPr="002B5C1D">
        <w:rPr>
          <w:rFonts w:ascii="Arial" w:hAnsi="Arial" w:cs="Arial"/>
          <w:color w:val="000000" w:themeColor="text1"/>
          <w:sz w:val="24"/>
          <w:szCs w:val="24"/>
        </w:rPr>
        <w:t xml:space="preserve"> December 2019)</w:t>
      </w:r>
    </w:p>
    <w:p w14:paraId="1E4E2091"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Welsh Government (2017a) </w:t>
      </w:r>
      <w:r w:rsidRPr="002B5C1D">
        <w:rPr>
          <w:rFonts w:ascii="Arial" w:hAnsi="Arial" w:cs="Arial"/>
          <w:i/>
          <w:iCs/>
          <w:color w:val="000000" w:themeColor="text1"/>
          <w:sz w:val="24"/>
          <w:szCs w:val="24"/>
        </w:rPr>
        <w:t xml:space="preserve">Foundation Phase Profile Handbook. </w:t>
      </w:r>
      <w:r w:rsidRPr="002B5C1D">
        <w:rPr>
          <w:rFonts w:ascii="Arial" w:hAnsi="Arial" w:cs="Arial"/>
          <w:color w:val="000000" w:themeColor="text1"/>
          <w:sz w:val="24"/>
          <w:szCs w:val="24"/>
        </w:rPr>
        <w:t>Available at: https://hwb.gov.wales/storage/f9d85dba-85a4-4e87-bb58-a24730ad7e57/foundation-phase-profile-handbook-revised-september-2017.pdf (Accessed: 10</w:t>
      </w:r>
      <w:r w:rsidRPr="002B5C1D">
        <w:rPr>
          <w:rFonts w:ascii="Arial" w:hAnsi="Arial" w:cs="Arial"/>
          <w:color w:val="000000" w:themeColor="text1"/>
          <w:sz w:val="24"/>
          <w:szCs w:val="24"/>
          <w:vertAlign w:val="superscript"/>
        </w:rPr>
        <w:t>th</w:t>
      </w:r>
      <w:r w:rsidRPr="002B5C1D">
        <w:rPr>
          <w:rFonts w:ascii="Arial" w:hAnsi="Arial" w:cs="Arial"/>
          <w:color w:val="000000" w:themeColor="text1"/>
          <w:sz w:val="24"/>
          <w:szCs w:val="24"/>
        </w:rPr>
        <w:t xml:space="preserve"> January 2020)</w:t>
      </w:r>
    </w:p>
    <w:p w14:paraId="36442861"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Welsh Government (2017b) </w:t>
      </w:r>
      <w:r w:rsidRPr="002B5C1D">
        <w:rPr>
          <w:rFonts w:ascii="Arial" w:hAnsi="Arial" w:cs="Arial"/>
          <w:i/>
          <w:iCs/>
          <w:color w:val="000000" w:themeColor="text1"/>
          <w:sz w:val="24"/>
          <w:szCs w:val="24"/>
        </w:rPr>
        <w:t xml:space="preserve">Foundation Phase Profile Frequently Asked Questions. </w:t>
      </w:r>
      <w:r w:rsidRPr="002B5C1D">
        <w:rPr>
          <w:rFonts w:ascii="Arial" w:hAnsi="Arial" w:cs="Arial"/>
          <w:color w:val="000000" w:themeColor="text1"/>
          <w:sz w:val="24"/>
          <w:szCs w:val="24"/>
        </w:rPr>
        <w:t>Available at: https://hwb.gov.wales/storage/840fa930-c037-4669-8251-4794991fce91/frequently-asked-questions.pdf (Accessed: 10</w:t>
      </w:r>
      <w:r w:rsidRPr="002B5C1D">
        <w:rPr>
          <w:rFonts w:ascii="Arial" w:hAnsi="Arial" w:cs="Arial"/>
          <w:color w:val="000000" w:themeColor="text1"/>
          <w:sz w:val="24"/>
          <w:szCs w:val="24"/>
          <w:vertAlign w:val="superscript"/>
        </w:rPr>
        <w:t>th</w:t>
      </w:r>
      <w:r w:rsidRPr="002B5C1D">
        <w:rPr>
          <w:rFonts w:ascii="Arial" w:hAnsi="Arial" w:cs="Arial"/>
          <w:color w:val="000000" w:themeColor="text1"/>
          <w:sz w:val="24"/>
          <w:szCs w:val="24"/>
        </w:rPr>
        <w:t xml:space="preserve"> January 2020)</w:t>
      </w:r>
    </w:p>
    <w:p w14:paraId="6FCDD293"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Willan, J., Parker-Rees, R., &amp; Savage, J. (2004) </w:t>
      </w:r>
      <w:r w:rsidRPr="002B5C1D">
        <w:rPr>
          <w:rFonts w:ascii="Arial" w:hAnsi="Arial" w:cs="Arial"/>
          <w:i/>
          <w:iCs/>
          <w:color w:val="000000" w:themeColor="text1"/>
          <w:sz w:val="24"/>
          <w:szCs w:val="24"/>
        </w:rPr>
        <w:t xml:space="preserve">Early Childhood Studies: An introduction to the study of children’s worlds and children’s lives. </w:t>
      </w:r>
      <w:r w:rsidRPr="002B5C1D">
        <w:rPr>
          <w:rFonts w:ascii="Arial" w:hAnsi="Arial" w:cs="Arial"/>
          <w:color w:val="000000" w:themeColor="text1"/>
          <w:sz w:val="24"/>
          <w:szCs w:val="24"/>
        </w:rPr>
        <w:t xml:space="preserve">Exeter: Learning Matters. </w:t>
      </w:r>
    </w:p>
    <w:p w14:paraId="46143A3A" w14:textId="77777777" w:rsidR="00750E5A" w:rsidRPr="002B5C1D" w:rsidRDefault="00750E5A" w:rsidP="002B5C1D">
      <w:pPr>
        <w:spacing w:line="360" w:lineRule="auto"/>
        <w:jc w:val="both"/>
        <w:rPr>
          <w:rFonts w:ascii="Arial" w:hAnsi="Arial" w:cs="Arial"/>
          <w:color w:val="000000" w:themeColor="text1"/>
          <w:sz w:val="24"/>
          <w:szCs w:val="24"/>
        </w:rPr>
      </w:pPr>
      <w:r w:rsidRPr="002B5C1D">
        <w:rPr>
          <w:rFonts w:ascii="Arial" w:hAnsi="Arial" w:cs="Arial"/>
          <w:color w:val="000000" w:themeColor="text1"/>
          <w:sz w:val="24"/>
          <w:szCs w:val="24"/>
        </w:rPr>
        <w:t xml:space="preserve">Wilson, R.A. (2012) </w:t>
      </w:r>
      <w:r w:rsidRPr="002B5C1D">
        <w:rPr>
          <w:rFonts w:ascii="Arial" w:hAnsi="Arial" w:cs="Arial"/>
          <w:i/>
          <w:iCs/>
          <w:color w:val="000000" w:themeColor="text1"/>
          <w:sz w:val="24"/>
          <w:szCs w:val="24"/>
        </w:rPr>
        <w:t xml:space="preserve">Nature and young children: encouraging creative play and learning in natural environments. </w:t>
      </w:r>
      <w:r w:rsidRPr="002B5C1D">
        <w:rPr>
          <w:rFonts w:ascii="Arial" w:hAnsi="Arial" w:cs="Arial"/>
          <w:color w:val="000000" w:themeColor="text1"/>
          <w:sz w:val="24"/>
          <w:szCs w:val="24"/>
        </w:rPr>
        <w:t>2nd ed. New York: Routledge.</w:t>
      </w:r>
    </w:p>
    <w:p w14:paraId="110AA169" w14:textId="77777777" w:rsidR="00750E5A" w:rsidRPr="002B5C1D" w:rsidRDefault="00750E5A" w:rsidP="002B5C1D">
      <w:pPr>
        <w:spacing w:line="360" w:lineRule="auto"/>
        <w:jc w:val="both"/>
        <w:rPr>
          <w:rFonts w:ascii="Arial" w:hAnsi="Arial" w:cs="Arial"/>
          <w:color w:val="000000" w:themeColor="text1"/>
          <w:sz w:val="24"/>
          <w:szCs w:val="24"/>
        </w:rPr>
      </w:pPr>
      <w:proofErr w:type="spellStart"/>
      <w:r w:rsidRPr="002B5C1D">
        <w:rPr>
          <w:rFonts w:ascii="Arial" w:hAnsi="Arial" w:cs="Arial"/>
          <w:color w:val="000000" w:themeColor="text1"/>
          <w:sz w:val="24"/>
          <w:szCs w:val="24"/>
        </w:rPr>
        <w:t>Yogman</w:t>
      </w:r>
      <w:proofErr w:type="spellEnd"/>
      <w:r w:rsidRPr="002B5C1D">
        <w:rPr>
          <w:rFonts w:ascii="Arial" w:hAnsi="Arial" w:cs="Arial"/>
          <w:color w:val="000000" w:themeColor="text1"/>
          <w:sz w:val="24"/>
          <w:szCs w:val="24"/>
        </w:rPr>
        <w:t xml:space="preserve">, M. et al., (2018) ‘The Power of Play: A </w:t>
      </w:r>
      <w:proofErr w:type="spellStart"/>
      <w:r w:rsidRPr="002B5C1D">
        <w:rPr>
          <w:rFonts w:ascii="Arial" w:hAnsi="Arial" w:cs="Arial"/>
          <w:color w:val="000000" w:themeColor="text1"/>
          <w:sz w:val="24"/>
          <w:szCs w:val="24"/>
        </w:rPr>
        <w:t>Pediatric</w:t>
      </w:r>
      <w:proofErr w:type="spellEnd"/>
      <w:r w:rsidRPr="002B5C1D">
        <w:rPr>
          <w:rFonts w:ascii="Arial" w:hAnsi="Arial" w:cs="Arial"/>
          <w:color w:val="000000" w:themeColor="text1"/>
          <w:sz w:val="24"/>
          <w:szCs w:val="24"/>
        </w:rPr>
        <w:t xml:space="preserve"> Role in Enhancing Development in Young Children’, </w:t>
      </w:r>
      <w:proofErr w:type="spellStart"/>
      <w:r w:rsidRPr="002B5C1D">
        <w:rPr>
          <w:rFonts w:ascii="Arial" w:hAnsi="Arial" w:cs="Arial"/>
          <w:i/>
          <w:iCs/>
          <w:color w:val="000000" w:themeColor="text1"/>
          <w:sz w:val="24"/>
          <w:szCs w:val="24"/>
        </w:rPr>
        <w:t>Pediatrics</w:t>
      </w:r>
      <w:proofErr w:type="spellEnd"/>
      <w:r w:rsidRPr="002B5C1D">
        <w:rPr>
          <w:rFonts w:ascii="Arial" w:hAnsi="Arial" w:cs="Arial"/>
          <w:color w:val="000000" w:themeColor="text1"/>
          <w:sz w:val="24"/>
          <w:szCs w:val="24"/>
        </w:rPr>
        <w:t>. 142(3), pp.1–17. Available at: https://pediatrics.aappublications.org/content/142/3/e20182058 (Accessed: 3</w:t>
      </w:r>
      <w:r w:rsidRPr="002B5C1D">
        <w:rPr>
          <w:rFonts w:ascii="Arial" w:hAnsi="Arial" w:cs="Arial"/>
          <w:color w:val="000000" w:themeColor="text1"/>
          <w:sz w:val="24"/>
          <w:szCs w:val="24"/>
          <w:vertAlign w:val="superscript"/>
        </w:rPr>
        <w:t>rd</w:t>
      </w:r>
      <w:r w:rsidRPr="002B5C1D">
        <w:rPr>
          <w:rFonts w:ascii="Arial" w:hAnsi="Arial" w:cs="Arial"/>
          <w:color w:val="000000" w:themeColor="text1"/>
          <w:sz w:val="24"/>
          <w:szCs w:val="24"/>
        </w:rPr>
        <w:t xml:space="preserve"> January 2020)</w:t>
      </w:r>
    </w:p>
    <w:p w14:paraId="22B9916F" w14:textId="77777777" w:rsidR="00750E5A" w:rsidRPr="002B5C1D" w:rsidRDefault="00750E5A" w:rsidP="002B5C1D">
      <w:pPr>
        <w:spacing w:line="360" w:lineRule="auto"/>
        <w:jc w:val="both"/>
        <w:rPr>
          <w:rFonts w:ascii="Arial" w:hAnsi="Arial" w:cs="Arial"/>
          <w:sz w:val="24"/>
          <w:szCs w:val="24"/>
          <w:u w:val="single"/>
        </w:rPr>
      </w:pPr>
    </w:p>
    <w:sectPr w:rsidR="00750E5A" w:rsidRPr="002B5C1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BEC8BD" w14:textId="77777777" w:rsidR="00747714" w:rsidRDefault="00747714" w:rsidP="00747714">
      <w:pPr>
        <w:spacing w:after="0" w:line="240" w:lineRule="auto"/>
      </w:pPr>
      <w:r>
        <w:separator/>
      </w:r>
    </w:p>
  </w:endnote>
  <w:endnote w:type="continuationSeparator" w:id="0">
    <w:p w14:paraId="1FA3FFF2" w14:textId="77777777" w:rsidR="00747714" w:rsidRDefault="00747714" w:rsidP="00747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2669413"/>
      <w:docPartObj>
        <w:docPartGallery w:val="Page Numbers (Bottom of Page)"/>
        <w:docPartUnique/>
      </w:docPartObj>
    </w:sdtPr>
    <w:sdtEndPr>
      <w:rPr>
        <w:noProof/>
      </w:rPr>
    </w:sdtEndPr>
    <w:sdtContent>
      <w:p w14:paraId="3C5D212B" w14:textId="1470E086" w:rsidR="00747714" w:rsidRDefault="007477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682B6F" w14:textId="77777777" w:rsidR="00747714" w:rsidRDefault="007477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7E4B2C" w14:textId="77777777" w:rsidR="00747714" w:rsidRDefault="00747714" w:rsidP="00747714">
      <w:pPr>
        <w:spacing w:after="0" w:line="240" w:lineRule="auto"/>
      </w:pPr>
      <w:r>
        <w:separator/>
      </w:r>
    </w:p>
  </w:footnote>
  <w:footnote w:type="continuationSeparator" w:id="0">
    <w:p w14:paraId="6D09311A" w14:textId="77777777" w:rsidR="00747714" w:rsidRDefault="00747714" w:rsidP="007477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51B024" w14:textId="273B29CA" w:rsidR="00747714" w:rsidRDefault="00747714">
    <w:pPr>
      <w:pStyle w:val="Header"/>
    </w:pPr>
    <w:r>
      <w:t xml:space="preserve">1903033 </w:t>
    </w:r>
    <w:r>
      <w:ptab w:relativeTo="margin" w:alignment="center" w:leader="none"/>
    </w:r>
    <w:r>
      <w:t>EAEE4044/C</w:t>
    </w:r>
    <w:r>
      <w:ptab w:relativeTo="margin" w:alignment="right" w:leader="none"/>
    </w:r>
    <w:r>
      <w:t>308</w:t>
    </w:r>
    <w:r w:rsidR="00175F0E">
      <w:t>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2FD"/>
    <w:rsid w:val="00021E06"/>
    <w:rsid w:val="00037C09"/>
    <w:rsid w:val="00066581"/>
    <w:rsid w:val="0009364B"/>
    <w:rsid w:val="000C1B66"/>
    <w:rsid w:val="001065BA"/>
    <w:rsid w:val="00146E7A"/>
    <w:rsid w:val="00175C39"/>
    <w:rsid w:val="00175F0E"/>
    <w:rsid w:val="001A3164"/>
    <w:rsid w:val="001A3707"/>
    <w:rsid w:val="0021231B"/>
    <w:rsid w:val="002267D3"/>
    <w:rsid w:val="00261E98"/>
    <w:rsid w:val="0027085F"/>
    <w:rsid w:val="002B311D"/>
    <w:rsid w:val="002B5C1D"/>
    <w:rsid w:val="003113B6"/>
    <w:rsid w:val="00381282"/>
    <w:rsid w:val="003929F5"/>
    <w:rsid w:val="00410543"/>
    <w:rsid w:val="0044134B"/>
    <w:rsid w:val="0051455F"/>
    <w:rsid w:val="00545384"/>
    <w:rsid w:val="005617F3"/>
    <w:rsid w:val="00607ECE"/>
    <w:rsid w:val="00644326"/>
    <w:rsid w:val="006D0281"/>
    <w:rsid w:val="00714A1D"/>
    <w:rsid w:val="0073066E"/>
    <w:rsid w:val="00747714"/>
    <w:rsid w:val="00750E5A"/>
    <w:rsid w:val="007C5BC4"/>
    <w:rsid w:val="007F53CA"/>
    <w:rsid w:val="008212FD"/>
    <w:rsid w:val="00831FEF"/>
    <w:rsid w:val="008575E4"/>
    <w:rsid w:val="008746B9"/>
    <w:rsid w:val="008D1B78"/>
    <w:rsid w:val="008F1D74"/>
    <w:rsid w:val="00963304"/>
    <w:rsid w:val="00984855"/>
    <w:rsid w:val="009A54C2"/>
    <w:rsid w:val="00A40AD4"/>
    <w:rsid w:val="00A54955"/>
    <w:rsid w:val="00A84821"/>
    <w:rsid w:val="00A86DFA"/>
    <w:rsid w:val="00AA01B8"/>
    <w:rsid w:val="00AA64DF"/>
    <w:rsid w:val="00B05A16"/>
    <w:rsid w:val="00B33E0A"/>
    <w:rsid w:val="00B97D21"/>
    <w:rsid w:val="00C151DF"/>
    <w:rsid w:val="00C161CA"/>
    <w:rsid w:val="00C3325F"/>
    <w:rsid w:val="00C630D6"/>
    <w:rsid w:val="00CE013C"/>
    <w:rsid w:val="00D72D75"/>
    <w:rsid w:val="00D76A4D"/>
    <w:rsid w:val="00DA3174"/>
    <w:rsid w:val="00DC1CBB"/>
    <w:rsid w:val="00DC3CBA"/>
    <w:rsid w:val="00DC433B"/>
    <w:rsid w:val="00DC7E32"/>
    <w:rsid w:val="00E62AE2"/>
    <w:rsid w:val="00EC4DE8"/>
    <w:rsid w:val="00EF04A2"/>
    <w:rsid w:val="00F039F2"/>
    <w:rsid w:val="00F8356E"/>
    <w:rsid w:val="00F97025"/>
    <w:rsid w:val="00FC520C"/>
    <w:rsid w:val="00FE2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7A5F7"/>
  <w15:chartTrackingRefBased/>
  <w15:docId w15:val="{EA4EE58B-9E57-43B5-8690-7CF9DC7DF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750E5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77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714"/>
  </w:style>
  <w:style w:type="paragraph" w:styleId="Footer">
    <w:name w:val="footer"/>
    <w:basedOn w:val="Normal"/>
    <w:link w:val="FooterChar"/>
    <w:uiPriority w:val="99"/>
    <w:unhideWhenUsed/>
    <w:rsid w:val="007477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714"/>
  </w:style>
  <w:style w:type="character" w:customStyle="1" w:styleId="Heading1Char">
    <w:name w:val="Heading 1 Char"/>
    <w:basedOn w:val="DefaultParagraphFont"/>
    <w:link w:val="Heading1"/>
    <w:uiPriority w:val="9"/>
    <w:rsid w:val="00750E5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750E5A"/>
    <w:rPr>
      <w:color w:val="0563C1" w:themeColor="hyperlink"/>
      <w:u w:val="single"/>
    </w:rPr>
  </w:style>
  <w:style w:type="character" w:customStyle="1" w:styleId="doi">
    <w:name w:val="doi"/>
    <w:basedOn w:val="DefaultParagraphFont"/>
    <w:rsid w:val="00750E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arryshier.net/docs/IPA_Global_Report_summary.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3513</TotalTime>
  <Pages>12</Pages>
  <Words>3974</Words>
  <Characters>22657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Daly</dc:creator>
  <cp:keywords/>
  <dc:description/>
  <cp:lastModifiedBy>Hannah Daly</cp:lastModifiedBy>
  <cp:revision>48</cp:revision>
  <dcterms:created xsi:type="dcterms:W3CDTF">2019-12-14T14:32:00Z</dcterms:created>
  <dcterms:modified xsi:type="dcterms:W3CDTF">2020-01-18T11:24:00Z</dcterms:modified>
</cp:coreProperties>
</file>