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AD2E6" w14:textId="77777777" w:rsidR="00C3303E" w:rsidRDefault="00C3303E" w:rsidP="00C3303E">
      <w:pPr>
        <w:jc w:val="center"/>
        <w:rPr>
          <w:rFonts w:ascii="Arial" w:hAnsi="Arial" w:cs="Arial"/>
          <w:b/>
          <w:bCs/>
        </w:rPr>
      </w:pPr>
      <w:bookmarkStart w:id="0" w:name="_Toc180935985"/>
      <w:r>
        <w:tab/>
      </w:r>
      <w:r>
        <w:rPr>
          <w:noProof/>
        </w:rPr>
        <w:drawing>
          <wp:inline distT="0" distB="0" distL="0" distR="0" wp14:anchorId="24C5E622" wp14:editId="571A7E51">
            <wp:extent cx="2468880" cy="1714500"/>
            <wp:effectExtent l="0" t="0" r="7620"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714500"/>
                    </a:xfrm>
                    <a:prstGeom prst="rect">
                      <a:avLst/>
                    </a:prstGeom>
                    <a:noFill/>
                    <a:ln>
                      <a:noFill/>
                    </a:ln>
                  </pic:spPr>
                </pic:pic>
              </a:graphicData>
            </a:graphic>
          </wp:inline>
        </w:drawing>
      </w:r>
    </w:p>
    <w:p w14:paraId="5FF96FDC" w14:textId="77777777" w:rsidR="00C3303E" w:rsidRPr="006036B3" w:rsidRDefault="00C3303E" w:rsidP="00C3303E">
      <w:pPr>
        <w:jc w:val="center"/>
        <w:rPr>
          <w:rFonts w:ascii="Arial" w:hAnsi="Arial" w:cs="Arial"/>
          <w:b/>
          <w:bCs/>
          <w:sz w:val="28"/>
          <w:szCs w:val="28"/>
        </w:rPr>
      </w:pPr>
    </w:p>
    <w:p w14:paraId="7F452E80" w14:textId="77777777" w:rsidR="00C3303E" w:rsidRPr="006036B3" w:rsidRDefault="00C3303E" w:rsidP="00C3303E">
      <w:pPr>
        <w:jc w:val="center"/>
        <w:rPr>
          <w:rFonts w:ascii="Arial" w:hAnsi="Arial" w:cs="Arial"/>
          <w:b/>
          <w:bCs/>
          <w:sz w:val="28"/>
          <w:szCs w:val="28"/>
        </w:rPr>
      </w:pPr>
      <w:r w:rsidRPr="006036B3">
        <w:rPr>
          <w:rFonts w:ascii="Arial" w:hAnsi="Arial" w:cs="Arial"/>
          <w:b/>
          <w:bCs/>
          <w:sz w:val="28"/>
          <w:szCs w:val="28"/>
        </w:rPr>
        <w:t>UNIVERSITY OF WALES TRINITY SAINT DAVID</w:t>
      </w:r>
    </w:p>
    <w:p w14:paraId="1C15D92A" w14:textId="77777777" w:rsidR="00C3303E" w:rsidRPr="006036B3" w:rsidRDefault="00C3303E" w:rsidP="00C3303E">
      <w:pPr>
        <w:jc w:val="center"/>
        <w:rPr>
          <w:rFonts w:ascii="Arial" w:hAnsi="Arial" w:cs="Arial"/>
          <w:b/>
          <w:bCs/>
          <w:sz w:val="28"/>
          <w:szCs w:val="28"/>
        </w:rPr>
      </w:pPr>
    </w:p>
    <w:p w14:paraId="0D38F30F" w14:textId="77777777" w:rsidR="00C3303E" w:rsidRPr="006036B3" w:rsidRDefault="00C3303E" w:rsidP="00C3303E">
      <w:pPr>
        <w:jc w:val="center"/>
        <w:rPr>
          <w:rFonts w:ascii="Arial" w:hAnsi="Arial" w:cs="Arial"/>
          <w:b/>
          <w:bCs/>
        </w:rPr>
      </w:pPr>
    </w:p>
    <w:p w14:paraId="5CD12EE9" w14:textId="77777777" w:rsidR="00C3303E" w:rsidRPr="006036B3" w:rsidRDefault="00C3303E" w:rsidP="00C3303E">
      <w:pPr>
        <w:rPr>
          <w:rFonts w:ascii="Arial" w:hAnsi="Arial" w:cs="Arial"/>
        </w:rPr>
      </w:pPr>
    </w:p>
    <w:p w14:paraId="60017DC7" w14:textId="77777777" w:rsidR="00C3303E" w:rsidRPr="00790C05" w:rsidRDefault="00C3303E" w:rsidP="00C3303E">
      <w:pPr>
        <w:rPr>
          <w:rFonts w:ascii="Arial" w:hAnsi="Arial" w:cs="Arial"/>
        </w:rPr>
      </w:pPr>
    </w:p>
    <w:p w14:paraId="1109776D" w14:textId="3217D94E" w:rsidR="00C3303E" w:rsidRPr="00790C05" w:rsidRDefault="00790C05" w:rsidP="00790C05">
      <w:pPr>
        <w:ind w:left="1440" w:firstLine="720"/>
        <w:rPr>
          <w:rFonts w:ascii="Arial" w:hAnsi="Arial" w:cs="Arial"/>
          <w:b/>
        </w:rPr>
      </w:pPr>
      <w:r w:rsidRPr="00790C05">
        <w:rPr>
          <w:rFonts w:ascii="Arial" w:hAnsi="Arial" w:cs="Arial"/>
          <w:b/>
          <w:bCs/>
          <w:sz w:val="22"/>
          <w:szCs w:val="22"/>
        </w:rPr>
        <w:t>Component 1: Coursework</w:t>
      </w:r>
      <w:r w:rsidRPr="00790C05">
        <w:rPr>
          <w:rFonts w:ascii="Arial" w:hAnsi="Arial" w:cs="Arial"/>
          <w:b/>
          <w:bCs/>
          <w:spacing w:val="-10"/>
          <w:sz w:val="22"/>
          <w:szCs w:val="22"/>
        </w:rPr>
        <w:t>: Written Report</w:t>
      </w:r>
    </w:p>
    <w:p w14:paraId="333748F2" w14:textId="77777777" w:rsidR="00C3303E" w:rsidRPr="006036B3" w:rsidRDefault="00C3303E" w:rsidP="00C3303E">
      <w:pPr>
        <w:rPr>
          <w:rFonts w:ascii="Arial" w:hAnsi="Arial" w:cs="Arial"/>
          <w:b/>
        </w:rPr>
      </w:pPr>
    </w:p>
    <w:p w14:paraId="6AF6362A" w14:textId="77777777" w:rsidR="00C3303E" w:rsidRPr="006036B3" w:rsidRDefault="00C3303E" w:rsidP="00C3303E">
      <w:pPr>
        <w:rPr>
          <w:rFonts w:ascii="Arial" w:hAnsi="Arial" w:cs="Arial"/>
          <w:b/>
        </w:rPr>
      </w:pPr>
    </w:p>
    <w:p w14:paraId="0288E9B0" w14:textId="3DC92A76" w:rsidR="00C3303E" w:rsidRPr="006F1FBA" w:rsidRDefault="00057893" w:rsidP="00057893">
      <w:pPr>
        <w:jc w:val="center"/>
        <w:rPr>
          <w:rFonts w:ascii="Arial" w:hAnsi="Arial" w:cs="Arial"/>
          <w:b/>
          <w:sz w:val="32"/>
          <w:szCs w:val="32"/>
        </w:rPr>
      </w:pPr>
      <w:r w:rsidRPr="006F1FBA">
        <w:rPr>
          <w:rFonts w:ascii="Arial" w:hAnsi="Arial" w:cs="Arial"/>
          <w:b/>
          <w:bCs/>
          <w:sz w:val="32"/>
          <w:szCs w:val="32"/>
        </w:rPr>
        <w:t>International</w:t>
      </w:r>
      <w:r w:rsidRPr="006F1FBA">
        <w:rPr>
          <w:rFonts w:ascii="Arial" w:hAnsi="Arial" w:cs="Arial"/>
          <w:b/>
          <w:bCs/>
          <w:spacing w:val="-9"/>
          <w:sz w:val="32"/>
          <w:szCs w:val="32"/>
        </w:rPr>
        <w:t xml:space="preserve"> </w:t>
      </w:r>
      <w:r w:rsidRPr="006F1FBA">
        <w:rPr>
          <w:rFonts w:ascii="Arial" w:hAnsi="Arial" w:cs="Arial"/>
          <w:b/>
          <w:bCs/>
          <w:sz w:val="32"/>
          <w:szCs w:val="32"/>
        </w:rPr>
        <w:t>Financial</w:t>
      </w:r>
      <w:r w:rsidRPr="006F1FBA">
        <w:rPr>
          <w:rFonts w:ascii="Arial" w:hAnsi="Arial" w:cs="Arial"/>
          <w:b/>
          <w:bCs/>
          <w:spacing w:val="-11"/>
          <w:sz w:val="32"/>
          <w:szCs w:val="32"/>
        </w:rPr>
        <w:t xml:space="preserve"> </w:t>
      </w:r>
      <w:r w:rsidRPr="006F1FBA">
        <w:rPr>
          <w:rFonts w:ascii="Arial" w:hAnsi="Arial" w:cs="Arial"/>
          <w:b/>
          <w:bCs/>
          <w:spacing w:val="-2"/>
          <w:sz w:val="32"/>
          <w:szCs w:val="32"/>
        </w:rPr>
        <w:t>Management</w:t>
      </w:r>
    </w:p>
    <w:p w14:paraId="5979C54D" w14:textId="77777777" w:rsidR="00C3303E" w:rsidRPr="006036B3" w:rsidRDefault="00C3303E" w:rsidP="00C3303E">
      <w:pPr>
        <w:rPr>
          <w:rFonts w:ascii="Arial" w:hAnsi="Arial" w:cs="Arial"/>
          <w:b/>
        </w:rPr>
      </w:pPr>
    </w:p>
    <w:p w14:paraId="5FB700D7" w14:textId="1583CA4E" w:rsidR="00C3303E" w:rsidRPr="00F94F5F" w:rsidRDefault="00C3303E" w:rsidP="00C3303E">
      <w:pPr>
        <w:pStyle w:val="TableParagraph"/>
        <w:spacing w:before="120"/>
        <w:ind w:left="110"/>
        <w:jc w:val="center"/>
        <w:rPr>
          <w:b/>
          <w:lang w:val="en-GB"/>
        </w:rPr>
      </w:pPr>
      <w:r w:rsidRPr="00F94F5F">
        <w:rPr>
          <w:b/>
          <w:lang w:val="en-GB"/>
        </w:rPr>
        <w:t>LCBB</w:t>
      </w:r>
      <w:r w:rsidRPr="00F94F5F">
        <w:rPr>
          <w:b/>
          <w:spacing w:val="-4"/>
          <w:lang w:val="en-GB"/>
        </w:rPr>
        <w:t>600</w:t>
      </w:r>
      <w:r w:rsidR="00057893" w:rsidRPr="00F94F5F">
        <w:rPr>
          <w:b/>
          <w:spacing w:val="-4"/>
          <w:lang w:val="en-GB"/>
        </w:rPr>
        <w:t>2</w:t>
      </w:r>
    </w:p>
    <w:p w14:paraId="0AA83324" w14:textId="77777777" w:rsidR="00C3303E" w:rsidRPr="00F94F5F" w:rsidRDefault="00C3303E" w:rsidP="00C3303E">
      <w:pPr>
        <w:jc w:val="center"/>
        <w:rPr>
          <w:rFonts w:ascii="Arial" w:hAnsi="Arial" w:cs="Arial"/>
        </w:rPr>
      </w:pPr>
    </w:p>
    <w:p w14:paraId="71BEA94B" w14:textId="77777777" w:rsidR="00C3303E" w:rsidRPr="00F94F5F" w:rsidRDefault="00C3303E" w:rsidP="00C3303E">
      <w:pPr>
        <w:jc w:val="center"/>
        <w:rPr>
          <w:rFonts w:ascii="Arial" w:hAnsi="Arial" w:cs="Arial"/>
        </w:rPr>
      </w:pPr>
    </w:p>
    <w:p w14:paraId="3A718B72" w14:textId="77777777" w:rsidR="00C3303E" w:rsidRPr="00F94F5F" w:rsidRDefault="00C3303E" w:rsidP="00C3303E">
      <w:pPr>
        <w:jc w:val="center"/>
        <w:rPr>
          <w:rFonts w:ascii="Arial" w:hAnsi="Arial" w:cs="Arial"/>
        </w:rPr>
      </w:pPr>
    </w:p>
    <w:p w14:paraId="30FF6F27" w14:textId="77777777" w:rsidR="00C3303E" w:rsidRPr="00F94F5F" w:rsidRDefault="00C3303E" w:rsidP="00C3303E">
      <w:pPr>
        <w:jc w:val="center"/>
        <w:rPr>
          <w:rFonts w:ascii="Arial" w:hAnsi="Arial" w:cs="Arial"/>
        </w:rPr>
      </w:pPr>
    </w:p>
    <w:p w14:paraId="525803BB" w14:textId="77777777" w:rsidR="00C3303E" w:rsidRPr="00F94F5F" w:rsidRDefault="00C3303E" w:rsidP="00C3303E">
      <w:pPr>
        <w:jc w:val="center"/>
        <w:rPr>
          <w:rFonts w:ascii="Arial" w:hAnsi="Arial" w:cs="Arial"/>
        </w:rPr>
      </w:pPr>
    </w:p>
    <w:p w14:paraId="1594119A" w14:textId="77777777" w:rsidR="00C3303E" w:rsidRPr="00F94F5F" w:rsidRDefault="00C3303E" w:rsidP="00C3303E">
      <w:pPr>
        <w:jc w:val="center"/>
        <w:rPr>
          <w:rFonts w:ascii="Arial" w:hAnsi="Arial" w:cs="Arial"/>
        </w:rPr>
      </w:pPr>
      <w:r w:rsidRPr="00F94F5F">
        <w:rPr>
          <w:rFonts w:ascii="Arial" w:hAnsi="Arial" w:cs="Arial"/>
        </w:rPr>
        <w:t>Student Name: Sorina-Iulia Cosa</w:t>
      </w:r>
    </w:p>
    <w:p w14:paraId="6C73ED4D" w14:textId="77777777" w:rsidR="00C3303E" w:rsidRPr="00747062" w:rsidRDefault="00C3303E" w:rsidP="00C3303E">
      <w:pPr>
        <w:jc w:val="center"/>
        <w:rPr>
          <w:rFonts w:ascii="Arial" w:hAnsi="Arial" w:cs="Arial"/>
        </w:rPr>
      </w:pPr>
      <w:r w:rsidRPr="00747062">
        <w:rPr>
          <w:rFonts w:ascii="Arial" w:hAnsi="Arial" w:cs="Arial"/>
        </w:rPr>
        <w:t>Student Number: 2211474</w:t>
      </w:r>
    </w:p>
    <w:p w14:paraId="36639131" w14:textId="701A1D36" w:rsidR="00C3303E" w:rsidRDefault="00C3303E" w:rsidP="00C3303E">
      <w:pPr>
        <w:jc w:val="center"/>
        <w:rPr>
          <w:rFonts w:ascii="Arial" w:hAnsi="Arial" w:cs="Arial"/>
        </w:rPr>
      </w:pPr>
      <w:r w:rsidRPr="006036B3">
        <w:rPr>
          <w:rFonts w:ascii="Arial" w:hAnsi="Arial" w:cs="Arial"/>
        </w:rPr>
        <w:t xml:space="preserve">Lecturer’s </w:t>
      </w:r>
      <w:r>
        <w:rPr>
          <w:rFonts w:ascii="Arial" w:hAnsi="Arial" w:cs="Arial"/>
        </w:rPr>
        <w:t>N</w:t>
      </w:r>
      <w:r w:rsidRPr="006036B3">
        <w:rPr>
          <w:rFonts w:ascii="Arial" w:hAnsi="Arial" w:cs="Arial"/>
        </w:rPr>
        <w:t xml:space="preserve">ame: </w:t>
      </w:r>
      <w:proofErr w:type="spellStart"/>
      <w:r w:rsidR="00057893">
        <w:rPr>
          <w:rFonts w:ascii="Arial" w:hAnsi="Arial" w:cs="Arial"/>
        </w:rPr>
        <w:t>Dr.</w:t>
      </w:r>
      <w:proofErr w:type="spellEnd"/>
      <w:r w:rsidR="00057893">
        <w:rPr>
          <w:rFonts w:ascii="Arial" w:hAnsi="Arial" w:cs="Arial"/>
        </w:rPr>
        <w:t xml:space="preserve"> David Jenkins</w:t>
      </w:r>
    </w:p>
    <w:p w14:paraId="48F22D96" w14:textId="77777777" w:rsidR="00F24EE6" w:rsidRDefault="00F24EE6" w:rsidP="00F24EE6"/>
    <w:p w14:paraId="59132F91" w14:textId="77777777" w:rsidR="00F24EE6" w:rsidRDefault="00F24EE6" w:rsidP="00F24EE6"/>
    <w:p w14:paraId="472599B0" w14:textId="77777777" w:rsidR="00F24EE6" w:rsidRDefault="00F24EE6" w:rsidP="00F24EE6"/>
    <w:sdt>
      <w:sdtPr>
        <w:rPr>
          <w:rFonts w:ascii="Arial" w:eastAsiaTheme="minorHAnsi" w:hAnsi="Arial" w:cs="Arial"/>
          <w:color w:val="auto"/>
          <w:kern w:val="2"/>
          <w:sz w:val="24"/>
          <w:szCs w:val="24"/>
          <w:lang w:eastAsia="en-US"/>
          <w14:ligatures w14:val="standardContextual"/>
        </w:rPr>
        <w:id w:val="911891194"/>
        <w:docPartObj>
          <w:docPartGallery w:val="Table of Contents"/>
          <w:docPartUnique/>
        </w:docPartObj>
      </w:sdtPr>
      <w:sdtEndPr>
        <w:rPr>
          <w:b/>
          <w:bCs/>
        </w:rPr>
      </w:sdtEndPr>
      <w:sdtContent>
        <w:p w14:paraId="43032ABF" w14:textId="4869BAB9" w:rsidR="006F1FBA" w:rsidRPr="00AC05A9" w:rsidRDefault="006F1FBA" w:rsidP="00AC05A9">
          <w:pPr>
            <w:pStyle w:val="TOCHeading"/>
            <w:jc w:val="both"/>
            <w:rPr>
              <w:rFonts w:ascii="Arial" w:hAnsi="Arial" w:cs="Arial"/>
              <w:color w:val="auto"/>
              <w:sz w:val="24"/>
              <w:szCs w:val="24"/>
            </w:rPr>
          </w:pPr>
          <w:r w:rsidRPr="00AC05A9">
            <w:rPr>
              <w:rFonts w:ascii="Arial" w:hAnsi="Arial" w:cs="Arial"/>
              <w:color w:val="auto"/>
              <w:sz w:val="24"/>
              <w:szCs w:val="24"/>
            </w:rPr>
            <w:t>Table of Contents</w:t>
          </w:r>
        </w:p>
        <w:p w14:paraId="79989265" w14:textId="3BD03103" w:rsidR="00EA6100" w:rsidRDefault="006F1FBA">
          <w:pPr>
            <w:pStyle w:val="TOC1"/>
            <w:tabs>
              <w:tab w:val="left" w:pos="480"/>
              <w:tab w:val="right" w:leader="dot" w:pos="9016"/>
            </w:tabs>
            <w:rPr>
              <w:rFonts w:eastAsiaTheme="minorEastAsia"/>
              <w:noProof/>
              <w:lang w:eastAsia="en-GB"/>
            </w:rPr>
          </w:pPr>
          <w:r w:rsidRPr="00AC05A9">
            <w:rPr>
              <w:rFonts w:ascii="Arial" w:hAnsi="Arial" w:cs="Arial"/>
            </w:rPr>
            <w:fldChar w:fldCharType="begin"/>
          </w:r>
          <w:r w:rsidRPr="00AC05A9">
            <w:rPr>
              <w:rFonts w:ascii="Arial" w:hAnsi="Arial" w:cs="Arial"/>
            </w:rPr>
            <w:instrText xml:space="preserve"> TOC \o "1-3" \h \z \u </w:instrText>
          </w:r>
          <w:r w:rsidRPr="00AC05A9">
            <w:rPr>
              <w:rFonts w:ascii="Arial" w:hAnsi="Arial" w:cs="Arial"/>
            </w:rPr>
            <w:fldChar w:fldCharType="separate"/>
          </w:r>
          <w:hyperlink w:anchor="_Toc180937636" w:history="1">
            <w:r w:rsidR="00EA6100" w:rsidRPr="00BE2A13">
              <w:rPr>
                <w:rStyle w:val="Hyperlink"/>
                <w:rFonts w:ascii="Arial" w:hAnsi="Arial" w:cs="Arial"/>
                <w:noProof/>
                <w:spacing w:val="-3"/>
              </w:rPr>
              <w:t>1.</w:t>
            </w:r>
            <w:r w:rsidR="00EA6100">
              <w:rPr>
                <w:rFonts w:eastAsiaTheme="minorEastAsia"/>
                <w:noProof/>
                <w:lang w:eastAsia="en-GB"/>
              </w:rPr>
              <w:tab/>
            </w:r>
            <w:r w:rsidR="00EA6100" w:rsidRPr="00BE2A13">
              <w:rPr>
                <w:rStyle w:val="Hyperlink"/>
                <w:rFonts w:ascii="Arial" w:hAnsi="Arial" w:cs="Arial"/>
                <w:noProof/>
                <w:spacing w:val="-3"/>
              </w:rPr>
              <w:t>Introduction</w:t>
            </w:r>
            <w:r w:rsidR="00EA6100">
              <w:rPr>
                <w:noProof/>
                <w:webHidden/>
              </w:rPr>
              <w:tab/>
            </w:r>
            <w:r w:rsidR="00EA6100">
              <w:rPr>
                <w:noProof/>
                <w:webHidden/>
              </w:rPr>
              <w:fldChar w:fldCharType="begin"/>
            </w:r>
            <w:r w:rsidR="00EA6100">
              <w:rPr>
                <w:noProof/>
                <w:webHidden/>
              </w:rPr>
              <w:instrText xml:space="preserve"> PAGEREF _Toc180937636 \h </w:instrText>
            </w:r>
            <w:r w:rsidR="00EA6100">
              <w:rPr>
                <w:noProof/>
                <w:webHidden/>
              </w:rPr>
            </w:r>
            <w:r w:rsidR="00EA6100">
              <w:rPr>
                <w:noProof/>
                <w:webHidden/>
              </w:rPr>
              <w:fldChar w:fldCharType="separate"/>
            </w:r>
            <w:r w:rsidR="00EA6100">
              <w:rPr>
                <w:noProof/>
                <w:webHidden/>
              </w:rPr>
              <w:t>3</w:t>
            </w:r>
            <w:r w:rsidR="00EA6100">
              <w:rPr>
                <w:noProof/>
                <w:webHidden/>
              </w:rPr>
              <w:fldChar w:fldCharType="end"/>
            </w:r>
          </w:hyperlink>
        </w:p>
        <w:p w14:paraId="6D35264C" w14:textId="4CBA0784" w:rsidR="00EA6100" w:rsidRDefault="00EA6100">
          <w:pPr>
            <w:pStyle w:val="TOC1"/>
            <w:tabs>
              <w:tab w:val="left" w:pos="480"/>
              <w:tab w:val="right" w:leader="dot" w:pos="9016"/>
            </w:tabs>
            <w:rPr>
              <w:rFonts w:eastAsiaTheme="minorEastAsia"/>
              <w:noProof/>
              <w:lang w:eastAsia="en-GB"/>
            </w:rPr>
          </w:pPr>
          <w:hyperlink w:anchor="_Toc180937637" w:history="1">
            <w:r w:rsidRPr="00BE2A13">
              <w:rPr>
                <w:rStyle w:val="Hyperlink"/>
                <w:rFonts w:ascii="Arial" w:hAnsi="Arial" w:cs="Arial"/>
                <w:noProof/>
                <w:spacing w:val="-3"/>
              </w:rPr>
              <w:t>2.</w:t>
            </w:r>
            <w:r>
              <w:rPr>
                <w:rFonts w:eastAsiaTheme="minorEastAsia"/>
                <w:noProof/>
                <w:lang w:eastAsia="en-GB"/>
              </w:rPr>
              <w:tab/>
            </w:r>
            <w:r w:rsidRPr="00BE2A13">
              <w:rPr>
                <w:rStyle w:val="Hyperlink"/>
                <w:rFonts w:ascii="Arial" w:hAnsi="Arial" w:cs="Arial"/>
                <w:noProof/>
                <w:spacing w:val="-3"/>
              </w:rPr>
              <w:t>Importance of corporate governance practices at Tesco PLC</w:t>
            </w:r>
            <w:r>
              <w:rPr>
                <w:noProof/>
                <w:webHidden/>
              </w:rPr>
              <w:tab/>
            </w:r>
            <w:r>
              <w:rPr>
                <w:noProof/>
                <w:webHidden/>
              </w:rPr>
              <w:fldChar w:fldCharType="begin"/>
            </w:r>
            <w:r>
              <w:rPr>
                <w:noProof/>
                <w:webHidden/>
              </w:rPr>
              <w:instrText xml:space="preserve"> PAGEREF _Toc180937637 \h </w:instrText>
            </w:r>
            <w:r>
              <w:rPr>
                <w:noProof/>
                <w:webHidden/>
              </w:rPr>
            </w:r>
            <w:r>
              <w:rPr>
                <w:noProof/>
                <w:webHidden/>
              </w:rPr>
              <w:fldChar w:fldCharType="separate"/>
            </w:r>
            <w:r>
              <w:rPr>
                <w:noProof/>
                <w:webHidden/>
              </w:rPr>
              <w:t>3</w:t>
            </w:r>
            <w:r>
              <w:rPr>
                <w:noProof/>
                <w:webHidden/>
              </w:rPr>
              <w:fldChar w:fldCharType="end"/>
            </w:r>
          </w:hyperlink>
        </w:p>
        <w:p w14:paraId="2B0B2A52" w14:textId="1D2E161F" w:rsidR="00EA6100" w:rsidRDefault="00EA6100">
          <w:pPr>
            <w:pStyle w:val="TOC1"/>
            <w:tabs>
              <w:tab w:val="left" w:pos="480"/>
              <w:tab w:val="right" w:leader="dot" w:pos="9016"/>
            </w:tabs>
            <w:rPr>
              <w:rFonts w:eastAsiaTheme="minorEastAsia"/>
              <w:noProof/>
              <w:lang w:eastAsia="en-GB"/>
            </w:rPr>
          </w:pPr>
          <w:hyperlink w:anchor="_Toc180937638" w:history="1">
            <w:r w:rsidRPr="00BE2A13">
              <w:rPr>
                <w:rStyle w:val="Hyperlink"/>
                <w:rFonts w:ascii="Arial" w:hAnsi="Arial" w:cs="Arial"/>
                <w:noProof/>
                <w:spacing w:val="-3"/>
              </w:rPr>
              <w:t>3.</w:t>
            </w:r>
            <w:r>
              <w:rPr>
                <w:rFonts w:eastAsiaTheme="minorEastAsia"/>
                <w:noProof/>
                <w:lang w:eastAsia="en-GB"/>
              </w:rPr>
              <w:tab/>
            </w:r>
            <w:r w:rsidRPr="00BE2A13">
              <w:rPr>
                <w:rStyle w:val="Hyperlink"/>
                <w:rFonts w:ascii="Arial" w:hAnsi="Arial" w:cs="Arial"/>
                <w:noProof/>
                <w:spacing w:val="-3"/>
              </w:rPr>
              <w:t>Corporate governance variables identified</w:t>
            </w:r>
            <w:r>
              <w:rPr>
                <w:noProof/>
                <w:webHidden/>
              </w:rPr>
              <w:tab/>
            </w:r>
            <w:r>
              <w:rPr>
                <w:noProof/>
                <w:webHidden/>
              </w:rPr>
              <w:fldChar w:fldCharType="begin"/>
            </w:r>
            <w:r>
              <w:rPr>
                <w:noProof/>
                <w:webHidden/>
              </w:rPr>
              <w:instrText xml:space="preserve"> PAGEREF _Toc180937638 \h </w:instrText>
            </w:r>
            <w:r>
              <w:rPr>
                <w:noProof/>
                <w:webHidden/>
              </w:rPr>
            </w:r>
            <w:r>
              <w:rPr>
                <w:noProof/>
                <w:webHidden/>
              </w:rPr>
              <w:fldChar w:fldCharType="separate"/>
            </w:r>
            <w:r>
              <w:rPr>
                <w:noProof/>
                <w:webHidden/>
              </w:rPr>
              <w:t>4</w:t>
            </w:r>
            <w:r>
              <w:rPr>
                <w:noProof/>
                <w:webHidden/>
              </w:rPr>
              <w:fldChar w:fldCharType="end"/>
            </w:r>
          </w:hyperlink>
        </w:p>
        <w:p w14:paraId="6663573D" w14:textId="52DC5584" w:rsidR="00EA6100" w:rsidRDefault="00EA6100">
          <w:pPr>
            <w:pStyle w:val="TOC1"/>
            <w:tabs>
              <w:tab w:val="left" w:pos="480"/>
              <w:tab w:val="right" w:leader="dot" w:pos="9016"/>
            </w:tabs>
            <w:rPr>
              <w:rFonts w:eastAsiaTheme="minorEastAsia"/>
              <w:noProof/>
              <w:lang w:eastAsia="en-GB"/>
            </w:rPr>
          </w:pPr>
          <w:hyperlink w:anchor="_Toc180937639" w:history="1">
            <w:r w:rsidRPr="00BE2A13">
              <w:rPr>
                <w:rStyle w:val="Hyperlink"/>
                <w:rFonts w:ascii="Arial" w:hAnsi="Arial" w:cs="Arial"/>
                <w:noProof/>
              </w:rPr>
              <w:t>4.</w:t>
            </w:r>
            <w:r>
              <w:rPr>
                <w:rFonts w:eastAsiaTheme="minorEastAsia"/>
                <w:noProof/>
                <w:lang w:eastAsia="en-GB"/>
              </w:rPr>
              <w:tab/>
            </w:r>
            <w:r w:rsidRPr="00BE2A13">
              <w:rPr>
                <w:rStyle w:val="Hyperlink"/>
                <w:rFonts w:ascii="Arial" w:hAnsi="Arial" w:cs="Arial"/>
                <w:noProof/>
              </w:rPr>
              <w:t>Tesco’s financial performance 2020-202</w:t>
            </w:r>
            <w:r>
              <w:rPr>
                <w:noProof/>
                <w:webHidden/>
              </w:rPr>
              <w:tab/>
            </w:r>
            <w:r>
              <w:rPr>
                <w:noProof/>
                <w:webHidden/>
              </w:rPr>
              <w:fldChar w:fldCharType="begin"/>
            </w:r>
            <w:r>
              <w:rPr>
                <w:noProof/>
                <w:webHidden/>
              </w:rPr>
              <w:instrText xml:space="preserve"> PAGEREF _Toc180937639 \h </w:instrText>
            </w:r>
            <w:r>
              <w:rPr>
                <w:noProof/>
                <w:webHidden/>
              </w:rPr>
            </w:r>
            <w:r>
              <w:rPr>
                <w:noProof/>
                <w:webHidden/>
              </w:rPr>
              <w:fldChar w:fldCharType="separate"/>
            </w:r>
            <w:r>
              <w:rPr>
                <w:noProof/>
                <w:webHidden/>
              </w:rPr>
              <w:t>5</w:t>
            </w:r>
            <w:r>
              <w:rPr>
                <w:noProof/>
                <w:webHidden/>
              </w:rPr>
              <w:fldChar w:fldCharType="end"/>
            </w:r>
          </w:hyperlink>
        </w:p>
        <w:p w14:paraId="0C16BBFF" w14:textId="1D3F8278" w:rsidR="00EA6100" w:rsidRDefault="00EA6100">
          <w:pPr>
            <w:pStyle w:val="TOC1"/>
            <w:tabs>
              <w:tab w:val="left" w:pos="480"/>
              <w:tab w:val="right" w:leader="dot" w:pos="9016"/>
            </w:tabs>
            <w:rPr>
              <w:rFonts w:eastAsiaTheme="minorEastAsia"/>
              <w:noProof/>
              <w:lang w:eastAsia="en-GB"/>
            </w:rPr>
          </w:pPr>
          <w:hyperlink w:anchor="_Toc180937640" w:history="1">
            <w:r w:rsidRPr="00BE2A13">
              <w:rPr>
                <w:rStyle w:val="Hyperlink"/>
                <w:rFonts w:ascii="Arial" w:hAnsi="Arial" w:cs="Arial"/>
                <w:noProof/>
                <w:spacing w:val="-3"/>
              </w:rPr>
              <w:t>5.</w:t>
            </w:r>
            <w:r>
              <w:rPr>
                <w:rFonts w:eastAsiaTheme="minorEastAsia"/>
                <w:noProof/>
                <w:lang w:eastAsia="en-GB"/>
              </w:rPr>
              <w:tab/>
            </w:r>
            <w:r w:rsidRPr="00BE2A13">
              <w:rPr>
                <w:rStyle w:val="Hyperlink"/>
                <w:rFonts w:ascii="Arial" w:hAnsi="Arial" w:cs="Arial"/>
                <w:noProof/>
                <w:spacing w:val="-3"/>
              </w:rPr>
              <w:t>Relationship between corporate governance practices and financial performance</w:t>
            </w:r>
            <w:r>
              <w:rPr>
                <w:noProof/>
                <w:webHidden/>
              </w:rPr>
              <w:tab/>
            </w:r>
            <w:r>
              <w:rPr>
                <w:noProof/>
                <w:webHidden/>
              </w:rPr>
              <w:fldChar w:fldCharType="begin"/>
            </w:r>
            <w:r>
              <w:rPr>
                <w:noProof/>
                <w:webHidden/>
              </w:rPr>
              <w:instrText xml:space="preserve"> PAGEREF _Toc180937640 \h </w:instrText>
            </w:r>
            <w:r>
              <w:rPr>
                <w:noProof/>
                <w:webHidden/>
              </w:rPr>
            </w:r>
            <w:r>
              <w:rPr>
                <w:noProof/>
                <w:webHidden/>
              </w:rPr>
              <w:fldChar w:fldCharType="separate"/>
            </w:r>
            <w:r>
              <w:rPr>
                <w:noProof/>
                <w:webHidden/>
              </w:rPr>
              <w:t>8</w:t>
            </w:r>
            <w:r>
              <w:rPr>
                <w:noProof/>
                <w:webHidden/>
              </w:rPr>
              <w:fldChar w:fldCharType="end"/>
            </w:r>
          </w:hyperlink>
        </w:p>
        <w:p w14:paraId="5F36CA46" w14:textId="2D3A86C6" w:rsidR="00EA6100" w:rsidRDefault="00EA6100">
          <w:pPr>
            <w:pStyle w:val="TOC1"/>
            <w:tabs>
              <w:tab w:val="left" w:pos="480"/>
              <w:tab w:val="right" w:leader="dot" w:pos="9016"/>
            </w:tabs>
            <w:rPr>
              <w:rFonts w:eastAsiaTheme="minorEastAsia"/>
              <w:noProof/>
              <w:lang w:eastAsia="en-GB"/>
            </w:rPr>
          </w:pPr>
          <w:hyperlink w:anchor="_Toc180937641" w:history="1">
            <w:r w:rsidRPr="00BE2A13">
              <w:rPr>
                <w:rStyle w:val="Hyperlink"/>
                <w:rFonts w:ascii="Arial" w:hAnsi="Arial" w:cs="Arial"/>
                <w:noProof/>
              </w:rPr>
              <w:t>6.</w:t>
            </w:r>
            <w:r>
              <w:rPr>
                <w:rFonts w:eastAsiaTheme="minorEastAsia"/>
                <w:noProof/>
                <w:lang w:eastAsia="en-GB"/>
              </w:rPr>
              <w:tab/>
            </w:r>
            <w:r w:rsidRPr="00BE2A1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_Toc180937641 \h </w:instrText>
            </w:r>
            <w:r>
              <w:rPr>
                <w:noProof/>
                <w:webHidden/>
              </w:rPr>
            </w:r>
            <w:r>
              <w:rPr>
                <w:noProof/>
                <w:webHidden/>
              </w:rPr>
              <w:fldChar w:fldCharType="separate"/>
            </w:r>
            <w:r>
              <w:rPr>
                <w:noProof/>
                <w:webHidden/>
              </w:rPr>
              <w:t>10</w:t>
            </w:r>
            <w:r>
              <w:rPr>
                <w:noProof/>
                <w:webHidden/>
              </w:rPr>
              <w:fldChar w:fldCharType="end"/>
            </w:r>
          </w:hyperlink>
        </w:p>
        <w:p w14:paraId="53FAD8D0" w14:textId="3CF5DA40" w:rsidR="00EA6100" w:rsidRDefault="00EA6100">
          <w:pPr>
            <w:pStyle w:val="TOC1"/>
            <w:tabs>
              <w:tab w:val="left" w:pos="480"/>
              <w:tab w:val="right" w:leader="dot" w:pos="9016"/>
            </w:tabs>
            <w:rPr>
              <w:rFonts w:eastAsiaTheme="minorEastAsia"/>
              <w:noProof/>
              <w:lang w:eastAsia="en-GB"/>
            </w:rPr>
          </w:pPr>
          <w:hyperlink w:anchor="_Toc180937642" w:history="1">
            <w:r w:rsidRPr="00BE2A13">
              <w:rPr>
                <w:rStyle w:val="Hyperlink"/>
                <w:rFonts w:ascii="Arial" w:hAnsi="Arial" w:cs="Arial"/>
                <w:noProof/>
              </w:rPr>
              <w:t>7.</w:t>
            </w:r>
            <w:r>
              <w:rPr>
                <w:rFonts w:eastAsiaTheme="minorEastAsia"/>
                <w:noProof/>
                <w:lang w:eastAsia="en-GB"/>
              </w:rPr>
              <w:tab/>
            </w:r>
            <w:r w:rsidRPr="00BE2A1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_Toc180937642 \h </w:instrText>
            </w:r>
            <w:r>
              <w:rPr>
                <w:noProof/>
                <w:webHidden/>
              </w:rPr>
            </w:r>
            <w:r>
              <w:rPr>
                <w:noProof/>
                <w:webHidden/>
              </w:rPr>
              <w:fldChar w:fldCharType="separate"/>
            </w:r>
            <w:r>
              <w:rPr>
                <w:noProof/>
                <w:webHidden/>
              </w:rPr>
              <w:t>11</w:t>
            </w:r>
            <w:r>
              <w:rPr>
                <w:noProof/>
                <w:webHidden/>
              </w:rPr>
              <w:fldChar w:fldCharType="end"/>
            </w:r>
          </w:hyperlink>
        </w:p>
        <w:p w14:paraId="6B8BC052" w14:textId="595C874A" w:rsidR="006F1FBA" w:rsidRPr="00AC05A9" w:rsidRDefault="006F1FBA" w:rsidP="00AC05A9">
          <w:pPr>
            <w:jc w:val="both"/>
            <w:rPr>
              <w:rFonts w:ascii="Arial" w:hAnsi="Arial" w:cs="Arial"/>
            </w:rPr>
          </w:pPr>
          <w:r w:rsidRPr="00AC05A9">
            <w:rPr>
              <w:rFonts w:ascii="Arial" w:hAnsi="Arial" w:cs="Arial"/>
              <w:b/>
              <w:bCs/>
            </w:rPr>
            <w:fldChar w:fldCharType="end"/>
          </w:r>
        </w:p>
      </w:sdtContent>
    </w:sdt>
    <w:p w14:paraId="1237A480" w14:textId="77777777" w:rsidR="00F24EE6" w:rsidRPr="00AC05A9" w:rsidRDefault="00F24EE6" w:rsidP="00AC05A9">
      <w:pPr>
        <w:jc w:val="both"/>
        <w:rPr>
          <w:rFonts w:ascii="Arial" w:hAnsi="Arial" w:cs="Arial"/>
        </w:rPr>
      </w:pPr>
    </w:p>
    <w:p w14:paraId="6FD6BF25" w14:textId="77777777" w:rsidR="00F24EE6" w:rsidRPr="00AC05A9" w:rsidRDefault="00F24EE6" w:rsidP="00AC05A9">
      <w:pPr>
        <w:jc w:val="both"/>
        <w:rPr>
          <w:rFonts w:ascii="Arial" w:hAnsi="Arial" w:cs="Arial"/>
        </w:rPr>
      </w:pPr>
    </w:p>
    <w:p w14:paraId="09ADA986" w14:textId="77777777" w:rsidR="00F24EE6" w:rsidRPr="00AC05A9" w:rsidRDefault="00F24EE6" w:rsidP="00F24EE6">
      <w:pPr>
        <w:rPr>
          <w:rFonts w:ascii="Arial" w:hAnsi="Arial" w:cs="Arial"/>
        </w:rPr>
      </w:pPr>
    </w:p>
    <w:p w14:paraId="3B42B843" w14:textId="77777777" w:rsidR="00F24EE6" w:rsidRPr="00AC05A9" w:rsidRDefault="00F24EE6" w:rsidP="00F24EE6">
      <w:pPr>
        <w:rPr>
          <w:rFonts w:ascii="Arial" w:hAnsi="Arial" w:cs="Arial"/>
        </w:rPr>
      </w:pPr>
    </w:p>
    <w:p w14:paraId="68FB67F1" w14:textId="77777777" w:rsidR="00F24EE6" w:rsidRPr="00AC05A9" w:rsidRDefault="00F24EE6" w:rsidP="00F24EE6">
      <w:pPr>
        <w:rPr>
          <w:rFonts w:ascii="Arial" w:hAnsi="Arial" w:cs="Arial"/>
        </w:rPr>
      </w:pPr>
    </w:p>
    <w:p w14:paraId="257C5FC8" w14:textId="77777777" w:rsidR="00F24EE6" w:rsidRPr="00AC05A9" w:rsidRDefault="00F24EE6" w:rsidP="00F24EE6">
      <w:pPr>
        <w:rPr>
          <w:rFonts w:ascii="Arial" w:hAnsi="Arial" w:cs="Arial"/>
        </w:rPr>
      </w:pPr>
    </w:p>
    <w:p w14:paraId="7439B69C" w14:textId="77777777" w:rsidR="00F24EE6" w:rsidRPr="00AC05A9" w:rsidRDefault="00F24EE6" w:rsidP="00F24EE6">
      <w:pPr>
        <w:rPr>
          <w:rFonts w:ascii="Arial" w:hAnsi="Arial" w:cs="Arial"/>
        </w:rPr>
      </w:pPr>
    </w:p>
    <w:p w14:paraId="04CEC3A4" w14:textId="77777777" w:rsidR="00F24EE6" w:rsidRPr="00AC05A9" w:rsidRDefault="00F24EE6" w:rsidP="00F24EE6">
      <w:pPr>
        <w:rPr>
          <w:rFonts w:ascii="Arial" w:hAnsi="Arial" w:cs="Arial"/>
        </w:rPr>
      </w:pPr>
    </w:p>
    <w:p w14:paraId="67E80279" w14:textId="77777777" w:rsidR="00F24EE6" w:rsidRPr="00AC05A9" w:rsidRDefault="00F24EE6" w:rsidP="00F24EE6">
      <w:pPr>
        <w:rPr>
          <w:rFonts w:ascii="Arial" w:hAnsi="Arial" w:cs="Arial"/>
        </w:rPr>
      </w:pPr>
    </w:p>
    <w:p w14:paraId="6F5FD618" w14:textId="77777777" w:rsidR="00F24EE6" w:rsidRPr="00AC05A9" w:rsidRDefault="00F24EE6" w:rsidP="00F24EE6">
      <w:pPr>
        <w:rPr>
          <w:rFonts w:ascii="Arial" w:hAnsi="Arial" w:cs="Arial"/>
        </w:rPr>
      </w:pPr>
    </w:p>
    <w:p w14:paraId="3F7841EF" w14:textId="77777777" w:rsidR="00F24EE6" w:rsidRPr="00AC05A9" w:rsidRDefault="00F24EE6" w:rsidP="00F24EE6">
      <w:pPr>
        <w:rPr>
          <w:rFonts w:ascii="Arial" w:hAnsi="Arial" w:cs="Arial"/>
        </w:rPr>
      </w:pPr>
    </w:p>
    <w:p w14:paraId="50A63FDF" w14:textId="77777777" w:rsidR="00F24EE6" w:rsidRPr="00AC05A9" w:rsidRDefault="00F24EE6" w:rsidP="00F24EE6">
      <w:pPr>
        <w:rPr>
          <w:rFonts w:ascii="Arial" w:hAnsi="Arial" w:cs="Arial"/>
        </w:rPr>
      </w:pPr>
    </w:p>
    <w:p w14:paraId="6824931E" w14:textId="77777777" w:rsidR="00F24EE6" w:rsidRPr="00AC05A9" w:rsidRDefault="00F24EE6" w:rsidP="00F24EE6">
      <w:pPr>
        <w:rPr>
          <w:rFonts w:ascii="Arial" w:hAnsi="Arial" w:cs="Arial"/>
        </w:rPr>
      </w:pPr>
    </w:p>
    <w:p w14:paraId="77B01137" w14:textId="77777777" w:rsidR="00F24EE6" w:rsidRPr="00AC05A9" w:rsidRDefault="00F24EE6" w:rsidP="00F24EE6">
      <w:pPr>
        <w:rPr>
          <w:rFonts w:ascii="Arial" w:hAnsi="Arial" w:cs="Arial"/>
        </w:rPr>
      </w:pPr>
    </w:p>
    <w:p w14:paraId="3B9934F7" w14:textId="77777777" w:rsidR="00F24EE6" w:rsidRPr="00AC05A9" w:rsidRDefault="00F24EE6" w:rsidP="00F24EE6">
      <w:pPr>
        <w:rPr>
          <w:rFonts w:ascii="Arial" w:hAnsi="Arial" w:cs="Arial"/>
        </w:rPr>
      </w:pPr>
    </w:p>
    <w:p w14:paraId="155CF3FB" w14:textId="77777777" w:rsidR="00F24EE6" w:rsidRPr="00AC05A9" w:rsidRDefault="00F24EE6" w:rsidP="00F24EE6">
      <w:pPr>
        <w:rPr>
          <w:rFonts w:ascii="Arial" w:hAnsi="Arial" w:cs="Arial"/>
        </w:rPr>
      </w:pPr>
    </w:p>
    <w:p w14:paraId="29C29CA2" w14:textId="77777777" w:rsidR="00F24EE6" w:rsidRPr="00AC05A9" w:rsidRDefault="00F24EE6" w:rsidP="00F24EE6">
      <w:pPr>
        <w:rPr>
          <w:rFonts w:ascii="Arial" w:hAnsi="Arial" w:cs="Arial"/>
        </w:rPr>
      </w:pPr>
    </w:p>
    <w:p w14:paraId="5EC9B987" w14:textId="77777777" w:rsidR="00F24EE6" w:rsidRPr="00AC05A9" w:rsidRDefault="00F24EE6" w:rsidP="00F24EE6">
      <w:pPr>
        <w:rPr>
          <w:rFonts w:ascii="Arial" w:hAnsi="Arial" w:cs="Arial"/>
        </w:rPr>
      </w:pPr>
    </w:p>
    <w:p w14:paraId="2D7160BE" w14:textId="77777777" w:rsidR="00F24EE6" w:rsidRPr="00AC05A9" w:rsidRDefault="00F24EE6" w:rsidP="00F24EE6">
      <w:pPr>
        <w:rPr>
          <w:rFonts w:ascii="Arial" w:hAnsi="Arial" w:cs="Arial"/>
        </w:rPr>
      </w:pPr>
    </w:p>
    <w:p w14:paraId="1C2486C3" w14:textId="77777777" w:rsidR="00F24EE6" w:rsidRPr="00AC05A9" w:rsidRDefault="00F24EE6" w:rsidP="00F24EE6">
      <w:pPr>
        <w:rPr>
          <w:rFonts w:ascii="Arial" w:hAnsi="Arial" w:cs="Arial"/>
        </w:rPr>
      </w:pPr>
    </w:p>
    <w:p w14:paraId="41B7F6DA" w14:textId="77777777" w:rsidR="00F24EE6" w:rsidRPr="00AC05A9" w:rsidRDefault="00F24EE6" w:rsidP="00F24EE6">
      <w:pPr>
        <w:rPr>
          <w:rFonts w:ascii="Arial" w:hAnsi="Arial" w:cs="Arial"/>
        </w:rPr>
      </w:pPr>
    </w:p>
    <w:p w14:paraId="2DF6FD47" w14:textId="2631BD57" w:rsidR="00872AC6" w:rsidRDefault="00614D68" w:rsidP="00614D68">
      <w:pPr>
        <w:pStyle w:val="Heading1"/>
        <w:numPr>
          <w:ilvl w:val="0"/>
          <w:numId w:val="1"/>
        </w:numPr>
        <w:spacing w:line="360" w:lineRule="auto"/>
        <w:jc w:val="both"/>
        <w:rPr>
          <w:rFonts w:ascii="Arial" w:hAnsi="Arial" w:cs="Arial"/>
          <w:color w:val="auto"/>
          <w:spacing w:val="-3"/>
          <w:sz w:val="24"/>
          <w:szCs w:val="24"/>
        </w:rPr>
      </w:pPr>
      <w:bookmarkStart w:id="1" w:name="_Toc180937636"/>
      <w:r w:rsidRPr="00AC05A9">
        <w:rPr>
          <w:rFonts w:ascii="Arial" w:hAnsi="Arial" w:cs="Arial"/>
          <w:color w:val="auto"/>
          <w:spacing w:val="-3"/>
          <w:sz w:val="24"/>
          <w:szCs w:val="24"/>
        </w:rPr>
        <w:lastRenderedPageBreak/>
        <w:t>Introduction</w:t>
      </w:r>
      <w:bookmarkEnd w:id="0"/>
      <w:bookmarkEnd w:id="1"/>
    </w:p>
    <w:p w14:paraId="7FF253A3" w14:textId="77777777" w:rsidR="00AC05A9" w:rsidRDefault="00AC05A9" w:rsidP="00AC05A9"/>
    <w:p w14:paraId="076F7C47" w14:textId="77777777" w:rsidR="00AC05A9" w:rsidRPr="00AC05A9" w:rsidRDefault="00AC05A9" w:rsidP="00AC05A9"/>
    <w:p w14:paraId="02E5C697" w14:textId="3DDE055F" w:rsidR="00C94FE3" w:rsidRPr="00AC05A9" w:rsidRDefault="00D76225" w:rsidP="00970CE0">
      <w:pPr>
        <w:spacing w:line="360" w:lineRule="auto"/>
        <w:jc w:val="both"/>
        <w:rPr>
          <w:rFonts w:ascii="Arial" w:hAnsi="Arial" w:cs="Arial"/>
        </w:rPr>
      </w:pPr>
      <w:r w:rsidRPr="00AC05A9">
        <w:rPr>
          <w:rFonts w:ascii="Arial" w:hAnsi="Arial" w:cs="Arial"/>
        </w:rPr>
        <w:tab/>
      </w:r>
      <w:r w:rsidR="008D6406" w:rsidRPr="00AC05A9">
        <w:rPr>
          <w:rFonts w:ascii="Arial" w:hAnsi="Arial" w:cs="Arial"/>
        </w:rPr>
        <w:t>The way businesses manage and direct their activities is referred to as corporate governance. When it comes to local government, it includes the policies, guidelines, processes, and values that enable a Council to be set up for effective leadership, performance, management, and delivery of positive customer outcomes, as well as community engagement and prudent use of public funds</w:t>
      </w:r>
      <w:r w:rsidR="00072508" w:rsidRPr="00AC05A9">
        <w:rPr>
          <w:rFonts w:ascii="Arial" w:hAnsi="Arial" w:cs="Arial"/>
        </w:rPr>
        <w:t xml:space="preserve"> (What Is Corporate Governance, 2016). </w:t>
      </w:r>
      <w:r w:rsidR="00C94FE3" w:rsidRPr="00AC05A9">
        <w:rPr>
          <w:rFonts w:ascii="Arial" w:hAnsi="Arial" w:cs="Arial"/>
        </w:rPr>
        <w:t xml:space="preserve">This report will look at how Tesco plc, a global retail corporation with headquarters in the UK, performs financially in respect to its corporate governance policies. </w:t>
      </w:r>
      <w:r w:rsidR="00481C91" w:rsidRPr="00AC05A9">
        <w:rPr>
          <w:rFonts w:ascii="Arial" w:hAnsi="Arial" w:cs="Arial"/>
        </w:rPr>
        <w:t>The</w:t>
      </w:r>
      <w:r w:rsidR="00C94FE3" w:rsidRPr="00AC05A9">
        <w:rPr>
          <w:rFonts w:ascii="Arial" w:hAnsi="Arial" w:cs="Arial"/>
        </w:rPr>
        <w:t xml:space="preserve"> goal is to identify the relationship between governance practices and financial results by examining Tesco's corporate governance structures over the last five years and contrasting them with important financial performance measures.</w:t>
      </w:r>
    </w:p>
    <w:p w14:paraId="31070BFC" w14:textId="44004E65" w:rsidR="00D76225" w:rsidRDefault="00D76225" w:rsidP="00970CE0">
      <w:pPr>
        <w:spacing w:line="360" w:lineRule="auto"/>
        <w:jc w:val="both"/>
        <w:rPr>
          <w:rFonts w:ascii="Arial" w:hAnsi="Arial" w:cs="Arial"/>
        </w:rPr>
      </w:pPr>
    </w:p>
    <w:p w14:paraId="69F108C7" w14:textId="77777777" w:rsidR="00AC05A9" w:rsidRPr="00AC05A9" w:rsidRDefault="00AC05A9" w:rsidP="00970CE0">
      <w:pPr>
        <w:spacing w:line="360" w:lineRule="auto"/>
        <w:jc w:val="both"/>
        <w:rPr>
          <w:rFonts w:ascii="Arial" w:hAnsi="Arial" w:cs="Arial"/>
        </w:rPr>
      </w:pPr>
    </w:p>
    <w:p w14:paraId="6151549E" w14:textId="7CBCF0CE" w:rsidR="00481C91" w:rsidRDefault="00E32B06" w:rsidP="00970CE0">
      <w:pPr>
        <w:pStyle w:val="Heading1"/>
        <w:numPr>
          <w:ilvl w:val="0"/>
          <w:numId w:val="1"/>
        </w:numPr>
        <w:spacing w:line="360" w:lineRule="auto"/>
        <w:jc w:val="both"/>
        <w:rPr>
          <w:rFonts w:ascii="Arial" w:hAnsi="Arial" w:cs="Arial"/>
          <w:color w:val="auto"/>
          <w:spacing w:val="-3"/>
          <w:sz w:val="24"/>
          <w:szCs w:val="24"/>
        </w:rPr>
      </w:pPr>
      <w:bookmarkStart w:id="2" w:name="_Toc180935986"/>
      <w:bookmarkStart w:id="3" w:name="_Toc180937637"/>
      <w:r w:rsidRPr="00AC05A9">
        <w:rPr>
          <w:rFonts w:ascii="Arial" w:hAnsi="Arial" w:cs="Arial"/>
          <w:color w:val="auto"/>
          <w:spacing w:val="-3"/>
          <w:sz w:val="24"/>
          <w:szCs w:val="24"/>
        </w:rPr>
        <w:t>Importance of corporate governance practices at Tesco PLC</w:t>
      </w:r>
      <w:bookmarkEnd w:id="2"/>
      <w:bookmarkEnd w:id="3"/>
    </w:p>
    <w:p w14:paraId="5C3A92B6" w14:textId="77777777" w:rsidR="00AC05A9" w:rsidRPr="00AC05A9" w:rsidRDefault="00AC05A9" w:rsidP="00AC05A9"/>
    <w:p w14:paraId="5014571E" w14:textId="77777777" w:rsidR="00AC05A9" w:rsidRPr="00AC05A9" w:rsidRDefault="00AC05A9" w:rsidP="00AC05A9"/>
    <w:p w14:paraId="7BA43FE3" w14:textId="3ABAC9B2" w:rsidR="00654860" w:rsidRPr="00AC05A9" w:rsidRDefault="007F3A42" w:rsidP="003A53E0">
      <w:pPr>
        <w:spacing w:line="360" w:lineRule="auto"/>
        <w:ind w:firstLine="720"/>
        <w:jc w:val="both"/>
        <w:rPr>
          <w:rFonts w:ascii="Arial" w:hAnsi="Arial" w:cs="Arial"/>
        </w:rPr>
      </w:pPr>
      <w:r w:rsidRPr="00AC05A9">
        <w:rPr>
          <w:rFonts w:ascii="Arial" w:hAnsi="Arial" w:cs="Arial"/>
        </w:rPr>
        <w:t xml:space="preserve">Tesco, being a significant multinational retailer, follows the corporate governance principles established by the UK Corporate Governance Code. </w:t>
      </w:r>
      <w:r w:rsidR="00D81536" w:rsidRPr="00AC05A9">
        <w:rPr>
          <w:rFonts w:ascii="Arial" w:hAnsi="Arial" w:cs="Arial"/>
        </w:rPr>
        <w:t xml:space="preserve">This compliance has demonstrated its importance in sustaining shareholder confidence and addressing market obstacles. </w:t>
      </w:r>
      <w:r w:rsidR="003A53E0" w:rsidRPr="00AC05A9">
        <w:rPr>
          <w:rFonts w:ascii="Arial" w:hAnsi="Arial" w:cs="Arial"/>
        </w:rPr>
        <w:t xml:space="preserve">The Board at Tesco is committed to following stringent governance policies. An effective corporate governance structure facilitates the Board's implementation of the Group's strategy and promotes long-term sustainable growth by ensuring that the Board has the proper amount of authority over matters that are important to the Group. </w:t>
      </w:r>
      <w:r w:rsidR="00D45D04" w:rsidRPr="00AC05A9">
        <w:rPr>
          <w:rFonts w:ascii="Arial" w:hAnsi="Arial" w:cs="Arial"/>
        </w:rPr>
        <w:t xml:space="preserve">Together, the Board is in charge of establishing the Group's overarching strategy, making sure that value is generated over the long run, and making sure that it works under an efficient control framework. The Board has established a formal calendar of subjects designated for its consideration, including issues that are important to the Group because of their </w:t>
      </w:r>
      <w:r w:rsidR="00D45D04" w:rsidRPr="00AC05A9">
        <w:rPr>
          <w:rFonts w:ascii="Arial" w:hAnsi="Arial" w:cs="Arial"/>
        </w:rPr>
        <w:lastRenderedPageBreak/>
        <w:t xml:space="preserve">potential impact on strategy, finances, or reputation. </w:t>
      </w:r>
      <w:r w:rsidR="00654860" w:rsidRPr="00AC05A9">
        <w:rPr>
          <w:rFonts w:ascii="Arial" w:hAnsi="Arial" w:cs="Arial"/>
        </w:rPr>
        <w:t>In addition, the board establishes the long-term plan and budget, manages risk and internal controls, determines the dividend policy, and authorises any declarations as well as major borrowing, contracts, and capital expenditures</w:t>
      </w:r>
      <w:r w:rsidR="005D710D" w:rsidRPr="00AC05A9">
        <w:rPr>
          <w:rFonts w:ascii="Arial" w:hAnsi="Arial" w:cs="Arial"/>
        </w:rPr>
        <w:t xml:space="preserve"> (</w:t>
      </w:r>
      <w:r w:rsidR="005D710D" w:rsidRPr="00AC05A9">
        <w:rPr>
          <w:rFonts w:ascii="Arial" w:hAnsi="Arial" w:cs="Arial"/>
          <w:i/>
          <w:iCs/>
        </w:rPr>
        <w:t>Corporate Governance</w:t>
      </w:r>
      <w:r w:rsidR="005D710D" w:rsidRPr="00AC05A9">
        <w:rPr>
          <w:rFonts w:ascii="Arial" w:hAnsi="Arial" w:cs="Arial"/>
        </w:rPr>
        <w:t xml:space="preserve">, 2024). </w:t>
      </w:r>
    </w:p>
    <w:p w14:paraId="6839056D" w14:textId="6733E62B" w:rsidR="00D45D04" w:rsidRDefault="00D45D04" w:rsidP="00970CE0">
      <w:pPr>
        <w:spacing w:line="360" w:lineRule="auto"/>
        <w:ind w:firstLine="720"/>
        <w:jc w:val="both"/>
        <w:rPr>
          <w:rFonts w:ascii="Arial" w:hAnsi="Arial" w:cs="Arial"/>
        </w:rPr>
      </w:pPr>
    </w:p>
    <w:p w14:paraId="6980BFAB" w14:textId="77777777" w:rsidR="00AC05A9" w:rsidRPr="00AC05A9" w:rsidRDefault="00AC05A9" w:rsidP="00970CE0">
      <w:pPr>
        <w:spacing w:line="360" w:lineRule="auto"/>
        <w:ind w:firstLine="720"/>
        <w:jc w:val="both"/>
        <w:rPr>
          <w:rFonts w:ascii="Arial" w:hAnsi="Arial" w:cs="Arial"/>
        </w:rPr>
      </w:pPr>
    </w:p>
    <w:p w14:paraId="5A9286A9" w14:textId="7639EE51" w:rsidR="00FA7B75" w:rsidRPr="00AC05A9" w:rsidRDefault="00424F13" w:rsidP="00970CE0">
      <w:pPr>
        <w:pStyle w:val="Heading1"/>
        <w:numPr>
          <w:ilvl w:val="0"/>
          <w:numId w:val="1"/>
        </w:numPr>
        <w:spacing w:line="360" w:lineRule="auto"/>
        <w:jc w:val="both"/>
        <w:rPr>
          <w:rFonts w:ascii="Arial" w:hAnsi="Arial" w:cs="Arial"/>
          <w:color w:val="auto"/>
          <w:spacing w:val="-3"/>
          <w:sz w:val="24"/>
          <w:szCs w:val="24"/>
        </w:rPr>
      </w:pPr>
      <w:bookmarkStart w:id="4" w:name="_Toc180935987"/>
      <w:bookmarkStart w:id="5" w:name="_Toc180937638"/>
      <w:r w:rsidRPr="00AC05A9">
        <w:rPr>
          <w:rFonts w:ascii="Arial" w:hAnsi="Arial" w:cs="Arial"/>
          <w:color w:val="auto"/>
          <w:spacing w:val="-3"/>
          <w:sz w:val="24"/>
          <w:szCs w:val="24"/>
        </w:rPr>
        <w:t>Corporate governance variables identified</w:t>
      </w:r>
      <w:bookmarkEnd w:id="4"/>
      <w:bookmarkEnd w:id="5"/>
    </w:p>
    <w:p w14:paraId="774C0A9B" w14:textId="77777777" w:rsidR="00424F13" w:rsidRDefault="00424F13" w:rsidP="00970CE0">
      <w:pPr>
        <w:spacing w:line="360" w:lineRule="auto"/>
        <w:jc w:val="both"/>
        <w:rPr>
          <w:rFonts w:ascii="Arial" w:hAnsi="Arial" w:cs="Arial"/>
        </w:rPr>
      </w:pPr>
    </w:p>
    <w:p w14:paraId="15C639B5" w14:textId="77777777" w:rsidR="00AC05A9" w:rsidRPr="00AC05A9" w:rsidRDefault="00AC05A9" w:rsidP="00970CE0">
      <w:pPr>
        <w:spacing w:line="360" w:lineRule="auto"/>
        <w:jc w:val="both"/>
        <w:rPr>
          <w:rFonts w:ascii="Arial" w:hAnsi="Arial" w:cs="Arial"/>
        </w:rPr>
      </w:pPr>
    </w:p>
    <w:p w14:paraId="28B6F843" w14:textId="046AE19F" w:rsidR="00710D58" w:rsidRPr="00AC05A9" w:rsidRDefault="005B36F6" w:rsidP="00970CE0">
      <w:pPr>
        <w:spacing w:line="360" w:lineRule="auto"/>
        <w:ind w:firstLine="720"/>
        <w:jc w:val="both"/>
        <w:rPr>
          <w:rFonts w:ascii="Arial" w:hAnsi="Arial" w:cs="Arial"/>
        </w:rPr>
      </w:pPr>
      <w:r w:rsidRPr="00AC05A9">
        <w:rPr>
          <w:rFonts w:ascii="Arial" w:hAnsi="Arial" w:cs="Arial"/>
        </w:rPr>
        <w:t>The Chairman, who was appointed independently, two Executive Directors, and eight Non-executive Directors make up Tesco's governance structure, which clearly outlines the Board's delegation and duties from the Board down through the Group.</w:t>
      </w:r>
      <w:r w:rsidR="00F359F3" w:rsidRPr="00AC05A9">
        <w:rPr>
          <w:rFonts w:ascii="Arial" w:hAnsi="Arial" w:cs="Arial"/>
        </w:rPr>
        <w:t xml:space="preserve"> The Board has decided on a clear separation of duties between managing the Board and the Group's operations. The Group Chief Executive has been given responsibility for Tesco's daily management, while the Chairman is in charge of the Board's leadership and smooth operation. To ensure that no one has unfettered decision-making authority, the roles of the Chairman, Group Chief Executive, Senior Independent Director, and other Directors are well-defined. The Executive Committee supports the Group Chief Executive and is in charge of providing recommendations to the Board as well as formulating and carrying out operational decisions while managing Tesco's daily operations. The senior management structure of the Group was created to aid in management's decision-making.</w:t>
      </w:r>
      <w:r w:rsidR="00710D58" w:rsidRPr="00AC05A9">
        <w:rPr>
          <w:rFonts w:ascii="Arial" w:hAnsi="Arial" w:cs="Arial"/>
        </w:rPr>
        <w:t xml:space="preserve"> All directors are obliged to attend all board and committee meetings for which they are members, and non-executive directors are expected to devote enough time to their roles in order to carry them out properly. Financial outcomes, company evaluations, reporting, and corporate operations are the main topics of discussion during board meetings. The Board attests that during the fiscal year that concluded on February 25, 2017, the Company adhered to the pertinent laws and adopted the primary principles outlined in the UK Corporate Governance Code (Code), which was published by the Financial Reporting Council (FRC) in September 2014</w:t>
      </w:r>
      <w:r w:rsidR="00800A91" w:rsidRPr="00AC05A9">
        <w:rPr>
          <w:rFonts w:ascii="Arial" w:hAnsi="Arial" w:cs="Arial"/>
        </w:rPr>
        <w:t xml:space="preserve"> </w:t>
      </w:r>
      <w:r w:rsidR="007B7294" w:rsidRPr="00AC05A9">
        <w:rPr>
          <w:rFonts w:ascii="Arial" w:hAnsi="Arial" w:cs="Arial"/>
        </w:rPr>
        <w:t>(</w:t>
      </w:r>
      <w:r w:rsidR="007B7294" w:rsidRPr="00AC05A9">
        <w:rPr>
          <w:rFonts w:ascii="Arial" w:hAnsi="Arial" w:cs="Arial"/>
          <w:i/>
          <w:iCs/>
        </w:rPr>
        <w:t>Corporate governance report</w:t>
      </w:r>
      <w:r w:rsidR="007B7294" w:rsidRPr="00AC05A9">
        <w:rPr>
          <w:rFonts w:ascii="Arial" w:hAnsi="Arial" w:cs="Arial"/>
        </w:rPr>
        <w:t>, 2017).</w:t>
      </w:r>
    </w:p>
    <w:p w14:paraId="73FCF001" w14:textId="77777777" w:rsidR="00AC05A9" w:rsidRPr="00AC05A9" w:rsidRDefault="00AC05A9" w:rsidP="00001452">
      <w:pPr>
        <w:spacing w:line="360" w:lineRule="auto"/>
        <w:jc w:val="both"/>
        <w:rPr>
          <w:rFonts w:ascii="Arial" w:hAnsi="Arial" w:cs="Arial"/>
        </w:rPr>
      </w:pPr>
    </w:p>
    <w:p w14:paraId="684614D6" w14:textId="7A75BD52" w:rsidR="005B36F6" w:rsidRDefault="002D2503" w:rsidP="00970CE0">
      <w:pPr>
        <w:pStyle w:val="Heading1"/>
        <w:numPr>
          <w:ilvl w:val="0"/>
          <w:numId w:val="1"/>
        </w:numPr>
        <w:spacing w:line="360" w:lineRule="auto"/>
        <w:jc w:val="both"/>
        <w:rPr>
          <w:rFonts w:ascii="Arial" w:hAnsi="Arial" w:cs="Arial"/>
          <w:color w:val="auto"/>
          <w:sz w:val="24"/>
          <w:szCs w:val="24"/>
        </w:rPr>
      </w:pPr>
      <w:bookmarkStart w:id="6" w:name="_Toc180935988"/>
      <w:bookmarkStart w:id="7" w:name="_Toc180937639"/>
      <w:r w:rsidRPr="00AC05A9">
        <w:rPr>
          <w:rFonts w:ascii="Arial" w:hAnsi="Arial" w:cs="Arial"/>
          <w:color w:val="auto"/>
          <w:sz w:val="24"/>
          <w:szCs w:val="24"/>
        </w:rPr>
        <w:lastRenderedPageBreak/>
        <w:t xml:space="preserve">Tesco’s </w:t>
      </w:r>
      <w:r w:rsidR="00E94232" w:rsidRPr="00AC05A9">
        <w:rPr>
          <w:rFonts w:ascii="Arial" w:hAnsi="Arial" w:cs="Arial"/>
          <w:color w:val="auto"/>
          <w:sz w:val="24"/>
          <w:szCs w:val="24"/>
        </w:rPr>
        <w:t>financial performance</w:t>
      </w:r>
      <w:r w:rsidRPr="00AC05A9">
        <w:rPr>
          <w:rFonts w:ascii="Arial" w:hAnsi="Arial" w:cs="Arial"/>
          <w:color w:val="auto"/>
          <w:sz w:val="24"/>
          <w:szCs w:val="24"/>
        </w:rPr>
        <w:t xml:space="preserve"> </w:t>
      </w:r>
      <w:r w:rsidR="00E94232" w:rsidRPr="00AC05A9">
        <w:rPr>
          <w:rFonts w:ascii="Arial" w:hAnsi="Arial" w:cs="Arial"/>
          <w:color w:val="auto"/>
          <w:sz w:val="24"/>
          <w:szCs w:val="24"/>
        </w:rPr>
        <w:t>2020-202</w:t>
      </w:r>
      <w:bookmarkEnd w:id="6"/>
      <w:bookmarkEnd w:id="7"/>
    </w:p>
    <w:p w14:paraId="05BFA255" w14:textId="77777777" w:rsidR="00AC05A9" w:rsidRPr="00AC05A9" w:rsidRDefault="00AC05A9" w:rsidP="00AC05A9"/>
    <w:p w14:paraId="430D85B8" w14:textId="77777777" w:rsidR="00430536" w:rsidRPr="00AC05A9" w:rsidRDefault="00430536" w:rsidP="00970CE0">
      <w:pPr>
        <w:spacing w:line="360" w:lineRule="auto"/>
        <w:jc w:val="both"/>
        <w:rPr>
          <w:rFonts w:ascii="Arial" w:hAnsi="Arial" w:cs="Arial"/>
        </w:rPr>
      </w:pPr>
    </w:p>
    <w:p w14:paraId="549B7505" w14:textId="69C4BD8A" w:rsidR="00430536" w:rsidRPr="00AC05A9" w:rsidRDefault="00430536" w:rsidP="00970CE0">
      <w:pPr>
        <w:spacing w:line="360" w:lineRule="auto"/>
        <w:jc w:val="both"/>
        <w:rPr>
          <w:rFonts w:ascii="Arial" w:hAnsi="Arial" w:cs="Arial"/>
        </w:rPr>
      </w:pPr>
      <w:r w:rsidRPr="00AC05A9">
        <w:rPr>
          <w:rFonts w:ascii="Arial" w:hAnsi="Arial" w:cs="Arial"/>
        </w:rPr>
        <w:tab/>
        <w:t xml:space="preserve">According to </w:t>
      </w:r>
      <w:r w:rsidR="008C5116" w:rsidRPr="00AC05A9">
        <w:rPr>
          <w:rFonts w:ascii="Arial" w:hAnsi="Arial" w:cs="Arial"/>
          <w:i/>
          <w:iCs/>
        </w:rPr>
        <w:t>Tesco PLC, TSCO:LSE financials - FT.com</w:t>
      </w:r>
      <w:r w:rsidR="008C5116" w:rsidRPr="00AC05A9">
        <w:rPr>
          <w:rFonts w:ascii="Arial" w:hAnsi="Arial" w:cs="Arial"/>
        </w:rPr>
        <w:t>, 2024</w:t>
      </w:r>
      <w:r w:rsidR="00F97AC3" w:rsidRPr="00AC05A9">
        <w:rPr>
          <w:rFonts w:ascii="Arial" w:hAnsi="Arial" w:cs="Arial"/>
        </w:rPr>
        <w:t xml:space="preserve">, these are the following </w:t>
      </w:r>
      <w:r w:rsidR="009149CC" w:rsidRPr="00AC05A9">
        <w:rPr>
          <w:rFonts w:ascii="Arial" w:hAnsi="Arial" w:cs="Arial"/>
        </w:rPr>
        <w:t xml:space="preserve">financial performance numbers achieved by Tesco PLC in the past 5 years. </w:t>
      </w:r>
      <w:r w:rsidR="00D233C8" w:rsidRPr="00AC05A9">
        <w:rPr>
          <w:rFonts w:ascii="Arial" w:hAnsi="Arial" w:cs="Arial"/>
        </w:rPr>
        <w:t xml:space="preserve">Tesco PLC's net income increased 61.19% from 737.00m to 1.19bn, while its revenues increased 4.39% from 65.32bn to 68.19bn. </w:t>
      </w:r>
      <w:r w:rsidR="00F94F5F" w:rsidRPr="00F94F5F">
        <w:rPr>
          <w:rFonts w:ascii="Arial" w:hAnsi="Arial" w:cs="Arial"/>
        </w:rPr>
        <w:t>Tesco PLC did not generate a significant profit in 2024</w:t>
      </w:r>
      <w:r w:rsidR="00D35C7A">
        <w:rPr>
          <w:rFonts w:ascii="Arial" w:hAnsi="Arial" w:cs="Arial"/>
        </w:rPr>
        <w:t xml:space="preserve"> but, i</w:t>
      </w:r>
      <w:r w:rsidR="00F94F5F" w:rsidRPr="00F94F5F">
        <w:rPr>
          <w:rFonts w:ascii="Arial" w:hAnsi="Arial" w:cs="Arial"/>
        </w:rPr>
        <w:t>n spite of this, the company's operations brought in 3.49 billion, which led to a 5.12% cash flow margin. The company also spent 1.70 billion on investment activities and 1.86 billion on financing cash flows.</w:t>
      </w:r>
      <w:r w:rsidR="00D233C8" w:rsidRPr="00AC05A9">
        <w:rPr>
          <w:rFonts w:ascii="Arial" w:hAnsi="Arial" w:cs="Arial"/>
        </w:rPr>
        <w:t xml:space="preserve"> Tesco PLC's debt-to-total-capital ratio is 55.83%, which is less than the 107.98% ratio from the prior year. </w:t>
      </w:r>
      <w:r w:rsidR="00E73928" w:rsidRPr="00AC05A9">
        <w:rPr>
          <w:rFonts w:ascii="Arial" w:hAnsi="Arial" w:cs="Arial"/>
        </w:rPr>
        <w:t>Both earnings per share excluding exceptional items growth and dividends per share grew 11.01% and 178.45% annually, respectively. Given how few businesses in the retail (grocery) sector pay dividends, the upward trend in dividend payments is significant. Furthermore, when compared to its industry peers, dividend per share growth was the greatest on a five-year annualised basis, while profits per share growth was comparable to the industry average</w:t>
      </w:r>
      <w:r w:rsidR="004366AD" w:rsidRPr="00AC05A9">
        <w:rPr>
          <w:rFonts w:ascii="Arial" w:hAnsi="Arial" w:cs="Arial"/>
        </w:rPr>
        <w:t xml:space="preserve"> (</w:t>
      </w:r>
      <w:r w:rsidR="004366AD" w:rsidRPr="00AC05A9">
        <w:rPr>
          <w:rFonts w:ascii="Arial" w:hAnsi="Arial" w:cs="Arial"/>
          <w:i/>
          <w:iCs/>
        </w:rPr>
        <w:t>Tesco PLC, TSCO:LSE financials - FT.com</w:t>
      </w:r>
      <w:r w:rsidR="004366AD" w:rsidRPr="00AC05A9">
        <w:rPr>
          <w:rFonts w:ascii="Arial" w:hAnsi="Arial" w:cs="Arial"/>
        </w:rPr>
        <w:t>, 2024).</w:t>
      </w:r>
    </w:p>
    <w:p w14:paraId="4BEB04F2" w14:textId="498617A9" w:rsidR="002D2503" w:rsidRPr="00AC05A9" w:rsidRDefault="00607774" w:rsidP="00970CE0">
      <w:pPr>
        <w:spacing w:line="360" w:lineRule="auto"/>
        <w:jc w:val="both"/>
        <w:rPr>
          <w:rFonts w:ascii="Arial" w:hAnsi="Arial" w:cs="Arial"/>
        </w:rPr>
      </w:pPr>
      <w:r w:rsidRPr="00AC05A9">
        <w:rPr>
          <w:rFonts w:ascii="Arial" w:hAnsi="Arial" w:cs="Arial"/>
          <w:noProof/>
        </w:rPr>
        <w:drawing>
          <wp:inline distT="0" distB="0" distL="0" distR="0" wp14:anchorId="3846828A" wp14:editId="066A0A5F">
            <wp:extent cx="5731510" cy="3048000"/>
            <wp:effectExtent l="0" t="0" r="2540" b="0"/>
            <wp:docPr id="1546499854" name="Picture 1" descr="A graph of a number of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99854" name="Picture 1" descr="A graph of a number of blue squares&#10;&#10;Description automatically generated with medium confidence"/>
                    <pic:cNvPicPr/>
                  </pic:nvPicPr>
                  <pic:blipFill>
                    <a:blip r:embed="rId9"/>
                    <a:stretch>
                      <a:fillRect/>
                    </a:stretch>
                  </pic:blipFill>
                  <pic:spPr>
                    <a:xfrm>
                      <a:off x="0" y="0"/>
                      <a:ext cx="5731510" cy="3048000"/>
                    </a:xfrm>
                    <a:prstGeom prst="rect">
                      <a:avLst/>
                    </a:prstGeom>
                  </pic:spPr>
                </pic:pic>
              </a:graphicData>
            </a:graphic>
          </wp:inline>
        </w:drawing>
      </w:r>
    </w:p>
    <w:p w14:paraId="160E759E" w14:textId="50E0AD5D" w:rsidR="009924B6" w:rsidRPr="00AC05A9" w:rsidRDefault="004366AD" w:rsidP="00970CE0">
      <w:pPr>
        <w:spacing w:line="360" w:lineRule="auto"/>
        <w:jc w:val="both"/>
        <w:rPr>
          <w:rFonts w:ascii="Arial" w:hAnsi="Arial" w:cs="Arial"/>
        </w:rPr>
      </w:pPr>
      <w:r w:rsidRPr="00AC05A9">
        <w:rPr>
          <w:rFonts w:ascii="Arial" w:hAnsi="Arial" w:cs="Arial"/>
        </w:rPr>
        <w:t xml:space="preserve">Source: </w:t>
      </w:r>
      <w:r w:rsidR="009924B6" w:rsidRPr="00AC05A9">
        <w:rPr>
          <w:rFonts w:ascii="Arial" w:hAnsi="Arial" w:cs="Arial"/>
        </w:rPr>
        <w:t>Income statement in GBP</w:t>
      </w:r>
      <w:r w:rsidR="005102EB" w:rsidRPr="00AC05A9">
        <w:rPr>
          <w:rFonts w:ascii="Arial" w:hAnsi="Arial" w:cs="Arial"/>
        </w:rPr>
        <w:t>,</w:t>
      </w:r>
      <w:r w:rsidR="009924B6" w:rsidRPr="00AC05A9">
        <w:rPr>
          <w:rFonts w:ascii="Arial" w:hAnsi="Arial" w:cs="Arial"/>
        </w:rPr>
        <w:t xml:space="preserve">  (</w:t>
      </w:r>
      <w:r w:rsidR="009924B6" w:rsidRPr="00AC05A9">
        <w:rPr>
          <w:rFonts w:ascii="Arial" w:hAnsi="Arial" w:cs="Arial"/>
          <w:i/>
          <w:iCs/>
        </w:rPr>
        <w:t>Tesco PLC, TSCO:LSE financials - FT.com</w:t>
      </w:r>
      <w:r w:rsidR="009924B6" w:rsidRPr="00AC05A9">
        <w:rPr>
          <w:rFonts w:ascii="Arial" w:hAnsi="Arial" w:cs="Arial"/>
        </w:rPr>
        <w:t>, 2024).</w:t>
      </w:r>
    </w:p>
    <w:p w14:paraId="0272CAA1" w14:textId="77777777" w:rsidR="009924B6" w:rsidRPr="00AC05A9" w:rsidRDefault="009924B6" w:rsidP="00970CE0">
      <w:pPr>
        <w:spacing w:line="360" w:lineRule="auto"/>
        <w:jc w:val="both"/>
        <w:rPr>
          <w:rFonts w:ascii="Arial" w:hAnsi="Arial" w:cs="Arial"/>
        </w:rPr>
      </w:pPr>
    </w:p>
    <w:p w14:paraId="4EBFC692" w14:textId="7149F177" w:rsidR="009924B6" w:rsidRPr="00AC05A9" w:rsidRDefault="005211CC" w:rsidP="00970CE0">
      <w:pPr>
        <w:spacing w:line="360" w:lineRule="auto"/>
        <w:jc w:val="both"/>
        <w:rPr>
          <w:rFonts w:ascii="Arial" w:hAnsi="Arial" w:cs="Arial"/>
        </w:rPr>
      </w:pPr>
      <w:r w:rsidRPr="00AC05A9">
        <w:rPr>
          <w:rFonts w:ascii="Arial" w:hAnsi="Arial" w:cs="Arial"/>
          <w:noProof/>
        </w:rPr>
        <w:drawing>
          <wp:inline distT="0" distB="0" distL="0" distR="0" wp14:anchorId="3CC157B8" wp14:editId="11C37F00">
            <wp:extent cx="5731510" cy="3193415"/>
            <wp:effectExtent l="0" t="0" r="2540" b="6985"/>
            <wp:docPr id="47385965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59651" name="Picture 1" descr="A screenshot of a graph&#10;&#10;Description automatically generated"/>
                    <pic:cNvPicPr/>
                  </pic:nvPicPr>
                  <pic:blipFill>
                    <a:blip r:embed="rId10"/>
                    <a:stretch>
                      <a:fillRect/>
                    </a:stretch>
                  </pic:blipFill>
                  <pic:spPr>
                    <a:xfrm>
                      <a:off x="0" y="0"/>
                      <a:ext cx="5731510" cy="3193415"/>
                    </a:xfrm>
                    <a:prstGeom prst="rect">
                      <a:avLst/>
                    </a:prstGeom>
                  </pic:spPr>
                </pic:pic>
              </a:graphicData>
            </a:graphic>
          </wp:inline>
        </w:drawing>
      </w:r>
    </w:p>
    <w:p w14:paraId="0016C165" w14:textId="77777777" w:rsidR="009C56FE" w:rsidRPr="00AC05A9" w:rsidRDefault="009C56FE" w:rsidP="00970CE0">
      <w:pPr>
        <w:spacing w:line="360" w:lineRule="auto"/>
        <w:jc w:val="both"/>
        <w:rPr>
          <w:rFonts w:ascii="Arial" w:hAnsi="Arial" w:cs="Arial"/>
        </w:rPr>
      </w:pPr>
    </w:p>
    <w:p w14:paraId="74E997CC" w14:textId="2FC1625B" w:rsidR="009C56FE" w:rsidRPr="00AC05A9" w:rsidRDefault="00BA493A" w:rsidP="00970CE0">
      <w:pPr>
        <w:spacing w:line="360" w:lineRule="auto"/>
        <w:jc w:val="both"/>
        <w:rPr>
          <w:rFonts w:ascii="Arial" w:hAnsi="Arial" w:cs="Arial"/>
        </w:rPr>
      </w:pPr>
      <w:r w:rsidRPr="00AC05A9">
        <w:rPr>
          <w:rFonts w:ascii="Arial" w:hAnsi="Arial" w:cs="Arial"/>
        </w:rPr>
        <w:t xml:space="preserve">Source: Cash </w:t>
      </w:r>
      <w:r w:rsidR="005102EB" w:rsidRPr="00AC05A9">
        <w:rPr>
          <w:rFonts w:ascii="Arial" w:hAnsi="Arial" w:cs="Arial"/>
        </w:rPr>
        <w:t>f</w:t>
      </w:r>
      <w:r w:rsidRPr="00AC05A9">
        <w:rPr>
          <w:rFonts w:ascii="Arial" w:hAnsi="Arial" w:cs="Arial"/>
        </w:rPr>
        <w:t xml:space="preserve">low in GBP, </w:t>
      </w:r>
      <w:r w:rsidR="005102EB" w:rsidRPr="00AC05A9">
        <w:rPr>
          <w:rFonts w:ascii="Arial" w:hAnsi="Arial" w:cs="Arial"/>
        </w:rPr>
        <w:t>(</w:t>
      </w:r>
      <w:r w:rsidR="005102EB" w:rsidRPr="00AC05A9">
        <w:rPr>
          <w:rFonts w:ascii="Arial" w:hAnsi="Arial" w:cs="Arial"/>
          <w:i/>
          <w:iCs/>
        </w:rPr>
        <w:t>Tesco PLC, TSCO:LSE financials - FT.com</w:t>
      </w:r>
      <w:r w:rsidR="005102EB" w:rsidRPr="00AC05A9">
        <w:rPr>
          <w:rFonts w:ascii="Arial" w:hAnsi="Arial" w:cs="Arial"/>
        </w:rPr>
        <w:t>, 2024).</w:t>
      </w:r>
    </w:p>
    <w:p w14:paraId="5A6240EC" w14:textId="1F960918" w:rsidR="009C56FE" w:rsidRPr="00AC05A9" w:rsidRDefault="009C56FE" w:rsidP="00970CE0">
      <w:pPr>
        <w:spacing w:line="360" w:lineRule="auto"/>
        <w:jc w:val="both"/>
        <w:rPr>
          <w:rFonts w:ascii="Arial" w:hAnsi="Arial" w:cs="Arial"/>
        </w:rPr>
      </w:pPr>
      <w:r w:rsidRPr="00AC05A9">
        <w:rPr>
          <w:rFonts w:ascii="Arial" w:hAnsi="Arial" w:cs="Arial"/>
          <w:noProof/>
        </w:rPr>
        <w:drawing>
          <wp:inline distT="0" distB="0" distL="0" distR="0" wp14:anchorId="59E7AB6B" wp14:editId="034E5FF9">
            <wp:extent cx="5731510" cy="3142615"/>
            <wp:effectExtent l="0" t="0" r="2540" b="635"/>
            <wp:docPr id="505696733" name="Picture 1" descr="A graph of a number of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96733" name="Picture 1" descr="A graph of a number of squares&#10;&#10;Description automatically generated with medium confidence"/>
                    <pic:cNvPicPr/>
                  </pic:nvPicPr>
                  <pic:blipFill>
                    <a:blip r:embed="rId11"/>
                    <a:stretch>
                      <a:fillRect/>
                    </a:stretch>
                  </pic:blipFill>
                  <pic:spPr>
                    <a:xfrm>
                      <a:off x="0" y="0"/>
                      <a:ext cx="5731510" cy="3142615"/>
                    </a:xfrm>
                    <a:prstGeom prst="rect">
                      <a:avLst/>
                    </a:prstGeom>
                  </pic:spPr>
                </pic:pic>
              </a:graphicData>
            </a:graphic>
          </wp:inline>
        </w:drawing>
      </w:r>
    </w:p>
    <w:p w14:paraId="0A827E8F" w14:textId="28E6FB53" w:rsidR="00EF60E6" w:rsidRPr="00AC05A9" w:rsidRDefault="00EF60E6" w:rsidP="00970CE0">
      <w:pPr>
        <w:spacing w:line="360" w:lineRule="auto"/>
        <w:jc w:val="both"/>
        <w:rPr>
          <w:rFonts w:ascii="Arial" w:hAnsi="Arial" w:cs="Arial"/>
        </w:rPr>
      </w:pPr>
      <w:r w:rsidRPr="00AC05A9">
        <w:rPr>
          <w:rFonts w:ascii="Arial" w:hAnsi="Arial" w:cs="Arial"/>
        </w:rPr>
        <w:t xml:space="preserve">Source: </w:t>
      </w:r>
      <w:r w:rsidR="00BA493A" w:rsidRPr="00AC05A9">
        <w:rPr>
          <w:rFonts w:ascii="Arial" w:hAnsi="Arial" w:cs="Arial"/>
        </w:rPr>
        <w:t xml:space="preserve">Balance sheet in GBP, </w:t>
      </w:r>
      <w:r w:rsidR="005102EB" w:rsidRPr="00AC05A9">
        <w:rPr>
          <w:rFonts w:ascii="Arial" w:hAnsi="Arial" w:cs="Arial"/>
        </w:rPr>
        <w:t>(</w:t>
      </w:r>
      <w:r w:rsidR="005102EB" w:rsidRPr="00AC05A9">
        <w:rPr>
          <w:rFonts w:ascii="Arial" w:hAnsi="Arial" w:cs="Arial"/>
          <w:i/>
          <w:iCs/>
        </w:rPr>
        <w:t>Tesco PLC, TSCO:LSE financials - FT.com</w:t>
      </w:r>
      <w:r w:rsidR="005102EB" w:rsidRPr="00AC05A9">
        <w:rPr>
          <w:rFonts w:ascii="Arial" w:hAnsi="Arial" w:cs="Arial"/>
        </w:rPr>
        <w:t>, 2024).</w:t>
      </w:r>
    </w:p>
    <w:p w14:paraId="235F55B1" w14:textId="2D58244F" w:rsidR="00EF60E6" w:rsidRPr="00AC05A9" w:rsidRDefault="00EF60E6" w:rsidP="00970CE0">
      <w:pPr>
        <w:spacing w:line="360" w:lineRule="auto"/>
        <w:jc w:val="both"/>
        <w:rPr>
          <w:rFonts w:ascii="Arial" w:hAnsi="Arial" w:cs="Arial"/>
        </w:rPr>
      </w:pPr>
      <w:r w:rsidRPr="00AC05A9">
        <w:rPr>
          <w:rFonts w:ascii="Arial" w:hAnsi="Arial" w:cs="Arial"/>
          <w:noProof/>
        </w:rPr>
        <w:lastRenderedPageBreak/>
        <w:drawing>
          <wp:inline distT="0" distB="0" distL="0" distR="0" wp14:anchorId="2975AEF6" wp14:editId="045D2D3E">
            <wp:extent cx="5731510" cy="3105150"/>
            <wp:effectExtent l="0" t="0" r="2540" b="0"/>
            <wp:docPr id="522415817" name="Picture 1" descr="A graph of growth and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15817" name="Picture 1" descr="A graph of growth and growth&#10;&#10;Description automatically generated with medium confidence"/>
                    <pic:cNvPicPr/>
                  </pic:nvPicPr>
                  <pic:blipFill>
                    <a:blip r:embed="rId12"/>
                    <a:stretch>
                      <a:fillRect/>
                    </a:stretch>
                  </pic:blipFill>
                  <pic:spPr>
                    <a:xfrm>
                      <a:off x="0" y="0"/>
                      <a:ext cx="5731510" cy="3105150"/>
                    </a:xfrm>
                    <a:prstGeom prst="rect">
                      <a:avLst/>
                    </a:prstGeom>
                  </pic:spPr>
                </pic:pic>
              </a:graphicData>
            </a:graphic>
          </wp:inline>
        </w:drawing>
      </w:r>
    </w:p>
    <w:p w14:paraId="6C636796" w14:textId="404476D2" w:rsidR="00424F13" w:rsidRPr="00AC05A9" w:rsidRDefault="00EF60E6" w:rsidP="00970CE0">
      <w:pPr>
        <w:spacing w:line="360" w:lineRule="auto"/>
        <w:jc w:val="both"/>
        <w:rPr>
          <w:rFonts w:ascii="Arial" w:hAnsi="Arial" w:cs="Arial"/>
        </w:rPr>
      </w:pPr>
      <w:r w:rsidRPr="00AC05A9">
        <w:rPr>
          <w:rFonts w:ascii="Arial" w:hAnsi="Arial" w:cs="Arial"/>
        </w:rPr>
        <w:t xml:space="preserve">Source: Growth rates in GBP, </w:t>
      </w:r>
      <w:r w:rsidR="005102EB" w:rsidRPr="00AC05A9">
        <w:rPr>
          <w:rFonts w:ascii="Arial" w:hAnsi="Arial" w:cs="Arial"/>
        </w:rPr>
        <w:t>(</w:t>
      </w:r>
      <w:r w:rsidR="005102EB" w:rsidRPr="00AC05A9">
        <w:rPr>
          <w:rFonts w:ascii="Arial" w:hAnsi="Arial" w:cs="Arial"/>
          <w:i/>
          <w:iCs/>
        </w:rPr>
        <w:t>Tesco PLC, TSCO:LSE financials - FT.com</w:t>
      </w:r>
      <w:r w:rsidR="005102EB" w:rsidRPr="00AC05A9">
        <w:rPr>
          <w:rFonts w:ascii="Arial" w:hAnsi="Arial" w:cs="Arial"/>
        </w:rPr>
        <w:t>, 2024).</w:t>
      </w:r>
    </w:p>
    <w:p w14:paraId="2EF92408" w14:textId="77777777" w:rsidR="00A8676C" w:rsidRPr="00AC05A9" w:rsidRDefault="00A8676C" w:rsidP="00970CE0">
      <w:pPr>
        <w:spacing w:line="360" w:lineRule="auto"/>
        <w:jc w:val="both"/>
        <w:rPr>
          <w:rFonts w:ascii="Arial" w:hAnsi="Arial" w:cs="Arial"/>
        </w:rPr>
      </w:pPr>
    </w:p>
    <w:p w14:paraId="0B1A34D0" w14:textId="358C9AAC" w:rsidR="00A8676C" w:rsidRPr="00AC05A9" w:rsidRDefault="00A8676C" w:rsidP="00AC05A9">
      <w:pPr>
        <w:spacing w:line="360" w:lineRule="auto"/>
        <w:jc w:val="both"/>
        <w:rPr>
          <w:rFonts w:ascii="Arial" w:hAnsi="Arial" w:cs="Arial"/>
        </w:rPr>
      </w:pPr>
      <w:r w:rsidRPr="00AC05A9">
        <w:rPr>
          <w:rFonts w:ascii="Arial" w:hAnsi="Arial" w:cs="Arial"/>
        </w:rPr>
        <w:tab/>
      </w:r>
      <w:r w:rsidR="0005398B" w:rsidRPr="00AC05A9">
        <w:rPr>
          <w:rFonts w:ascii="Arial" w:hAnsi="Arial" w:cs="Arial"/>
        </w:rPr>
        <w:t>Instead of trying to safeguard the company's and its shareholders' financial interests, Tesco's culture encouraged unethical methods to achieve accounting goals between February and September 2014, such as incorrectly recognising revenue in the UK accounts by bringing further income from later reporting periods</w:t>
      </w:r>
      <w:r w:rsidR="003D1B43" w:rsidRPr="00AC05A9">
        <w:rPr>
          <w:rFonts w:ascii="Arial" w:hAnsi="Arial" w:cs="Arial"/>
        </w:rPr>
        <w:t xml:space="preserve"> (</w:t>
      </w:r>
      <w:proofErr w:type="spellStart"/>
      <w:r w:rsidR="003D1B43" w:rsidRPr="00AC05A9">
        <w:rPr>
          <w:rFonts w:ascii="Arial" w:hAnsi="Arial" w:cs="Arial"/>
        </w:rPr>
        <w:t>Oke</w:t>
      </w:r>
      <w:proofErr w:type="spellEnd"/>
      <w:r w:rsidR="003D1B43" w:rsidRPr="00AC05A9">
        <w:rPr>
          <w:rFonts w:ascii="Arial" w:hAnsi="Arial" w:cs="Arial"/>
        </w:rPr>
        <w:t xml:space="preserve">, 2019). </w:t>
      </w:r>
      <w:r w:rsidR="00EF4412" w:rsidRPr="00AC05A9">
        <w:rPr>
          <w:rFonts w:ascii="Arial" w:hAnsi="Arial" w:cs="Arial"/>
        </w:rPr>
        <w:t>After conducting its own internal inquiry into the £263 million overstatement, the grocery store first calculated in September that it had inflated earnings by £250 million as a result of the UK food industry's delayed accrual of expenses and faster recognition of commercial income. Eight executives, including UK managing director Chris Bush and commercial director Kevin Grace, have been suspended by Tesco due to the controversy</w:t>
      </w:r>
      <w:r w:rsidR="00093F4F" w:rsidRPr="00AC05A9">
        <w:rPr>
          <w:rFonts w:ascii="Arial" w:hAnsi="Arial" w:cs="Arial"/>
        </w:rPr>
        <w:t xml:space="preserve"> (Chapman, 2014). </w:t>
      </w:r>
      <w:r w:rsidR="00121299" w:rsidRPr="00AC05A9">
        <w:rPr>
          <w:rFonts w:ascii="Arial" w:hAnsi="Arial" w:cs="Arial"/>
        </w:rPr>
        <w:t xml:space="preserve">The manipulation of accounting procedures to boost earnings was the primary cause of the Tesco accounting controversy. Tesco inflated its financial performance by lying about supplier income and postponing expense recognition, creating a more positive image than reality required. </w:t>
      </w:r>
      <w:r w:rsidR="00121299" w:rsidRPr="00AC05A9">
        <w:rPr>
          <w:rFonts w:ascii="Arial" w:hAnsi="Arial" w:cs="Arial"/>
        </w:rPr>
        <w:br/>
        <w:t xml:space="preserve">The affair had immediate and serious consequences. Tesco lost billions of dollars in market value and damaged shareholder confidence when its share price crashed. Tesco's financial reporting procedures and corporate governance frameworks were examined as part of the investigations conducted by the Financial Conduct Authority and the Serious Fraud Office. The finance, managing, and commercial directors were </w:t>
      </w:r>
      <w:r w:rsidR="00121299" w:rsidRPr="00AC05A9">
        <w:rPr>
          <w:rFonts w:ascii="Arial" w:hAnsi="Arial" w:cs="Arial"/>
        </w:rPr>
        <w:lastRenderedPageBreak/>
        <w:t>accused of fraud by abuse of authority and fraudulent accounting, and the chairman resigned. They were charged with abusing their administrative power and aggressively inciting subordinates to inflate the numbers</w:t>
      </w:r>
      <w:r w:rsidR="00EE0F5A" w:rsidRPr="00AC05A9">
        <w:rPr>
          <w:rFonts w:ascii="Arial" w:hAnsi="Arial" w:cs="Arial"/>
        </w:rPr>
        <w:t xml:space="preserve"> (Winfield-Coach, 2024).</w:t>
      </w:r>
    </w:p>
    <w:p w14:paraId="2F96AF95" w14:textId="0768CEE1" w:rsidR="00A8676C" w:rsidRDefault="00A8676C" w:rsidP="00AC05A9">
      <w:pPr>
        <w:spacing w:line="360" w:lineRule="auto"/>
        <w:jc w:val="both"/>
        <w:rPr>
          <w:rFonts w:ascii="Arial" w:hAnsi="Arial" w:cs="Arial"/>
        </w:rPr>
      </w:pPr>
    </w:p>
    <w:p w14:paraId="74C070B5" w14:textId="77777777" w:rsidR="00AC05A9" w:rsidRPr="00AC05A9" w:rsidRDefault="00AC05A9" w:rsidP="00AC05A9">
      <w:pPr>
        <w:spacing w:line="360" w:lineRule="auto"/>
        <w:jc w:val="both"/>
        <w:rPr>
          <w:rFonts w:ascii="Arial" w:hAnsi="Arial" w:cs="Arial"/>
        </w:rPr>
      </w:pPr>
    </w:p>
    <w:p w14:paraId="0F4C65DD" w14:textId="29F9C58B" w:rsidR="00424F13" w:rsidRDefault="003165AE" w:rsidP="00AC05A9">
      <w:pPr>
        <w:pStyle w:val="Heading1"/>
        <w:numPr>
          <w:ilvl w:val="0"/>
          <w:numId w:val="1"/>
        </w:numPr>
        <w:spacing w:line="360" w:lineRule="auto"/>
        <w:jc w:val="both"/>
        <w:rPr>
          <w:rFonts w:ascii="Arial" w:hAnsi="Arial" w:cs="Arial"/>
          <w:color w:val="auto"/>
          <w:spacing w:val="-3"/>
          <w:sz w:val="24"/>
          <w:szCs w:val="24"/>
        </w:rPr>
      </w:pPr>
      <w:bookmarkStart w:id="8" w:name="_Toc180935989"/>
      <w:bookmarkStart w:id="9" w:name="_Toc180937640"/>
      <w:r w:rsidRPr="00AC05A9">
        <w:rPr>
          <w:rFonts w:ascii="Arial" w:hAnsi="Arial" w:cs="Arial"/>
          <w:color w:val="auto"/>
          <w:spacing w:val="-3"/>
          <w:sz w:val="24"/>
          <w:szCs w:val="24"/>
        </w:rPr>
        <w:t>R</w:t>
      </w:r>
      <w:r w:rsidR="00311442" w:rsidRPr="00AC05A9">
        <w:rPr>
          <w:rFonts w:ascii="Arial" w:hAnsi="Arial" w:cs="Arial"/>
          <w:color w:val="auto"/>
          <w:spacing w:val="-3"/>
          <w:sz w:val="24"/>
          <w:szCs w:val="24"/>
        </w:rPr>
        <w:t>elationship between corporate governance practices and financial performance</w:t>
      </w:r>
      <w:bookmarkEnd w:id="8"/>
      <w:bookmarkEnd w:id="9"/>
    </w:p>
    <w:p w14:paraId="0056EC1F" w14:textId="77777777" w:rsidR="00AC05A9" w:rsidRPr="00AC05A9" w:rsidRDefault="00AC05A9" w:rsidP="00AC05A9"/>
    <w:p w14:paraId="6F43B680" w14:textId="77777777" w:rsidR="00AC05A9" w:rsidRPr="00AC05A9" w:rsidRDefault="00AC05A9" w:rsidP="00AC05A9"/>
    <w:p w14:paraId="5EFC3EF4" w14:textId="77777777" w:rsidR="00AD1FE0" w:rsidRPr="00AC05A9" w:rsidRDefault="00AD1FE0" w:rsidP="00AC05A9">
      <w:pPr>
        <w:spacing w:line="360" w:lineRule="auto"/>
        <w:ind w:firstLine="720"/>
        <w:jc w:val="both"/>
        <w:rPr>
          <w:rFonts w:ascii="Arial" w:hAnsi="Arial" w:cs="Arial"/>
        </w:rPr>
      </w:pPr>
      <w:r w:rsidRPr="00AC05A9">
        <w:rPr>
          <w:rFonts w:ascii="Arial" w:hAnsi="Arial" w:cs="Arial"/>
        </w:rPr>
        <w:t>By analysing the changes in governance practices and how they affected Tesco's financial stability and investor confidence, it is possible to comprehend the relationship between corporate governance practices and financial performance over the last five years, including the effects of the 2014 accounting scandal.</w:t>
      </w:r>
    </w:p>
    <w:p w14:paraId="00D901DB" w14:textId="701A475D" w:rsidR="00C720E1" w:rsidRPr="00AC05A9" w:rsidRDefault="0080233C" w:rsidP="00AC05A9">
      <w:pPr>
        <w:spacing w:line="360" w:lineRule="auto"/>
        <w:jc w:val="both"/>
        <w:rPr>
          <w:rFonts w:ascii="Arial" w:hAnsi="Arial" w:cs="Arial"/>
        </w:rPr>
      </w:pPr>
      <w:r w:rsidRPr="00AC05A9">
        <w:rPr>
          <w:rFonts w:ascii="Arial" w:hAnsi="Arial" w:cs="Arial"/>
        </w:rPr>
        <w:t xml:space="preserve">Tesco responded to the incident by acting swiftly to resolve the problems and repair its image. The business thoroughly examined its accounting procedures and put strict controls and supervision procedures in place to stop future fraud. The replacement of key leaders, such as the CEO and CFO, demonstrated a commitment to responsibility and a departure from the past. Additionally, Tesco complied completely with regulatory bodies, promising to implement significant changes and win back investor trust. First of all, it emphasised how crucial independent financial audits and strong risk management procedures are to preventing fraud and wrongdoing. </w:t>
      </w:r>
      <w:r w:rsidR="00C720E1" w:rsidRPr="00AC05A9">
        <w:rPr>
          <w:rFonts w:ascii="Arial" w:hAnsi="Arial" w:cs="Arial"/>
        </w:rPr>
        <w:t>Furthermore, the controversy brought to light the necessity of an open and accountable organisational culture. In order to create an atmosphere where moral behaviour is valued above all else and workers feel free to voice concerns and expose misconduct, corporate leaders must set the example from the top (Winfield-Coach, 2024).</w:t>
      </w:r>
    </w:p>
    <w:p w14:paraId="65CC314C" w14:textId="77777777" w:rsidR="00F669BB" w:rsidRPr="00AC05A9" w:rsidRDefault="00F669BB" w:rsidP="00AC05A9">
      <w:pPr>
        <w:spacing w:line="360" w:lineRule="auto"/>
        <w:jc w:val="both"/>
        <w:rPr>
          <w:rFonts w:ascii="Arial" w:hAnsi="Arial" w:cs="Arial"/>
        </w:rPr>
      </w:pPr>
      <w:r w:rsidRPr="00AC05A9">
        <w:rPr>
          <w:rFonts w:ascii="Arial" w:hAnsi="Arial" w:cs="Arial"/>
        </w:rPr>
        <w:tab/>
        <w:t xml:space="preserve">Strong corporate governance procedures are crucial for influencing financial performance and reviving market trust during a crisis, as demonstrated by Tesco's experience. Comprehensive governance measures, including greater board supervision, improved risk management, and leadership changes, were part of the company's reaction to the 2014 accounting controversy. Tesco's profitability was </w:t>
      </w:r>
      <w:r w:rsidRPr="00AC05A9">
        <w:rPr>
          <w:rFonts w:ascii="Arial" w:hAnsi="Arial" w:cs="Arial"/>
        </w:rPr>
        <w:lastRenderedPageBreak/>
        <w:t>restored and important financial indicators were stabilised thanks in large part to these actions.</w:t>
      </w:r>
    </w:p>
    <w:p w14:paraId="11A7CDEE" w14:textId="613F2FF0" w:rsidR="00156942" w:rsidRPr="00AC05A9" w:rsidRDefault="00156942" w:rsidP="00AC05A9">
      <w:pPr>
        <w:spacing w:line="360" w:lineRule="auto"/>
        <w:jc w:val="both"/>
        <w:rPr>
          <w:rFonts w:ascii="Arial" w:hAnsi="Arial" w:cs="Arial"/>
        </w:rPr>
      </w:pPr>
      <w:r w:rsidRPr="00AC05A9">
        <w:rPr>
          <w:rFonts w:ascii="Arial" w:hAnsi="Arial" w:cs="Arial"/>
        </w:rPr>
        <w:t xml:space="preserve">Based on the financial performance extracted from </w:t>
      </w:r>
      <w:r w:rsidRPr="00AC05A9">
        <w:rPr>
          <w:rFonts w:ascii="Arial" w:hAnsi="Arial" w:cs="Arial"/>
          <w:i/>
          <w:iCs/>
        </w:rPr>
        <w:t>Tesco PLC, TSCO:LSE financials - FT.com</w:t>
      </w:r>
      <w:r w:rsidRPr="00AC05A9">
        <w:rPr>
          <w:rFonts w:ascii="Arial" w:hAnsi="Arial" w:cs="Arial"/>
        </w:rPr>
        <w:t xml:space="preserve">, 2024, it’s shown that </w:t>
      </w:r>
      <w:r w:rsidR="00F17747" w:rsidRPr="00AC05A9">
        <w:rPr>
          <w:rFonts w:ascii="Arial" w:hAnsi="Arial" w:cs="Arial"/>
        </w:rPr>
        <w:t xml:space="preserve">Tesco's strategy focus on enhancing core operations, growing digital capabilities, and better adapting to changes in customer demand was reflected in its revenue growth from 2020 to 2024. Throughout this time, Tesco's sales increased steadily, reaching £57.9 billion in 2020 and an expected £64 billion in 2024. </w:t>
      </w:r>
      <w:r w:rsidRPr="00AC05A9">
        <w:rPr>
          <w:rFonts w:ascii="Arial" w:hAnsi="Arial" w:cs="Arial"/>
        </w:rPr>
        <w:t>From 2020 to 2024, Tesco's operational cash flow increased steadily, indicating strong operating efficiency and efficient working capital management. Higher cash flows were a result of advancements in digital capabilities, especially in click-and-collect and online delivery services. Tesco's 2020–2024 income statement improvements highlight the need of improved supplier management, strategic cost reduction, and more digital investments—all of which have their roots in post-2014 governance reforms (</w:t>
      </w:r>
      <w:r w:rsidRPr="00AC05A9">
        <w:rPr>
          <w:rFonts w:ascii="Arial" w:hAnsi="Arial" w:cs="Arial"/>
          <w:i/>
          <w:iCs/>
        </w:rPr>
        <w:t>Corporate governance report</w:t>
      </w:r>
      <w:r w:rsidRPr="00AC05A9">
        <w:rPr>
          <w:rFonts w:ascii="Arial" w:hAnsi="Arial" w:cs="Arial"/>
        </w:rPr>
        <w:t>, 2017).</w:t>
      </w:r>
    </w:p>
    <w:p w14:paraId="23D50357" w14:textId="46965F95" w:rsidR="0080233C" w:rsidRPr="00AC05A9" w:rsidRDefault="00A01518" w:rsidP="00AC05A9">
      <w:pPr>
        <w:spacing w:line="360" w:lineRule="auto"/>
        <w:jc w:val="both"/>
        <w:rPr>
          <w:rFonts w:ascii="Arial" w:hAnsi="Arial" w:cs="Arial"/>
        </w:rPr>
      </w:pPr>
      <w:r w:rsidRPr="00AC05A9">
        <w:rPr>
          <w:rFonts w:ascii="Arial" w:hAnsi="Arial" w:cs="Arial"/>
        </w:rPr>
        <w:tab/>
      </w:r>
      <w:r w:rsidRPr="00AC05A9">
        <w:rPr>
          <w:rFonts w:ascii="Arial" w:hAnsi="Arial" w:cs="Arial"/>
        </w:rPr>
        <w:tab/>
        <w:t xml:space="preserve">While Tesco PLC </w:t>
      </w:r>
      <w:r w:rsidR="00D83C28" w:rsidRPr="00AC05A9">
        <w:rPr>
          <w:rFonts w:ascii="Arial" w:hAnsi="Arial" w:cs="Arial"/>
        </w:rPr>
        <w:t>reformed the corporate governance by changing the Board framework, it made a statement that shows that The Board is dedicated to managing its business in accordance with the strictest corporate governance guidelines, while being supported by the work of its Committees, which guarantee that certain issues are given the proper amount of focus and thought. The Board is ultimately in charge of risk management procedures and internal controls. It has set up a framework for risk management to control and document the risks the company faces. The Board is ultimately in charge of making sure there are enough resources available to fulfil the goals and plan that have been agreed upon. It guarantees that these resources are used effectively and responsibly</w:t>
      </w:r>
      <w:r w:rsidR="00C0417D" w:rsidRPr="00AC05A9">
        <w:rPr>
          <w:rFonts w:ascii="Arial" w:hAnsi="Arial" w:cs="Arial"/>
        </w:rPr>
        <w:t xml:space="preserve"> (</w:t>
      </w:r>
      <w:r w:rsidR="00C0417D" w:rsidRPr="00AC05A9">
        <w:rPr>
          <w:rFonts w:ascii="Arial" w:hAnsi="Arial" w:cs="Arial"/>
          <w:i/>
          <w:iCs/>
        </w:rPr>
        <w:t>Tesco PLC Annual Report and Financial Statements</w:t>
      </w:r>
      <w:r w:rsidR="00C0417D" w:rsidRPr="00AC05A9">
        <w:rPr>
          <w:rFonts w:ascii="Arial" w:hAnsi="Arial" w:cs="Arial"/>
        </w:rPr>
        <w:t xml:space="preserve">, 2024). </w:t>
      </w:r>
    </w:p>
    <w:p w14:paraId="7C617DD3" w14:textId="77777777" w:rsidR="00311442" w:rsidRDefault="00311442" w:rsidP="00AC05A9">
      <w:pPr>
        <w:spacing w:line="360" w:lineRule="auto"/>
        <w:jc w:val="both"/>
        <w:rPr>
          <w:rFonts w:ascii="Arial" w:hAnsi="Arial" w:cs="Arial"/>
        </w:rPr>
      </w:pPr>
    </w:p>
    <w:p w14:paraId="4A20F4AF" w14:textId="77777777" w:rsidR="00AC05A9" w:rsidRDefault="00AC05A9" w:rsidP="00AC05A9">
      <w:pPr>
        <w:spacing w:line="360" w:lineRule="auto"/>
        <w:jc w:val="both"/>
        <w:rPr>
          <w:rFonts w:ascii="Arial" w:hAnsi="Arial" w:cs="Arial"/>
        </w:rPr>
      </w:pPr>
    </w:p>
    <w:p w14:paraId="30E2866B" w14:textId="77777777" w:rsidR="00001452" w:rsidRDefault="00001452" w:rsidP="00AC05A9">
      <w:pPr>
        <w:spacing w:line="360" w:lineRule="auto"/>
        <w:jc w:val="both"/>
        <w:rPr>
          <w:rFonts w:ascii="Arial" w:hAnsi="Arial" w:cs="Arial"/>
        </w:rPr>
      </w:pPr>
    </w:p>
    <w:p w14:paraId="53E20B7B" w14:textId="77777777" w:rsidR="00001452" w:rsidRPr="00AC05A9" w:rsidRDefault="00001452" w:rsidP="00AC05A9">
      <w:pPr>
        <w:spacing w:line="360" w:lineRule="auto"/>
        <w:jc w:val="both"/>
        <w:rPr>
          <w:rFonts w:ascii="Arial" w:hAnsi="Arial" w:cs="Arial"/>
        </w:rPr>
      </w:pPr>
    </w:p>
    <w:p w14:paraId="7CD98341" w14:textId="2FBEC665" w:rsidR="00311442" w:rsidRDefault="00311442" w:rsidP="00AC05A9">
      <w:pPr>
        <w:pStyle w:val="Heading1"/>
        <w:numPr>
          <w:ilvl w:val="0"/>
          <w:numId w:val="1"/>
        </w:numPr>
        <w:spacing w:line="360" w:lineRule="auto"/>
        <w:jc w:val="both"/>
        <w:rPr>
          <w:rFonts w:ascii="Arial" w:hAnsi="Arial" w:cs="Arial"/>
          <w:color w:val="auto"/>
          <w:sz w:val="24"/>
          <w:szCs w:val="24"/>
        </w:rPr>
      </w:pPr>
      <w:bookmarkStart w:id="10" w:name="_Toc180935990"/>
      <w:bookmarkStart w:id="11" w:name="_Toc180937641"/>
      <w:r w:rsidRPr="00AC05A9">
        <w:rPr>
          <w:rFonts w:ascii="Arial" w:hAnsi="Arial" w:cs="Arial"/>
          <w:color w:val="auto"/>
          <w:sz w:val="24"/>
          <w:szCs w:val="24"/>
        </w:rPr>
        <w:lastRenderedPageBreak/>
        <w:t>Conclusion</w:t>
      </w:r>
      <w:bookmarkEnd w:id="10"/>
      <w:bookmarkEnd w:id="11"/>
    </w:p>
    <w:p w14:paraId="0233DC40" w14:textId="77777777" w:rsidR="00AC05A9" w:rsidRDefault="00AC05A9" w:rsidP="00AC05A9"/>
    <w:p w14:paraId="3073DB10" w14:textId="77777777" w:rsidR="007516EA" w:rsidRPr="00AC05A9" w:rsidRDefault="007516EA" w:rsidP="00AC05A9"/>
    <w:p w14:paraId="7CDA181A" w14:textId="77777777" w:rsidR="008D4ECA" w:rsidRPr="00AC05A9" w:rsidRDefault="008D4ECA" w:rsidP="00AC05A9">
      <w:pPr>
        <w:spacing w:line="360" w:lineRule="auto"/>
        <w:jc w:val="both"/>
        <w:rPr>
          <w:rFonts w:ascii="Arial" w:hAnsi="Arial" w:cs="Arial"/>
        </w:rPr>
      </w:pPr>
      <w:r w:rsidRPr="00AC05A9">
        <w:rPr>
          <w:rFonts w:ascii="Arial" w:hAnsi="Arial" w:cs="Arial"/>
        </w:rPr>
        <w:tab/>
        <w:t>In conclusion, the examination of Tesco's corporate governance procedures and how they affect financial results emphasises how important good governance is to the success of an organisation. Tesco's consistent revenue, operating profit, and cash flow growth over the past five years is indicative of the beneficial effects of the strategic governance changes put in place following the 2014 accounting crisis. Tesco's stability and durability in a cutthroat market were greatly aided by increased board monitoring, more financial transparency, enhanced risk management, and CEO remuneration that was in line with performance.</w:t>
      </w:r>
    </w:p>
    <w:p w14:paraId="4AD6CBAF" w14:textId="02F4844C" w:rsidR="00A20181" w:rsidRPr="00AC05A9" w:rsidRDefault="008D4ECA" w:rsidP="00AC05A9">
      <w:pPr>
        <w:spacing w:line="360" w:lineRule="auto"/>
        <w:jc w:val="both"/>
        <w:rPr>
          <w:rFonts w:ascii="Arial" w:hAnsi="Arial" w:cs="Arial"/>
        </w:rPr>
      </w:pPr>
      <w:r w:rsidRPr="00AC05A9">
        <w:rPr>
          <w:rFonts w:ascii="Arial" w:hAnsi="Arial" w:cs="Arial"/>
        </w:rPr>
        <w:t>T</w:t>
      </w:r>
      <w:r w:rsidR="00A20181" w:rsidRPr="00AC05A9">
        <w:rPr>
          <w:rFonts w:ascii="Arial" w:hAnsi="Arial" w:cs="Arial"/>
        </w:rPr>
        <w:t>he connection between Tesco's financial success and corporate governance procedures emphasises how important openness, responsibility, and capable leadership are to maintaining shareholder wealth. Tesco was able to overcome financial and market obstacles, restore investor confidence, and repair its brand by putting in place effective governance procedures</w:t>
      </w:r>
      <w:r w:rsidR="004B174A" w:rsidRPr="00AC05A9">
        <w:rPr>
          <w:rFonts w:ascii="Arial" w:hAnsi="Arial" w:cs="Arial"/>
        </w:rPr>
        <w:t xml:space="preserve"> (</w:t>
      </w:r>
      <w:r w:rsidR="004B174A" w:rsidRPr="00AC05A9">
        <w:rPr>
          <w:rFonts w:ascii="Arial" w:hAnsi="Arial" w:cs="Arial"/>
          <w:i/>
          <w:iCs/>
        </w:rPr>
        <w:t>Corporate governance report</w:t>
      </w:r>
      <w:r w:rsidR="004B174A" w:rsidRPr="00AC05A9">
        <w:rPr>
          <w:rFonts w:ascii="Arial" w:hAnsi="Arial" w:cs="Arial"/>
        </w:rPr>
        <w:t>, 2017).</w:t>
      </w:r>
    </w:p>
    <w:p w14:paraId="68864536" w14:textId="77777777" w:rsidR="00C0417D" w:rsidRDefault="00C0417D" w:rsidP="00AC05A9">
      <w:pPr>
        <w:spacing w:line="360" w:lineRule="auto"/>
        <w:jc w:val="both"/>
        <w:rPr>
          <w:rFonts w:ascii="Arial" w:hAnsi="Arial" w:cs="Arial"/>
        </w:rPr>
      </w:pPr>
    </w:p>
    <w:p w14:paraId="5F388E20" w14:textId="77777777" w:rsidR="00001452" w:rsidRDefault="00001452" w:rsidP="00AC05A9">
      <w:pPr>
        <w:spacing w:line="360" w:lineRule="auto"/>
        <w:jc w:val="both"/>
        <w:rPr>
          <w:rFonts w:ascii="Arial" w:hAnsi="Arial" w:cs="Arial"/>
        </w:rPr>
      </w:pPr>
    </w:p>
    <w:p w14:paraId="497BCD1D" w14:textId="77777777" w:rsidR="00001452" w:rsidRDefault="00001452" w:rsidP="00AC05A9">
      <w:pPr>
        <w:spacing w:line="360" w:lineRule="auto"/>
        <w:jc w:val="both"/>
        <w:rPr>
          <w:rFonts w:ascii="Arial" w:hAnsi="Arial" w:cs="Arial"/>
        </w:rPr>
      </w:pPr>
    </w:p>
    <w:p w14:paraId="0BEE358C" w14:textId="77777777" w:rsidR="00001452" w:rsidRDefault="00001452" w:rsidP="00AC05A9">
      <w:pPr>
        <w:spacing w:line="360" w:lineRule="auto"/>
        <w:jc w:val="both"/>
        <w:rPr>
          <w:rFonts w:ascii="Arial" w:hAnsi="Arial" w:cs="Arial"/>
        </w:rPr>
      </w:pPr>
    </w:p>
    <w:p w14:paraId="3CB44384" w14:textId="77777777" w:rsidR="00001452" w:rsidRDefault="00001452" w:rsidP="00AC05A9">
      <w:pPr>
        <w:spacing w:line="360" w:lineRule="auto"/>
        <w:jc w:val="both"/>
        <w:rPr>
          <w:rFonts w:ascii="Arial" w:hAnsi="Arial" w:cs="Arial"/>
        </w:rPr>
      </w:pPr>
    </w:p>
    <w:p w14:paraId="0BD9BF2D" w14:textId="77777777" w:rsidR="00001452" w:rsidRDefault="00001452" w:rsidP="00AC05A9">
      <w:pPr>
        <w:spacing w:line="360" w:lineRule="auto"/>
        <w:jc w:val="both"/>
        <w:rPr>
          <w:rFonts w:ascii="Arial" w:hAnsi="Arial" w:cs="Arial"/>
        </w:rPr>
      </w:pPr>
    </w:p>
    <w:p w14:paraId="67ED9270" w14:textId="77777777" w:rsidR="00001452" w:rsidRDefault="00001452" w:rsidP="00AC05A9">
      <w:pPr>
        <w:spacing w:line="360" w:lineRule="auto"/>
        <w:jc w:val="both"/>
        <w:rPr>
          <w:rFonts w:ascii="Arial" w:hAnsi="Arial" w:cs="Arial"/>
        </w:rPr>
      </w:pPr>
    </w:p>
    <w:p w14:paraId="4C1C50D8" w14:textId="77777777" w:rsidR="00001452" w:rsidRPr="00AC05A9" w:rsidRDefault="00001452" w:rsidP="00AC05A9">
      <w:pPr>
        <w:spacing w:line="360" w:lineRule="auto"/>
        <w:jc w:val="both"/>
        <w:rPr>
          <w:rFonts w:ascii="Arial" w:hAnsi="Arial" w:cs="Arial"/>
        </w:rPr>
      </w:pPr>
    </w:p>
    <w:p w14:paraId="0E3A41CB" w14:textId="77777777" w:rsidR="004B174A" w:rsidRPr="00AC05A9" w:rsidRDefault="004B174A" w:rsidP="00AC05A9">
      <w:pPr>
        <w:spacing w:line="360" w:lineRule="auto"/>
        <w:jc w:val="both"/>
        <w:rPr>
          <w:rFonts w:ascii="Arial" w:hAnsi="Arial" w:cs="Arial"/>
        </w:rPr>
      </w:pPr>
    </w:p>
    <w:p w14:paraId="6BD59987" w14:textId="2D50DE67" w:rsidR="00A20181" w:rsidRDefault="00A20181" w:rsidP="00AC05A9">
      <w:pPr>
        <w:spacing w:line="360" w:lineRule="auto"/>
        <w:jc w:val="both"/>
        <w:rPr>
          <w:rFonts w:ascii="Arial" w:hAnsi="Arial" w:cs="Arial"/>
        </w:rPr>
      </w:pPr>
    </w:p>
    <w:p w14:paraId="124B22D8" w14:textId="77777777" w:rsidR="00AC05A9" w:rsidRPr="00AC05A9" w:rsidRDefault="00AC05A9" w:rsidP="00AC05A9">
      <w:pPr>
        <w:spacing w:line="360" w:lineRule="auto"/>
        <w:jc w:val="both"/>
        <w:rPr>
          <w:rFonts w:ascii="Arial" w:hAnsi="Arial" w:cs="Arial"/>
        </w:rPr>
      </w:pPr>
    </w:p>
    <w:p w14:paraId="1CA9CFD7" w14:textId="096C2550" w:rsidR="00311442" w:rsidRPr="00AC05A9" w:rsidRDefault="00311442" w:rsidP="00AC05A9">
      <w:pPr>
        <w:pStyle w:val="Heading1"/>
        <w:numPr>
          <w:ilvl w:val="0"/>
          <w:numId w:val="1"/>
        </w:numPr>
        <w:spacing w:line="360" w:lineRule="auto"/>
        <w:jc w:val="both"/>
        <w:rPr>
          <w:rFonts w:ascii="Arial" w:hAnsi="Arial" w:cs="Arial"/>
          <w:color w:val="auto"/>
          <w:sz w:val="24"/>
          <w:szCs w:val="24"/>
        </w:rPr>
      </w:pPr>
      <w:bookmarkStart w:id="12" w:name="_Toc180935991"/>
      <w:bookmarkStart w:id="13" w:name="_Toc180937642"/>
      <w:r w:rsidRPr="00AC05A9">
        <w:rPr>
          <w:rFonts w:ascii="Arial" w:hAnsi="Arial" w:cs="Arial"/>
          <w:color w:val="auto"/>
          <w:sz w:val="24"/>
          <w:szCs w:val="24"/>
        </w:rPr>
        <w:lastRenderedPageBreak/>
        <w:t>References</w:t>
      </w:r>
      <w:bookmarkEnd w:id="12"/>
      <w:bookmarkEnd w:id="13"/>
    </w:p>
    <w:p w14:paraId="76FC9B4F" w14:textId="4244E25A" w:rsidR="00752509" w:rsidRPr="00AC05A9" w:rsidRDefault="00752509" w:rsidP="00AC05A9">
      <w:pPr>
        <w:ind w:firstLine="720"/>
        <w:jc w:val="both"/>
        <w:rPr>
          <w:rFonts w:ascii="Arial" w:hAnsi="Arial" w:cs="Arial"/>
        </w:rPr>
      </w:pPr>
    </w:p>
    <w:p w14:paraId="049E1EDF" w14:textId="20709379" w:rsidR="00920B31" w:rsidRPr="00920B31" w:rsidRDefault="00920B31" w:rsidP="00AC05A9">
      <w:pPr>
        <w:ind w:firstLine="720"/>
        <w:jc w:val="both"/>
        <w:rPr>
          <w:rFonts w:ascii="Arial" w:hAnsi="Arial" w:cs="Arial"/>
        </w:rPr>
      </w:pPr>
      <w:r w:rsidRPr="00920B31">
        <w:rPr>
          <w:rFonts w:ascii="Arial" w:hAnsi="Arial" w:cs="Arial"/>
        </w:rPr>
        <w:t>Chapman, M. (2014) ‘Serious Fraud Office to investigate Tesco accounting scandal’, </w:t>
      </w:r>
      <w:r w:rsidRPr="00920B31">
        <w:rPr>
          <w:rFonts w:ascii="Arial" w:hAnsi="Arial" w:cs="Arial"/>
          <w:i/>
          <w:iCs/>
        </w:rPr>
        <w:t>Retail Week</w:t>
      </w:r>
      <w:r w:rsidRPr="00920B31">
        <w:rPr>
          <w:rFonts w:ascii="Arial" w:hAnsi="Arial" w:cs="Arial"/>
        </w:rPr>
        <w:t> </w:t>
      </w:r>
      <w:r w:rsidR="00957778" w:rsidRPr="00920B31">
        <w:rPr>
          <w:rFonts w:ascii="Arial" w:hAnsi="Arial" w:cs="Arial"/>
        </w:rPr>
        <w:t>(Accessed: 26 October 2024).</w:t>
      </w:r>
    </w:p>
    <w:p w14:paraId="3E7249D2" w14:textId="77777777" w:rsidR="00957778" w:rsidRPr="00AC05A9" w:rsidRDefault="00920B31" w:rsidP="00AC05A9">
      <w:pPr>
        <w:ind w:firstLine="720"/>
        <w:jc w:val="both"/>
        <w:rPr>
          <w:rFonts w:ascii="Arial" w:hAnsi="Arial" w:cs="Arial"/>
        </w:rPr>
      </w:pPr>
      <w:r w:rsidRPr="00920B31">
        <w:rPr>
          <w:rFonts w:ascii="Arial" w:hAnsi="Arial" w:cs="Arial"/>
          <w:i/>
          <w:iCs/>
        </w:rPr>
        <w:t>Corporate Governance</w:t>
      </w:r>
      <w:r w:rsidRPr="00920B31">
        <w:rPr>
          <w:rFonts w:ascii="Arial" w:hAnsi="Arial" w:cs="Arial"/>
        </w:rPr>
        <w:t> (2024) </w:t>
      </w:r>
      <w:r w:rsidRPr="00920B31">
        <w:rPr>
          <w:rFonts w:ascii="Arial" w:hAnsi="Arial" w:cs="Arial"/>
          <w:i/>
          <w:iCs/>
        </w:rPr>
        <w:t>Tescoplc.com</w:t>
      </w:r>
      <w:r w:rsidRPr="00920B31">
        <w:rPr>
          <w:rFonts w:ascii="Arial" w:hAnsi="Arial" w:cs="Arial"/>
        </w:rPr>
        <w:t>. Available at: https://www.tescoplc.com/investors/corporate-governance (Accessed: 4 October 2024).</w:t>
      </w:r>
    </w:p>
    <w:p w14:paraId="7958B879" w14:textId="7DCE7CA1" w:rsidR="00920B31" w:rsidRPr="00920B31" w:rsidRDefault="00920B31" w:rsidP="00AC05A9">
      <w:pPr>
        <w:ind w:firstLine="720"/>
        <w:jc w:val="both"/>
        <w:rPr>
          <w:rFonts w:ascii="Arial" w:hAnsi="Arial" w:cs="Arial"/>
        </w:rPr>
      </w:pPr>
      <w:r w:rsidRPr="00920B31">
        <w:rPr>
          <w:rFonts w:ascii="Arial" w:hAnsi="Arial" w:cs="Arial"/>
          <w:i/>
          <w:iCs/>
        </w:rPr>
        <w:t>Corporate governance report</w:t>
      </w:r>
      <w:r w:rsidRPr="00920B31">
        <w:rPr>
          <w:rFonts w:ascii="Arial" w:hAnsi="Arial" w:cs="Arial"/>
        </w:rPr>
        <w:t> (2017) </w:t>
      </w:r>
      <w:r w:rsidRPr="00920B31">
        <w:rPr>
          <w:rFonts w:ascii="Arial" w:hAnsi="Arial" w:cs="Arial"/>
          <w:i/>
          <w:iCs/>
        </w:rPr>
        <w:t>Tescoplc.com</w:t>
      </w:r>
      <w:r w:rsidRPr="00920B31">
        <w:rPr>
          <w:rFonts w:ascii="Arial" w:hAnsi="Arial" w:cs="Arial"/>
        </w:rPr>
        <w:t>. Available at: https://www.tescoplc.com/media/392364/tesco_ar17_corporate-governance-report.pdf (Accessed: 25 October 2024).</w:t>
      </w:r>
    </w:p>
    <w:p w14:paraId="20B2C24E" w14:textId="073406DD" w:rsidR="00920B31" w:rsidRPr="00920B31" w:rsidRDefault="00920B31" w:rsidP="00AC05A9">
      <w:pPr>
        <w:ind w:firstLine="720"/>
        <w:jc w:val="both"/>
        <w:rPr>
          <w:rFonts w:ascii="Arial" w:hAnsi="Arial" w:cs="Arial"/>
        </w:rPr>
      </w:pPr>
      <w:proofErr w:type="spellStart"/>
      <w:r w:rsidRPr="00920B31">
        <w:rPr>
          <w:rFonts w:ascii="Arial" w:hAnsi="Arial" w:cs="Arial"/>
        </w:rPr>
        <w:t>Oke</w:t>
      </w:r>
      <w:proofErr w:type="spellEnd"/>
      <w:r w:rsidRPr="00920B31">
        <w:rPr>
          <w:rFonts w:ascii="Arial" w:hAnsi="Arial" w:cs="Arial"/>
        </w:rPr>
        <w:t>, J. (2019) </w:t>
      </w:r>
      <w:r w:rsidRPr="00920B31">
        <w:rPr>
          <w:rFonts w:ascii="Arial" w:hAnsi="Arial" w:cs="Arial"/>
          <w:i/>
          <w:iCs/>
        </w:rPr>
        <w:t>Deferred Prosecution Agreement between the SFO and Tesco published</w:t>
      </w:r>
      <w:r w:rsidRPr="00920B31">
        <w:rPr>
          <w:rFonts w:ascii="Arial" w:hAnsi="Arial" w:cs="Arial"/>
        </w:rPr>
        <w:t>, </w:t>
      </w:r>
      <w:r w:rsidRPr="00920B31">
        <w:rPr>
          <w:rFonts w:ascii="Arial" w:hAnsi="Arial" w:cs="Arial"/>
          <w:i/>
          <w:iCs/>
        </w:rPr>
        <w:t>Serious Fraud Office</w:t>
      </w:r>
      <w:r w:rsidRPr="00920B31">
        <w:rPr>
          <w:rFonts w:ascii="Arial" w:hAnsi="Arial" w:cs="Arial"/>
        </w:rPr>
        <w:t>. Available at: https://www.sfo.gov.uk/2019/01/23/deferred-prosecution-agreement-between-the-sfo-and-tesco-published/ (Accessed: 26 October 2024).</w:t>
      </w:r>
    </w:p>
    <w:p w14:paraId="7767CE0C" w14:textId="5165552C" w:rsidR="00920B31" w:rsidRPr="00920B31" w:rsidRDefault="00920B31" w:rsidP="00AC05A9">
      <w:pPr>
        <w:ind w:firstLine="720"/>
        <w:jc w:val="both"/>
        <w:rPr>
          <w:rFonts w:ascii="Arial" w:hAnsi="Arial" w:cs="Arial"/>
        </w:rPr>
      </w:pPr>
      <w:r w:rsidRPr="00920B31">
        <w:rPr>
          <w:rFonts w:ascii="Arial" w:hAnsi="Arial" w:cs="Arial"/>
          <w:i/>
          <w:iCs/>
        </w:rPr>
        <w:t>Tesco PLC Annual Report and Financial Statements</w:t>
      </w:r>
      <w:r w:rsidRPr="00920B31">
        <w:rPr>
          <w:rFonts w:ascii="Arial" w:hAnsi="Arial" w:cs="Arial"/>
        </w:rPr>
        <w:t> (2024) </w:t>
      </w:r>
      <w:r w:rsidRPr="00920B31">
        <w:rPr>
          <w:rFonts w:ascii="Arial" w:hAnsi="Arial" w:cs="Arial"/>
          <w:i/>
          <w:iCs/>
        </w:rPr>
        <w:t>Tescoplc.com</w:t>
      </w:r>
      <w:r w:rsidRPr="00920B31">
        <w:rPr>
          <w:rFonts w:ascii="Arial" w:hAnsi="Arial" w:cs="Arial"/>
        </w:rPr>
        <w:t>. Available at: https://www.tescoplc.com/media/zgvhd0dn/tescos_ar24.pdf (Accessed: 2</w:t>
      </w:r>
      <w:r w:rsidR="002A4062" w:rsidRPr="00AC05A9">
        <w:rPr>
          <w:rFonts w:ascii="Arial" w:hAnsi="Arial" w:cs="Arial"/>
        </w:rPr>
        <w:t>6</w:t>
      </w:r>
      <w:r w:rsidRPr="00920B31">
        <w:rPr>
          <w:rFonts w:ascii="Arial" w:hAnsi="Arial" w:cs="Arial"/>
        </w:rPr>
        <w:t xml:space="preserve"> October 2024).</w:t>
      </w:r>
    </w:p>
    <w:p w14:paraId="36CEA695" w14:textId="60E92BDD" w:rsidR="00920B31" w:rsidRPr="00920B31" w:rsidRDefault="00920B31" w:rsidP="00AC05A9">
      <w:pPr>
        <w:ind w:firstLine="720"/>
        <w:jc w:val="both"/>
        <w:rPr>
          <w:rFonts w:ascii="Arial" w:hAnsi="Arial" w:cs="Arial"/>
        </w:rPr>
      </w:pPr>
      <w:r w:rsidRPr="00920B31">
        <w:rPr>
          <w:rFonts w:ascii="Arial" w:hAnsi="Arial" w:cs="Arial"/>
          <w:i/>
          <w:iCs/>
        </w:rPr>
        <w:t>Tesco PLC, TSCO:LSE financials - FT.com</w:t>
      </w:r>
      <w:r w:rsidRPr="00920B31">
        <w:rPr>
          <w:rFonts w:ascii="Arial" w:hAnsi="Arial" w:cs="Arial"/>
        </w:rPr>
        <w:t> (2024) </w:t>
      </w:r>
      <w:r w:rsidRPr="00920B31">
        <w:rPr>
          <w:rFonts w:ascii="Arial" w:hAnsi="Arial" w:cs="Arial"/>
          <w:i/>
          <w:iCs/>
        </w:rPr>
        <w:t>Markets.ft.com</w:t>
      </w:r>
      <w:r w:rsidRPr="00920B31">
        <w:rPr>
          <w:rFonts w:ascii="Arial" w:hAnsi="Arial" w:cs="Arial"/>
        </w:rPr>
        <w:t>. Available at: https://markets.ft.com/data/equities/tearsheet/financials?s=TSCO:LSE (Accessed: 26 October 2024).</w:t>
      </w:r>
    </w:p>
    <w:p w14:paraId="1F64EE13" w14:textId="678B2D88" w:rsidR="00920B31" w:rsidRPr="00920B31" w:rsidRDefault="00920B31" w:rsidP="00AC05A9">
      <w:pPr>
        <w:ind w:firstLine="720"/>
        <w:jc w:val="both"/>
        <w:rPr>
          <w:rFonts w:ascii="Arial" w:hAnsi="Arial" w:cs="Arial"/>
        </w:rPr>
      </w:pPr>
      <w:r w:rsidRPr="00920B31">
        <w:rPr>
          <w:rFonts w:ascii="Arial" w:hAnsi="Arial" w:cs="Arial"/>
        </w:rPr>
        <w:t>What Is Corporate Governance (2016) </w:t>
      </w:r>
      <w:r w:rsidRPr="00920B31">
        <w:rPr>
          <w:rFonts w:ascii="Arial" w:hAnsi="Arial" w:cs="Arial"/>
          <w:i/>
          <w:iCs/>
        </w:rPr>
        <w:t>APPENDIX B - local code of governance</w:t>
      </w:r>
      <w:r w:rsidRPr="00920B31">
        <w:rPr>
          <w:rFonts w:ascii="Arial" w:hAnsi="Arial" w:cs="Arial"/>
        </w:rPr>
        <w:t>, </w:t>
      </w:r>
      <w:r w:rsidRPr="00920B31">
        <w:rPr>
          <w:rFonts w:ascii="Arial" w:hAnsi="Arial" w:cs="Arial"/>
          <w:i/>
          <w:iCs/>
        </w:rPr>
        <w:t>Gov.uk</w:t>
      </w:r>
      <w:r w:rsidRPr="00920B31">
        <w:rPr>
          <w:rFonts w:ascii="Arial" w:hAnsi="Arial" w:cs="Arial"/>
        </w:rPr>
        <w:t>. Available at: https://democracy.portsmouth.gov.uk/documents/s1997/Appendix%20B%20-%20Local%20Code%20of%20Corporate%20Governance.pdf (Accessed: 4 October 2024).</w:t>
      </w:r>
    </w:p>
    <w:p w14:paraId="7E0E0E70" w14:textId="77777777" w:rsidR="00920B31" w:rsidRPr="00920B31" w:rsidRDefault="00920B31" w:rsidP="00AC05A9">
      <w:pPr>
        <w:ind w:firstLine="720"/>
        <w:jc w:val="both"/>
        <w:rPr>
          <w:rFonts w:ascii="Arial" w:hAnsi="Arial" w:cs="Arial"/>
        </w:rPr>
      </w:pPr>
      <w:r w:rsidRPr="00920B31">
        <w:rPr>
          <w:rFonts w:ascii="Arial" w:hAnsi="Arial" w:cs="Arial"/>
        </w:rPr>
        <w:t>Winfield-Coach, R. (2024) </w:t>
      </w:r>
      <w:r w:rsidRPr="00920B31">
        <w:rPr>
          <w:rFonts w:ascii="Arial" w:hAnsi="Arial" w:cs="Arial"/>
          <w:i/>
          <w:iCs/>
        </w:rPr>
        <w:t>Tesco accounting scandal (2014): Lessons learned</w:t>
      </w:r>
      <w:r w:rsidRPr="00920B31">
        <w:rPr>
          <w:rFonts w:ascii="Arial" w:hAnsi="Arial" w:cs="Arial"/>
        </w:rPr>
        <w:t>, </w:t>
      </w:r>
      <w:r w:rsidRPr="00920B31">
        <w:rPr>
          <w:rFonts w:ascii="Arial" w:hAnsi="Arial" w:cs="Arial"/>
          <w:i/>
          <w:iCs/>
        </w:rPr>
        <w:t>Linkedin.com</w:t>
      </w:r>
      <w:r w:rsidRPr="00920B31">
        <w:rPr>
          <w:rFonts w:ascii="Arial" w:hAnsi="Arial" w:cs="Arial"/>
        </w:rPr>
        <w:t>. Available at: https://www.linkedin.com/pulse/tesco-accounting-scandal-2014-lessons-learned-richard-ycvke (Accessed: 26 October 2024).</w:t>
      </w:r>
    </w:p>
    <w:p w14:paraId="12F612DE" w14:textId="53DF20BB" w:rsidR="00A07718" w:rsidRPr="00A07718" w:rsidRDefault="00A07718" w:rsidP="00A07718"/>
    <w:p w14:paraId="4CDAB9BA" w14:textId="76638A1A" w:rsidR="004D6C90" w:rsidRPr="004D6C90" w:rsidRDefault="004D6C90" w:rsidP="004D6C90"/>
    <w:sectPr w:rsidR="004D6C90" w:rsidRPr="004D6C9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3B228" w14:textId="77777777" w:rsidR="00F2133C" w:rsidRDefault="00F2133C" w:rsidP="00F2133C">
      <w:pPr>
        <w:spacing w:after="0" w:line="240" w:lineRule="auto"/>
      </w:pPr>
      <w:r>
        <w:separator/>
      </w:r>
    </w:p>
  </w:endnote>
  <w:endnote w:type="continuationSeparator" w:id="0">
    <w:p w14:paraId="734D06C5" w14:textId="77777777" w:rsidR="00F2133C" w:rsidRDefault="00F2133C" w:rsidP="00F21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3107118"/>
      <w:docPartObj>
        <w:docPartGallery w:val="Page Numbers (Bottom of Page)"/>
        <w:docPartUnique/>
      </w:docPartObj>
    </w:sdtPr>
    <w:sdtEndPr/>
    <w:sdtContent>
      <w:p w14:paraId="02DA2DFF" w14:textId="314D1F03" w:rsidR="00F2133C" w:rsidRDefault="00F2133C">
        <w:pPr>
          <w:pStyle w:val="Footer"/>
          <w:jc w:val="right"/>
        </w:pPr>
        <w:r>
          <w:fldChar w:fldCharType="begin"/>
        </w:r>
        <w:r>
          <w:instrText>PAGE   \* MERGEFORMAT</w:instrText>
        </w:r>
        <w:r>
          <w:fldChar w:fldCharType="separate"/>
        </w:r>
        <w:r>
          <w:t>2</w:t>
        </w:r>
        <w:r>
          <w:fldChar w:fldCharType="end"/>
        </w:r>
      </w:p>
    </w:sdtContent>
  </w:sdt>
  <w:p w14:paraId="67A8D2C8" w14:textId="77777777" w:rsidR="00F2133C" w:rsidRDefault="00F21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F4BCA" w14:textId="77777777" w:rsidR="00F2133C" w:rsidRDefault="00F2133C" w:rsidP="00F2133C">
      <w:pPr>
        <w:spacing w:after="0" w:line="240" w:lineRule="auto"/>
      </w:pPr>
      <w:r>
        <w:separator/>
      </w:r>
    </w:p>
  </w:footnote>
  <w:footnote w:type="continuationSeparator" w:id="0">
    <w:p w14:paraId="3C80FFF8" w14:textId="77777777" w:rsidR="00F2133C" w:rsidRDefault="00F2133C" w:rsidP="00F21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42474"/>
    <w:multiLevelType w:val="hybridMultilevel"/>
    <w:tmpl w:val="CD024974"/>
    <w:lvl w:ilvl="0" w:tplc="74401ADC">
      <w:start w:val="1"/>
      <w:numFmt w:val="decimal"/>
      <w:lvlText w:val="%1."/>
      <w:lvlJc w:val="left"/>
      <w:pPr>
        <w:ind w:left="1080" w:hanging="360"/>
      </w:pPr>
      <w:rPr>
        <w:rFonts w:ascii="Arial" w:hAnsi="Arial" w:cs="Arial"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07948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AC6"/>
    <w:rsid w:val="00001452"/>
    <w:rsid w:val="0005398B"/>
    <w:rsid w:val="00057893"/>
    <w:rsid w:val="00072508"/>
    <w:rsid w:val="000759BA"/>
    <w:rsid w:val="00093F4F"/>
    <w:rsid w:val="00121299"/>
    <w:rsid w:val="00156942"/>
    <w:rsid w:val="002321D2"/>
    <w:rsid w:val="002A4062"/>
    <w:rsid w:val="002D2503"/>
    <w:rsid w:val="00311442"/>
    <w:rsid w:val="003165AE"/>
    <w:rsid w:val="003607A5"/>
    <w:rsid w:val="003A53E0"/>
    <w:rsid w:val="003D1B43"/>
    <w:rsid w:val="00424F13"/>
    <w:rsid w:val="00430536"/>
    <w:rsid w:val="004366AD"/>
    <w:rsid w:val="00481C91"/>
    <w:rsid w:val="004B174A"/>
    <w:rsid w:val="004D6C90"/>
    <w:rsid w:val="005102EB"/>
    <w:rsid w:val="005211CC"/>
    <w:rsid w:val="00584608"/>
    <w:rsid w:val="005B36F6"/>
    <w:rsid w:val="005D710D"/>
    <w:rsid w:val="00607774"/>
    <w:rsid w:val="00614D68"/>
    <w:rsid w:val="00654860"/>
    <w:rsid w:val="006F1FBA"/>
    <w:rsid w:val="00710D58"/>
    <w:rsid w:val="007516EA"/>
    <w:rsid w:val="00752509"/>
    <w:rsid w:val="00790C05"/>
    <w:rsid w:val="007B7294"/>
    <w:rsid w:val="007B7E77"/>
    <w:rsid w:val="007F3A42"/>
    <w:rsid w:val="007F448E"/>
    <w:rsid w:val="00800A91"/>
    <w:rsid w:val="0080233C"/>
    <w:rsid w:val="00872AC6"/>
    <w:rsid w:val="008C22E6"/>
    <w:rsid w:val="008C5116"/>
    <w:rsid w:val="008D4ECA"/>
    <w:rsid w:val="008D6406"/>
    <w:rsid w:val="009149CC"/>
    <w:rsid w:val="00917EBE"/>
    <w:rsid w:val="00920B31"/>
    <w:rsid w:val="00957778"/>
    <w:rsid w:val="00970CE0"/>
    <w:rsid w:val="009924B6"/>
    <w:rsid w:val="009C56FE"/>
    <w:rsid w:val="00A01518"/>
    <w:rsid w:val="00A07718"/>
    <w:rsid w:val="00A20181"/>
    <w:rsid w:val="00A8676C"/>
    <w:rsid w:val="00AC05A9"/>
    <w:rsid w:val="00AD1FE0"/>
    <w:rsid w:val="00B84218"/>
    <w:rsid w:val="00BA493A"/>
    <w:rsid w:val="00C0417D"/>
    <w:rsid w:val="00C3303E"/>
    <w:rsid w:val="00C720E1"/>
    <w:rsid w:val="00C90979"/>
    <w:rsid w:val="00C94FE3"/>
    <w:rsid w:val="00CA5863"/>
    <w:rsid w:val="00D233C8"/>
    <w:rsid w:val="00D35C7A"/>
    <w:rsid w:val="00D45D04"/>
    <w:rsid w:val="00D76225"/>
    <w:rsid w:val="00D81536"/>
    <w:rsid w:val="00D83C28"/>
    <w:rsid w:val="00DB214E"/>
    <w:rsid w:val="00E32B06"/>
    <w:rsid w:val="00E73928"/>
    <w:rsid w:val="00E94232"/>
    <w:rsid w:val="00EA6100"/>
    <w:rsid w:val="00EE0F5A"/>
    <w:rsid w:val="00EF4412"/>
    <w:rsid w:val="00EF60E6"/>
    <w:rsid w:val="00EF7DDF"/>
    <w:rsid w:val="00F17747"/>
    <w:rsid w:val="00F2133C"/>
    <w:rsid w:val="00F24EE6"/>
    <w:rsid w:val="00F359F3"/>
    <w:rsid w:val="00F669BB"/>
    <w:rsid w:val="00F94F5F"/>
    <w:rsid w:val="00F97AC3"/>
    <w:rsid w:val="00FA7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A064"/>
  <w15:chartTrackingRefBased/>
  <w15:docId w15:val="{A360BCB2-1DDA-47B9-B6F5-19C04F1E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A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2A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2A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A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A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A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A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A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A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A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2A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2A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A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A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A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A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A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AC6"/>
    <w:rPr>
      <w:rFonts w:eastAsiaTheme="majorEastAsia" w:cstheme="majorBidi"/>
      <w:color w:val="272727" w:themeColor="text1" w:themeTint="D8"/>
    </w:rPr>
  </w:style>
  <w:style w:type="paragraph" w:styleId="Title">
    <w:name w:val="Title"/>
    <w:basedOn w:val="Normal"/>
    <w:next w:val="Normal"/>
    <w:link w:val="TitleChar"/>
    <w:uiPriority w:val="10"/>
    <w:qFormat/>
    <w:rsid w:val="00872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A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A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A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AC6"/>
    <w:pPr>
      <w:spacing w:before="160"/>
      <w:jc w:val="center"/>
    </w:pPr>
    <w:rPr>
      <w:i/>
      <w:iCs/>
      <w:color w:val="404040" w:themeColor="text1" w:themeTint="BF"/>
    </w:rPr>
  </w:style>
  <w:style w:type="character" w:customStyle="1" w:styleId="QuoteChar">
    <w:name w:val="Quote Char"/>
    <w:basedOn w:val="DefaultParagraphFont"/>
    <w:link w:val="Quote"/>
    <w:uiPriority w:val="29"/>
    <w:rsid w:val="00872AC6"/>
    <w:rPr>
      <w:i/>
      <w:iCs/>
      <w:color w:val="404040" w:themeColor="text1" w:themeTint="BF"/>
    </w:rPr>
  </w:style>
  <w:style w:type="paragraph" w:styleId="ListParagraph">
    <w:name w:val="List Paragraph"/>
    <w:basedOn w:val="Normal"/>
    <w:uiPriority w:val="34"/>
    <w:qFormat/>
    <w:rsid w:val="00872AC6"/>
    <w:pPr>
      <w:ind w:left="720"/>
      <w:contextualSpacing/>
    </w:pPr>
  </w:style>
  <w:style w:type="character" w:styleId="IntenseEmphasis">
    <w:name w:val="Intense Emphasis"/>
    <w:basedOn w:val="DefaultParagraphFont"/>
    <w:uiPriority w:val="21"/>
    <w:qFormat/>
    <w:rsid w:val="00872AC6"/>
    <w:rPr>
      <w:i/>
      <w:iCs/>
      <w:color w:val="0F4761" w:themeColor="accent1" w:themeShade="BF"/>
    </w:rPr>
  </w:style>
  <w:style w:type="paragraph" w:styleId="IntenseQuote">
    <w:name w:val="Intense Quote"/>
    <w:basedOn w:val="Normal"/>
    <w:next w:val="Normal"/>
    <w:link w:val="IntenseQuoteChar"/>
    <w:uiPriority w:val="30"/>
    <w:qFormat/>
    <w:rsid w:val="00872A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AC6"/>
    <w:rPr>
      <w:i/>
      <w:iCs/>
      <w:color w:val="0F4761" w:themeColor="accent1" w:themeShade="BF"/>
    </w:rPr>
  </w:style>
  <w:style w:type="character" w:styleId="IntenseReference">
    <w:name w:val="Intense Reference"/>
    <w:basedOn w:val="DefaultParagraphFont"/>
    <w:uiPriority w:val="32"/>
    <w:qFormat/>
    <w:rsid w:val="00872AC6"/>
    <w:rPr>
      <w:b/>
      <w:bCs/>
      <w:smallCaps/>
      <w:color w:val="0F4761" w:themeColor="accent1" w:themeShade="BF"/>
      <w:spacing w:val="5"/>
    </w:rPr>
  </w:style>
  <w:style w:type="paragraph" w:styleId="Header">
    <w:name w:val="header"/>
    <w:basedOn w:val="Normal"/>
    <w:link w:val="HeaderChar"/>
    <w:uiPriority w:val="99"/>
    <w:unhideWhenUsed/>
    <w:rsid w:val="00F21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33C"/>
  </w:style>
  <w:style w:type="paragraph" w:styleId="Footer">
    <w:name w:val="footer"/>
    <w:basedOn w:val="Normal"/>
    <w:link w:val="FooterChar"/>
    <w:uiPriority w:val="99"/>
    <w:unhideWhenUsed/>
    <w:rsid w:val="00F21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33C"/>
  </w:style>
  <w:style w:type="paragraph" w:styleId="TOCHeading">
    <w:name w:val="TOC Heading"/>
    <w:basedOn w:val="Heading1"/>
    <w:next w:val="Normal"/>
    <w:uiPriority w:val="39"/>
    <w:unhideWhenUsed/>
    <w:qFormat/>
    <w:rsid w:val="00614D6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14D68"/>
    <w:pPr>
      <w:spacing w:after="100"/>
    </w:pPr>
  </w:style>
  <w:style w:type="character" w:styleId="Hyperlink">
    <w:name w:val="Hyperlink"/>
    <w:basedOn w:val="DefaultParagraphFont"/>
    <w:uiPriority w:val="99"/>
    <w:unhideWhenUsed/>
    <w:rsid w:val="00614D68"/>
    <w:rPr>
      <w:color w:val="467886" w:themeColor="hyperlink"/>
      <w:u w:val="single"/>
    </w:rPr>
  </w:style>
  <w:style w:type="paragraph" w:customStyle="1" w:styleId="TableParagraph">
    <w:name w:val="Table Paragraph"/>
    <w:basedOn w:val="Normal"/>
    <w:uiPriority w:val="1"/>
    <w:qFormat/>
    <w:rsid w:val="00C3303E"/>
    <w:pPr>
      <w:widowControl w:val="0"/>
      <w:autoSpaceDE w:val="0"/>
      <w:autoSpaceDN w:val="0"/>
      <w:spacing w:after="0" w:line="240" w:lineRule="auto"/>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42119">
      <w:bodyDiv w:val="1"/>
      <w:marLeft w:val="0"/>
      <w:marRight w:val="0"/>
      <w:marTop w:val="0"/>
      <w:marBottom w:val="0"/>
      <w:divBdr>
        <w:top w:val="none" w:sz="0" w:space="0" w:color="auto"/>
        <w:left w:val="none" w:sz="0" w:space="0" w:color="auto"/>
        <w:bottom w:val="none" w:sz="0" w:space="0" w:color="auto"/>
        <w:right w:val="none" w:sz="0" w:space="0" w:color="auto"/>
      </w:divBdr>
    </w:div>
    <w:div w:id="63916721">
      <w:bodyDiv w:val="1"/>
      <w:marLeft w:val="0"/>
      <w:marRight w:val="0"/>
      <w:marTop w:val="0"/>
      <w:marBottom w:val="0"/>
      <w:divBdr>
        <w:top w:val="none" w:sz="0" w:space="0" w:color="auto"/>
        <w:left w:val="none" w:sz="0" w:space="0" w:color="auto"/>
        <w:bottom w:val="none" w:sz="0" w:space="0" w:color="auto"/>
        <w:right w:val="none" w:sz="0" w:space="0" w:color="auto"/>
      </w:divBdr>
    </w:div>
    <w:div w:id="159854859">
      <w:bodyDiv w:val="1"/>
      <w:marLeft w:val="0"/>
      <w:marRight w:val="0"/>
      <w:marTop w:val="0"/>
      <w:marBottom w:val="0"/>
      <w:divBdr>
        <w:top w:val="none" w:sz="0" w:space="0" w:color="auto"/>
        <w:left w:val="none" w:sz="0" w:space="0" w:color="auto"/>
        <w:bottom w:val="none" w:sz="0" w:space="0" w:color="auto"/>
        <w:right w:val="none" w:sz="0" w:space="0" w:color="auto"/>
      </w:divBdr>
    </w:div>
    <w:div w:id="190144101">
      <w:bodyDiv w:val="1"/>
      <w:marLeft w:val="0"/>
      <w:marRight w:val="0"/>
      <w:marTop w:val="0"/>
      <w:marBottom w:val="0"/>
      <w:divBdr>
        <w:top w:val="none" w:sz="0" w:space="0" w:color="auto"/>
        <w:left w:val="none" w:sz="0" w:space="0" w:color="auto"/>
        <w:bottom w:val="none" w:sz="0" w:space="0" w:color="auto"/>
        <w:right w:val="none" w:sz="0" w:space="0" w:color="auto"/>
      </w:divBdr>
    </w:div>
    <w:div w:id="202910733">
      <w:bodyDiv w:val="1"/>
      <w:marLeft w:val="0"/>
      <w:marRight w:val="0"/>
      <w:marTop w:val="0"/>
      <w:marBottom w:val="0"/>
      <w:divBdr>
        <w:top w:val="none" w:sz="0" w:space="0" w:color="auto"/>
        <w:left w:val="none" w:sz="0" w:space="0" w:color="auto"/>
        <w:bottom w:val="none" w:sz="0" w:space="0" w:color="auto"/>
        <w:right w:val="none" w:sz="0" w:space="0" w:color="auto"/>
      </w:divBdr>
    </w:div>
    <w:div w:id="237254663">
      <w:bodyDiv w:val="1"/>
      <w:marLeft w:val="0"/>
      <w:marRight w:val="0"/>
      <w:marTop w:val="0"/>
      <w:marBottom w:val="0"/>
      <w:divBdr>
        <w:top w:val="none" w:sz="0" w:space="0" w:color="auto"/>
        <w:left w:val="none" w:sz="0" w:space="0" w:color="auto"/>
        <w:bottom w:val="none" w:sz="0" w:space="0" w:color="auto"/>
        <w:right w:val="none" w:sz="0" w:space="0" w:color="auto"/>
      </w:divBdr>
    </w:div>
    <w:div w:id="303048635">
      <w:bodyDiv w:val="1"/>
      <w:marLeft w:val="0"/>
      <w:marRight w:val="0"/>
      <w:marTop w:val="0"/>
      <w:marBottom w:val="0"/>
      <w:divBdr>
        <w:top w:val="none" w:sz="0" w:space="0" w:color="auto"/>
        <w:left w:val="none" w:sz="0" w:space="0" w:color="auto"/>
        <w:bottom w:val="none" w:sz="0" w:space="0" w:color="auto"/>
        <w:right w:val="none" w:sz="0" w:space="0" w:color="auto"/>
      </w:divBdr>
    </w:div>
    <w:div w:id="321280373">
      <w:bodyDiv w:val="1"/>
      <w:marLeft w:val="0"/>
      <w:marRight w:val="0"/>
      <w:marTop w:val="0"/>
      <w:marBottom w:val="0"/>
      <w:divBdr>
        <w:top w:val="none" w:sz="0" w:space="0" w:color="auto"/>
        <w:left w:val="none" w:sz="0" w:space="0" w:color="auto"/>
        <w:bottom w:val="none" w:sz="0" w:space="0" w:color="auto"/>
        <w:right w:val="none" w:sz="0" w:space="0" w:color="auto"/>
      </w:divBdr>
    </w:div>
    <w:div w:id="383482513">
      <w:bodyDiv w:val="1"/>
      <w:marLeft w:val="0"/>
      <w:marRight w:val="0"/>
      <w:marTop w:val="0"/>
      <w:marBottom w:val="0"/>
      <w:divBdr>
        <w:top w:val="none" w:sz="0" w:space="0" w:color="auto"/>
        <w:left w:val="none" w:sz="0" w:space="0" w:color="auto"/>
        <w:bottom w:val="none" w:sz="0" w:space="0" w:color="auto"/>
        <w:right w:val="none" w:sz="0" w:space="0" w:color="auto"/>
      </w:divBdr>
    </w:div>
    <w:div w:id="393311553">
      <w:bodyDiv w:val="1"/>
      <w:marLeft w:val="0"/>
      <w:marRight w:val="0"/>
      <w:marTop w:val="0"/>
      <w:marBottom w:val="0"/>
      <w:divBdr>
        <w:top w:val="none" w:sz="0" w:space="0" w:color="auto"/>
        <w:left w:val="none" w:sz="0" w:space="0" w:color="auto"/>
        <w:bottom w:val="none" w:sz="0" w:space="0" w:color="auto"/>
        <w:right w:val="none" w:sz="0" w:space="0" w:color="auto"/>
      </w:divBdr>
    </w:div>
    <w:div w:id="409011118">
      <w:bodyDiv w:val="1"/>
      <w:marLeft w:val="0"/>
      <w:marRight w:val="0"/>
      <w:marTop w:val="0"/>
      <w:marBottom w:val="0"/>
      <w:divBdr>
        <w:top w:val="none" w:sz="0" w:space="0" w:color="auto"/>
        <w:left w:val="none" w:sz="0" w:space="0" w:color="auto"/>
        <w:bottom w:val="none" w:sz="0" w:space="0" w:color="auto"/>
        <w:right w:val="none" w:sz="0" w:space="0" w:color="auto"/>
      </w:divBdr>
    </w:div>
    <w:div w:id="440417055">
      <w:bodyDiv w:val="1"/>
      <w:marLeft w:val="0"/>
      <w:marRight w:val="0"/>
      <w:marTop w:val="0"/>
      <w:marBottom w:val="0"/>
      <w:divBdr>
        <w:top w:val="none" w:sz="0" w:space="0" w:color="auto"/>
        <w:left w:val="none" w:sz="0" w:space="0" w:color="auto"/>
        <w:bottom w:val="none" w:sz="0" w:space="0" w:color="auto"/>
        <w:right w:val="none" w:sz="0" w:space="0" w:color="auto"/>
      </w:divBdr>
    </w:div>
    <w:div w:id="479081529">
      <w:bodyDiv w:val="1"/>
      <w:marLeft w:val="0"/>
      <w:marRight w:val="0"/>
      <w:marTop w:val="0"/>
      <w:marBottom w:val="0"/>
      <w:divBdr>
        <w:top w:val="none" w:sz="0" w:space="0" w:color="auto"/>
        <w:left w:val="none" w:sz="0" w:space="0" w:color="auto"/>
        <w:bottom w:val="none" w:sz="0" w:space="0" w:color="auto"/>
        <w:right w:val="none" w:sz="0" w:space="0" w:color="auto"/>
      </w:divBdr>
      <w:divsChild>
        <w:div w:id="719325429">
          <w:marLeft w:val="0"/>
          <w:marRight w:val="0"/>
          <w:marTop w:val="0"/>
          <w:marBottom w:val="0"/>
          <w:divBdr>
            <w:top w:val="none" w:sz="0" w:space="0" w:color="auto"/>
            <w:left w:val="none" w:sz="0" w:space="0" w:color="auto"/>
            <w:bottom w:val="none" w:sz="0" w:space="0" w:color="auto"/>
            <w:right w:val="none" w:sz="0" w:space="0" w:color="auto"/>
          </w:divBdr>
          <w:divsChild>
            <w:div w:id="116948754">
              <w:marLeft w:val="0"/>
              <w:marRight w:val="0"/>
              <w:marTop w:val="0"/>
              <w:marBottom w:val="0"/>
              <w:divBdr>
                <w:top w:val="none" w:sz="0" w:space="0" w:color="auto"/>
                <w:left w:val="none" w:sz="0" w:space="0" w:color="auto"/>
                <w:bottom w:val="none" w:sz="0" w:space="0" w:color="auto"/>
                <w:right w:val="none" w:sz="0" w:space="0" w:color="auto"/>
              </w:divBdr>
            </w:div>
            <w:div w:id="2038389569">
              <w:marLeft w:val="0"/>
              <w:marRight w:val="0"/>
              <w:marTop w:val="0"/>
              <w:marBottom w:val="0"/>
              <w:divBdr>
                <w:top w:val="none" w:sz="0" w:space="0" w:color="auto"/>
                <w:left w:val="none" w:sz="0" w:space="0" w:color="auto"/>
                <w:bottom w:val="none" w:sz="0" w:space="0" w:color="auto"/>
                <w:right w:val="none" w:sz="0" w:space="0" w:color="auto"/>
              </w:divBdr>
            </w:div>
            <w:div w:id="1708068345">
              <w:marLeft w:val="0"/>
              <w:marRight w:val="0"/>
              <w:marTop w:val="0"/>
              <w:marBottom w:val="0"/>
              <w:divBdr>
                <w:top w:val="none" w:sz="0" w:space="0" w:color="auto"/>
                <w:left w:val="none" w:sz="0" w:space="0" w:color="auto"/>
                <w:bottom w:val="none" w:sz="0" w:space="0" w:color="auto"/>
                <w:right w:val="none" w:sz="0" w:space="0" w:color="auto"/>
              </w:divBdr>
            </w:div>
            <w:div w:id="437876396">
              <w:marLeft w:val="0"/>
              <w:marRight w:val="0"/>
              <w:marTop w:val="0"/>
              <w:marBottom w:val="0"/>
              <w:divBdr>
                <w:top w:val="none" w:sz="0" w:space="0" w:color="auto"/>
                <w:left w:val="none" w:sz="0" w:space="0" w:color="auto"/>
                <w:bottom w:val="none" w:sz="0" w:space="0" w:color="auto"/>
                <w:right w:val="none" w:sz="0" w:space="0" w:color="auto"/>
              </w:divBdr>
            </w:div>
            <w:div w:id="1211654462">
              <w:marLeft w:val="0"/>
              <w:marRight w:val="0"/>
              <w:marTop w:val="0"/>
              <w:marBottom w:val="0"/>
              <w:divBdr>
                <w:top w:val="none" w:sz="0" w:space="0" w:color="auto"/>
                <w:left w:val="none" w:sz="0" w:space="0" w:color="auto"/>
                <w:bottom w:val="none" w:sz="0" w:space="0" w:color="auto"/>
                <w:right w:val="none" w:sz="0" w:space="0" w:color="auto"/>
              </w:divBdr>
            </w:div>
            <w:div w:id="980890400">
              <w:marLeft w:val="0"/>
              <w:marRight w:val="0"/>
              <w:marTop w:val="0"/>
              <w:marBottom w:val="0"/>
              <w:divBdr>
                <w:top w:val="none" w:sz="0" w:space="0" w:color="auto"/>
                <w:left w:val="none" w:sz="0" w:space="0" w:color="auto"/>
                <w:bottom w:val="none" w:sz="0" w:space="0" w:color="auto"/>
                <w:right w:val="none" w:sz="0" w:space="0" w:color="auto"/>
              </w:divBdr>
            </w:div>
            <w:div w:id="17453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585427">
      <w:bodyDiv w:val="1"/>
      <w:marLeft w:val="0"/>
      <w:marRight w:val="0"/>
      <w:marTop w:val="0"/>
      <w:marBottom w:val="0"/>
      <w:divBdr>
        <w:top w:val="none" w:sz="0" w:space="0" w:color="auto"/>
        <w:left w:val="none" w:sz="0" w:space="0" w:color="auto"/>
        <w:bottom w:val="none" w:sz="0" w:space="0" w:color="auto"/>
        <w:right w:val="none" w:sz="0" w:space="0" w:color="auto"/>
      </w:divBdr>
    </w:div>
    <w:div w:id="567156663">
      <w:bodyDiv w:val="1"/>
      <w:marLeft w:val="0"/>
      <w:marRight w:val="0"/>
      <w:marTop w:val="0"/>
      <w:marBottom w:val="0"/>
      <w:divBdr>
        <w:top w:val="none" w:sz="0" w:space="0" w:color="auto"/>
        <w:left w:val="none" w:sz="0" w:space="0" w:color="auto"/>
        <w:bottom w:val="none" w:sz="0" w:space="0" w:color="auto"/>
        <w:right w:val="none" w:sz="0" w:space="0" w:color="auto"/>
      </w:divBdr>
    </w:div>
    <w:div w:id="672490588">
      <w:bodyDiv w:val="1"/>
      <w:marLeft w:val="0"/>
      <w:marRight w:val="0"/>
      <w:marTop w:val="0"/>
      <w:marBottom w:val="0"/>
      <w:divBdr>
        <w:top w:val="none" w:sz="0" w:space="0" w:color="auto"/>
        <w:left w:val="none" w:sz="0" w:space="0" w:color="auto"/>
        <w:bottom w:val="none" w:sz="0" w:space="0" w:color="auto"/>
        <w:right w:val="none" w:sz="0" w:space="0" w:color="auto"/>
      </w:divBdr>
    </w:div>
    <w:div w:id="713427289">
      <w:bodyDiv w:val="1"/>
      <w:marLeft w:val="0"/>
      <w:marRight w:val="0"/>
      <w:marTop w:val="0"/>
      <w:marBottom w:val="0"/>
      <w:divBdr>
        <w:top w:val="none" w:sz="0" w:space="0" w:color="auto"/>
        <w:left w:val="none" w:sz="0" w:space="0" w:color="auto"/>
        <w:bottom w:val="none" w:sz="0" w:space="0" w:color="auto"/>
        <w:right w:val="none" w:sz="0" w:space="0" w:color="auto"/>
      </w:divBdr>
    </w:div>
    <w:div w:id="841817339">
      <w:bodyDiv w:val="1"/>
      <w:marLeft w:val="0"/>
      <w:marRight w:val="0"/>
      <w:marTop w:val="0"/>
      <w:marBottom w:val="0"/>
      <w:divBdr>
        <w:top w:val="none" w:sz="0" w:space="0" w:color="auto"/>
        <w:left w:val="none" w:sz="0" w:space="0" w:color="auto"/>
        <w:bottom w:val="none" w:sz="0" w:space="0" w:color="auto"/>
        <w:right w:val="none" w:sz="0" w:space="0" w:color="auto"/>
      </w:divBdr>
    </w:div>
    <w:div w:id="850606468">
      <w:bodyDiv w:val="1"/>
      <w:marLeft w:val="0"/>
      <w:marRight w:val="0"/>
      <w:marTop w:val="0"/>
      <w:marBottom w:val="0"/>
      <w:divBdr>
        <w:top w:val="none" w:sz="0" w:space="0" w:color="auto"/>
        <w:left w:val="none" w:sz="0" w:space="0" w:color="auto"/>
        <w:bottom w:val="none" w:sz="0" w:space="0" w:color="auto"/>
        <w:right w:val="none" w:sz="0" w:space="0" w:color="auto"/>
      </w:divBdr>
    </w:div>
    <w:div w:id="851528996">
      <w:bodyDiv w:val="1"/>
      <w:marLeft w:val="0"/>
      <w:marRight w:val="0"/>
      <w:marTop w:val="0"/>
      <w:marBottom w:val="0"/>
      <w:divBdr>
        <w:top w:val="none" w:sz="0" w:space="0" w:color="auto"/>
        <w:left w:val="none" w:sz="0" w:space="0" w:color="auto"/>
        <w:bottom w:val="none" w:sz="0" w:space="0" w:color="auto"/>
        <w:right w:val="none" w:sz="0" w:space="0" w:color="auto"/>
      </w:divBdr>
    </w:div>
    <w:div w:id="906186420">
      <w:bodyDiv w:val="1"/>
      <w:marLeft w:val="0"/>
      <w:marRight w:val="0"/>
      <w:marTop w:val="0"/>
      <w:marBottom w:val="0"/>
      <w:divBdr>
        <w:top w:val="none" w:sz="0" w:space="0" w:color="auto"/>
        <w:left w:val="none" w:sz="0" w:space="0" w:color="auto"/>
        <w:bottom w:val="none" w:sz="0" w:space="0" w:color="auto"/>
        <w:right w:val="none" w:sz="0" w:space="0" w:color="auto"/>
      </w:divBdr>
    </w:div>
    <w:div w:id="913514159">
      <w:bodyDiv w:val="1"/>
      <w:marLeft w:val="0"/>
      <w:marRight w:val="0"/>
      <w:marTop w:val="0"/>
      <w:marBottom w:val="0"/>
      <w:divBdr>
        <w:top w:val="none" w:sz="0" w:space="0" w:color="auto"/>
        <w:left w:val="none" w:sz="0" w:space="0" w:color="auto"/>
        <w:bottom w:val="none" w:sz="0" w:space="0" w:color="auto"/>
        <w:right w:val="none" w:sz="0" w:space="0" w:color="auto"/>
      </w:divBdr>
    </w:div>
    <w:div w:id="976450785">
      <w:bodyDiv w:val="1"/>
      <w:marLeft w:val="0"/>
      <w:marRight w:val="0"/>
      <w:marTop w:val="0"/>
      <w:marBottom w:val="0"/>
      <w:divBdr>
        <w:top w:val="none" w:sz="0" w:space="0" w:color="auto"/>
        <w:left w:val="none" w:sz="0" w:space="0" w:color="auto"/>
        <w:bottom w:val="none" w:sz="0" w:space="0" w:color="auto"/>
        <w:right w:val="none" w:sz="0" w:space="0" w:color="auto"/>
      </w:divBdr>
    </w:div>
    <w:div w:id="978077108">
      <w:bodyDiv w:val="1"/>
      <w:marLeft w:val="0"/>
      <w:marRight w:val="0"/>
      <w:marTop w:val="0"/>
      <w:marBottom w:val="0"/>
      <w:divBdr>
        <w:top w:val="none" w:sz="0" w:space="0" w:color="auto"/>
        <w:left w:val="none" w:sz="0" w:space="0" w:color="auto"/>
        <w:bottom w:val="none" w:sz="0" w:space="0" w:color="auto"/>
        <w:right w:val="none" w:sz="0" w:space="0" w:color="auto"/>
      </w:divBdr>
    </w:div>
    <w:div w:id="992832051">
      <w:bodyDiv w:val="1"/>
      <w:marLeft w:val="0"/>
      <w:marRight w:val="0"/>
      <w:marTop w:val="0"/>
      <w:marBottom w:val="0"/>
      <w:divBdr>
        <w:top w:val="none" w:sz="0" w:space="0" w:color="auto"/>
        <w:left w:val="none" w:sz="0" w:space="0" w:color="auto"/>
        <w:bottom w:val="none" w:sz="0" w:space="0" w:color="auto"/>
        <w:right w:val="none" w:sz="0" w:space="0" w:color="auto"/>
      </w:divBdr>
    </w:div>
    <w:div w:id="1000427186">
      <w:bodyDiv w:val="1"/>
      <w:marLeft w:val="0"/>
      <w:marRight w:val="0"/>
      <w:marTop w:val="0"/>
      <w:marBottom w:val="0"/>
      <w:divBdr>
        <w:top w:val="none" w:sz="0" w:space="0" w:color="auto"/>
        <w:left w:val="none" w:sz="0" w:space="0" w:color="auto"/>
        <w:bottom w:val="none" w:sz="0" w:space="0" w:color="auto"/>
        <w:right w:val="none" w:sz="0" w:space="0" w:color="auto"/>
      </w:divBdr>
    </w:div>
    <w:div w:id="1020204486">
      <w:bodyDiv w:val="1"/>
      <w:marLeft w:val="0"/>
      <w:marRight w:val="0"/>
      <w:marTop w:val="0"/>
      <w:marBottom w:val="0"/>
      <w:divBdr>
        <w:top w:val="none" w:sz="0" w:space="0" w:color="auto"/>
        <w:left w:val="none" w:sz="0" w:space="0" w:color="auto"/>
        <w:bottom w:val="none" w:sz="0" w:space="0" w:color="auto"/>
        <w:right w:val="none" w:sz="0" w:space="0" w:color="auto"/>
      </w:divBdr>
      <w:divsChild>
        <w:div w:id="1657419041">
          <w:marLeft w:val="0"/>
          <w:marRight w:val="0"/>
          <w:marTop w:val="0"/>
          <w:marBottom w:val="0"/>
          <w:divBdr>
            <w:top w:val="none" w:sz="0" w:space="0" w:color="auto"/>
            <w:left w:val="none" w:sz="0" w:space="0" w:color="auto"/>
            <w:bottom w:val="none" w:sz="0" w:space="0" w:color="auto"/>
            <w:right w:val="none" w:sz="0" w:space="0" w:color="auto"/>
          </w:divBdr>
          <w:divsChild>
            <w:div w:id="399400930">
              <w:marLeft w:val="0"/>
              <w:marRight w:val="0"/>
              <w:marTop w:val="0"/>
              <w:marBottom w:val="0"/>
              <w:divBdr>
                <w:top w:val="none" w:sz="0" w:space="0" w:color="auto"/>
                <w:left w:val="none" w:sz="0" w:space="0" w:color="auto"/>
                <w:bottom w:val="none" w:sz="0" w:space="0" w:color="auto"/>
                <w:right w:val="none" w:sz="0" w:space="0" w:color="auto"/>
              </w:divBdr>
            </w:div>
            <w:div w:id="2110083350">
              <w:marLeft w:val="0"/>
              <w:marRight w:val="0"/>
              <w:marTop w:val="0"/>
              <w:marBottom w:val="0"/>
              <w:divBdr>
                <w:top w:val="none" w:sz="0" w:space="0" w:color="auto"/>
                <w:left w:val="none" w:sz="0" w:space="0" w:color="auto"/>
                <w:bottom w:val="none" w:sz="0" w:space="0" w:color="auto"/>
                <w:right w:val="none" w:sz="0" w:space="0" w:color="auto"/>
              </w:divBdr>
            </w:div>
            <w:div w:id="1706179628">
              <w:marLeft w:val="0"/>
              <w:marRight w:val="0"/>
              <w:marTop w:val="0"/>
              <w:marBottom w:val="0"/>
              <w:divBdr>
                <w:top w:val="none" w:sz="0" w:space="0" w:color="auto"/>
                <w:left w:val="none" w:sz="0" w:space="0" w:color="auto"/>
                <w:bottom w:val="none" w:sz="0" w:space="0" w:color="auto"/>
                <w:right w:val="none" w:sz="0" w:space="0" w:color="auto"/>
              </w:divBdr>
            </w:div>
            <w:div w:id="19280064">
              <w:marLeft w:val="0"/>
              <w:marRight w:val="0"/>
              <w:marTop w:val="0"/>
              <w:marBottom w:val="0"/>
              <w:divBdr>
                <w:top w:val="none" w:sz="0" w:space="0" w:color="auto"/>
                <w:left w:val="none" w:sz="0" w:space="0" w:color="auto"/>
                <w:bottom w:val="none" w:sz="0" w:space="0" w:color="auto"/>
                <w:right w:val="none" w:sz="0" w:space="0" w:color="auto"/>
              </w:divBdr>
            </w:div>
            <w:div w:id="1059087017">
              <w:marLeft w:val="0"/>
              <w:marRight w:val="0"/>
              <w:marTop w:val="0"/>
              <w:marBottom w:val="0"/>
              <w:divBdr>
                <w:top w:val="none" w:sz="0" w:space="0" w:color="auto"/>
                <w:left w:val="none" w:sz="0" w:space="0" w:color="auto"/>
                <w:bottom w:val="none" w:sz="0" w:space="0" w:color="auto"/>
                <w:right w:val="none" w:sz="0" w:space="0" w:color="auto"/>
              </w:divBdr>
            </w:div>
            <w:div w:id="407121615">
              <w:marLeft w:val="0"/>
              <w:marRight w:val="0"/>
              <w:marTop w:val="0"/>
              <w:marBottom w:val="0"/>
              <w:divBdr>
                <w:top w:val="none" w:sz="0" w:space="0" w:color="auto"/>
                <w:left w:val="none" w:sz="0" w:space="0" w:color="auto"/>
                <w:bottom w:val="none" w:sz="0" w:space="0" w:color="auto"/>
                <w:right w:val="none" w:sz="0" w:space="0" w:color="auto"/>
              </w:divBdr>
            </w:div>
            <w:div w:id="11379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07481">
      <w:bodyDiv w:val="1"/>
      <w:marLeft w:val="0"/>
      <w:marRight w:val="0"/>
      <w:marTop w:val="0"/>
      <w:marBottom w:val="0"/>
      <w:divBdr>
        <w:top w:val="none" w:sz="0" w:space="0" w:color="auto"/>
        <w:left w:val="none" w:sz="0" w:space="0" w:color="auto"/>
        <w:bottom w:val="none" w:sz="0" w:space="0" w:color="auto"/>
        <w:right w:val="none" w:sz="0" w:space="0" w:color="auto"/>
      </w:divBdr>
    </w:div>
    <w:div w:id="1077705276">
      <w:bodyDiv w:val="1"/>
      <w:marLeft w:val="0"/>
      <w:marRight w:val="0"/>
      <w:marTop w:val="0"/>
      <w:marBottom w:val="0"/>
      <w:divBdr>
        <w:top w:val="none" w:sz="0" w:space="0" w:color="auto"/>
        <w:left w:val="none" w:sz="0" w:space="0" w:color="auto"/>
        <w:bottom w:val="none" w:sz="0" w:space="0" w:color="auto"/>
        <w:right w:val="none" w:sz="0" w:space="0" w:color="auto"/>
      </w:divBdr>
    </w:div>
    <w:div w:id="1148596502">
      <w:bodyDiv w:val="1"/>
      <w:marLeft w:val="0"/>
      <w:marRight w:val="0"/>
      <w:marTop w:val="0"/>
      <w:marBottom w:val="0"/>
      <w:divBdr>
        <w:top w:val="none" w:sz="0" w:space="0" w:color="auto"/>
        <w:left w:val="none" w:sz="0" w:space="0" w:color="auto"/>
        <w:bottom w:val="none" w:sz="0" w:space="0" w:color="auto"/>
        <w:right w:val="none" w:sz="0" w:space="0" w:color="auto"/>
      </w:divBdr>
    </w:div>
    <w:div w:id="1151563009">
      <w:bodyDiv w:val="1"/>
      <w:marLeft w:val="0"/>
      <w:marRight w:val="0"/>
      <w:marTop w:val="0"/>
      <w:marBottom w:val="0"/>
      <w:divBdr>
        <w:top w:val="none" w:sz="0" w:space="0" w:color="auto"/>
        <w:left w:val="none" w:sz="0" w:space="0" w:color="auto"/>
        <w:bottom w:val="none" w:sz="0" w:space="0" w:color="auto"/>
        <w:right w:val="none" w:sz="0" w:space="0" w:color="auto"/>
      </w:divBdr>
    </w:div>
    <w:div w:id="1174152814">
      <w:bodyDiv w:val="1"/>
      <w:marLeft w:val="0"/>
      <w:marRight w:val="0"/>
      <w:marTop w:val="0"/>
      <w:marBottom w:val="0"/>
      <w:divBdr>
        <w:top w:val="none" w:sz="0" w:space="0" w:color="auto"/>
        <w:left w:val="none" w:sz="0" w:space="0" w:color="auto"/>
        <w:bottom w:val="none" w:sz="0" w:space="0" w:color="auto"/>
        <w:right w:val="none" w:sz="0" w:space="0" w:color="auto"/>
      </w:divBdr>
    </w:div>
    <w:div w:id="1198660006">
      <w:bodyDiv w:val="1"/>
      <w:marLeft w:val="0"/>
      <w:marRight w:val="0"/>
      <w:marTop w:val="0"/>
      <w:marBottom w:val="0"/>
      <w:divBdr>
        <w:top w:val="none" w:sz="0" w:space="0" w:color="auto"/>
        <w:left w:val="none" w:sz="0" w:space="0" w:color="auto"/>
        <w:bottom w:val="none" w:sz="0" w:space="0" w:color="auto"/>
        <w:right w:val="none" w:sz="0" w:space="0" w:color="auto"/>
      </w:divBdr>
    </w:div>
    <w:div w:id="1204637902">
      <w:bodyDiv w:val="1"/>
      <w:marLeft w:val="0"/>
      <w:marRight w:val="0"/>
      <w:marTop w:val="0"/>
      <w:marBottom w:val="0"/>
      <w:divBdr>
        <w:top w:val="none" w:sz="0" w:space="0" w:color="auto"/>
        <w:left w:val="none" w:sz="0" w:space="0" w:color="auto"/>
        <w:bottom w:val="none" w:sz="0" w:space="0" w:color="auto"/>
        <w:right w:val="none" w:sz="0" w:space="0" w:color="auto"/>
      </w:divBdr>
    </w:div>
    <w:div w:id="1226642322">
      <w:bodyDiv w:val="1"/>
      <w:marLeft w:val="0"/>
      <w:marRight w:val="0"/>
      <w:marTop w:val="0"/>
      <w:marBottom w:val="0"/>
      <w:divBdr>
        <w:top w:val="none" w:sz="0" w:space="0" w:color="auto"/>
        <w:left w:val="none" w:sz="0" w:space="0" w:color="auto"/>
        <w:bottom w:val="none" w:sz="0" w:space="0" w:color="auto"/>
        <w:right w:val="none" w:sz="0" w:space="0" w:color="auto"/>
      </w:divBdr>
    </w:div>
    <w:div w:id="1245532687">
      <w:bodyDiv w:val="1"/>
      <w:marLeft w:val="0"/>
      <w:marRight w:val="0"/>
      <w:marTop w:val="0"/>
      <w:marBottom w:val="0"/>
      <w:divBdr>
        <w:top w:val="none" w:sz="0" w:space="0" w:color="auto"/>
        <w:left w:val="none" w:sz="0" w:space="0" w:color="auto"/>
        <w:bottom w:val="none" w:sz="0" w:space="0" w:color="auto"/>
        <w:right w:val="none" w:sz="0" w:space="0" w:color="auto"/>
      </w:divBdr>
    </w:div>
    <w:div w:id="1299647575">
      <w:bodyDiv w:val="1"/>
      <w:marLeft w:val="0"/>
      <w:marRight w:val="0"/>
      <w:marTop w:val="0"/>
      <w:marBottom w:val="0"/>
      <w:divBdr>
        <w:top w:val="none" w:sz="0" w:space="0" w:color="auto"/>
        <w:left w:val="none" w:sz="0" w:space="0" w:color="auto"/>
        <w:bottom w:val="none" w:sz="0" w:space="0" w:color="auto"/>
        <w:right w:val="none" w:sz="0" w:space="0" w:color="auto"/>
      </w:divBdr>
    </w:div>
    <w:div w:id="1306591385">
      <w:bodyDiv w:val="1"/>
      <w:marLeft w:val="0"/>
      <w:marRight w:val="0"/>
      <w:marTop w:val="0"/>
      <w:marBottom w:val="0"/>
      <w:divBdr>
        <w:top w:val="none" w:sz="0" w:space="0" w:color="auto"/>
        <w:left w:val="none" w:sz="0" w:space="0" w:color="auto"/>
        <w:bottom w:val="none" w:sz="0" w:space="0" w:color="auto"/>
        <w:right w:val="none" w:sz="0" w:space="0" w:color="auto"/>
      </w:divBdr>
    </w:div>
    <w:div w:id="1403287652">
      <w:bodyDiv w:val="1"/>
      <w:marLeft w:val="0"/>
      <w:marRight w:val="0"/>
      <w:marTop w:val="0"/>
      <w:marBottom w:val="0"/>
      <w:divBdr>
        <w:top w:val="none" w:sz="0" w:space="0" w:color="auto"/>
        <w:left w:val="none" w:sz="0" w:space="0" w:color="auto"/>
        <w:bottom w:val="none" w:sz="0" w:space="0" w:color="auto"/>
        <w:right w:val="none" w:sz="0" w:space="0" w:color="auto"/>
      </w:divBdr>
    </w:div>
    <w:div w:id="1457262011">
      <w:bodyDiv w:val="1"/>
      <w:marLeft w:val="0"/>
      <w:marRight w:val="0"/>
      <w:marTop w:val="0"/>
      <w:marBottom w:val="0"/>
      <w:divBdr>
        <w:top w:val="none" w:sz="0" w:space="0" w:color="auto"/>
        <w:left w:val="none" w:sz="0" w:space="0" w:color="auto"/>
        <w:bottom w:val="none" w:sz="0" w:space="0" w:color="auto"/>
        <w:right w:val="none" w:sz="0" w:space="0" w:color="auto"/>
      </w:divBdr>
    </w:div>
    <w:div w:id="1519806435">
      <w:bodyDiv w:val="1"/>
      <w:marLeft w:val="0"/>
      <w:marRight w:val="0"/>
      <w:marTop w:val="0"/>
      <w:marBottom w:val="0"/>
      <w:divBdr>
        <w:top w:val="none" w:sz="0" w:space="0" w:color="auto"/>
        <w:left w:val="none" w:sz="0" w:space="0" w:color="auto"/>
        <w:bottom w:val="none" w:sz="0" w:space="0" w:color="auto"/>
        <w:right w:val="none" w:sz="0" w:space="0" w:color="auto"/>
      </w:divBdr>
    </w:div>
    <w:div w:id="1524593115">
      <w:bodyDiv w:val="1"/>
      <w:marLeft w:val="0"/>
      <w:marRight w:val="0"/>
      <w:marTop w:val="0"/>
      <w:marBottom w:val="0"/>
      <w:divBdr>
        <w:top w:val="none" w:sz="0" w:space="0" w:color="auto"/>
        <w:left w:val="none" w:sz="0" w:space="0" w:color="auto"/>
        <w:bottom w:val="none" w:sz="0" w:space="0" w:color="auto"/>
        <w:right w:val="none" w:sz="0" w:space="0" w:color="auto"/>
      </w:divBdr>
    </w:div>
    <w:div w:id="1557544296">
      <w:bodyDiv w:val="1"/>
      <w:marLeft w:val="0"/>
      <w:marRight w:val="0"/>
      <w:marTop w:val="0"/>
      <w:marBottom w:val="0"/>
      <w:divBdr>
        <w:top w:val="none" w:sz="0" w:space="0" w:color="auto"/>
        <w:left w:val="none" w:sz="0" w:space="0" w:color="auto"/>
        <w:bottom w:val="none" w:sz="0" w:space="0" w:color="auto"/>
        <w:right w:val="none" w:sz="0" w:space="0" w:color="auto"/>
      </w:divBdr>
    </w:div>
    <w:div w:id="1557812019">
      <w:bodyDiv w:val="1"/>
      <w:marLeft w:val="0"/>
      <w:marRight w:val="0"/>
      <w:marTop w:val="0"/>
      <w:marBottom w:val="0"/>
      <w:divBdr>
        <w:top w:val="none" w:sz="0" w:space="0" w:color="auto"/>
        <w:left w:val="none" w:sz="0" w:space="0" w:color="auto"/>
        <w:bottom w:val="none" w:sz="0" w:space="0" w:color="auto"/>
        <w:right w:val="none" w:sz="0" w:space="0" w:color="auto"/>
      </w:divBdr>
    </w:div>
    <w:div w:id="1685477537">
      <w:bodyDiv w:val="1"/>
      <w:marLeft w:val="0"/>
      <w:marRight w:val="0"/>
      <w:marTop w:val="0"/>
      <w:marBottom w:val="0"/>
      <w:divBdr>
        <w:top w:val="none" w:sz="0" w:space="0" w:color="auto"/>
        <w:left w:val="none" w:sz="0" w:space="0" w:color="auto"/>
        <w:bottom w:val="none" w:sz="0" w:space="0" w:color="auto"/>
        <w:right w:val="none" w:sz="0" w:space="0" w:color="auto"/>
      </w:divBdr>
    </w:div>
    <w:div w:id="1689601868">
      <w:bodyDiv w:val="1"/>
      <w:marLeft w:val="0"/>
      <w:marRight w:val="0"/>
      <w:marTop w:val="0"/>
      <w:marBottom w:val="0"/>
      <w:divBdr>
        <w:top w:val="none" w:sz="0" w:space="0" w:color="auto"/>
        <w:left w:val="none" w:sz="0" w:space="0" w:color="auto"/>
        <w:bottom w:val="none" w:sz="0" w:space="0" w:color="auto"/>
        <w:right w:val="none" w:sz="0" w:space="0" w:color="auto"/>
      </w:divBdr>
    </w:div>
    <w:div w:id="1727532507">
      <w:bodyDiv w:val="1"/>
      <w:marLeft w:val="0"/>
      <w:marRight w:val="0"/>
      <w:marTop w:val="0"/>
      <w:marBottom w:val="0"/>
      <w:divBdr>
        <w:top w:val="none" w:sz="0" w:space="0" w:color="auto"/>
        <w:left w:val="none" w:sz="0" w:space="0" w:color="auto"/>
        <w:bottom w:val="none" w:sz="0" w:space="0" w:color="auto"/>
        <w:right w:val="none" w:sz="0" w:space="0" w:color="auto"/>
      </w:divBdr>
    </w:div>
    <w:div w:id="1730375399">
      <w:bodyDiv w:val="1"/>
      <w:marLeft w:val="0"/>
      <w:marRight w:val="0"/>
      <w:marTop w:val="0"/>
      <w:marBottom w:val="0"/>
      <w:divBdr>
        <w:top w:val="none" w:sz="0" w:space="0" w:color="auto"/>
        <w:left w:val="none" w:sz="0" w:space="0" w:color="auto"/>
        <w:bottom w:val="none" w:sz="0" w:space="0" w:color="auto"/>
        <w:right w:val="none" w:sz="0" w:space="0" w:color="auto"/>
      </w:divBdr>
    </w:div>
    <w:div w:id="1788960567">
      <w:bodyDiv w:val="1"/>
      <w:marLeft w:val="0"/>
      <w:marRight w:val="0"/>
      <w:marTop w:val="0"/>
      <w:marBottom w:val="0"/>
      <w:divBdr>
        <w:top w:val="none" w:sz="0" w:space="0" w:color="auto"/>
        <w:left w:val="none" w:sz="0" w:space="0" w:color="auto"/>
        <w:bottom w:val="none" w:sz="0" w:space="0" w:color="auto"/>
        <w:right w:val="none" w:sz="0" w:space="0" w:color="auto"/>
      </w:divBdr>
    </w:div>
    <w:div w:id="1789205186">
      <w:bodyDiv w:val="1"/>
      <w:marLeft w:val="0"/>
      <w:marRight w:val="0"/>
      <w:marTop w:val="0"/>
      <w:marBottom w:val="0"/>
      <w:divBdr>
        <w:top w:val="none" w:sz="0" w:space="0" w:color="auto"/>
        <w:left w:val="none" w:sz="0" w:space="0" w:color="auto"/>
        <w:bottom w:val="none" w:sz="0" w:space="0" w:color="auto"/>
        <w:right w:val="none" w:sz="0" w:space="0" w:color="auto"/>
      </w:divBdr>
    </w:div>
    <w:div w:id="1842155410">
      <w:bodyDiv w:val="1"/>
      <w:marLeft w:val="0"/>
      <w:marRight w:val="0"/>
      <w:marTop w:val="0"/>
      <w:marBottom w:val="0"/>
      <w:divBdr>
        <w:top w:val="none" w:sz="0" w:space="0" w:color="auto"/>
        <w:left w:val="none" w:sz="0" w:space="0" w:color="auto"/>
        <w:bottom w:val="none" w:sz="0" w:space="0" w:color="auto"/>
        <w:right w:val="none" w:sz="0" w:space="0" w:color="auto"/>
      </w:divBdr>
    </w:div>
    <w:div w:id="1866282619">
      <w:bodyDiv w:val="1"/>
      <w:marLeft w:val="0"/>
      <w:marRight w:val="0"/>
      <w:marTop w:val="0"/>
      <w:marBottom w:val="0"/>
      <w:divBdr>
        <w:top w:val="none" w:sz="0" w:space="0" w:color="auto"/>
        <w:left w:val="none" w:sz="0" w:space="0" w:color="auto"/>
        <w:bottom w:val="none" w:sz="0" w:space="0" w:color="auto"/>
        <w:right w:val="none" w:sz="0" w:space="0" w:color="auto"/>
      </w:divBdr>
    </w:div>
    <w:div w:id="1886986714">
      <w:bodyDiv w:val="1"/>
      <w:marLeft w:val="0"/>
      <w:marRight w:val="0"/>
      <w:marTop w:val="0"/>
      <w:marBottom w:val="0"/>
      <w:divBdr>
        <w:top w:val="none" w:sz="0" w:space="0" w:color="auto"/>
        <w:left w:val="none" w:sz="0" w:space="0" w:color="auto"/>
        <w:bottom w:val="none" w:sz="0" w:space="0" w:color="auto"/>
        <w:right w:val="none" w:sz="0" w:space="0" w:color="auto"/>
      </w:divBdr>
    </w:div>
    <w:div w:id="1907568584">
      <w:bodyDiv w:val="1"/>
      <w:marLeft w:val="0"/>
      <w:marRight w:val="0"/>
      <w:marTop w:val="0"/>
      <w:marBottom w:val="0"/>
      <w:divBdr>
        <w:top w:val="none" w:sz="0" w:space="0" w:color="auto"/>
        <w:left w:val="none" w:sz="0" w:space="0" w:color="auto"/>
        <w:bottom w:val="none" w:sz="0" w:space="0" w:color="auto"/>
        <w:right w:val="none" w:sz="0" w:space="0" w:color="auto"/>
      </w:divBdr>
    </w:div>
    <w:div w:id="1959725040">
      <w:bodyDiv w:val="1"/>
      <w:marLeft w:val="0"/>
      <w:marRight w:val="0"/>
      <w:marTop w:val="0"/>
      <w:marBottom w:val="0"/>
      <w:divBdr>
        <w:top w:val="none" w:sz="0" w:space="0" w:color="auto"/>
        <w:left w:val="none" w:sz="0" w:space="0" w:color="auto"/>
        <w:bottom w:val="none" w:sz="0" w:space="0" w:color="auto"/>
        <w:right w:val="none" w:sz="0" w:space="0" w:color="auto"/>
      </w:divBdr>
    </w:div>
    <w:div w:id="1966233498">
      <w:bodyDiv w:val="1"/>
      <w:marLeft w:val="0"/>
      <w:marRight w:val="0"/>
      <w:marTop w:val="0"/>
      <w:marBottom w:val="0"/>
      <w:divBdr>
        <w:top w:val="none" w:sz="0" w:space="0" w:color="auto"/>
        <w:left w:val="none" w:sz="0" w:space="0" w:color="auto"/>
        <w:bottom w:val="none" w:sz="0" w:space="0" w:color="auto"/>
        <w:right w:val="none" w:sz="0" w:space="0" w:color="auto"/>
      </w:divBdr>
    </w:div>
    <w:div w:id="1972787784">
      <w:bodyDiv w:val="1"/>
      <w:marLeft w:val="0"/>
      <w:marRight w:val="0"/>
      <w:marTop w:val="0"/>
      <w:marBottom w:val="0"/>
      <w:divBdr>
        <w:top w:val="none" w:sz="0" w:space="0" w:color="auto"/>
        <w:left w:val="none" w:sz="0" w:space="0" w:color="auto"/>
        <w:bottom w:val="none" w:sz="0" w:space="0" w:color="auto"/>
        <w:right w:val="none" w:sz="0" w:space="0" w:color="auto"/>
      </w:divBdr>
    </w:div>
    <w:div w:id="1992904276">
      <w:bodyDiv w:val="1"/>
      <w:marLeft w:val="0"/>
      <w:marRight w:val="0"/>
      <w:marTop w:val="0"/>
      <w:marBottom w:val="0"/>
      <w:divBdr>
        <w:top w:val="none" w:sz="0" w:space="0" w:color="auto"/>
        <w:left w:val="none" w:sz="0" w:space="0" w:color="auto"/>
        <w:bottom w:val="none" w:sz="0" w:space="0" w:color="auto"/>
        <w:right w:val="none" w:sz="0" w:space="0" w:color="auto"/>
      </w:divBdr>
    </w:div>
    <w:div w:id="1999771615">
      <w:bodyDiv w:val="1"/>
      <w:marLeft w:val="0"/>
      <w:marRight w:val="0"/>
      <w:marTop w:val="0"/>
      <w:marBottom w:val="0"/>
      <w:divBdr>
        <w:top w:val="none" w:sz="0" w:space="0" w:color="auto"/>
        <w:left w:val="none" w:sz="0" w:space="0" w:color="auto"/>
        <w:bottom w:val="none" w:sz="0" w:space="0" w:color="auto"/>
        <w:right w:val="none" w:sz="0" w:space="0" w:color="auto"/>
      </w:divBdr>
    </w:div>
    <w:div w:id="2010596781">
      <w:bodyDiv w:val="1"/>
      <w:marLeft w:val="0"/>
      <w:marRight w:val="0"/>
      <w:marTop w:val="0"/>
      <w:marBottom w:val="0"/>
      <w:divBdr>
        <w:top w:val="none" w:sz="0" w:space="0" w:color="auto"/>
        <w:left w:val="none" w:sz="0" w:space="0" w:color="auto"/>
        <w:bottom w:val="none" w:sz="0" w:space="0" w:color="auto"/>
        <w:right w:val="none" w:sz="0" w:space="0" w:color="auto"/>
      </w:divBdr>
    </w:div>
    <w:div w:id="2015258077">
      <w:bodyDiv w:val="1"/>
      <w:marLeft w:val="0"/>
      <w:marRight w:val="0"/>
      <w:marTop w:val="0"/>
      <w:marBottom w:val="0"/>
      <w:divBdr>
        <w:top w:val="none" w:sz="0" w:space="0" w:color="auto"/>
        <w:left w:val="none" w:sz="0" w:space="0" w:color="auto"/>
        <w:bottom w:val="none" w:sz="0" w:space="0" w:color="auto"/>
        <w:right w:val="none" w:sz="0" w:space="0" w:color="auto"/>
      </w:divBdr>
    </w:div>
    <w:div w:id="202467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37931-351D-41A6-AEC6-6BBD27812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2152</Words>
  <Characters>12267</Characters>
  <Application>Microsoft Office Word</Application>
  <DocSecurity>0</DocSecurity>
  <Lines>102</Lines>
  <Paragraphs>28</Paragraphs>
  <ScaleCrop>false</ScaleCrop>
  <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Iulia Cosa</dc:creator>
  <cp:keywords/>
  <dc:description/>
  <cp:lastModifiedBy>Sorina Iulia Cosa</cp:lastModifiedBy>
  <cp:revision>88</cp:revision>
  <dcterms:created xsi:type="dcterms:W3CDTF">2024-10-04T16:24:00Z</dcterms:created>
  <dcterms:modified xsi:type="dcterms:W3CDTF">2024-10-27T15:07:00Z</dcterms:modified>
</cp:coreProperties>
</file>