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45CA" w:rsidRPr="008D10B5" w:rsidRDefault="008A45CA" w:rsidP="008D10B5">
      <w:pPr>
        <w:ind w:right="-238"/>
        <w:jc w:val="both"/>
        <w:rPr>
          <w:rFonts w:asciiTheme="minorHAnsi" w:hAnsiTheme="minorHAnsi"/>
          <w:b/>
          <w:bCs/>
          <w:lang w:val="en-GB"/>
        </w:rPr>
      </w:pPr>
      <w:r w:rsidRPr="008D10B5">
        <w:rPr>
          <w:rFonts w:asciiTheme="minorHAnsi" w:hAnsiTheme="minorHAnsi"/>
          <w:b/>
          <w:bCs/>
          <w:lang w:val="en-GB"/>
        </w:rPr>
        <w:t>OSL dating report</w:t>
      </w:r>
    </w:p>
    <w:p w:rsidR="008A45CA" w:rsidRPr="008D10B5" w:rsidRDefault="008A45CA" w:rsidP="008D10B5">
      <w:pPr>
        <w:ind w:right="-238"/>
        <w:jc w:val="both"/>
        <w:rPr>
          <w:rFonts w:asciiTheme="minorHAnsi" w:hAnsiTheme="minorHAnsi"/>
          <w:b/>
          <w:bCs/>
          <w:lang w:val="en-GB"/>
        </w:rPr>
      </w:pPr>
    </w:p>
    <w:p w:rsidR="008A45CA" w:rsidRPr="008D10B5" w:rsidRDefault="008A45CA" w:rsidP="008D10B5">
      <w:pPr>
        <w:jc w:val="both"/>
        <w:rPr>
          <w:rFonts w:asciiTheme="minorHAnsi" w:hAnsiTheme="minorHAnsi"/>
          <w:b/>
          <w:bCs/>
          <w:lang w:val="en-GB"/>
        </w:rPr>
      </w:pPr>
    </w:p>
    <w:tbl>
      <w:tblPr>
        <w:tblW w:w="907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28"/>
        <w:gridCol w:w="5245"/>
      </w:tblGrid>
      <w:tr w:rsidR="008A45CA" w:rsidRPr="008D10B5" w:rsidTr="00D61164">
        <w:trPr>
          <w:cantSplit/>
          <w:trHeight w:val="550"/>
        </w:trPr>
        <w:tc>
          <w:tcPr>
            <w:tcW w:w="3828" w:type="dxa"/>
            <w:tcBorders>
              <w:bottom w:val="single" w:sz="4" w:space="0" w:color="auto"/>
            </w:tcBorders>
            <w:vAlign w:val="center"/>
          </w:tcPr>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Contact</w:t>
            </w:r>
          </w:p>
        </w:tc>
        <w:tc>
          <w:tcPr>
            <w:tcW w:w="5245" w:type="dxa"/>
            <w:tcBorders>
              <w:bottom w:val="single" w:sz="4" w:space="0" w:color="auto"/>
            </w:tcBorders>
            <w:vAlign w:val="center"/>
          </w:tcPr>
          <w:p w:rsidR="008A45CA" w:rsidRPr="008D10B5" w:rsidRDefault="008A45CA" w:rsidP="008D10B5">
            <w:pPr>
              <w:jc w:val="both"/>
              <w:rPr>
                <w:rFonts w:asciiTheme="minorHAnsi" w:hAnsiTheme="minorHAnsi"/>
                <w:b/>
                <w:lang w:eastAsia="en-GB"/>
              </w:rPr>
            </w:pPr>
            <w:r w:rsidRPr="008D10B5">
              <w:rPr>
                <w:rFonts w:asciiTheme="minorHAnsi" w:hAnsiTheme="minorHAnsi"/>
                <w:b/>
                <w:lang w:eastAsia="en-GB"/>
              </w:rPr>
              <w:t>Martin Bates</w:t>
            </w:r>
          </w:p>
        </w:tc>
      </w:tr>
      <w:tr w:rsidR="008A45CA" w:rsidRPr="008D10B5" w:rsidTr="00D61164">
        <w:trPr>
          <w:cantSplit/>
          <w:trHeight w:val="1670"/>
        </w:trPr>
        <w:tc>
          <w:tcPr>
            <w:tcW w:w="3828" w:type="dxa"/>
            <w:tcBorders>
              <w:bottom w:val="single" w:sz="4" w:space="0" w:color="auto"/>
            </w:tcBorders>
            <w:vAlign w:val="center"/>
          </w:tcPr>
          <w:p w:rsidR="008A45CA" w:rsidRPr="008D10B5" w:rsidRDefault="008A45CA" w:rsidP="008D10B5">
            <w:pPr>
              <w:keepNext/>
              <w:jc w:val="both"/>
              <w:outlineLvl w:val="6"/>
              <w:rPr>
                <w:rFonts w:asciiTheme="minorHAnsi" w:hAnsiTheme="minorHAnsi"/>
                <w:b/>
                <w:bCs/>
                <w:lang w:val="fr-FR"/>
              </w:rPr>
            </w:pPr>
            <w:proofErr w:type="spellStart"/>
            <w:r w:rsidRPr="008D10B5">
              <w:rPr>
                <w:rFonts w:asciiTheme="minorHAnsi" w:hAnsiTheme="minorHAnsi"/>
                <w:b/>
                <w:bCs/>
                <w:lang w:val="fr-FR"/>
              </w:rPr>
              <w:t>Address</w:t>
            </w:r>
            <w:proofErr w:type="spellEnd"/>
            <w:r w:rsidRPr="008D10B5">
              <w:rPr>
                <w:rFonts w:asciiTheme="minorHAnsi" w:hAnsiTheme="minorHAnsi"/>
                <w:b/>
                <w:bCs/>
                <w:lang w:val="fr-FR"/>
              </w:rPr>
              <w:t xml:space="preserve">    </w:t>
            </w:r>
          </w:p>
        </w:tc>
        <w:tc>
          <w:tcPr>
            <w:tcW w:w="5245" w:type="dxa"/>
            <w:tcBorders>
              <w:bottom w:val="single" w:sz="4" w:space="0" w:color="auto"/>
            </w:tcBorders>
            <w:vAlign w:val="center"/>
          </w:tcPr>
          <w:p w:rsidR="008A45CA" w:rsidRPr="008D10B5" w:rsidRDefault="008A45CA" w:rsidP="008D10B5">
            <w:pPr>
              <w:jc w:val="both"/>
              <w:rPr>
                <w:rFonts w:asciiTheme="minorHAnsi" w:hAnsiTheme="minorHAnsi"/>
                <w:bCs/>
                <w:lang w:val="en-GB" w:eastAsia="en-GB"/>
              </w:rPr>
            </w:pPr>
            <w:r w:rsidRPr="008D10B5">
              <w:rPr>
                <w:rFonts w:asciiTheme="minorHAnsi" w:hAnsiTheme="minorHAnsi"/>
                <w:bCs/>
                <w:lang w:val="en-GB" w:eastAsia="en-GB"/>
              </w:rPr>
              <w:t>Department of Archaeology and Anthropology,</w:t>
            </w:r>
          </w:p>
          <w:p w:rsidR="008A45CA" w:rsidRPr="008D10B5" w:rsidRDefault="008A45CA" w:rsidP="008D10B5">
            <w:pPr>
              <w:jc w:val="both"/>
              <w:rPr>
                <w:rFonts w:asciiTheme="minorHAnsi" w:hAnsiTheme="minorHAnsi"/>
                <w:bCs/>
                <w:lang w:val="en-GB" w:eastAsia="en-GB"/>
              </w:rPr>
            </w:pPr>
            <w:r w:rsidRPr="008D10B5">
              <w:rPr>
                <w:rFonts w:asciiTheme="minorHAnsi" w:hAnsiTheme="minorHAnsi"/>
                <w:bCs/>
                <w:lang w:val="en-GB" w:eastAsia="en-GB"/>
              </w:rPr>
              <w:t>University of Wales,</w:t>
            </w:r>
          </w:p>
          <w:p w:rsidR="008A45CA" w:rsidRPr="008D10B5" w:rsidRDefault="008A45CA" w:rsidP="008D10B5">
            <w:pPr>
              <w:jc w:val="both"/>
              <w:rPr>
                <w:rFonts w:asciiTheme="minorHAnsi" w:hAnsiTheme="minorHAnsi"/>
                <w:bCs/>
                <w:lang w:val="en-GB" w:eastAsia="en-GB"/>
              </w:rPr>
            </w:pPr>
            <w:r w:rsidRPr="008D10B5">
              <w:rPr>
                <w:rFonts w:asciiTheme="minorHAnsi" w:hAnsiTheme="minorHAnsi"/>
                <w:bCs/>
                <w:lang w:val="en-GB" w:eastAsia="en-GB"/>
              </w:rPr>
              <w:t>Lampeter,</w:t>
            </w:r>
          </w:p>
          <w:p w:rsidR="008A45CA" w:rsidRPr="008D10B5" w:rsidRDefault="008A45CA" w:rsidP="008D10B5">
            <w:pPr>
              <w:jc w:val="both"/>
              <w:rPr>
                <w:rFonts w:asciiTheme="minorHAnsi" w:hAnsiTheme="minorHAnsi"/>
                <w:bCs/>
                <w:lang w:val="en-GB" w:eastAsia="en-GB"/>
              </w:rPr>
            </w:pPr>
            <w:r w:rsidRPr="008D10B5">
              <w:rPr>
                <w:rFonts w:asciiTheme="minorHAnsi" w:hAnsiTheme="minorHAnsi"/>
                <w:bCs/>
                <w:lang w:val="en-GB" w:eastAsia="en-GB"/>
              </w:rPr>
              <w:t>Ceredigion,</w:t>
            </w:r>
          </w:p>
          <w:p w:rsidR="008A45CA" w:rsidRPr="008D10B5" w:rsidRDefault="008A45CA" w:rsidP="008D10B5">
            <w:pPr>
              <w:jc w:val="both"/>
              <w:rPr>
                <w:rFonts w:asciiTheme="minorHAnsi" w:hAnsiTheme="minorHAnsi"/>
                <w:bCs/>
                <w:lang w:val="en-GB" w:eastAsia="en-GB"/>
              </w:rPr>
            </w:pPr>
            <w:r w:rsidRPr="008D10B5">
              <w:rPr>
                <w:rFonts w:asciiTheme="minorHAnsi" w:hAnsiTheme="minorHAnsi"/>
                <w:bCs/>
                <w:lang w:val="en-GB" w:eastAsia="en-GB"/>
              </w:rPr>
              <w:t>Wales,</w:t>
            </w:r>
          </w:p>
          <w:p w:rsidR="008A45CA" w:rsidRPr="008D10B5" w:rsidRDefault="008A45CA" w:rsidP="008D10B5">
            <w:pPr>
              <w:jc w:val="both"/>
              <w:rPr>
                <w:rFonts w:asciiTheme="minorHAnsi" w:hAnsiTheme="minorHAnsi"/>
                <w:bCs/>
                <w:lang w:val="en-GB" w:eastAsia="en-GB"/>
              </w:rPr>
            </w:pPr>
            <w:r w:rsidRPr="008D10B5">
              <w:rPr>
                <w:rFonts w:asciiTheme="minorHAnsi" w:hAnsiTheme="minorHAnsi"/>
                <w:bCs/>
                <w:lang w:val="en-GB" w:eastAsia="en-GB"/>
              </w:rPr>
              <w:t>SA48 7ED.</w:t>
            </w:r>
          </w:p>
          <w:p w:rsidR="008A45CA" w:rsidRPr="008D10B5" w:rsidRDefault="008A45CA" w:rsidP="008D10B5">
            <w:pPr>
              <w:jc w:val="both"/>
              <w:rPr>
                <w:rFonts w:asciiTheme="minorHAnsi" w:hAnsiTheme="minorHAnsi"/>
                <w:lang w:eastAsia="en-GB"/>
              </w:rPr>
            </w:pPr>
          </w:p>
        </w:tc>
      </w:tr>
      <w:tr w:rsidR="008A45CA" w:rsidRPr="008D10B5" w:rsidTr="00D61164">
        <w:trPr>
          <w:cantSplit/>
          <w:trHeight w:val="443"/>
        </w:trPr>
        <w:tc>
          <w:tcPr>
            <w:tcW w:w="3828" w:type="dxa"/>
            <w:tcBorders>
              <w:bottom w:val="single" w:sz="4" w:space="0" w:color="auto"/>
            </w:tcBorders>
            <w:vAlign w:val="center"/>
          </w:tcPr>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Nature of samples</w:t>
            </w:r>
          </w:p>
        </w:tc>
        <w:tc>
          <w:tcPr>
            <w:tcW w:w="5245" w:type="dxa"/>
            <w:tcBorders>
              <w:bottom w:val="single" w:sz="4" w:space="0" w:color="auto"/>
            </w:tcBorders>
            <w:vAlign w:val="center"/>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OSL subsamples collected from sediment cores</w:t>
            </w:r>
          </w:p>
        </w:tc>
      </w:tr>
      <w:tr w:rsidR="008A45CA" w:rsidRPr="008D10B5" w:rsidTr="00D61164">
        <w:trPr>
          <w:cantSplit/>
          <w:trHeight w:val="563"/>
        </w:trPr>
        <w:tc>
          <w:tcPr>
            <w:tcW w:w="3828" w:type="dxa"/>
            <w:tcBorders>
              <w:bottom w:val="single" w:sz="4" w:space="0" w:color="auto"/>
            </w:tcBorders>
            <w:vAlign w:val="center"/>
          </w:tcPr>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Number of samples analysed</w:t>
            </w:r>
          </w:p>
        </w:tc>
        <w:tc>
          <w:tcPr>
            <w:tcW w:w="5245" w:type="dxa"/>
            <w:tcBorders>
              <w:bottom w:val="single" w:sz="4" w:space="0" w:color="auto"/>
            </w:tcBorders>
            <w:vAlign w:val="center"/>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w:t>
            </w:r>
          </w:p>
        </w:tc>
      </w:tr>
      <w:tr w:rsidR="008A45CA" w:rsidRPr="008D10B5" w:rsidTr="00D61164">
        <w:trPr>
          <w:cantSplit/>
          <w:trHeight w:val="415"/>
        </w:trPr>
        <w:tc>
          <w:tcPr>
            <w:tcW w:w="3828" w:type="dxa"/>
            <w:tcBorders>
              <w:bottom w:val="single" w:sz="4" w:space="0" w:color="auto"/>
            </w:tcBorders>
            <w:vAlign w:val="center"/>
          </w:tcPr>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Location of site</w:t>
            </w:r>
          </w:p>
        </w:tc>
        <w:tc>
          <w:tcPr>
            <w:tcW w:w="5245" w:type="dxa"/>
            <w:tcBorders>
              <w:bottom w:val="single" w:sz="4" w:space="0" w:color="auto"/>
            </w:tcBorders>
            <w:vAlign w:val="center"/>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Undisclosed</w:t>
            </w:r>
          </w:p>
        </w:tc>
      </w:tr>
      <w:tr w:rsidR="008A45CA" w:rsidRPr="008D10B5" w:rsidTr="00D61164">
        <w:trPr>
          <w:cantSplit/>
          <w:trHeight w:val="420"/>
        </w:trPr>
        <w:tc>
          <w:tcPr>
            <w:tcW w:w="3828" w:type="dxa"/>
            <w:tcBorders>
              <w:bottom w:val="single" w:sz="4" w:space="0" w:color="auto"/>
            </w:tcBorders>
            <w:vAlign w:val="center"/>
          </w:tcPr>
          <w:p w:rsidR="008A45CA" w:rsidRPr="008D10B5" w:rsidRDefault="008A45CA" w:rsidP="008D10B5">
            <w:pPr>
              <w:keepNext/>
              <w:jc w:val="both"/>
              <w:outlineLvl w:val="6"/>
              <w:rPr>
                <w:rFonts w:asciiTheme="minorHAnsi" w:hAnsiTheme="minorHAnsi"/>
                <w:b/>
                <w:bCs/>
                <w:lang w:val="en-GB"/>
              </w:rPr>
            </w:pPr>
            <w:r w:rsidRPr="008D10B5">
              <w:rPr>
                <w:rFonts w:asciiTheme="minorHAnsi" w:hAnsiTheme="minorHAnsi"/>
                <w:b/>
                <w:bCs/>
                <w:lang w:val="en-GB"/>
              </w:rPr>
              <w:t>Period of interest</w:t>
            </w:r>
          </w:p>
        </w:tc>
        <w:tc>
          <w:tcPr>
            <w:tcW w:w="5245" w:type="dxa"/>
            <w:tcBorders>
              <w:bottom w:val="single" w:sz="4" w:space="0" w:color="auto"/>
            </w:tcBorders>
            <w:vAlign w:val="center"/>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Pleistocene </w:t>
            </w:r>
          </w:p>
        </w:tc>
      </w:tr>
    </w:tbl>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tbl>
      <w:tblPr>
        <w:tblW w:w="923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1117"/>
        <w:gridCol w:w="873"/>
        <w:gridCol w:w="1560"/>
        <w:gridCol w:w="1203"/>
        <w:gridCol w:w="1993"/>
      </w:tblGrid>
      <w:tr w:rsidR="008A45CA" w:rsidRPr="008D10B5" w:rsidTr="00D61164">
        <w:trPr>
          <w:jc w:val="center"/>
        </w:trPr>
        <w:tc>
          <w:tcPr>
            <w:tcW w:w="2490" w:type="dxa"/>
          </w:tcPr>
          <w:p w:rsidR="008A45CA" w:rsidRPr="008D10B5" w:rsidRDefault="008A45CA" w:rsidP="008D10B5">
            <w:pPr>
              <w:keepNext/>
              <w:tabs>
                <w:tab w:val="left" w:pos="1027"/>
              </w:tabs>
              <w:suppressAutoHyphens/>
              <w:jc w:val="both"/>
              <w:outlineLvl w:val="7"/>
              <w:rPr>
                <w:rFonts w:asciiTheme="minorHAnsi" w:hAnsiTheme="minorHAnsi"/>
                <w:b/>
                <w:bCs/>
                <w:spacing w:val="-3"/>
                <w:lang w:val="en-GB"/>
              </w:rPr>
            </w:pPr>
            <w:r w:rsidRPr="008D10B5">
              <w:rPr>
                <w:rFonts w:asciiTheme="minorHAnsi" w:hAnsiTheme="minorHAnsi"/>
                <w:b/>
                <w:bCs/>
                <w:spacing w:val="-3"/>
                <w:lang w:val="en-GB"/>
              </w:rPr>
              <w:t xml:space="preserve">Field code </w:t>
            </w:r>
          </w:p>
          <w:p w:rsidR="008A45CA" w:rsidRPr="008D10B5" w:rsidRDefault="008A45CA" w:rsidP="008D10B5">
            <w:pPr>
              <w:keepNext/>
              <w:suppressAutoHyphens/>
              <w:jc w:val="both"/>
              <w:outlineLvl w:val="7"/>
              <w:rPr>
                <w:rFonts w:asciiTheme="minorHAnsi" w:hAnsiTheme="minorHAnsi"/>
                <w:b/>
                <w:bCs/>
                <w:spacing w:val="-3"/>
                <w:lang w:val="en-GB"/>
              </w:rPr>
            </w:pPr>
          </w:p>
        </w:tc>
        <w:tc>
          <w:tcPr>
            <w:tcW w:w="1117" w:type="dxa"/>
          </w:tcPr>
          <w:p w:rsidR="008A45CA" w:rsidRPr="008D10B5" w:rsidRDefault="008A45CA" w:rsidP="008D10B5">
            <w:pPr>
              <w:keepNext/>
              <w:suppressAutoHyphens/>
              <w:jc w:val="both"/>
              <w:outlineLvl w:val="7"/>
              <w:rPr>
                <w:rFonts w:asciiTheme="minorHAnsi" w:hAnsiTheme="minorHAnsi"/>
                <w:b/>
                <w:bCs/>
                <w:spacing w:val="-3"/>
                <w:lang w:val="en-GB"/>
              </w:rPr>
            </w:pPr>
            <w:r w:rsidRPr="008D10B5">
              <w:rPr>
                <w:rFonts w:asciiTheme="minorHAnsi" w:hAnsiTheme="minorHAnsi"/>
                <w:b/>
                <w:bCs/>
                <w:spacing w:val="-3"/>
                <w:lang w:val="en-GB"/>
              </w:rPr>
              <w:t>Lab. code</w:t>
            </w:r>
          </w:p>
        </w:tc>
        <w:tc>
          <w:tcPr>
            <w:tcW w:w="873" w:type="dxa"/>
          </w:tcPr>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Depth</w:t>
            </w: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(cm)</w:t>
            </w:r>
          </w:p>
        </w:tc>
        <w:tc>
          <w:tcPr>
            <w:tcW w:w="1560" w:type="dxa"/>
          </w:tcPr>
          <w:p w:rsidR="008A45CA" w:rsidRPr="008D10B5" w:rsidRDefault="008A45CA" w:rsidP="008D10B5">
            <w:pPr>
              <w:keepNext/>
              <w:suppressAutoHyphens/>
              <w:jc w:val="both"/>
              <w:outlineLvl w:val="7"/>
              <w:rPr>
                <w:rFonts w:asciiTheme="minorHAnsi" w:hAnsiTheme="minorHAnsi"/>
                <w:b/>
                <w:bCs/>
                <w:spacing w:val="-3"/>
                <w:lang w:val="en-GB"/>
              </w:rPr>
            </w:pPr>
            <w:r w:rsidRPr="008D10B5">
              <w:rPr>
                <w:rFonts w:asciiTheme="minorHAnsi" w:hAnsiTheme="minorHAnsi"/>
                <w:b/>
                <w:bCs/>
                <w:spacing w:val="-3"/>
                <w:lang w:val="en-GB"/>
              </w:rPr>
              <w:t>Palaeodose</w:t>
            </w: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w:t>
            </w:r>
            <w:proofErr w:type="spellStart"/>
            <w:r w:rsidRPr="008D10B5">
              <w:rPr>
                <w:rFonts w:asciiTheme="minorHAnsi" w:hAnsiTheme="minorHAnsi"/>
                <w:lang w:val="en-GB" w:eastAsia="en-GB"/>
              </w:rPr>
              <w:t>Gy</w:t>
            </w:r>
            <w:proofErr w:type="spellEnd"/>
            <w:r w:rsidRPr="008D10B5">
              <w:rPr>
                <w:rFonts w:asciiTheme="minorHAnsi" w:hAnsiTheme="minorHAnsi"/>
                <w:lang w:val="en-GB" w:eastAsia="en-GB"/>
              </w:rPr>
              <w:t>)</w:t>
            </w:r>
          </w:p>
        </w:tc>
        <w:tc>
          <w:tcPr>
            <w:tcW w:w="1203" w:type="dxa"/>
          </w:tcPr>
          <w:p w:rsidR="008A45CA" w:rsidRPr="008D10B5" w:rsidRDefault="008A45CA" w:rsidP="008D10B5">
            <w:pPr>
              <w:keepNext/>
              <w:suppressAutoHyphens/>
              <w:jc w:val="both"/>
              <w:outlineLvl w:val="7"/>
              <w:rPr>
                <w:rFonts w:asciiTheme="minorHAnsi" w:hAnsiTheme="minorHAnsi"/>
                <w:b/>
                <w:bCs/>
                <w:spacing w:val="-3"/>
                <w:lang w:val="en-GB"/>
              </w:rPr>
            </w:pPr>
            <w:r w:rsidRPr="008D10B5">
              <w:rPr>
                <w:rFonts w:asciiTheme="minorHAnsi" w:hAnsiTheme="minorHAnsi"/>
                <w:b/>
                <w:bCs/>
                <w:spacing w:val="-3"/>
                <w:lang w:val="en-GB"/>
              </w:rPr>
              <w:t>Dose rate</w:t>
            </w: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w:t>
            </w:r>
            <w:proofErr w:type="spellStart"/>
            <w:r w:rsidRPr="008D10B5">
              <w:rPr>
                <w:rFonts w:asciiTheme="minorHAnsi" w:hAnsiTheme="minorHAnsi"/>
                <w:lang w:val="en-GB" w:eastAsia="en-GB"/>
              </w:rPr>
              <w:t>Gy</w:t>
            </w:r>
            <w:proofErr w:type="spellEnd"/>
            <w:r w:rsidRPr="008D10B5">
              <w:rPr>
                <w:rFonts w:asciiTheme="minorHAnsi" w:hAnsiTheme="minorHAnsi"/>
                <w:lang w:val="en-GB" w:eastAsia="en-GB"/>
              </w:rPr>
              <w:t>/ka)</w:t>
            </w:r>
          </w:p>
        </w:tc>
        <w:tc>
          <w:tcPr>
            <w:tcW w:w="1993" w:type="dxa"/>
          </w:tcPr>
          <w:p w:rsidR="008A45CA" w:rsidRPr="008D10B5" w:rsidRDefault="008A45CA" w:rsidP="008D10B5">
            <w:pPr>
              <w:keepNext/>
              <w:suppressAutoHyphens/>
              <w:jc w:val="both"/>
              <w:outlineLvl w:val="7"/>
              <w:rPr>
                <w:rFonts w:asciiTheme="minorHAnsi" w:hAnsiTheme="minorHAnsi"/>
                <w:b/>
                <w:bCs/>
                <w:spacing w:val="-3"/>
                <w:lang w:val="en-GB"/>
              </w:rPr>
            </w:pPr>
            <w:r w:rsidRPr="008D10B5">
              <w:rPr>
                <w:rFonts w:asciiTheme="minorHAnsi" w:hAnsiTheme="minorHAnsi"/>
                <w:b/>
                <w:bCs/>
                <w:spacing w:val="-3"/>
                <w:lang w:val="en-GB"/>
              </w:rPr>
              <w:t>Age</w:t>
            </w: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(years before 2008)</w:t>
            </w:r>
          </w:p>
        </w:tc>
      </w:tr>
      <w:tr w:rsidR="008A45CA" w:rsidRPr="008D10B5" w:rsidTr="00D61164">
        <w:trPr>
          <w:trHeight w:val="260"/>
          <w:jc w:val="center"/>
        </w:trPr>
        <w:tc>
          <w:tcPr>
            <w:tcW w:w="2490"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OSL 2 BH</w:t>
            </w:r>
            <w:r w:rsidR="007B31C4">
              <w:rPr>
                <w:rFonts w:asciiTheme="minorHAnsi" w:hAnsiTheme="minorHAnsi"/>
                <w:spacing w:val="-3"/>
                <w:lang w:val="en-GB"/>
              </w:rPr>
              <w:t xml:space="preserve"> </w:t>
            </w:r>
            <w:r w:rsidR="00305EC9">
              <w:rPr>
                <w:rFonts w:asciiTheme="minorHAnsi" w:hAnsiTheme="minorHAnsi"/>
                <w:spacing w:val="-3"/>
                <w:lang w:val="en-GB"/>
              </w:rPr>
              <w:t>5, 0.50-0.55</w:t>
            </w:r>
            <w:r w:rsidRPr="008D10B5">
              <w:rPr>
                <w:rFonts w:asciiTheme="minorHAnsi" w:hAnsiTheme="minorHAnsi"/>
                <w:spacing w:val="-3"/>
                <w:lang w:val="en-GB"/>
              </w:rPr>
              <w:t>m</w:t>
            </w:r>
          </w:p>
        </w:tc>
        <w:tc>
          <w:tcPr>
            <w:tcW w:w="1117"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X3032</w:t>
            </w:r>
          </w:p>
        </w:tc>
        <w:tc>
          <w:tcPr>
            <w:tcW w:w="873"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140</w:t>
            </w:r>
          </w:p>
        </w:tc>
        <w:tc>
          <w:tcPr>
            <w:tcW w:w="1560"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242.44 ± 6.56</w:t>
            </w:r>
          </w:p>
        </w:tc>
        <w:tc>
          <w:tcPr>
            <w:tcW w:w="120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1.57 ± 0.10</w:t>
            </w:r>
          </w:p>
        </w:tc>
        <w:tc>
          <w:tcPr>
            <w:tcW w:w="199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 xml:space="preserve">  154500 ± 11500</w:t>
            </w:r>
          </w:p>
        </w:tc>
      </w:tr>
      <w:tr w:rsidR="008A45CA" w:rsidRPr="008D10B5" w:rsidTr="00D61164">
        <w:trPr>
          <w:trHeight w:val="260"/>
          <w:jc w:val="center"/>
        </w:trPr>
        <w:tc>
          <w:tcPr>
            <w:tcW w:w="2490"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OSL 4 BH</w:t>
            </w:r>
            <w:r w:rsidR="007B31C4">
              <w:rPr>
                <w:rFonts w:asciiTheme="minorHAnsi" w:hAnsiTheme="minorHAnsi"/>
                <w:spacing w:val="-3"/>
                <w:lang w:val="en-GB"/>
              </w:rPr>
              <w:t xml:space="preserve"> </w:t>
            </w:r>
            <w:r w:rsidR="00305EC9">
              <w:rPr>
                <w:rFonts w:asciiTheme="minorHAnsi" w:hAnsiTheme="minorHAnsi"/>
                <w:spacing w:val="-3"/>
                <w:lang w:val="en-GB"/>
              </w:rPr>
              <w:t>5,</w:t>
            </w:r>
            <w:r w:rsidRPr="008D10B5">
              <w:rPr>
                <w:rFonts w:asciiTheme="minorHAnsi" w:hAnsiTheme="minorHAnsi"/>
                <w:spacing w:val="-3"/>
                <w:lang w:val="en-GB"/>
              </w:rPr>
              <w:t xml:space="preserve"> </w:t>
            </w:r>
            <w:r w:rsidR="00305EC9">
              <w:rPr>
                <w:rFonts w:asciiTheme="minorHAnsi" w:hAnsiTheme="minorHAnsi"/>
                <w:spacing w:val="-3"/>
                <w:lang w:val="en-GB"/>
              </w:rPr>
              <w:t>0.70-0.75</w:t>
            </w:r>
            <w:r w:rsidRPr="008D10B5">
              <w:rPr>
                <w:rFonts w:asciiTheme="minorHAnsi" w:hAnsiTheme="minorHAnsi"/>
                <w:spacing w:val="-3"/>
                <w:lang w:val="en-GB"/>
              </w:rPr>
              <w:t>m</w:t>
            </w:r>
          </w:p>
        </w:tc>
        <w:tc>
          <w:tcPr>
            <w:tcW w:w="1117"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X3034</w:t>
            </w:r>
          </w:p>
        </w:tc>
        <w:tc>
          <w:tcPr>
            <w:tcW w:w="873"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280</w:t>
            </w:r>
          </w:p>
        </w:tc>
        <w:tc>
          <w:tcPr>
            <w:tcW w:w="1560"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293.68 ± 15.12</w:t>
            </w:r>
          </w:p>
        </w:tc>
        <w:tc>
          <w:tcPr>
            <w:tcW w:w="120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1.90 ± 0.13</w:t>
            </w:r>
          </w:p>
        </w:tc>
        <w:tc>
          <w:tcPr>
            <w:tcW w:w="199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 xml:space="preserve">  154400 ± 13400</w:t>
            </w:r>
          </w:p>
        </w:tc>
      </w:tr>
      <w:tr w:rsidR="008A45CA" w:rsidRPr="008D10B5" w:rsidTr="00D61164">
        <w:trPr>
          <w:trHeight w:val="260"/>
          <w:jc w:val="center"/>
        </w:trPr>
        <w:tc>
          <w:tcPr>
            <w:tcW w:w="2490"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OSL 7 BH</w:t>
            </w:r>
            <w:r w:rsidR="007B31C4">
              <w:rPr>
                <w:rFonts w:asciiTheme="minorHAnsi" w:hAnsiTheme="minorHAnsi"/>
                <w:spacing w:val="-3"/>
                <w:lang w:val="en-GB"/>
              </w:rPr>
              <w:t xml:space="preserve"> </w:t>
            </w:r>
            <w:r w:rsidR="00305EC9">
              <w:rPr>
                <w:rFonts w:asciiTheme="minorHAnsi" w:hAnsiTheme="minorHAnsi"/>
                <w:spacing w:val="-3"/>
                <w:lang w:val="en-GB"/>
              </w:rPr>
              <w:t>5,</w:t>
            </w:r>
            <w:r w:rsidRPr="008D10B5">
              <w:rPr>
                <w:rFonts w:asciiTheme="minorHAnsi" w:hAnsiTheme="minorHAnsi"/>
                <w:spacing w:val="-3"/>
                <w:lang w:val="en-GB"/>
              </w:rPr>
              <w:t xml:space="preserve"> </w:t>
            </w:r>
            <w:r w:rsidR="00305EC9">
              <w:rPr>
                <w:rFonts w:asciiTheme="minorHAnsi" w:hAnsiTheme="minorHAnsi"/>
                <w:spacing w:val="-3"/>
                <w:lang w:val="en-GB"/>
              </w:rPr>
              <w:t>1.20-1.25</w:t>
            </w:r>
            <w:r w:rsidRPr="008D10B5">
              <w:rPr>
                <w:rFonts w:asciiTheme="minorHAnsi" w:hAnsiTheme="minorHAnsi"/>
                <w:spacing w:val="-3"/>
                <w:lang w:val="en-GB"/>
              </w:rPr>
              <w:t>m</w:t>
            </w:r>
          </w:p>
        </w:tc>
        <w:tc>
          <w:tcPr>
            <w:tcW w:w="1117"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X3037</w:t>
            </w:r>
          </w:p>
        </w:tc>
        <w:tc>
          <w:tcPr>
            <w:tcW w:w="873"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420</w:t>
            </w:r>
          </w:p>
        </w:tc>
        <w:tc>
          <w:tcPr>
            <w:tcW w:w="1560"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[302 ± 35]</w:t>
            </w:r>
          </w:p>
        </w:tc>
        <w:tc>
          <w:tcPr>
            <w:tcW w:w="120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1.64 ± 0.11</w:t>
            </w:r>
          </w:p>
        </w:tc>
        <w:tc>
          <w:tcPr>
            <w:tcW w:w="199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 xml:space="preserve">  [183600 ± 24800]</w:t>
            </w:r>
          </w:p>
        </w:tc>
      </w:tr>
      <w:tr w:rsidR="008A45CA" w:rsidRPr="008D10B5" w:rsidTr="00D61164">
        <w:trPr>
          <w:trHeight w:val="260"/>
          <w:jc w:val="center"/>
        </w:trPr>
        <w:tc>
          <w:tcPr>
            <w:tcW w:w="2490"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OSL 8 BH</w:t>
            </w:r>
            <w:r w:rsidR="007B31C4">
              <w:rPr>
                <w:rFonts w:asciiTheme="minorHAnsi" w:hAnsiTheme="minorHAnsi"/>
                <w:spacing w:val="-3"/>
                <w:lang w:val="en-GB"/>
              </w:rPr>
              <w:t xml:space="preserve"> </w:t>
            </w:r>
            <w:r w:rsidR="00305EC9">
              <w:rPr>
                <w:rFonts w:asciiTheme="minorHAnsi" w:hAnsiTheme="minorHAnsi"/>
                <w:spacing w:val="-3"/>
                <w:lang w:val="en-GB"/>
              </w:rPr>
              <w:t>5,</w:t>
            </w:r>
            <w:r w:rsidRPr="008D10B5">
              <w:rPr>
                <w:rFonts w:asciiTheme="minorHAnsi" w:hAnsiTheme="minorHAnsi"/>
                <w:spacing w:val="-3"/>
                <w:lang w:val="en-GB"/>
              </w:rPr>
              <w:t xml:space="preserve"> </w:t>
            </w:r>
            <w:r w:rsidR="00305EC9">
              <w:rPr>
                <w:rFonts w:asciiTheme="minorHAnsi" w:hAnsiTheme="minorHAnsi"/>
                <w:spacing w:val="-3"/>
                <w:lang w:val="en-GB"/>
              </w:rPr>
              <w:t>1.50-1.55</w:t>
            </w:r>
            <w:r w:rsidRPr="008D10B5">
              <w:rPr>
                <w:rFonts w:asciiTheme="minorHAnsi" w:hAnsiTheme="minorHAnsi"/>
                <w:spacing w:val="-3"/>
                <w:lang w:val="en-GB"/>
              </w:rPr>
              <w:t>m</w:t>
            </w:r>
          </w:p>
        </w:tc>
        <w:tc>
          <w:tcPr>
            <w:tcW w:w="1117"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X3038</w:t>
            </w:r>
          </w:p>
        </w:tc>
        <w:tc>
          <w:tcPr>
            <w:tcW w:w="873" w:type="dxa"/>
          </w:tcPr>
          <w:p w:rsidR="008A45CA" w:rsidRPr="008D10B5" w:rsidRDefault="008A45CA" w:rsidP="008D10B5">
            <w:pPr>
              <w:keepNext/>
              <w:suppressAutoHyphens/>
              <w:jc w:val="both"/>
              <w:outlineLvl w:val="7"/>
              <w:rPr>
                <w:rFonts w:asciiTheme="minorHAnsi" w:hAnsiTheme="minorHAnsi"/>
                <w:spacing w:val="-3"/>
                <w:lang w:val="en-GB"/>
              </w:rPr>
            </w:pPr>
            <w:r w:rsidRPr="008D10B5">
              <w:rPr>
                <w:rFonts w:asciiTheme="minorHAnsi" w:hAnsiTheme="minorHAnsi"/>
                <w:spacing w:val="-3"/>
                <w:lang w:val="en-GB"/>
              </w:rPr>
              <w:t>470</w:t>
            </w:r>
          </w:p>
        </w:tc>
        <w:tc>
          <w:tcPr>
            <w:tcW w:w="1560"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282.45 ± 16.61</w:t>
            </w:r>
          </w:p>
        </w:tc>
        <w:tc>
          <w:tcPr>
            <w:tcW w:w="120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1.71 ± 0.11</w:t>
            </w:r>
          </w:p>
        </w:tc>
        <w:tc>
          <w:tcPr>
            <w:tcW w:w="1993" w:type="dxa"/>
          </w:tcPr>
          <w:p w:rsidR="008A45CA" w:rsidRPr="008D10B5" w:rsidRDefault="008A45CA" w:rsidP="008D10B5">
            <w:pPr>
              <w:keepNext/>
              <w:suppressAutoHyphens/>
              <w:jc w:val="both"/>
              <w:outlineLvl w:val="7"/>
              <w:rPr>
                <w:rFonts w:asciiTheme="minorHAnsi" w:hAnsiTheme="minorHAnsi"/>
                <w:spacing w:val="-3"/>
              </w:rPr>
            </w:pPr>
            <w:r w:rsidRPr="008D10B5">
              <w:rPr>
                <w:rFonts w:asciiTheme="minorHAnsi" w:hAnsiTheme="minorHAnsi"/>
                <w:spacing w:val="-3"/>
              </w:rPr>
              <w:t xml:space="preserve">  165300 ± 15000</w:t>
            </w:r>
          </w:p>
        </w:tc>
      </w:tr>
    </w:tbl>
    <w:p w:rsidR="008A45CA" w:rsidRPr="008D10B5" w:rsidRDefault="008A45CA" w:rsidP="008D10B5">
      <w:pPr>
        <w:keepNext/>
        <w:suppressAutoHyphens/>
        <w:jc w:val="both"/>
        <w:outlineLvl w:val="7"/>
        <w:rPr>
          <w:rFonts w:asciiTheme="minorHAnsi" w:hAnsiTheme="minorHAnsi"/>
          <w:spacing w:val="-3"/>
          <w:lang w:val="en-GB"/>
        </w:rPr>
      </w:pPr>
    </w:p>
    <w:p w:rsidR="008A45CA" w:rsidRPr="008D10B5" w:rsidRDefault="008A45CA" w:rsidP="008D10B5">
      <w:pPr>
        <w:keepNext/>
        <w:suppressAutoHyphens/>
        <w:jc w:val="both"/>
        <w:outlineLvl w:val="7"/>
        <w:rPr>
          <w:rFonts w:asciiTheme="minorHAnsi" w:hAnsiTheme="minorHAnsi"/>
          <w:bCs/>
          <w:spacing w:val="-3"/>
          <w:lang w:val="en-GB"/>
        </w:rPr>
      </w:pPr>
      <w:r w:rsidRPr="008D10B5">
        <w:rPr>
          <w:rFonts w:asciiTheme="minorHAnsi" w:hAnsiTheme="minorHAnsi"/>
          <w:b/>
          <w:spacing w:val="-3"/>
          <w:lang w:val="en-GB"/>
        </w:rPr>
        <w:t>Table 1</w:t>
      </w:r>
      <w:r w:rsidRPr="008D10B5">
        <w:rPr>
          <w:rFonts w:asciiTheme="minorHAnsi" w:hAnsiTheme="minorHAnsi"/>
          <w:spacing w:val="-3"/>
          <w:lang w:val="en-GB"/>
        </w:rPr>
        <w:t xml:space="preserve"> Summary of the optically stimulated luminescence (OSL) dating results. </w:t>
      </w:r>
      <w:r w:rsidRPr="008D10B5">
        <w:rPr>
          <w:rFonts w:asciiTheme="minorHAnsi" w:hAnsiTheme="minorHAnsi"/>
          <w:bCs/>
          <w:spacing w:val="-3"/>
          <w:lang w:val="en-GB"/>
        </w:rPr>
        <w:t>The results are based on luminescence measurements of sand-sized quartz (180-255</w:t>
      </w:r>
      <w:r w:rsidRPr="008D10B5">
        <w:rPr>
          <w:rFonts w:asciiTheme="minorHAnsi" w:hAnsiTheme="minorHAnsi"/>
          <w:bCs/>
          <w:spacing w:val="-3"/>
          <w:lang w:val="en-GB"/>
        </w:rPr>
        <w:sym w:font="Symbol" w:char="F06D"/>
      </w:r>
      <w:r w:rsidRPr="008D10B5">
        <w:rPr>
          <w:rFonts w:asciiTheme="minorHAnsi" w:hAnsiTheme="minorHAnsi"/>
          <w:bCs/>
          <w:spacing w:val="-3"/>
          <w:lang w:val="en-GB"/>
        </w:rPr>
        <w:t xml:space="preserve">m). All samples were measured using a SAR post-IR blue OSL protocol (Murray and </w:t>
      </w:r>
      <w:proofErr w:type="spellStart"/>
      <w:r w:rsidRPr="008D10B5">
        <w:rPr>
          <w:rFonts w:asciiTheme="minorHAnsi" w:hAnsiTheme="minorHAnsi"/>
          <w:bCs/>
          <w:spacing w:val="-3"/>
          <w:lang w:val="en-GB"/>
        </w:rPr>
        <w:t>Wintle</w:t>
      </w:r>
      <w:proofErr w:type="spellEnd"/>
      <w:r w:rsidRPr="008D10B5">
        <w:rPr>
          <w:rFonts w:asciiTheme="minorHAnsi" w:hAnsiTheme="minorHAnsi"/>
          <w:bCs/>
          <w:spacing w:val="-3"/>
          <w:lang w:val="en-GB"/>
        </w:rPr>
        <w:t xml:space="preserve"> 2000, Banerjee </w:t>
      </w:r>
      <w:r w:rsidRPr="008D10B5">
        <w:rPr>
          <w:rFonts w:asciiTheme="minorHAnsi" w:hAnsiTheme="minorHAnsi"/>
          <w:bCs/>
          <w:i/>
          <w:iCs/>
          <w:spacing w:val="-3"/>
          <w:lang w:val="en-GB"/>
        </w:rPr>
        <w:t>et al.</w:t>
      </w:r>
      <w:r w:rsidRPr="008D10B5">
        <w:rPr>
          <w:rFonts w:asciiTheme="minorHAnsi" w:hAnsiTheme="minorHAnsi"/>
          <w:bCs/>
          <w:spacing w:val="-3"/>
          <w:lang w:val="en-GB"/>
        </w:rPr>
        <w:t xml:space="preserve"> 2001). Dose rate calculations are based on the concentration of radioactive elements (potassium, thorium and uranium) derived from elemental analysis by ICP-MS using a fusion sample preparation technique. The final OSL age estimates include an additional 2 % systematic error to account for uncertainties in source calibration. Dose rate calculations are based on Aitken (1985). These incorporated beta attenuation factors (</w:t>
      </w:r>
      <w:proofErr w:type="spellStart"/>
      <w:r w:rsidRPr="008D10B5">
        <w:rPr>
          <w:rFonts w:asciiTheme="minorHAnsi" w:hAnsiTheme="minorHAnsi"/>
          <w:bCs/>
          <w:spacing w:val="-3"/>
          <w:lang w:val="en-GB"/>
        </w:rPr>
        <w:t>Mejdahl</w:t>
      </w:r>
      <w:proofErr w:type="spellEnd"/>
      <w:r w:rsidRPr="008D10B5">
        <w:rPr>
          <w:rFonts w:asciiTheme="minorHAnsi" w:hAnsiTheme="minorHAnsi"/>
          <w:bCs/>
          <w:spacing w:val="-3"/>
          <w:lang w:val="en-GB"/>
        </w:rPr>
        <w:t xml:space="preserve"> 1979), dose rate conversion factors (</w:t>
      </w:r>
      <w:proofErr w:type="spellStart"/>
      <w:r w:rsidRPr="008D10B5">
        <w:rPr>
          <w:rFonts w:asciiTheme="minorHAnsi" w:hAnsiTheme="minorHAnsi"/>
          <w:bCs/>
          <w:spacing w:val="-3"/>
          <w:lang w:val="en-GB"/>
        </w:rPr>
        <w:t>Adamiec</w:t>
      </w:r>
      <w:proofErr w:type="spellEnd"/>
      <w:r w:rsidRPr="008D10B5">
        <w:rPr>
          <w:rFonts w:asciiTheme="minorHAnsi" w:hAnsiTheme="minorHAnsi"/>
          <w:bCs/>
          <w:spacing w:val="-3"/>
          <w:lang w:val="en-GB"/>
        </w:rPr>
        <w:t xml:space="preserve"> and Aitken 1998) and an absorption coefficient for the water content (Zimmerman 1971). The contribution of cosmic radiation to the total dose rate was calculated as a function of latitude, altitude, burial depth and average over-burden density based on data </w:t>
      </w:r>
      <w:r w:rsidRPr="008D10B5">
        <w:rPr>
          <w:rFonts w:asciiTheme="minorHAnsi" w:hAnsiTheme="minorHAnsi"/>
          <w:bCs/>
          <w:spacing w:val="-3"/>
          <w:lang w:val="en-GB"/>
        </w:rPr>
        <w:lastRenderedPageBreak/>
        <w:t xml:space="preserve">by Prescott and Hutton (1994). Further details regarding individual samples may be found in Appendix A. </w:t>
      </w:r>
    </w:p>
    <w:p w:rsidR="008A45CA" w:rsidRPr="008D10B5" w:rsidRDefault="008A45CA" w:rsidP="008D10B5">
      <w:pPr>
        <w:keepNext/>
        <w:suppressAutoHyphens/>
        <w:jc w:val="both"/>
        <w:outlineLvl w:val="7"/>
        <w:rPr>
          <w:rFonts w:asciiTheme="minorHAnsi" w:hAnsiTheme="minorHAnsi"/>
          <w:b/>
          <w:bCs/>
          <w:spacing w:val="-3"/>
          <w:lang w:val="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keepNext/>
        <w:suppressAutoHyphens/>
        <w:jc w:val="both"/>
        <w:outlineLvl w:val="7"/>
        <w:rPr>
          <w:rFonts w:asciiTheme="minorHAnsi" w:hAnsiTheme="minorHAnsi"/>
          <w:b/>
          <w:bCs/>
          <w:spacing w:val="-3"/>
          <w:lang w:val="en-GB"/>
        </w:rPr>
      </w:pPr>
    </w:p>
    <w:p w:rsidR="008A45CA" w:rsidRPr="008D10B5" w:rsidRDefault="008A45CA" w:rsidP="008D10B5">
      <w:pPr>
        <w:keepNext/>
        <w:suppressAutoHyphens/>
        <w:jc w:val="both"/>
        <w:outlineLvl w:val="7"/>
        <w:rPr>
          <w:rFonts w:asciiTheme="minorHAnsi" w:hAnsiTheme="minorHAnsi"/>
          <w:b/>
          <w:bCs/>
          <w:spacing w:val="-3"/>
          <w:lang w:val="en-GB"/>
        </w:rPr>
      </w:pPr>
      <w:r w:rsidRPr="008D10B5">
        <w:rPr>
          <w:rFonts w:asciiTheme="minorHAnsi" w:hAnsiTheme="minorHAnsi"/>
          <w:b/>
          <w:bCs/>
          <w:spacing w:val="-3"/>
          <w:lang w:val="en-GB"/>
        </w:rPr>
        <w:t>Section 2:</w:t>
      </w:r>
      <w:r w:rsidRPr="008D10B5">
        <w:rPr>
          <w:rFonts w:asciiTheme="minorHAnsi" w:hAnsiTheme="minorHAnsi"/>
          <w:b/>
          <w:bCs/>
          <w:spacing w:val="-3"/>
          <w:lang w:val="en-GB"/>
        </w:rPr>
        <w:tab/>
        <w:t>Comments on the results</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A total of nine samples were collected from sediment cores for dating by optically stimulated luminescence (OSL). Four samples were submitted for commercial dating [X3032, X3034, X3037 and X3038]</w:t>
      </w:r>
      <w:bookmarkStart w:id="0" w:name="_GoBack"/>
      <w:bookmarkEnd w:id="0"/>
      <w:r w:rsidRPr="008D10B5">
        <w:rPr>
          <w:rFonts w:asciiTheme="minorHAnsi" w:hAnsiTheme="minorHAnsi"/>
          <w:lang w:val="en-GB" w:eastAsia="en-GB"/>
        </w:rPr>
        <w:t xml:space="preserve">. For each sample six to twelve replicate multigrain aliquots were measured according to procedures described in further details in sections 4 to 6. The results of the OSL dating are summarized in Table 1 and further details regarding individual samples may be found in Appendix A.  With the exception of sample X3037, the overall luminescence characteristics of the samples were considered to be satisfactory for optical dating and provided acceptable recycling ratios close to unity and low mean thermal transfer. No in-situ radioactivity measurements were made and the dose rate was calculated from the geochemical analysis of radioisotopes by ICP-MS (see section 7.2 for methodology and appendix A for results). </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keepNext/>
        <w:suppressAutoHyphens/>
        <w:jc w:val="both"/>
        <w:outlineLvl w:val="7"/>
        <w:rPr>
          <w:rFonts w:asciiTheme="minorHAnsi" w:hAnsiTheme="minorHAnsi"/>
          <w:lang w:val="en-GB"/>
        </w:rPr>
      </w:pPr>
      <w:r w:rsidRPr="008D10B5">
        <w:rPr>
          <w:rFonts w:asciiTheme="minorHAnsi" w:hAnsiTheme="minorHAnsi"/>
          <w:b/>
          <w:bCs/>
          <w:spacing w:val="-3"/>
          <w:lang w:val="en-GB"/>
        </w:rPr>
        <w:t>Section 3:</w:t>
      </w:r>
      <w:r w:rsidRPr="008D10B5">
        <w:rPr>
          <w:rFonts w:asciiTheme="minorHAnsi" w:hAnsiTheme="minorHAnsi"/>
          <w:b/>
          <w:bCs/>
          <w:spacing w:val="-3"/>
          <w:lang w:val="en-GB"/>
        </w:rPr>
        <w:tab/>
        <w:t>The physical basis of luminescence dating</w:t>
      </w:r>
    </w:p>
    <w:p w:rsidR="008A45CA" w:rsidRPr="008D10B5" w:rsidRDefault="008A45CA" w:rsidP="008D10B5">
      <w:pPr>
        <w:suppressAutoHyphens/>
        <w:jc w:val="both"/>
        <w:rPr>
          <w:rFonts w:asciiTheme="minorHAnsi" w:hAnsiTheme="minorHAnsi"/>
          <w:spacing w:val="-3"/>
          <w:lang w:val="en-GB" w:eastAsia="en-GB"/>
        </w:rPr>
      </w:pPr>
    </w:p>
    <w:p w:rsidR="008A45CA" w:rsidRPr="008D10B5" w:rsidRDefault="008A45CA" w:rsidP="008D10B5">
      <w:pPr>
        <w:suppressAutoHyphens/>
        <w:jc w:val="both"/>
        <w:rPr>
          <w:rFonts w:asciiTheme="minorHAnsi" w:hAnsiTheme="minorHAnsi"/>
          <w:spacing w:val="-3"/>
          <w:lang w:val="en-GB" w:eastAsia="en-GB"/>
        </w:rPr>
      </w:pPr>
      <w:r w:rsidRPr="008D10B5">
        <w:rPr>
          <w:rFonts w:asciiTheme="minorHAnsi" w:hAnsiTheme="minorHAnsi"/>
          <w:spacing w:val="-3"/>
          <w:lang w:val="en-GB" w:eastAsia="en-GB"/>
        </w:rPr>
        <w:t xml:space="preserve">When ionising radiation (predominantly alpha, beta or gamma radiation) interacts with an insulating crystal lattice (such as quartz or feldspar), a net redistribution of electronic charge takes place. Electrons are stripped from the outer shells of atoms and though most return immediately, a proportion escape and become trapped at meta-stable sites within the lattice. This charge redistribution continues for the duration of the radiation exposure and the amount of trapped charge is therefore related to both the duration and intensity of radiation exposure. </w:t>
      </w:r>
    </w:p>
    <w:p w:rsidR="008A45CA" w:rsidRPr="008D10B5" w:rsidRDefault="008A45CA" w:rsidP="008D10B5">
      <w:pPr>
        <w:suppressAutoHyphens/>
        <w:jc w:val="both"/>
        <w:rPr>
          <w:rFonts w:asciiTheme="minorHAnsi" w:hAnsiTheme="minorHAnsi"/>
          <w:spacing w:val="-3"/>
          <w:lang w:val="en-GB" w:eastAsia="en-GB"/>
        </w:rPr>
      </w:pPr>
    </w:p>
    <w:p w:rsidR="008A45CA" w:rsidRPr="008D10B5" w:rsidRDefault="008A45CA" w:rsidP="008D10B5">
      <w:pPr>
        <w:suppressAutoHyphens/>
        <w:jc w:val="both"/>
        <w:rPr>
          <w:rFonts w:asciiTheme="minorHAnsi" w:hAnsiTheme="minorHAnsi"/>
          <w:spacing w:val="-3"/>
          <w:lang w:val="en-GB" w:eastAsia="en-GB"/>
        </w:rPr>
      </w:pPr>
      <w:r w:rsidRPr="008D10B5">
        <w:rPr>
          <w:rFonts w:asciiTheme="minorHAnsi" w:hAnsiTheme="minorHAnsi"/>
          <w:spacing w:val="-3"/>
          <w:lang w:val="en-GB" w:eastAsia="en-GB"/>
        </w:rPr>
        <w:t xml:space="preserve">Even though trapped at meta-stable sites, electrons become ‘free’ once again under certain conditions (e.g. if the crystal is heated and/or illuminated). Once liberated a free electron may become trapped once again or may return to a vacant position caused by the absence of a previously displaced electron (a ‘hole’). This latter occurrence is termed ‘recombination’ and the location of the hole is described as the ‘recombination centre’. As recombination occurs, a proportion of the energy of the electron is dissipated. Depending upon the nature of the centre where recombination occurs, this energy is expelled as heat and/or light. When the crystal grain is either heated or illuminated following irradiation (the ‘dose’) the total amount of light emitted (luminescence) is therefore directly related to the number of liberated electrons and available recombination sites. This is the fundamental principle upon which luminescence dating is based. </w:t>
      </w:r>
    </w:p>
    <w:p w:rsidR="008A45CA" w:rsidRPr="008D10B5" w:rsidRDefault="008A45CA" w:rsidP="008D10B5">
      <w:pPr>
        <w:suppressAutoHyphens/>
        <w:jc w:val="both"/>
        <w:rPr>
          <w:rFonts w:asciiTheme="minorHAnsi" w:hAnsiTheme="minorHAnsi"/>
          <w:spacing w:val="-3"/>
          <w:lang w:val="en-GB" w:eastAsia="en-GB"/>
        </w:rPr>
      </w:pPr>
    </w:p>
    <w:p w:rsidR="008A45CA" w:rsidRPr="008D10B5" w:rsidRDefault="008A45CA" w:rsidP="008D10B5">
      <w:pPr>
        <w:suppressAutoHyphens/>
        <w:jc w:val="both"/>
        <w:rPr>
          <w:rFonts w:asciiTheme="minorHAnsi" w:hAnsiTheme="minorHAnsi"/>
          <w:spacing w:val="-3"/>
          <w:lang w:val="en-GB" w:eastAsia="en-GB"/>
        </w:rPr>
      </w:pPr>
      <w:r w:rsidRPr="008D10B5">
        <w:rPr>
          <w:rFonts w:asciiTheme="minorHAnsi" w:hAnsiTheme="minorHAnsi"/>
          <w:spacing w:val="-3"/>
          <w:lang w:val="en-GB" w:eastAsia="en-GB"/>
        </w:rPr>
        <w:t xml:space="preserve">In cases where the duration of dosing is not known (as is the case for dating), estimates can be made from laboratory measurements. The response (the sensitivity) of the sample to radiation dose (i.e. the amount of light observed for a given amount of laboratory radiation, usually </w:t>
      </w:r>
      <w:r w:rsidRPr="008D10B5">
        <w:rPr>
          <w:rFonts w:asciiTheme="minorHAnsi" w:hAnsiTheme="minorHAnsi"/>
          <w:spacing w:val="-3"/>
          <w:lang w:val="en-GB" w:eastAsia="en-GB"/>
        </w:rPr>
        <w:sym w:font="Symbol" w:char="F062"/>
      </w:r>
      <w:r w:rsidRPr="008D10B5">
        <w:rPr>
          <w:rFonts w:asciiTheme="minorHAnsi" w:hAnsiTheme="minorHAnsi"/>
          <w:spacing w:val="-3"/>
          <w:lang w:val="en-GB" w:eastAsia="en-GB"/>
        </w:rPr>
        <w:t>-radiation) must be established. From this relationship the equivalent radiation exposure required to produce the same amount of light as that observed following the environmental dose can be determined, and is termed the ‘equivalent dose’ (D</w:t>
      </w:r>
      <w:r w:rsidRPr="008D10B5">
        <w:rPr>
          <w:rFonts w:asciiTheme="minorHAnsi" w:hAnsiTheme="minorHAnsi"/>
          <w:spacing w:val="-3"/>
          <w:vertAlign w:val="subscript"/>
          <w:lang w:val="en-GB" w:eastAsia="en-GB"/>
        </w:rPr>
        <w:t>e</w:t>
      </w:r>
      <w:r w:rsidRPr="008D10B5">
        <w:rPr>
          <w:rFonts w:asciiTheme="minorHAnsi" w:hAnsiTheme="minorHAnsi"/>
          <w:spacing w:val="-3"/>
          <w:lang w:val="en-GB" w:eastAsia="en-GB"/>
        </w:rPr>
        <w:t>). The D</w:t>
      </w:r>
      <w:r w:rsidRPr="008D10B5">
        <w:rPr>
          <w:rFonts w:asciiTheme="minorHAnsi" w:hAnsiTheme="minorHAnsi"/>
          <w:spacing w:val="-3"/>
          <w:vertAlign w:val="subscript"/>
          <w:lang w:val="en-GB" w:eastAsia="en-GB"/>
        </w:rPr>
        <w:t>e</w:t>
      </w:r>
      <w:r w:rsidRPr="008D10B5">
        <w:rPr>
          <w:rFonts w:asciiTheme="minorHAnsi" w:hAnsiTheme="minorHAnsi"/>
          <w:spacing w:val="-3"/>
          <w:lang w:val="en-GB" w:eastAsia="en-GB"/>
        </w:rPr>
        <w:t xml:space="preserve"> (measured in </w:t>
      </w:r>
      <w:proofErr w:type="spellStart"/>
      <w:r w:rsidRPr="008D10B5">
        <w:rPr>
          <w:rFonts w:asciiTheme="minorHAnsi" w:hAnsiTheme="minorHAnsi"/>
          <w:spacing w:val="-3"/>
          <w:lang w:val="en-GB" w:eastAsia="en-GB"/>
        </w:rPr>
        <w:t>Gy</w:t>
      </w:r>
      <w:proofErr w:type="spellEnd"/>
      <w:r w:rsidRPr="008D10B5">
        <w:rPr>
          <w:rFonts w:asciiTheme="minorHAnsi" w:hAnsiTheme="minorHAnsi"/>
          <w:spacing w:val="-3"/>
          <w:lang w:val="en-GB" w:eastAsia="en-GB"/>
        </w:rPr>
        <w:t xml:space="preserve">) is therefore an estimate of the total dose absorbed during the irradiation period. When the dose </w:t>
      </w:r>
      <w:r w:rsidRPr="008D10B5">
        <w:rPr>
          <w:rFonts w:asciiTheme="minorHAnsi" w:hAnsiTheme="minorHAnsi"/>
          <w:spacing w:val="-3"/>
          <w:lang w:val="en-GB" w:eastAsia="en-GB"/>
        </w:rPr>
        <w:lastRenderedPageBreak/>
        <w:t xml:space="preserve">rate (the amount of radiation per unit time, measured in </w:t>
      </w:r>
      <w:r w:rsidRPr="008D10B5">
        <w:rPr>
          <w:rFonts w:asciiTheme="minorHAnsi" w:hAnsiTheme="minorHAnsi"/>
          <w:spacing w:val="-3"/>
          <w:lang w:val="en-GB" w:eastAsia="en-GB"/>
        </w:rPr>
        <w:sym w:font="Symbol" w:char="F06D"/>
      </w:r>
      <w:proofErr w:type="spellStart"/>
      <w:r w:rsidRPr="008D10B5">
        <w:rPr>
          <w:rFonts w:asciiTheme="minorHAnsi" w:hAnsiTheme="minorHAnsi"/>
          <w:spacing w:val="-3"/>
          <w:lang w:val="en-GB" w:eastAsia="en-GB"/>
        </w:rPr>
        <w:t>Gy</w:t>
      </w:r>
      <w:proofErr w:type="spellEnd"/>
      <w:r w:rsidRPr="008D10B5">
        <w:rPr>
          <w:rFonts w:asciiTheme="minorHAnsi" w:hAnsiTheme="minorHAnsi"/>
          <w:spacing w:val="-3"/>
          <w:lang w:val="en-GB" w:eastAsia="en-GB"/>
        </w:rPr>
        <w:t>/a) is measured (or calculated from measured concentrations of radionuclides), the duration of the dosing period can be calculated using the equation:</w:t>
      </w:r>
    </w:p>
    <w:p w:rsidR="008A45CA" w:rsidRPr="008D10B5" w:rsidRDefault="008A45CA" w:rsidP="008D10B5">
      <w:pPr>
        <w:suppressAutoHyphens/>
        <w:jc w:val="both"/>
        <w:rPr>
          <w:rFonts w:asciiTheme="minorHAnsi" w:hAnsiTheme="minorHAnsi"/>
          <w:spacing w:val="-3"/>
          <w:lang w:val="en-GB" w:eastAsia="en-GB"/>
        </w:rPr>
      </w:pPr>
    </w:p>
    <w:p w:rsidR="008A45CA" w:rsidRPr="008D10B5" w:rsidRDefault="008A45CA" w:rsidP="008D10B5">
      <w:pPr>
        <w:suppressAutoHyphens/>
        <w:jc w:val="both"/>
        <w:rPr>
          <w:rFonts w:asciiTheme="minorHAnsi" w:hAnsiTheme="minorHAnsi"/>
          <w:lang w:val="en-GB" w:eastAsia="en-GB"/>
        </w:rPr>
      </w:pPr>
      <w:r w:rsidRPr="008D10B5">
        <w:rPr>
          <w:rFonts w:asciiTheme="minorHAnsi" w:hAnsiTheme="minorHAnsi"/>
          <w:lang w:val="en-GB" w:eastAsia="en-GB"/>
        </w:rPr>
        <w:t xml:space="preserve">Duration of dosing </w:t>
      </w:r>
      <w:proofErr w:type="gramStart"/>
      <w:r w:rsidRPr="008D10B5">
        <w:rPr>
          <w:rFonts w:asciiTheme="minorHAnsi" w:hAnsiTheme="minorHAnsi"/>
          <w:lang w:val="en-GB" w:eastAsia="en-GB"/>
        </w:rPr>
        <w:t>period  =</w:t>
      </w:r>
      <w:proofErr w:type="gramEnd"/>
      <w:r w:rsidRPr="008D10B5">
        <w:rPr>
          <w:rFonts w:asciiTheme="minorHAnsi" w:hAnsiTheme="minorHAnsi"/>
          <w:lang w:val="en-GB" w:eastAsia="en-GB"/>
        </w:rPr>
        <w:t xml:space="preserve">  D</w:t>
      </w:r>
      <w:r w:rsidRPr="008D10B5">
        <w:rPr>
          <w:rFonts w:asciiTheme="minorHAnsi" w:hAnsiTheme="minorHAnsi"/>
          <w:vertAlign w:val="subscript"/>
          <w:lang w:val="en-GB" w:eastAsia="en-GB"/>
        </w:rPr>
        <w:t>e</w:t>
      </w:r>
      <w:r w:rsidRPr="008D10B5">
        <w:rPr>
          <w:rFonts w:asciiTheme="minorHAnsi" w:hAnsiTheme="minorHAnsi"/>
          <w:lang w:val="en-GB" w:eastAsia="en-GB"/>
        </w:rPr>
        <w:t xml:space="preserve"> / dose rate.</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The technique of optical dating was first applied to quartz by Huntley </w:t>
      </w:r>
      <w:r w:rsidRPr="008D10B5">
        <w:rPr>
          <w:rFonts w:asciiTheme="minorHAnsi" w:hAnsiTheme="minorHAnsi"/>
          <w:i/>
          <w:lang w:val="en-GB" w:eastAsia="en-GB"/>
        </w:rPr>
        <w:t>et al</w:t>
      </w:r>
      <w:r w:rsidRPr="008D10B5">
        <w:rPr>
          <w:rFonts w:asciiTheme="minorHAnsi" w:hAnsiTheme="minorHAnsi"/>
          <w:lang w:val="en-GB" w:eastAsia="en-GB"/>
        </w:rPr>
        <w:t xml:space="preserve">. (1985), and methodological details were further developed by Smith </w:t>
      </w:r>
      <w:r w:rsidRPr="008D10B5">
        <w:rPr>
          <w:rFonts w:asciiTheme="minorHAnsi" w:hAnsiTheme="minorHAnsi"/>
          <w:i/>
          <w:lang w:val="en-GB" w:eastAsia="en-GB"/>
        </w:rPr>
        <w:t>et al.</w:t>
      </w:r>
      <w:r w:rsidRPr="008D10B5">
        <w:rPr>
          <w:rFonts w:asciiTheme="minorHAnsi" w:hAnsiTheme="minorHAnsi"/>
          <w:lang w:val="en-GB" w:eastAsia="en-GB"/>
        </w:rPr>
        <w:t xml:space="preserve"> (1986) and Rhodes (1988). The technique was demonstrated to work well for aeolian samples by Smith et al. (1990), and has further proved to provide useful age estimates for a range of sedimentary contexts ranging from aeolian to glacial contexts. Further developmental research has introduced </w:t>
      </w:r>
      <w:r w:rsidRPr="008D10B5">
        <w:rPr>
          <w:rFonts w:asciiTheme="minorHAnsi" w:hAnsiTheme="minorHAnsi"/>
          <w:spacing w:val="-3"/>
          <w:lang w:val="en-GB" w:eastAsia="en-GB"/>
        </w:rPr>
        <w:t>D</w:t>
      </w:r>
      <w:r w:rsidRPr="008D10B5">
        <w:rPr>
          <w:rFonts w:asciiTheme="minorHAnsi" w:hAnsiTheme="minorHAnsi"/>
          <w:spacing w:val="-3"/>
          <w:vertAlign w:val="subscript"/>
          <w:lang w:val="en-GB" w:eastAsia="en-GB"/>
        </w:rPr>
        <w:t>e</w:t>
      </w:r>
      <w:r w:rsidRPr="008D10B5">
        <w:rPr>
          <w:rFonts w:asciiTheme="minorHAnsi" w:hAnsiTheme="minorHAnsi"/>
          <w:lang w:val="en-GB" w:eastAsia="en-GB"/>
        </w:rPr>
        <w:t xml:space="preserve"> measurement protocols that use a ‘single aliquot regenerative-dose’ (SAR) protocol. These protocols have the potential to provide increased precision in the luminescence measurements, and may in some cases provide an indication of incomplete zeroing of the luminescence signal at the time of deposition.</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Section 4:</w:t>
      </w:r>
      <w:r w:rsidRPr="008D10B5">
        <w:rPr>
          <w:rFonts w:asciiTheme="minorHAnsi" w:hAnsiTheme="minorHAnsi"/>
          <w:b/>
          <w:bCs/>
          <w:lang w:val="en-GB" w:eastAsia="en-GB"/>
        </w:rPr>
        <w:tab/>
        <w:t>The Single Aliquot Regenerative-Dose (SAR) protocol</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The SAR method is a regeneration procedure where the light level of the natural signal is converted into </w:t>
      </w:r>
      <w:proofErr w:type="spellStart"/>
      <w:r w:rsidRPr="008D10B5">
        <w:rPr>
          <w:rFonts w:asciiTheme="minorHAnsi" w:hAnsiTheme="minorHAnsi"/>
          <w:lang w:val="en-GB" w:eastAsia="en-GB"/>
        </w:rPr>
        <w:t>Gy</w:t>
      </w:r>
      <w:proofErr w:type="spellEnd"/>
      <w:r w:rsidRPr="008D10B5">
        <w:rPr>
          <w:rFonts w:asciiTheme="minorHAnsi" w:hAnsiTheme="minorHAnsi"/>
          <w:lang w:val="en-GB" w:eastAsia="en-GB"/>
        </w:rPr>
        <w:t xml:space="preserve"> via an interpolation between regenerated (i.e. known dose) points.  The natural and regenerated signals are measured using the same aliquot. Sensitivity change commonly observed in quartz TL/OSL has previously precluded meaningful results being obtained this way. A key development reported by Murray and </w:t>
      </w:r>
      <w:proofErr w:type="spellStart"/>
      <w:r w:rsidRPr="008D10B5">
        <w:rPr>
          <w:rFonts w:asciiTheme="minorHAnsi" w:hAnsiTheme="minorHAnsi"/>
          <w:lang w:val="en-GB" w:eastAsia="en-GB"/>
        </w:rPr>
        <w:t>Wintle</w:t>
      </w:r>
      <w:proofErr w:type="spellEnd"/>
      <w:r w:rsidRPr="008D10B5">
        <w:rPr>
          <w:rFonts w:asciiTheme="minorHAnsi" w:hAnsiTheme="minorHAnsi"/>
          <w:lang w:val="en-GB" w:eastAsia="en-GB"/>
        </w:rPr>
        <w:t xml:space="preserve"> (2000) is that sample (aliquot) sensitivity is monitored following each OSL measurement (</w:t>
      </w:r>
      <w:r w:rsidRPr="008D10B5">
        <w:rPr>
          <w:rFonts w:asciiTheme="minorHAnsi" w:hAnsiTheme="minorHAnsi"/>
          <w:i/>
          <w:iCs/>
          <w:lang w:val="en-GB" w:eastAsia="en-GB"/>
        </w:rPr>
        <w:t>L</w:t>
      </w:r>
      <w:r w:rsidRPr="008D10B5">
        <w:rPr>
          <w:rFonts w:asciiTheme="minorHAnsi" w:hAnsiTheme="minorHAnsi"/>
          <w:i/>
          <w:iCs/>
          <w:vertAlign w:val="subscript"/>
          <w:lang w:val="en-GB" w:eastAsia="en-GB"/>
        </w:rPr>
        <w:t>i</w:t>
      </w:r>
      <w:r w:rsidRPr="008D10B5">
        <w:rPr>
          <w:rFonts w:asciiTheme="minorHAnsi" w:hAnsiTheme="minorHAnsi"/>
          <w:lang w:val="en-GB" w:eastAsia="en-GB"/>
        </w:rPr>
        <w:t>) using the OSL response to a common test dose (</w:t>
      </w:r>
      <w:r w:rsidRPr="008D10B5">
        <w:rPr>
          <w:rFonts w:asciiTheme="minorHAnsi" w:hAnsiTheme="minorHAnsi"/>
          <w:i/>
          <w:iCs/>
          <w:lang w:val="en-GB" w:eastAsia="en-GB"/>
        </w:rPr>
        <w:t>S</w:t>
      </w:r>
      <w:r w:rsidRPr="008D10B5">
        <w:rPr>
          <w:rFonts w:asciiTheme="minorHAnsi" w:hAnsiTheme="minorHAnsi"/>
          <w:i/>
          <w:iCs/>
          <w:vertAlign w:val="subscript"/>
          <w:lang w:val="en-GB" w:eastAsia="en-GB"/>
        </w:rPr>
        <w:t>i</w:t>
      </w:r>
      <w:r w:rsidRPr="008D10B5">
        <w:rPr>
          <w:rFonts w:asciiTheme="minorHAnsi" w:hAnsiTheme="minorHAnsi"/>
          <w:lang w:val="en-GB" w:eastAsia="en-GB"/>
        </w:rPr>
        <w:t>). Plots of OSL1</w:t>
      </w:r>
      <w:r w:rsidRPr="008D10B5">
        <w:rPr>
          <w:rFonts w:asciiTheme="minorHAnsi" w:hAnsiTheme="minorHAnsi"/>
          <w:vertAlign w:val="subscript"/>
          <w:lang w:val="en-GB" w:eastAsia="en-GB"/>
        </w:rPr>
        <w:t>i</w:t>
      </w:r>
      <w:r w:rsidRPr="008D10B5">
        <w:rPr>
          <w:rFonts w:asciiTheme="minorHAnsi" w:hAnsiTheme="minorHAnsi"/>
          <w:lang w:val="en-GB" w:eastAsia="en-GB"/>
        </w:rPr>
        <w:t>/OSL2</w:t>
      </w:r>
      <w:r w:rsidRPr="008D10B5">
        <w:rPr>
          <w:rFonts w:asciiTheme="minorHAnsi" w:hAnsiTheme="minorHAnsi"/>
          <w:vertAlign w:val="subscript"/>
          <w:lang w:val="en-GB" w:eastAsia="en-GB"/>
        </w:rPr>
        <w:t>i</w:t>
      </w:r>
      <w:r w:rsidRPr="008D10B5">
        <w:rPr>
          <w:rFonts w:asciiTheme="minorHAnsi" w:hAnsiTheme="minorHAnsi"/>
          <w:lang w:val="en-GB" w:eastAsia="en-GB"/>
        </w:rPr>
        <w:t xml:space="preserve"> provide the necessary (sensitivity change corrected) data for interpolation.  The procedure is further outlined below, in Figure 4.1.</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Murray and </w:t>
      </w:r>
      <w:proofErr w:type="spellStart"/>
      <w:r w:rsidRPr="008D10B5">
        <w:rPr>
          <w:rFonts w:asciiTheme="minorHAnsi" w:hAnsiTheme="minorHAnsi"/>
          <w:lang w:val="en-GB"/>
        </w:rPr>
        <w:t>Wintle</w:t>
      </w:r>
      <w:proofErr w:type="spellEnd"/>
      <w:r w:rsidRPr="008D10B5">
        <w:rPr>
          <w:rFonts w:asciiTheme="minorHAnsi" w:hAnsiTheme="minorHAnsi"/>
          <w:lang w:val="en-GB"/>
        </w:rPr>
        <w:t xml:space="preserve"> (2000) have introduced two further steps in to the measurement procedure.  The first is the re-measurement of the first regenerated data point (indicated by the box in the explanatory Figure 4.1 above). The ratio of the two points (the "recycling ratio") provides an assessment of the efficacy of the sensitivity correction and the accuracy of the technique (large differences being suggestive of an ineffective technique). The second additional step is a measurement of the regenerated OSL due to zero dose. This value gives a measure of the degree of thermal transfer (to the trap(s) responsible for OSL) during preheating. The ratio of this value to the natural OSL value (both corrected for sensitivity change) gives the "thermal transfer ratio" and this is typically in the range of 0.005-0.020. The "recycling ratio" (ideally unity) is typically in the range 0.95-1.05.</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eastAsia="en-GB"/>
        </w:rPr>
        <w:br w:type="page"/>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noProof/>
          <w:lang w:val="en-GB" w:eastAsia="en-GB"/>
        </w:rPr>
        <mc:AlternateContent>
          <mc:Choice Requires="wps">
            <w:drawing>
              <wp:anchor distT="0" distB="0" distL="114300" distR="114300" simplePos="0" relativeHeight="251659264" behindDoc="0" locked="0" layoutInCell="0" allowOverlap="1" wp14:anchorId="029DBF8D" wp14:editId="78CA2ACF">
                <wp:simplePos x="0" y="0"/>
                <wp:positionH relativeFrom="column">
                  <wp:posOffset>3688080</wp:posOffset>
                </wp:positionH>
                <wp:positionV relativeFrom="paragraph">
                  <wp:posOffset>144780</wp:posOffset>
                </wp:positionV>
                <wp:extent cx="1652905" cy="236220"/>
                <wp:effectExtent l="1905" t="3810" r="254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2905" cy="2362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A45CA" w:rsidRDefault="008A45CA" w:rsidP="008A45CA">
                            <w:r>
                              <w:t>(Natural dose point)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29DBF8D" id="_x0000_t202" coordsize="21600,21600" o:spt="202" path="m,l,21600r21600,l21600,xe">
                <v:stroke joinstyle="miter"/>
                <v:path gradientshapeok="t" o:connecttype="rect"/>
              </v:shapetype>
              <v:shape id="Text Box 29" o:spid="_x0000_s1026" type="#_x0000_t202" style="position:absolute;left:0;text-align:left;margin-left:290.4pt;margin-top:11.4pt;width:130.15pt;height:1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" o:allowincell="f" stroked="f">
                <v:textbox>
                  <w:txbxContent>
                    <w:p w:rsidR="008A45CA" w:rsidRDefault="008A45CA" w:rsidP="008A45CA">
                      <w:r>
                        <w:t>(Natural dose point)</w:t>
                      </w:r>
                    </w:p>
                  </w:txbxContent>
                </v:textbox>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0288" behindDoc="0" locked="0" layoutInCell="0" allowOverlap="1" wp14:anchorId="7ED935F1" wp14:editId="6DF7614C">
                <wp:simplePos x="0" y="0"/>
                <wp:positionH relativeFrom="column">
                  <wp:posOffset>-30480</wp:posOffset>
                </wp:positionH>
                <wp:positionV relativeFrom="paragraph">
                  <wp:posOffset>105410</wp:posOffset>
                </wp:positionV>
                <wp:extent cx="5460365" cy="3513455"/>
                <wp:effectExtent l="7620" t="12065" r="8890" b="8255"/>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0365" cy="351345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AA0D19" id="Rectangle 28" o:spid="_x0000_s1026" style="position:absolute;margin-left:-2.4pt;margin-top:8.3pt;width:429.95pt;height:27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" o:allowincell="f" filled="f"/>
            </w:pict>
          </mc:Fallback>
        </mc:AlternateContent>
      </w:r>
    </w:p>
    <w:p w:rsidR="008A45CA" w:rsidRPr="008D10B5" w:rsidRDefault="008A45CA" w:rsidP="008D10B5">
      <w:pPr>
        <w:jc w:val="both"/>
        <w:rPr>
          <w:rFonts w:asciiTheme="minorHAnsi" w:hAnsiTheme="minorHAnsi"/>
          <w:lang w:val="en-GB" w:eastAsia="en-GB"/>
        </w:rPr>
      </w:pPr>
      <w:r w:rsidRPr="008D10B5">
        <w:rPr>
          <w:rFonts w:asciiTheme="minorHAnsi" w:hAnsiTheme="minorHAnsi"/>
          <w:noProof/>
          <w:lang w:val="en-GB" w:eastAsia="en-GB"/>
        </w:rPr>
        <mc:AlternateContent>
          <mc:Choice Requires="wps">
            <w:drawing>
              <wp:anchor distT="0" distB="0" distL="114300" distR="114300" simplePos="0" relativeHeight="251661312" behindDoc="0" locked="0" layoutInCell="1" allowOverlap="1" wp14:anchorId="465C9F77" wp14:editId="6A5E5FA3">
                <wp:simplePos x="0" y="0"/>
                <wp:positionH relativeFrom="column">
                  <wp:posOffset>2741930</wp:posOffset>
                </wp:positionH>
                <wp:positionV relativeFrom="paragraph">
                  <wp:posOffset>789940</wp:posOffset>
                </wp:positionV>
                <wp:extent cx="496570" cy="333375"/>
                <wp:effectExtent l="0" t="0" r="0" b="4445"/>
                <wp:wrapTopAndBottom/>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570" cy="333375"/>
                        </a:xfrm>
                        <a:prstGeom prst="rect">
                          <a:avLst/>
                        </a:prstGeom>
                        <a:noFill/>
                        <a:ln>
                          <a:noFill/>
                        </a:ln>
                        <a:extLst>
                          <a:ext uri="{909E8E84-426E-40DD-AFC4-6F175D3DCCD1}">
                            <a14:hiddenFill xmlns:a14="http://schemas.microsoft.com/office/drawing/2010/main">
                              <a:solidFill>
                                <a:srgbClr val="00CC99"/>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A45CA" w:rsidRDefault="008A45CA" w:rsidP="008A45CA">
                            <w:pPr>
                              <w:rPr>
                                <w:snapToGrid w:val="0"/>
                                <w:color w:val="000000"/>
                              </w:rPr>
                            </w:pPr>
                            <w:r>
                              <w:rPr>
                                <w:snapToGrid w:val="0"/>
                                <w:color w:val="000000"/>
                              </w:rPr>
                              <w:t>I</w:t>
                            </w:r>
                            <w:r>
                              <w:rPr>
                                <w:snapToGrid w:val="0"/>
                                <w:color w:val="000000"/>
                                <w:vertAlign w:val="subscript"/>
                              </w:rPr>
                              <w:t>i</w:t>
                            </w:r>
                            <w:r>
                              <w:rPr>
                                <w:snapToGrid w:val="0"/>
                                <w:color w:val="000000"/>
                              </w:rPr>
                              <w:t>(</w:t>
                            </w:r>
                            <w:r>
                              <w:rPr>
                                <w:snapToGrid w:val="0"/>
                                <w:color w:val="000000"/>
                              </w:rPr>
                              <w:sym w:font="Symbol" w:char="F062"/>
                            </w:r>
                            <w:r>
                              <w:rPr>
                                <w:snapToGrid w:val="0"/>
                                <w:color w:val="000000"/>
                              </w:rPr>
                              <w:t>)</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5C9F77" id="Text Box 27" o:spid="_x0000_s1027" type="#_x0000_t202" style="position:absolute;left:0;text-align:left;margin-left:215.9pt;margin-top:62.2pt;width:39.1pt;height:2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" filled="f" fillcolor="#0c9" stroked="f">
                <v:textbox inset="2.32061mm,1.1603mm,2.32061mm,1.1603mm">
                  <w:txbxContent>
                    <w:p w:rsidR="008A45CA" w:rsidRDefault="008A45CA" w:rsidP="008A45CA">
                      <w:pPr>
                        <w:rPr>
                          <w:snapToGrid w:val="0"/>
                          <w:color w:val="000000"/>
                        </w:rPr>
                      </w:pPr>
                      <w:proofErr w:type="gramStart"/>
                      <w:r>
                        <w:rPr>
                          <w:snapToGrid w:val="0"/>
                          <w:color w:val="000000"/>
                        </w:rPr>
                        <w:t>I</w:t>
                      </w:r>
                      <w:r>
                        <w:rPr>
                          <w:snapToGrid w:val="0"/>
                          <w:color w:val="000000"/>
                          <w:vertAlign w:val="subscript"/>
                        </w:rPr>
                        <w:t>i</w:t>
                      </w:r>
                      <w:r>
                        <w:rPr>
                          <w:snapToGrid w:val="0"/>
                          <w:color w:val="000000"/>
                        </w:rPr>
                        <w:t>(</w:t>
                      </w:r>
                      <w:proofErr w:type="gramEnd"/>
                      <w:r>
                        <w:rPr>
                          <w:snapToGrid w:val="0"/>
                          <w:color w:val="000000"/>
                        </w:rPr>
                        <w:sym w:font="Symbol" w:char="F062"/>
                      </w:r>
                      <w:r>
                        <w:rPr>
                          <w:snapToGrid w:val="0"/>
                          <w:color w:val="000000"/>
                        </w:rPr>
                        <w:t>)</w:t>
                      </w:r>
                    </w:p>
                  </w:txbxContent>
                </v:textbox>
                <w10:wrap type="topAndBottom"/>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2336" behindDoc="0" locked="0" layoutInCell="0" allowOverlap="1" wp14:anchorId="4187CE06" wp14:editId="11F7A5E8">
                <wp:simplePos x="0" y="0"/>
                <wp:positionH relativeFrom="column">
                  <wp:posOffset>4900295</wp:posOffset>
                </wp:positionH>
                <wp:positionV relativeFrom="paragraph">
                  <wp:posOffset>1128395</wp:posOffset>
                </wp:positionV>
                <wp:extent cx="460375" cy="316865"/>
                <wp:effectExtent l="4445" t="635" r="1905" b="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375" cy="3168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A45CA" w:rsidRDefault="008A45CA" w:rsidP="008A45CA">
                            <w:r>
                              <w:t>(D</w:t>
                            </w:r>
                            <w:r>
                              <w:rPr>
                                <w:vertAlign w:val="subscript"/>
                              </w:rPr>
                              <w:t>e</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87CE06" id="Text Box 26" o:spid="_x0000_s1028" type="#_x0000_t202" style="position:absolute;left:0;text-align:left;margin-left:385.85pt;margin-top:88.85pt;width:36.25pt;height:2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" o:allowincell="f" stroked="f">
                <v:textbox>
                  <w:txbxContent>
                    <w:p w:rsidR="008A45CA" w:rsidRDefault="008A45CA" w:rsidP="008A45CA">
                      <w:r>
                        <w:t>(D</w:t>
                      </w:r>
                      <w:r>
                        <w:rPr>
                          <w:vertAlign w:val="subscript"/>
                        </w:rPr>
                        <w:t>e</w:t>
                      </w:r>
                      <w:r>
                        <w:t>)</w:t>
                      </w:r>
                    </w:p>
                  </w:txbxContent>
                </v:textbox>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3360" behindDoc="0" locked="0" layoutInCell="0" allowOverlap="1" wp14:anchorId="64A47412" wp14:editId="1405B8A0">
                <wp:simplePos x="0" y="0"/>
                <wp:positionH relativeFrom="column">
                  <wp:posOffset>4639310</wp:posOffset>
                </wp:positionH>
                <wp:positionV relativeFrom="paragraph">
                  <wp:posOffset>1409700</wp:posOffset>
                </wp:positionV>
                <wp:extent cx="382905" cy="382905"/>
                <wp:effectExtent l="48260" t="5715" r="6985" b="49530"/>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2905" cy="38290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7431C8" id="Straight Connector 2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5.3pt,111pt" to="395.45pt,14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" o:allowincell="f">
                <v:stroke endarrow="block"/>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4384" behindDoc="0" locked="0" layoutInCell="0" allowOverlap="1" wp14:anchorId="3A887CAF" wp14:editId="21242602">
                <wp:simplePos x="0" y="0"/>
                <wp:positionH relativeFrom="column">
                  <wp:posOffset>3897630</wp:posOffset>
                </wp:positionH>
                <wp:positionV relativeFrom="paragraph">
                  <wp:posOffset>1183640</wp:posOffset>
                </wp:positionV>
                <wp:extent cx="146685" cy="164465"/>
                <wp:effectExtent l="11430" t="17780" r="13335" b="17780"/>
                <wp:wrapTopAndBottom/>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685" cy="16446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DAB8157" id="Rectangle 24" o:spid="_x0000_s1026" style="position:absolute;margin-left:306.9pt;margin-top:93.2pt;width:11.55pt;height:1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" o:allowincell="f" filled="f" fillcolor="#0c9" strokeweight="1.5pt">
                <w10:wrap type="topAndBottom"/>
              </v:rect>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5408" behindDoc="0" locked="0" layoutInCell="0" allowOverlap="1" wp14:anchorId="02D2EBCE" wp14:editId="70ACDF7A">
                <wp:simplePos x="0" y="0"/>
                <wp:positionH relativeFrom="column">
                  <wp:posOffset>4608830</wp:posOffset>
                </wp:positionH>
                <wp:positionV relativeFrom="paragraph">
                  <wp:posOffset>763270</wp:posOffset>
                </wp:positionV>
                <wp:extent cx="0" cy="1062355"/>
                <wp:effectExtent l="17780" t="16510" r="10795" b="16510"/>
                <wp:wrapTopAndBottom/>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1062355"/>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448E5F" id="Straight Connector 23"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2.9pt,60.1pt" to="362.9pt,1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6432" behindDoc="0" locked="0" layoutInCell="0" allowOverlap="1" wp14:anchorId="33063A84" wp14:editId="10FFB9CA">
                <wp:simplePos x="0" y="0"/>
                <wp:positionH relativeFrom="column">
                  <wp:posOffset>321945</wp:posOffset>
                </wp:positionH>
                <wp:positionV relativeFrom="paragraph">
                  <wp:posOffset>321310</wp:posOffset>
                </wp:positionV>
                <wp:extent cx="277495" cy="0"/>
                <wp:effectExtent l="17145" t="60325" r="19685" b="63500"/>
                <wp:wrapTopAndBottom/>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77495" cy="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FB6D16" id="Straight Connector 2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35pt,25.3pt" to="47.2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" o:allowincell="f" strokeweight="1.5pt">
                <v:stroke endarrow="block"/>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7456" behindDoc="0" locked="0" layoutInCell="0" allowOverlap="1" wp14:anchorId="3D873A13" wp14:editId="07CBAD84">
                <wp:simplePos x="0" y="0"/>
                <wp:positionH relativeFrom="column">
                  <wp:posOffset>1490345</wp:posOffset>
                </wp:positionH>
                <wp:positionV relativeFrom="paragraph">
                  <wp:posOffset>253365</wp:posOffset>
                </wp:positionV>
                <wp:extent cx="0" cy="3048000"/>
                <wp:effectExtent l="13970" t="11430" r="14605" b="17145"/>
                <wp:wrapTopAndBottom/>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048000"/>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64FEF7" id="Straight Connector 2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7.35pt,19.95pt" to="117.35pt,25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8480" behindDoc="0" locked="0" layoutInCell="0" allowOverlap="1" wp14:anchorId="2BCC66CA" wp14:editId="5B9011F2">
                <wp:simplePos x="0" y="0"/>
                <wp:positionH relativeFrom="column">
                  <wp:posOffset>327660</wp:posOffset>
                </wp:positionH>
                <wp:positionV relativeFrom="paragraph">
                  <wp:posOffset>321310</wp:posOffset>
                </wp:positionV>
                <wp:extent cx="0" cy="2977515"/>
                <wp:effectExtent l="13335" t="12700" r="15240" b="10160"/>
                <wp:wrapTopAndBottom/>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2977515"/>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EE1F98" id="Straight Connector 2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8pt,25.3pt" to="25.8pt,2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69504" behindDoc="0" locked="0" layoutInCell="0" allowOverlap="1" wp14:anchorId="410D6474" wp14:editId="39D3936D">
                <wp:simplePos x="0" y="0"/>
                <wp:positionH relativeFrom="column">
                  <wp:posOffset>3377565</wp:posOffset>
                </wp:positionH>
                <wp:positionV relativeFrom="paragraph">
                  <wp:posOffset>266700</wp:posOffset>
                </wp:positionV>
                <wp:extent cx="382905" cy="382905"/>
                <wp:effectExtent l="53340" t="5715" r="11430" b="4953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2905" cy="38290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AF9318" id="Straight Connector 19"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5.95pt,21pt" to="296.1pt,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" o:allowincell="f">
                <v:stroke endarrow="block"/>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0528" behindDoc="0" locked="0" layoutInCell="0" allowOverlap="1" wp14:anchorId="04CB9BE9" wp14:editId="1228EEEC">
                <wp:simplePos x="0" y="0"/>
                <wp:positionH relativeFrom="column">
                  <wp:posOffset>3330575</wp:posOffset>
                </wp:positionH>
                <wp:positionV relativeFrom="paragraph">
                  <wp:posOffset>763270</wp:posOffset>
                </wp:positionV>
                <wp:extent cx="1268730" cy="635"/>
                <wp:effectExtent l="15875" t="16510" r="10795" b="11430"/>
                <wp:wrapTopAndBottom/>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68730" cy="635"/>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AF7BA4" id="Straight Connector 18"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2.25pt,60.1pt" to="362.15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1552" behindDoc="0" locked="0" layoutInCell="0" allowOverlap="1" wp14:anchorId="47628CD4" wp14:editId="2AC18A97">
                <wp:simplePos x="0" y="0"/>
                <wp:positionH relativeFrom="column">
                  <wp:posOffset>3922395</wp:posOffset>
                </wp:positionH>
                <wp:positionV relativeFrom="paragraph">
                  <wp:posOffset>1216025</wp:posOffset>
                </wp:positionV>
                <wp:extent cx="104140" cy="96520"/>
                <wp:effectExtent l="7620" t="12065" r="12065" b="5715"/>
                <wp:wrapTopAndBottom/>
                <wp:docPr id="17"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140" cy="96520"/>
                        </a:xfrm>
                        <a:prstGeom prst="ellipse">
                          <a:avLst/>
                        </a:prstGeom>
                        <a:solidFill>
                          <a:srgbClr val="3366FF"/>
                        </a:solidFill>
                        <a:ln w="9525">
                          <a:solidFill>
                            <a:srgbClr val="000000"/>
                          </a:solidFill>
                          <a:round/>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BF227B5" id="Oval 17" o:spid="_x0000_s1026" style="position:absolute;margin-left:308.85pt;margin-top:95.75pt;width:8.2pt;height: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" o:allowincell="f" fillcolor="#36f">
                <w10:wrap type="topAndBottom"/>
              </v:oval>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2576" behindDoc="0" locked="0" layoutInCell="0" allowOverlap="1" wp14:anchorId="5DEE9A12" wp14:editId="25998EDD">
                <wp:simplePos x="0" y="0"/>
                <wp:positionH relativeFrom="column">
                  <wp:posOffset>4381500</wp:posOffset>
                </wp:positionH>
                <wp:positionV relativeFrom="paragraph">
                  <wp:posOffset>838200</wp:posOffset>
                </wp:positionV>
                <wp:extent cx="105410" cy="95885"/>
                <wp:effectExtent l="9525" t="5715" r="8890" b="12700"/>
                <wp:wrapTopAndBottom/>
                <wp:docPr id="16" name="Oval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410" cy="95885"/>
                        </a:xfrm>
                        <a:prstGeom prst="ellipse">
                          <a:avLst/>
                        </a:prstGeom>
                        <a:solidFill>
                          <a:srgbClr val="3366FF"/>
                        </a:solidFill>
                        <a:ln w="9525">
                          <a:solidFill>
                            <a:srgbClr val="000000"/>
                          </a:solidFill>
                          <a:round/>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0BE1BFD" id="Oval 16" o:spid="_x0000_s1026" style="position:absolute;margin-left:345pt;margin-top:66pt;width:8.3pt;height:7.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" o:allowincell="f" fillcolor="#36f">
                <w10:wrap type="topAndBottom"/>
              </v:oval>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3600" behindDoc="0" locked="0" layoutInCell="0" allowOverlap="1" wp14:anchorId="0F0A8476" wp14:editId="218863FB">
                <wp:simplePos x="0" y="0"/>
                <wp:positionH relativeFrom="column">
                  <wp:posOffset>4918075</wp:posOffset>
                </wp:positionH>
                <wp:positionV relativeFrom="paragraph">
                  <wp:posOffset>407670</wp:posOffset>
                </wp:positionV>
                <wp:extent cx="104140" cy="97155"/>
                <wp:effectExtent l="12700" t="13335" r="6985" b="13335"/>
                <wp:wrapTopAndBottom/>
                <wp:docPr id="15" name="Oval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140" cy="97155"/>
                        </a:xfrm>
                        <a:prstGeom prst="ellipse">
                          <a:avLst/>
                        </a:prstGeom>
                        <a:solidFill>
                          <a:srgbClr val="3366FF"/>
                        </a:solidFill>
                        <a:ln w="9525">
                          <a:solidFill>
                            <a:srgbClr val="000000"/>
                          </a:solidFill>
                          <a:round/>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C48C88F" id="Oval 15" o:spid="_x0000_s1026" style="position:absolute;margin-left:387.25pt;margin-top:32.1pt;width:8.2pt;height: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" o:allowincell="f" fillcolor="#36f">
                <w10:wrap type="topAndBottom"/>
              </v:oval>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4624" behindDoc="0" locked="0" layoutInCell="0" allowOverlap="1" wp14:anchorId="0870681B" wp14:editId="5B569811">
                <wp:simplePos x="0" y="0"/>
                <wp:positionH relativeFrom="column">
                  <wp:posOffset>3238500</wp:posOffset>
                </wp:positionH>
                <wp:positionV relativeFrom="paragraph">
                  <wp:posOffset>1764665</wp:posOffset>
                </wp:positionV>
                <wp:extent cx="106680" cy="97155"/>
                <wp:effectExtent l="9525" t="8255" r="7620" b="8890"/>
                <wp:wrapTopAndBottom/>
                <wp:docPr id="14" name="Oval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 cy="97155"/>
                        </a:xfrm>
                        <a:prstGeom prst="ellipse">
                          <a:avLst/>
                        </a:prstGeom>
                        <a:solidFill>
                          <a:srgbClr val="3366FF"/>
                        </a:solidFill>
                        <a:ln w="9525">
                          <a:solidFill>
                            <a:srgbClr val="000000"/>
                          </a:solidFill>
                          <a:round/>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7767B3BC" id="Oval 14" o:spid="_x0000_s1026" style="position:absolute;margin-left:255pt;margin-top:138.95pt;width:8.4pt;height:7.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" o:allowincell="f" fillcolor="#36f">
                <w10:wrap type="topAndBottom"/>
              </v:oval>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5648" behindDoc="0" locked="0" layoutInCell="0" allowOverlap="1" wp14:anchorId="2414B039" wp14:editId="48B951B3">
                <wp:simplePos x="0" y="0"/>
                <wp:positionH relativeFrom="column">
                  <wp:posOffset>3317875</wp:posOffset>
                </wp:positionH>
                <wp:positionV relativeFrom="paragraph">
                  <wp:posOffset>304800</wp:posOffset>
                </wp:positionV>
                <wp:extent cx="1854200" cy="1487805"/>
                <wp:effectExtent l="12700" t="15240" r="9525" b="11430"/>
                <wp:wrapTopAndBottom/>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854200" cy="1487805"/>
                        </a:xfrm>
                        <a:prstGeom prst="line">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00DEE3" id="Straight Connector 1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25pt,24pt" to="407.25pt,14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" o:allowincell="f" strokecolor="red"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6672" behindDoc="0" locked="0" layoutInCell="0" allowOverlap="1" wp14:anchorId="08801573" wp14:editId="34C392F4">
                <wp:simplePos x="0" y="0"/>
                <wp:positionH relativeFrom="column">
                  <wp:posOffset>3317875</wp:posOffset>
                </wp:positionH>
                <wp:positionV relativeFrom="paragraph">
                  <wp:posOffset>1825625</wp:posOffset>
                </wp:positionV>
                <wp:extent cx="1849120" cy="635"/>
                <wp:effectExtent l="12700" t="12065" r="14605" b="15875"/>
                <wp:wrapTopAndBottom/>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49120" cy="635"/>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4DA83B" id="Straight Connector 12"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25pt,143.75pt" to="406.85pt,14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7696" behindDoc="0" locked="0" layoutInCell="0" allowOverlap="1" wp14:anchorId="4DE95AA1" wp14:editId="0C46B0FA">
                <wp:simplePos x="0" y="0"/>
                <wp:positionH relativeFrom="column">
                  <wp:posOffset>3290570</wp:posOffset>
                </wp:positionH>
                <wp:positionV relativeFrom="paragraph">
                  <wp:posOffset>261620</wp:posOffset>
                </wp:positionV>
                <wp:extent cx="635" cy="1551940"/>
                <wp:effectExtent l="13970" t="10160" r="13970" b="9525"/>
                <wp:wrapTopAndBottom/>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551940"/>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A742C6" id="Straight Connector 11"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9.1pt,20.6pt" to="259.15pt,14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8720" behindDoc="0" locked="0" layoutInCell="0" allowOverlap="1" wp14:anchorId="0F001C2C" wp14:editId="1245840D">
                <wp:simplePos x="0" y="0"/>
                <wp:positionH relativeFrom="column">
                  <wp:posOffset>3238500</wp:posOffset>
                </wp:positionH>
                <wp:positionV relativeFrom="paragraph">
                  <wp:posOffset>704850</wp:posOffset>
                </wp:positionV>
                <wp:extent cx="106680" cy="96520"/>
                <wp:effectExtent l="9525" t="5715" r="7620" b="12065"/>
                <wp:wrapTopAndBottom/>
                <wp:docPr id="10"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 cy="96520"/>
                        </a:xfrm>
                        <a:prstGeom prst="ellipse">
                          <a:avLst/>
                        </a:prstGeom>
                        <a:solidFill>
                          <a:srgbClr val="3366FF"/>
                        </a:solidFill>
                        <a:ln w="9525">
                          <a:solidFill>
                            <a:srgbClr val="000000"/>
                          </a:solidFill>
                          <a:round/>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AE77BC3" id="Oval 10" o:spid="_x0000_s1026" style="position:absolute;margin-left:255pt;margin-top:55.5pt;width:8.4pt;height:7.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" o:allowincell="f" fillcolor="#36f">
                <w10:wrap type="topAndBottom"/>
              </v:oval>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79744" behindDoc="0" locked="0" layoutInCell="0" allowOverlap="1" wp14:anchorId="0FE7A5D1" wp14:editId="44D0F427">
                <wp:simplePos x="0" y="0"/>
                <wp:positionH relativeFrom="column">
                  <wp:posOffset>571500</wp:posOffset>
                </wp:positionH>
                <wp:positionV relativeFrom="paragraph">
                  <wp:posOffset>1191895</wp:posOffset>
                </wp:positionV>
                <wp:extent cx="1769745" cy="311150"/>
                <wp:effectExtent l="9525" t="16510" r="11430" b="15240"/>
                <wp:wrapTopAndBottom/>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9745" cy="311150"/>
                        </a:xfrm>
                        <a:prstGeom prst="rect">
                          <a:avLst/>
                        </a:prstGeom>
                        <a:solidFill>
                          <a:srgbClr val="FFFFFF"/>
                        </a:solidFill>
                        <a:ln w="15875">
                          <a:solidFill>
                            <a:srgbClr val="000000"/>
                          </a:solidFill>
                          <a:miter lim="800000"/>
                          <a:headEnd/>
                          <a:tailEnd/>
                        </a:ln>
                      </wps:spPr>
                      <wps:txbx>
                        <w:txbxContent>
                          <w:p w:rsidR="008A45CA" w:rsidRDefault="008A45CA" w:rsidP="008A45CA">
                            <w:pPr>
                              <w:jc w:val="center"/>
                              <w:rPr>
                                <w:b/>
                                <w:snapToGrid w:val="0"/>
                                <w:color w:val="000000"/>
                              </w:rPr>
                            </w:pPr>
                            <w:r>
                              <w:rPr>
                                <w:b/>
                                <w:snapToGrid w:val="0"/>
                                <w:color w:val="000000"/>
                              </w:rPr>
                              <w:t xml:space="preserve">OSL, </w:t>
                            </w:r>
                            <w:r>
                              <w:rPr>
                                <w:b/>
                                <w:i/>
                                <w:iCs/>
                                <w:snapToGrid w:val="0"/>
                                <w:color w:val="000000"/>
                              </w:rPr>
                              <w:t>L</w:t>
                            </w:r>
                            <w:r>
                              <w:rPr>
                                <w:b/>
                                <w:i/>
                                <w:iCs/>
                                <w:snapToGrid w:val="0"/>
                                <w:color w:val="000000"/>
                                <w:vertAlign w:val="subscript"/>
                              </w:rPr>
                              <w:t>i</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E7A5D1" id="Text Box 9" o:spid="_x0000_s1029" type="#_x0000_t202" style="position:absolute;left:0;text-align:left;margin-left:45pt;margin-top:93.85pt;width:139.35pt;height:2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" o:allowincell="f" strokeweight="1.25pt">
                <v:textbox inset="2.32061mm,1.1603mm,2.32061mm,1.1603mm">
                  <w:txbxContent>
                    <w:p w:rsidR="008A45CA" w:rsidRDefault="008A45CA" w:rsidP="008A45CA">
                      <w:pPr>
                        <w:jc w:val="center"/>
                        <w:rPr>
                          <w:b/>
                          <w:snapToGrid w:val="0"/>
                          <w:color w:val="000000"/>
                        </w:rPr>
                      </w:pPr>
                      <w:r>
                        <w:rPr>
                          <w:b/>
                          <w:snapToGrid w:val="0"/>
                          <w:color w:val="000000"/>
                        </w:rPr>
                        <w:t xml:space="preserve">OSL, </w:t>
                      </w:r>
                      <w:r>
                        <w:rPr>
                          <w:b/>
                          <w:i/>
                          <w:iCs/>
                          <w:snapToGrid w:val="0"/>
                          <w:color w:val="000000"/>
                        </w:rPr>
                        <w:t>L</w:t>
                      </w:r>
                      <w:r>
                        <w:rPr>
                          <w:b/>
                          <w:i/>
                          <w:iCs/>
                          <w:snapToGrid w:val="0"/>
                          <w:color w:val="000000"/>
                          <w:vertAlign w:val="subscript"/>
                        </w:rPr>
                        <w:t>i</w:t>
                      </w:r>
                    </w:p>
                  </w:txbxContent>
                </v:textbox>
                <w10:wrap type="topAndBottom"/>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0768" behindDoc="0" locked="0" layoutInCell="0" allowOverlap="1" wp14:anchorId="1F3362F9" wp14:editId="1168A607">
                <wp:simplePos x="0" y="0"/>
                <wp:positionH relativeFrom="column">
                  <wp:posOffset>571500</wp:posOffset>
                </wp:positionH>
                <wp:positionV relativeFrom="paragraph">
                  <wp:posOffset>664845</wp:posOffset>
                </wp:positionV>
                <wp:extent cx="1779270" cy="311150"/>
                <wp:effectExtent l="9525" t="13335" r="11430" b="8890"/>
                <wp:wrapTopAndBottom/>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9270" cy="311150"/>
                        </a:xfrm>
                        <a:prstGeom prst="rect">
                          <a:avLst/>
                        </a:prstGeom>
                        <a:solidFill>
                          <a:srgbClr val="FFFFFF"/>
                        </a:solidFill>
                        <a:ln w="15875">
                          <a:solidFill>
                            <a:srgbClr val="000000"/>
                          </a:solidFill>
                          <a:miter lim="800000"/>
                          <a:headEnd/>
                          <a:tailEnd/>
                        </a:ln>
                      </wps:spPr>
                      <wps:txbx>
                        <w:txbxContent>
                          <w:p w:rsidR="008A45CA" w:rsidRDefault="008A45CA" w:rsidP="008A45CA">
                            <w:pPr>
                              <w:jc w:val="center"/>
                              <w:rPr>
                                <w:b/>
                                <w:snapToGrid w:val="0"/>
                                <w:color w:val="000000"/>
                              </w:rPr>
                            </w:pPr>
                            <w:r>
                              <w:rPr>
                                <w:b/>
                                <w:snapToGrid w:val="0"/>
                                <w:color w:val="000000"/>
                              </w:rPr>
                              <w:t>Preheat 1, PH</w:t>
                            </w:r>
                            <w:r>
                              <w:rPr>
                                <w:b/>
                                <w:snapToGrid w:val="0"/>
                                <w:color w:val="000000"/>
                                <w:vertAlign w:val="subscript"/>
                              </w:rPr>
                              <w:t>1</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3362F9" id="Text Box 8" o:spid="_x0000_s1030" type="#_x0000_t202" style="position:absolute;left:0;text-align:left;margin-left:45pt;margin-top:52.35pt;width:140.1pt;height:2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" o:allowincell="f" strokeweight="1.25pt">
                <v:textbox inset="2.32061mm,1.1603mm,2.32061mm,1.1603mm">
                  <w:txbxContent>
                    <w:p w:rsidR="008A45CA" w:rsidRDefault="008A45CA" w:rsidP="008A45CA">
                      <w:pPr>
                        <w:jc w:val="center"/>
                        <w:rPr>
                          <w:b/>
                          <w:snapToGrid w:val="0"/>
                          <w:color w:val="000000"/>
                        </w:rPr>
                      </w:pPr>
                      <w:r>
                        <w:rPr>
                          <w:b/>
                          <w:snapToGrid w:val="0"/>
                          <w:color w:val="000000"/>
                        </w:rPr>
                        <w:t>Preheat 1, PH</w:t>
                      </w:r>
                      <w:r>
                        <w:rPr>
                          <w:b/>
                          <w:snapToGrid w:val="0"/>
                          <w:color w:val="000000"/>
                          <w:vertAlign w:val="subscript"/>
                        </w:rPr>
                        <w:t>1</w:t>
                      </w:r>
                    </w:p>
                  </w:txbxContent>
                </v:textbox>
                <w10:wrap type="topAndBottom"/>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1792" behindDoc="0" locked="0" layoutInCell="0" allowOverlap="1" wp14:anchorId="76B61D87" wp14:editId="4397ACB8">
                <wp:simplePos x="0" y="0"/>
                <wp:positionH relativeFrom="column">
                  <wp:posOffset>571500</wp:posOffset>
                </wp:positionH>
                <wp:positionV relativeFrom="paragraph">
                  <wp:posOffset>201930</wp:posOffset>
                </wp:positionV>
                <wp:extent cx="1788795" cy="311150"/>
                <wp:effectExtent l="9525" t="17145" r="11430" b="14605"/>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8795" cy="311150"/>
                        </a:xfrm>
                        <a:prstGeom prst="rect">
                          <a:avLst/>
                        </a:prstGeom>
                        <a:solidFill>
                          <a:srgbClr val="FFFFFF"/>
                        </a:solidFill>
                        <a:ln w="15875">
                          <a:solidFill>
                            <a:srgbClr val="000000"/>
                          </a:solidFill>
                          <a:miter lim="800000"/>
                          <a:headEnd/>
                          <a:tailEnd/>
                        </a:ln>
                      </wps:spPr>
                      <wps:txbx>
                        <w:txbxContent>
                          <w:p w:rsidR="008A45CA" w:rsidRDefault="008A45CA" w:rsidP="008A45CA">
                            <w:pPr>
                              <w:jc w:val="center"/>
                              <w:rPr>
                                <w:b/>
                                <w:snapToGrid w:val="0"/>
                                <w:color w:val="000000"/>
                              </w:rPr>
                            </w:pPr>
                            <w:r>
                              <w:rPr>
                                <w:b/>
                                <w:snapToGrid w:val="0"/>
                                <w:color w:val="000000"/>
                              </w:rPr>
                              <w:t xml:space="preserve">Regenerative dose, </w:t>
                            </w:r>
                            <w:r>
                              <w:rPr>
                                <w:b/>
                                <w:snapToGrid w:val="0"/>
                                <w:color w:val="000000"/>
                              </w:rPr>
                              <w:sym w:font="Symbol" w:char="F062"/>
                            </w:r>
                            <w:r>
                              <w:rPr>
                                <w:b/>
                                <w:snapToGrid w:val="0"/>
                                <w:color w:val="000000"/>
                                <w:vertAlign w:val="subscript"/>
                              </w:rPr>
                              <w:t>i</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B61D87" id="Text Box 7" o:spid="_x0000_s1031" type="#_x0000_t202" style="position:absolute;left:0;text-align:left;margin-left:45pt;margin-top:15.9pt;width:140.85pt;height:2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" o:allowincell="f" strokeweight="1.25pt">
                <v:textbox inset="2.32061mm,1.1603mm,2.32061mm,1.1603mm">
                  <w:txbxContent>
                    <w:p w:rsidR="008A45CA" w:rsidRDefault="008A45CA" w:rsidP="008A45CA">
                      <w:pPr>
                        <w:jc w:val="center"/>
                        <w:rPr>
                          <w:b/>
                          <w:snapToGrid w:val="0"/>
                          <w:color w:val="000000"/>
                        </w:rPr>
                      </w:pPr>
                      <w:r>
                        <w:rPr>
                          <w:b/>
                          <w:snapToGrid w:val="0"/>
                          <w:color w:val="000000"/>
                        </w:rPr>
                        <w:t xml:space="preserve">Regenerative dose, </w:t>
                      </w:r>
                      <w:r>
                        <w:rPr>
                          <w:b/>
                          <w:snapToGrid w:val="0"/>
                          <w:color w:val="000000"/>
                        </w:rPr>
                        <w:sym w:font="Symbol" w:char="F062"/>
                      </w:r>
                      <w:proofErr w:type="spellStart"/>
                      <w:r>
                        <w:rPr>
                          <w:b/>
                          <w:snapToGrid w:val="0"/>
                          <w:color w:val="000000"/>
                          <w:vertAlign w:val="subscript"/>
                        </w:rPr>
                        <w:t>i</w:t>
                      </w:r>
                      <w:proofErr w:type="spellEnd"/>
                    </w:p>
                  </w:txbxContent>
                </v:textbox>
                <w10:wrap type="topAndBottom"/>
              </v:shape>
            </w:pict>
          </mc:Fallback>
        </mc:AlternateContent>
      </w:r>
    </w:p>
    <w:p w:rsidR="008A45CA" w:rsidRPr="008D10B5" w:rsidRDefault="008A45CA" w:rsidP="008D10B5">
      <w:pPr>
        <w:jc w:val="both"/>
        <w:rPr>
          <w:rFonts w:asciiTheme="minorHAnsi" w:hAnsiTheme="minorHAnsi"/>
          <w:lang w:val="en-GB" w:eastAsia="en-GB"/>
        </w:rPr>
      </w:pPr>
      <w:r w:rsidRPr="008D10B5">
        <w:rPr>
          <w:rFonts w:asciiTheme="minorHAnsi" w:hAnsiTheme="minorHAnsi"/>
          <w:noProof/>
          <w:lang w:val="en-GB" w:eastAsia="en-GB"/>
        </w:rPr>
        <mc:AlternateContent>
          <mc:Choice Requires="wps">
            <w:drawing>
              <wp:anchor distT="0" distB="0" distL="114300" distR="114300" simplePos="0" relativeHeight="251682816" behindDoc="0" locked="0" layoutInCell="0" allowOverlap="1" wp14:anchorId="2CC9DF3E" wp14:editId="5786238A">
                <wp:simplePos x="0" y="0"/>
                <wp:positionH relativeFrom="column">
                  <wp:posOffset>321945</wp:posOffset>
                </wp:positionH>
                <wp:positionV relativeFrom="paragraph">
                  <wp:posOffset>3121660</wp:posOffset>
                </wp:positionV>
                <wp:extent cx="1175385" cy="0"/>
                <wp:effectExtent l="17145" t="16510" r="17145" b="12065"/>
                <wp:wrapTopAndBottom/>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75385" cy="0"/>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1C7566" id="Straight Connector 6"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35pt,245.8pt" to="117.9pt,24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" o:allowincell="f" strokeweight="1.5pt">
                <w10:wrap type="topAndBottom"/>
              </v:lin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3840" behindDoc="0" locked="0" layoutInCell="0" allowOverlap="1" wp14:anchorId="500E530D" wp14:editId="50950578">
                <wp:simplePos x="0" y="0"/>
                <wp:positionH relativeFrom="column">
                  <wp:posOffset>3218180</wp:posOffset>
                </wp:positionH>
                <wp:positionV relativeFrom="paragraph">
                  <wp:posOffset>2298065</wp:posOffset>
                </wp:positionV>
                <wp:extent cx="1956435" cy="0"/>
                <wp:effectExtent l="8255" t="12065" r="6985" b="698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5643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E1A1C7" id="Straight Connector 5"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3.4pt,180.95pt" to="407.45pt,18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c1jHQIAADYEAAAOAAAAZHJzL2Uyb0RvYy54bWysU02P2yAQvVfqf0DcE9tZJ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" o:allowincell="f"/>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4864" behindDoc="0" locked="0" layoutInCell="0" allowOverlap="1" wp14:anchorId="7FFFAE12" wp14:editId="0EC5F4CF">
                <wp:simplePos x="0" y="0"/>
                <wp:positionH relativeFrom="column">
                  <wp:posOffset>3430270</wp:posOffset>
                </wp:positionH>
                <wp:positionV relativeFrom="paragraph">
                  <wp:posOffset>1777365</wp:posOffset>
                </wp:positionV>
                <wp:extent cx="1732915" cy="287020"/>
                <wp:effectExtent l="1270" t="0" r="0" b="254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2915" cy="287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A45CA" w:rsidRDefault="008A45CA" w:rsidP="008A45CA">
                            <w:r>
                              <w:t xml:space="preserve">Regenerative dose, </w:t>
                            </w:r>
                            <w:r>
                              <w:sym w:font="Symbol" w:char="F062"/>
                            </w:r>
                            <w:r>
                              <w:rPr>
                                <w:vertAlign w:val="subscript"/>
                              </w:rPr>
                              <w:t>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FFAE12" id="Text Box 4" o:spid="_x0000_s1032" type="#_x0000_t202" style="position:absolute;margin-left:270.1pt;margin-top:139.95pt;width:136.45pt;height:2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" o:allowincell="f" stroked="f">
                <v:textbox>
                  <w:txbxContent>
                    <w:p w:rsidR="008A45CA" w:rsidRDefault="008A45CA" w:rsidP="008A45CA">
                      <w:r>
                        <w:t xml:space="preserve">Regenerative dose, </w:t>
                      </w:r>
                      <w:r>
                        <w:sym w:font="Symbol" w:char="F062"/>
                      </w:r>
                      <w:proofErr w:type="spellStart"/>
                      <w:r>
                        <w:rPr>
                          <w:vertAlign w:val="subscript"/>
                        </w:rPr>
                        <w:t>i</w:t>
                      </w:r>
                      <w:proofErr w:type="spellEnd"/>
                    </w:p>
                  </w:txbxContent>
                </v:textbox>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5888" behindDoc="0" locked="0" layoutInCell="0" allowOverlap="1" wp14:anchorId="5B4D5DDF" wp14:editId="42172873">
                <wp:simplePos x="0" y="0"/>
                <wp:positionH relativeFrom="column">
                  <wp:posOffset>571500</wp:posOffset>
                </wp:positionH>
                <wp:positionV relativeFrom="paragraph">
                  <wp:posOffset>2028190</wp:posOffset>
                </wp:positionV>
                <wp:extent cx="1731645" cy="311150"/>
                <wp:effectExtent l="9525" t="8890" r="11430" b="13335"/>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1645" cy="311150"/>
                        </a:xfrm>
                        <a:prstGeom prst="rect">
                          <a:avLst/>
                        </a:prstGeom>
                        <a:solidFill>
                          <a:srgbClr val="FFFFFF"/>
                        </a:solidFill>
                        <a:ln w="15875">
                          <a:solidFill>
                            <a:srgbClr val="000000"/>
                          </a:solidFill>
                          <a:miter lim="800000"/>
                          <a:headEnd/>
                          <a:tailEnd/>
                        </a:ln>
                      </wps:spPr>
                      <wps:txbx>
                        <w:txbxContent>
                          <w:p w:rsidR="008A45CA" w:rsidRDefault="008A45CA" w:rsidP="008A45CA">
                            <w:pPr>
                              <w:jc w:val="center"/>
                              <w:rPr>
                                <w:b/>
                                <w:snapToGrid w:val="0"/>
                                <w:color w:val="000000"/>
                              </w:rPr>
                            </w:pPr>
                            <w:r>
                              <w:rPr>
                                <w:b/>
                                <w:snapToGrid w:val="0"/>
                                <w:color w:val="000000"/>
                              </w:rPr>
                              <w:t>Preheat, PH</w:t>
                            </w:r>
                            <w:r>
                              <w:rPr>
                                <w:b/>
                                <w:snapToGrid w:val="0"/>
                                <w:color w:val="000000"/>
                                <w:vertAlign w:val="subscript"/>
                              </w:rPr>
                              <w:t>2</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4D5DDF" id="Text Box 3" o:spid="_x0000_s1033" type="#_x0000_t202" style="position:absolute;margin-left:45pt;margin-top:159.7pt;width:136.35pt;height:2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" o:allowincell="f" strokeweight="1.25pt">
                <v:textbox inset="2.32061mm,1.1603mm,2.32061mm,1.1603mm">
                  <w:txbxContent>
                    <w:p w:rsidR="008A45CA" w:rsidRDefault="008A45CA" w:rsidP="008A45CA">
                      <w:pPr>
                        <w:jc w:val="center"/>
                        <w:rPr>
                          <w:b/>
                          <w:snapToGrid w:val="0"/>
                          <w:color w:val="000000"/>
                        </w:rPr>
                      </w:pPr>
                      <w:r>
                        <w:rPr>
                          <w:b/>
                          <w:snapToGrid w:val="0"/>
                          <w:color w:val="000000"/>
                        </w:rPr>
                        <w:t>Preheat, PH</w:t>
                      </w:r>
                      <w:r>
                        <w:rPr>
                          <w:b/>
                          <w:snapToGrid w:val="0"/>
                          <w:color w:val="000000"/>
                          <w:vertAlign w:val="subscript"/>
                        </w:rPr>
                        <w:t>2</w:t>
                      </w:r>
                    </w:p>
                  </w:txbxContent>
                </v:textbox>
                <w10:wrap type="topAndBottom"/>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6912" behindDoc="0" locked="0" layoutInCell="0" allowOverlap="1" wp14:anchorId="0D77A7F6" wp14:editId="42733639">
                <wp:simplePos x="0" y="0"/>
                <wp:positionH relativeFrom="column">
                  <wp:posOffset>556895</wp:posOffset>
                </wp:positionH>
                <wp:positionV relativeFrom="paragraph">
                  <wp:posOffset>1543685</wp:posOffset>
                </wp:positionV>
                <wp:extent cx="1760855" cy="311150"/>
                <wp:effectExtent l="13970" t="10160" r="15875" b="12065"/>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855" cy="311150"/>
                        </a:xfrm>
                        <a:prstGeom prst="rect">
                          <a:avLst/>
                        </a:prstGeom>
                        <a:solidFill>
                          <a:srgbClr val="FFFFFF"/>
                        </a:solidFill>
                        <a:ln w="15875">
                          <a:solidFill>
                            <a:srgbClr val="000000"/>
                          </a:solidFill>
                          <a:miter lim="800000"/>
                          <a:headEnd/>
                          <a:tailEnd/>
                        </a:ln>
                      </wps:spPr>
                      <wps:txbx>
                        <w:txbxContent>
                          <w:p w:rsidR="008A45CA" w:rsidRDefault="008A45CA" w:rsidP="008A45CA">
                            <w:pPr>
                              <w:jc w:val="center"/>
                              <w:rPr>
                                <w:b/>
                                <w:snapToGrid w:val="0"/>
                                <w:color w:val="000000"/>
                                <w:vertAlign w:val="subscript"/>
                              </w:rPr>
                            </w:pPr>
                            <w:r>
                              <w:rPr>
                                <w:b/>
                                <w:snapToGrid w:val="0"/>
                                <w:color w:val="000000"/>
                              </w:rPr>
                              <w:t xml:space="preserve">Standard dose, </w:t>
                            </w:r>
                            <w:r>
                              <w:rPr>
                                <w:b/>
                                <w:snapToGrid w:val="0"/>
                                <w:color w:val="000000"/>
                              </w:rPr>
                              <w:sym w:font="Symbol" w:char="F062"/>
                            </w:r>
                            <w:r>
                              <w:rPr>
                                <w:b/>
                                <w:snapToGrid w:val="0"/>
                                <w:color w:val="000000"/>
                                <w:vertAlign w:val="subscript"/>
                              </w:rPr>
                              <w:t>S</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77A7F6" id="Text Box 2" o:spid="_x0000_s1034" type="#_x0000_t202" style="position:absolute;margin-left:43.85pt;margin-top:121.55pt;width:138.65pt;height:2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" o:allowincell="f" strokeweight="1.25pt">
                <v:textbox inset="2.32061mm,1.1603mm,2.32061mm,1.1603mm">
                  <w:txbxContent>
                    <w:p w:rsidR="008A45CA" w:rsidRDefault="008A45CA" w:rsidP="008A45CA">
                      <w:pPr>
                        <w:jc w:val="center"/>
                        <w:rPr>
                          <w:b/>
                          <w:snapToGrid w:val="0"/>
                          <w:color w:val="000000"/>
                          <w:vertAlign w:val="subscript"/>
                        </w:rPr>
                      </w:pPr>
                      <w:r>
                        <w:rPr>
                          <w:b/>
                          <w:snapToGrid w:val="0"/>
                          <w:color w:val="000000"/>
                        </w:rPr>
                        <w:t xml:space="preserve">Standard dose, </w:t>
                      </w:r>
                      <w:r>
                        <w:rPr>
                          <w:b/>
                          <w:snapToGrid w:val="0"/>
                          <w:color w:val="000000"/>
                        </w:rPr>
                        <w:sym w:font="Symbol" w:char="F062"/>
                      </w:r>
                      <w:r>
                        <w:rPr>
                          <w:b/>
                          <w:snapToGrid w:val="0"/>
                          <w:color w:val="000000"/>
                          <w:vertAlign w:val="subscript"/>
                        </w:rPr>
                        <w:t>S</w:t>
                      </w:r>
                    </w:p>
                  </w:txbxContent>
                </v:textbox>
                <w10:wrap type="topAndBottom"/>
              </v:shape>
            </w:pict>
          </mc:Fallback>
        </mc:AlternateContent>
      </w:r>
      <w:r w:rsidRPr="008D10B5">
        <w:rPr>
          <w:rFonts w:asciiTheme="minorHAnsi" w:hAnsiTheme="minorHAnsi"/>
          <w:noProof/>
          <w:lang w:val="en-GB" w:eastAsia="en-GB"/>
        </w:rPr>
        <mc:AlternateContent>
          <mc:Choice Requires="wps">
            <w:drawing>
              <wp:anchor distT="0" distB="0" distL="114300" distR="114300" simplePos="0" relativeHeight="251687936" behindDoc="0" locked="0" layoutInCell="0" allowOverlap="1" wp14:anchorId="58F408D7" wp14:editId="2503FBAB">
                <wp:simplePos x="0" y="0"/>
                <wp:positionH relativeFrom="column">
                  <wp:posOffset>542925</wp:posOffset>
                </wp:positionH>
                <wp:positionV relativeFrom="paragraph">
                  <wp:posOffset>2504440</wp:posOffset>
                </wp:positionV>
                <wp:extent cx="1779270" cy="311150"/>
                <wp:effectExtent l="9525" t="8890" r="11430" b="13335"/>
                <wp:wrapTopAndBottom/>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9270" cy="311150"/>
                        </a:xfrm>
                        <a:prstGeom prst="rect">
                          <a:avLst/>
                        </a:prstGeom>
                        <a:solidFill>
                          <a:srgbClr val="FFFFFF"/>
                        </a:solidFill>
                        <a:ln w="15875">
                          <a:solidFill>
                            <a:srgbClr val="000000"/>
                          </a:solidFill>
                          <a:miter lim="800000"/>
                          <a:headEnd/>
                          <a:tailEnd/>
                        </a:ln>
                      </wps:spPr>
                      <wps:txbx>
                        <w:txbxContent>
                          <w:p w:rsidR="008A45CA" w:rsidRDefault="008A45CA" w:rsidP="008A45CA">
                            <w:pPr>
                              <w:jc w:val="center"/>
                              <w:rPr>
                                <w:b/>
                                <w:snapToGrid w:val="0"/>
                                <w:color w:val="000000"/>
                              </w:rPr>
                            </w:pPr>
                            <w:r>
                              <w:rPr>
                                <w:b/>
                                <w:snapToGrid w:val="0"/>
                                <w:color w:val="000000"/>
                              </w:rPr>
                              <w:t xml:space="preserve">OSL, </w:t>
                            </w:r>
                            <w:r>
                              <w:rPr>
                                <w:b/>
                                <w:i/>
                                <w:iCs/>
                                <w:snapToGrid w:val="0"/>
                                <w:color w:val="000000"/>
                              </w:rPr>
                              <w:t>S</w:t>
                            </w:r>
                            <w:r>
                              <w:rPr>
                                <w:b/>
                                <w:i/>
                                <w:iCs/>
                                <w:snapToGrid w:val="0"/>
                                <w:color w:val="000000"/>
                                <w:vertAlign w:val="subscript"/>
                              </w:rPr>
                              <w:t>i</w:t>
                            </w:r>
                          </w:p>
                        </w:txbxContent>
                      </wps:txbx>
                      <wps:bodyPr rot="0" vert="horz" wrap="square" lIns="83542" tIns="41771" rIns="83542" bIns="41771"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F408D7" id="Text Box 1" o:spid="_x0000_s1035" type="#_x0000_t202" style="position:absolute;margin-left:42.75pt;margin-top:197.2pt;width:140.1pt;height:2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" o:allowincell="f" strokeweight="1.25pt">
                <v:textbox inset="2.32061mm,1.1603mm,2.32061mm,1.1603mm">
                  <w:txbxContent>
                    <w:p w:rsidR="008A45CA" w:rsidRDefault="008A45CA" w:rsidP="008A45CA">
                      <w:pPr>
                        <w:jc w:val="center"/>
                        <w:rPr>
                          <w:b/>
                          <w:snapToGrid w:val="0"/>
                          <w:color w:val="000000"/>
                        </w:rPr>
                      </w:pPr>
                      <w:r>
                        <w:rPr>
                          <w:b/>
                          <w:snapToGrid w:val="0"/>
                          <w:color w:val="000000"/>
                        </w:rPr>
                        <w:t xml:space="preserve">OSL, </w:t>
                      </w:r>
                      <w:r>
                        <w:rPr>
                          <w:b/>
                          <w:i/>
                          <w:iCs/>
                          <w:snapToGrid w:val="0"/>
                          <w:color w:val="000000"/>
                        </w:rPr>
                        <w:t>S</w:t>
                      </w:r>
                      <w:r>
                        <w:rPr>
                          <w:b/>
                          <w:i/>
                          <w:iCs/>
                          <w:snapToGrid w:val="0"/>
                          <w:color w:val="000000"/>
                          <w:vertAlign w:val="subscript"/>
                        </w:rPr>
                        <w:t>i</w:t>
                      </w:r>
                    </w:p>
                  </w:txbxContent>
                </v:textbox>
                <w10:wrap type="topAndBottom"/>
              </v:shape>
            </w:pict>
          </mc:Fallback>
        </mc:AlternateConten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b/>
          <w:lang w:val="en-GB" w:eastAsia="en-GB"/>
        </w:rPr>
        <w:t>Figure 4.1</w:t>
      </w:r>
      <w:r w:rsidRPr="008D10B5">
        <w:rPr>
          <w:rFonts w:asciiTheme="minorHAnsi" w:hAnsiTheme="minorHAnsi"/>
          <w:lang w:val="en-GB" w:eastAsia="en-GB"/>
        </w:rPr>
        <w:t xml:space="preserve"> Steps 1-6 are repeated n times in order to produce the data points required for interpolation (the first dose </w:t>
      </w:r>
      <w:r w:rsidRPr="008D10B5">
        <w:rPr>
          <w:rFonts w:asciiTheme="minorHAnsi" w:hAnsiTheme="minorHAnsi"/>
          <w:lang w:val="en-GB" w:eastAsia="en-GB"/>
        </w:rPr>
        <w:sym w:font="Symbol" w:char="F062"/>
      </w:r>
      <w:r w:rsidRPr="008D10B5">
        <w:rPr>
          <w:rFonts w:asciiTheme="minorHAnsi" w:hAnsiTheme="minorHAnsi"/>
          <w:vertAlign w:val="subscript"/>
          <w:lang w:val="en-GB" w:eastAsia="en-GB"/>
        </w:rPr>
        <w:t>1</w:t>
      </w:r>
      <w:r w:rsidRPr="008D10B5">
        <w:rPr>
          <w:rFonts w:asciiTheme="minorHAnsi" w:hAnsiTheme="minorHAnsi"/>
          <w:lang w:val="en-GB" w:eastAsia="en-GB"/>
        </w:rPr>
        <w:t xml:space="preserve"> being zero, to give a measure of the natural signal).  Typically n=7 (i.e. the natural plus 6 regeneration points, including one zero dose point and one repeat point). PH</w:t>
      </w:r>
      <w:r w:rsidRPr="008D10B5">
        <w:rPr>
          <w:rFonts w:asciiTheme="minorHAnsi" w:hAnsiTheme="minorHAnsi"/>
          <w:vertAlign w:val="subscript"/>
          <w:lang w:val="en-GB" w:eastAsia="en-GB"/>
        </w:rPr>
        <w:t>1</w:t>
      </w:r>
      <w:r w:rsidRPr="008D10B5">
        <w:rPr>
          <w:rFonts w:asciiTheme="minorHAnsi" w:hAnsiTheme="minorHAnsi"/>
          <w:lang w:val="en-GB" w:eastAsia="en-GB"/>
        </w:rPr>
        <w:t xml:space="preserve"> and PH</w:t>
      </w:r>
      <w:r w:rsidRPr="008D10B5">
        <w:rPr>
          <w:rFonts w:asciiTheme="minorHAnsi" w:hAnsiTheme="minorHAnsi"/>
          <w:vertAlign w:val="subscript"/>
          <w:lang w:val="en-GB" w:eastAsia="en-GB"/>
        </w:rPr>
        <w:t>2</w:t>
      </w:r>
      <w:r w:rsidRPr="008D10B5">
        <w:rPr>
          <w:rFonts w:asciiTheme="minorHAnsi" w:hAnsiTheme="minorHAnsi"/>
          <w:lang w:val="en-GB" w:eastAsia="en-GB"/>
        </w:rPr>
        <w:t xml:space="preserve"> are usually different although Murray and </w:t>
      </w:r>
      <w:proofErr w:type="spellStart"/>
      <w:r w:rsidRPr="008D10B5">
        <w:rPr>
          <w:rFonts w:asciiTheme="minorHAnsi" w:hAnsiTheme="minorHAnsi"/>
          <w:lang w:val="en-GB" w:eastAsia="en-GB"/>
        </w:rPr>
        <w:t>Wintle</w:t>
      </w:r>
      <w:proofErr w:type="spellEnd"/>
      <w:r w:rsidRPr="008D10B5">
        <w:rPr>
          <w:rFonts w:asciiTheme="minorHAnsi" w:hAnsiTheme="minorHAnsi"/>
          <w:lang w:val="en-GB" w:eastAsia="en-GB"/>
        </w:rPr>
        <w:t xml:space="preserve"> (2000) report no dependence of D</w:t>
      </w:r>
      <w:r w:rsidRPr="008D10B5">
        <w:rPr>
          <w:rFonts w:asciiTheme="minorHAnsi" w:hAnsiTheme="minorHAnsi"/>
          <w:vertAlign w:val="subscript"/>
          <w:lang w:val="en-GB" w:eastAsia="en-GB"/>
        </w:rPr>
        <w:t>e</w:t>
      </w:r>
      <w:r w:rsidRPr="008D10B5">
        <w:rPr>
          <w:rFonts w:asciiTheme="minorHAnsi" w:hAnsiTheme="minorHAnsi"/>
          <w:lang w:val="en-GB" w:eastAsia="en-GB"/>
        </w:rPr>
        <w:t xml:space="preserve"> on either (over the range of 200-280°C). The OSL signal is integrated over the initial part of the decay (to ~10% of initial intensity) and the background is taken as the light level </w:t>
      </w:r>
      <w:proofErr w:type="gramStart"/>
      <w:r w:rsidRPr="008D10B5">
        <w:rPr>
          <w:rFonts w:asciiTheme="minorHAnsi" w:hAnsiTheme="minorHAnsi"/>
          <w:lang w:val="en-GB" w:eastAsia="en-GB"/>
        </w:rPr>
        <w:t>measured  at</w:t>
      </w:r>
      <w:proofErr w:type="gramEnd"/>
      <w:r w:rsidRPr="008D10B5">
        <w:rPr>
          <w:rFonts w:asciiTheme="minorHAnsi" w:hAnsiTheme="minorHAnsi"/>
          <w:lang w:val="en-GB" w:eastAsia="en-GB"/>
        </w:rPr>
        <w:t xml:space="preserve"> the end of the OSL measurement.</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b/>
          <w:bCs/>
          <w:lang w:val="en-GB"/>
        </w:rPr>
      </w:pPr>
      <w:r w:rsidRPr="008D10B5">
        <w:rPr>
          <w:rFonts w:asciiTheme="minorHAnsi" w:hAnsiTheme="minorHAnsi"/>
          <w:b/>
          <w:bCs/>
          <w:lang w:val="en-GB"/>
        </w:rPr>
        <w:t>Section 5:</w:t>
      </w:r>
      <w:r w:rsidRPr="008D10B5">
        <w:rPr>
          <w:rFonts w:asciiTheme="minorHAnsi" w:hAnsiTheme="minorHAnsi"/>
          <w:b/>
          <w:bCs/>
          <w:lang w:val="en-GB"/>
        </w:rPr>
        <w:tab/>
        <w:t>Measurement procedures / conditions</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Luminescence measurements are made using automated </w:t>
      </w:r>
      <w:proofErr w:type="spellStart"/>
      <w:r w:rsidRPr="008D10B5">
        <w:rPr>
          <w:rFonts w:asciiTheme="minorHAnsi" w:hAnsiTheme="minorHAnsi"/>
          <w:lang w:val="en-GB" w:eastAsia="en-GB"/>
        </w:rPr>
        <w:t>Risø</w:t>
      </w:r>
      <w:proofErr w:type="spellEnd"/>
      <w:r w:rsidRPr="008D10B5">
        <w:rPr>
          <w:rFonts w:asciiTheme="minorHAnsi" w:hAnsiTheme="minorHAnsi"/>
          <w:lang w:val="en-GB" w:eastAsia="en-GB"/>
        </w:rPr>
        <w:t xml:space="preserve"> luminescence measurement equipment. There are currently three different systems that can be used for routine dating. The major difference between them being the optical stimulation sources. In the first two </w:t>
      </w:r>
      <w:r w:rsidRPr="008D10B5">
        <w:rPr>
          <w:rFonts w:asciiTheme="minorHAnsi" w:hAnsiTheme="minorHAnsi"/>
          <w:lang w:val="en-GB" w:eastAsia="en-GB"/>
        </w:rPr>
        <w:lastRenderedPageBreak/>
        <w:t xml:space="preserve">systems, optical excitation is provided by filtered blue diodes (emitting ~410-510nm), and in the third a filtered Halogen lamp (emitting ~420-560nm) is used. In all three systems, infrared stimulation is also possible using either an array of IR diodes or a single IR laser diode (depending on the measurement system). Luminescence is detected in the UV region on all systems, using EMI 9635Q </w:t>
      </w:r>
      <w:proofErr w:type="spellStart"/>
      <w:r w:rsidRPr="008D10B5">
        <w:rPr>
          <w:rFonts w:asciiTheme="minorHAnsi" w:hAnsiTheme="minorHAnsi"/>
          <w:lang w:val="en-GB" w:eastAsia="en-GB"/>
        </w:rPr>
        <w:t>bialkali</w:t>
      </w:r>
      <w:proofErr w:type="spellEnd"/>
      <w:r w:rsidRPr="008D10B5">
        <w:rPr>
          <w:rFonts w:asciiTheme="minorHAnsi" w:hAnsiTheme="minorHAnsi"/>
          <w:lang w:val="en-GB" w:eastAsia="en-GB"/>
        </w:rPr>
        <w:t xml:space="preserve"> photomultiplier tubes, filtered with Hoya U340 glass filters. Sample irradiation is provided in all cases by sealed </w:t>
      </w:r>
      <w:r w:rsidRPr="008D10B5">
        <w:rPr>
          <w:rFonts w:asciiTheme="minorHAnsi" w:hAnsiTheme="minorHAnsi"/>
          <w:vertAlign w:val="superscript"/>
          <w:lang w:val="en-GB" w:eastAsia="en-GB"/>
        </w:rPr>
        <w:t>90</w:t>
      </w:r>
      <w:r w:rsidRPr="008D10B5">
        <w:rPr>
          <w:rFonts w:asciiTheme="minorHAnsi" w:hAnsiTheme="minorHAnsi"/>
          <w:lang w:val="en-GB" w:eastAsia="en-GB"/>
        </w:rPr>
        <w:t xml:space="preserve">Sr sources at a rates of 1.5-3 </w:t>
      </w:r>
      <w:proofErr w:type="spellStart"/>
      <w:r w:rsidRPr="008D10B5">
        <w:rPr>
          <w:rFonts w:asciiTheme="minorHAnsi" w:hAnsiTheme="minorHAnsi"/>
          <w:lang w:val="en-GB" w:eastAsia="en-GB"/>
        </w:rPr>
        <w:t>Gy</w:t>
      </w:r>
      <w:proofErr w:type="spellEnd"/>
      <w:r w:rsidRPr="008D10B5">
        <w:rPr>
          <w:rFonts w:asciiTheme="minorHAnsi" w:hAnsiTheme="minorHAnsi"/>
          <w:lang w:val="en-GB" w:eastAsia="en-GB"/>
        </w:rPr>
        <w:t>/minute depending on the system used.</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In most cases the mean D</w:t>
      </w:r>
      <w:r w:rsidRPr="008D10B5">
        <w:rPr>
          <w:rFonts w:asciiTheme="minorHAnsi" w:hAnsiTheme="minorHAnsi"/>
          <w:vertAlign w:val="subscript"/>
          <w:lang w:val="en-GB" w:eastAsia="en-GB"/>
        </w:rPr>
        <w:t>e</w:t>
      </w:r>
      <w:r w:rsidRPr="008D10B5">
        <w:rPr>
          <w:rFonts w:asciiTheme="minorHAnsi" w:hAnsiTheme="minorHAnsi"/>
          <w:lang w:val="en-GB" w:eastAsia="en-GB"/>
        </w:rPr>
        <w:t xml:space="preserve"> for each sample is obtained from 6-12 aliquots (see Section 4 for details of calculations). All OSL measurements are made at 125°C (to ensure no re-trapping of charge to the 110°C TL trap during measurement) for 100s. The signal in the first 2s (with the stable background count rate from the last 24s subtracted) is normalized using the OSL signal regenerated by a subsequent beta dose (</w:t>
      </w:r>
      <w:r w:rsidRPr="008D10B5">
        <w:rPr>
          <w:rFonts w:asciiTheme="minorHAnsi" w:hAnsiTheme="minorHAnsi"/>
          <w:lang w:val="en-GB" w:eastAsia="en-GB"/>
        </w:rPr>
        <w:sym w:font="Symbol" w:char="F062"/>
      </w:r>
      <w:r w:rsidRPr="008D10B5">
        <w:rPr>
          <w:rFonts w:asciiTheme="minorHAnsi" w:hAnsiTheme="minorHAnsi"/>
          <w:vertAlign w:val="subscript"/>
          <w:lang w:val="en-GB" w:eastAsia="en-GB"/>
        </w:rPr>
        <w:t>s</w:t>
      </w:r>
      <w:r w:rsidRPr="008D10B5">
        <w:rPr>
          <w:rFonts w:asciiTheme="minorHAnsi" w:hAnsiTheme="minorHAnsi"/>
          <w:lang w:val="en-GB" w:eastAsia="en-GB"/>
        </w:rPr>
        <w:t>). To ensure removal of unstable OSL components, removal of dose quenching effects and re-trapping necessary to ensure meaningful comparison between naturally and laboratory irradiated signals, ‘preheating’ is performed prior to each OSL measurement. A preheat (PH</w:t>
      </w:r>
      <w:r w:rsidRPr="008D10B5">
        <w:rPr>
          <w:rFonts w:asciiTheme="minorHAnsi" w:hAnsiTheme="minorHAnsi"/>
          <w:vertAlign w:val="subscript"/>
          <w:lang w:val="en-GB" w:eastAsia="en-GB"/>
        </w:rPr>
        <w:t>1</w:t>
      </w:r>
      <w:r w:rsidRPr="008D10B5">
        <w:rPr>
          <w:rFonts w:asciiTheme="minorHAnsi" w:hAnsiTheme="minorHAnsi"/>
          <w:lang w:val="en-GB" w:eastAsia="en-GB"/>
        </w:rPr>
        <w:t>) at 240°C for 10s was used following the natural and regenerative dose (</w:t>
      </w:r>
      <w:r w:rsidRPr="008D10B5">
        <w:rPr>
          <w:rFonts w:asciiTheme="minorHAnsi" w:hAnsiTheme="minorHAnsi"/>
          <w:lang w:val="en-GB" w:eastAsia="en-GB"/>
        </w:rPr>
        <w:sym w:font="Symbol" w:char="F062"/>
      </w:r>
      <w:proofErr w:type="spellStart"/>
      <w:r w:rsidRPr="008D10B5">
        <w:rPr>
          <w:rFonts w:asciiTheme="minorHAnsi" w:hAnsiTheme="minorHAnsi"/>
          <w:vertAlign w:val="subscript"/>
          <w:lang w:val="en-GB" w:eastAsia="en-GB"/>
        </w:rPr>
        <w:t>i</w:t>
      </w:r>
      <w:proofErr w:type="spellEnd"/>
      <w:r w:rsidRPr="008D10B5">
        <w:rPr>
          <w:rFonts w:asciiTheme="minorHAnsi" w:hAnsiTheme="minorHAnsi"/>
          <w:lang w:val="en-GB" w:eastAsia="en-GB"/>
        </w:rPr>
        <w:t>), and a preheat (PH</w:t>
      </w:r>
      <w:r w:rsidRPr="008D10B5">
        <w:rPr>
          <w:rFonts w:asciiTheme="minorHAnsi" w:hAnsiTheme="minorHAnsi"/>
          <w:vertAlign w:val="subscript"/>
          <w:lang w:val="en-GB" w:eastAsia="en-GB"/>
        </w:rPr>
        <w:t>2</w:t>
      </w:r>
      <w:r w:rsidRPr="008D10B5">
        <w:rPr>
          <w:rFonts w:asciiTheme="minorHAnsi" w:hAnsiTheme="minorHAnsi"/>
          <w:lang w:val="en-GB" w:eastAsia="en-GB"/>
        </w:rPr>
        <w:t>) of 220°C for 10s was used following each test dose (</w:t>
      </w:r>
      <w:r w:rsidRPr="008D10B5">
        <w:rPr>
          <w:rFonts w:asciiTheme="minorHAnsi" w:hAnsiTheme="minorHAnsi"/>
          <w:lang w:val="en-GB" w:eastAsia="en-GB"/>
        </w:rPr>
        <w:sym w:font="Symbol" w:char="F062"/>
      </w:r>
      <w:r w:rsidRPr="008D10B5">
        <w:rPr>
          <w:rFonts w:asciiTheme="minorHAnsi" w:hAnsiTheme="minorHAnsi"/>
          <w:vertAlign w:val="subscript"/>
          <w:lang w:val="en-GB" w:eastAsia="en-GB"/>
        </w:rPr>
        <w:t>s</w:t>
      </w:r>
      <w:r w:rsidRPr="008D10B5">
        <w:rPr>
          <w:rFonts w:asciiTheme="minorHAnsi" w:hAnsiTheme="minorHAnsi"/>
          <w:lang w:val="en-GB" w:eastAsia="en-GB"/>
        </w:rPr>
        <w:t>). See Section 3 for further details of the SAR method.</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rPr>
      </w:pPr>
      <w:r w:rsidRPr="008D10B5">
        <w:rPr>
          <w:rFonts w:asciiTheme="minorHAnsi" w:hAnsiTheme="minorHAnsi"/>
          <w:b/>
          <w:bCs/>
          <w:lang w:val="en-GB"/>
        </w:rPr>
        <w:t>Section 6:</w:t>
      </w:r>
      <w:r w:rsidRPr="008D10B5">
        <w:rPr>
          <w:rFonts w:asciiTheme="minorHAnsi" w:hAnsiTheme="minorHAnsi"/>
          <w:b/>
          <w:bCs/>
          <w:lang w:val="en-GB"/>
        </w:rPr>
        <w:tab/>
        <w:t xml:space="preserve">Sample preparation </w:t>
      </w:r>
    </w:p>
    <w:p w:rsidR="008A45CA" w:rsidRPr="008D10B5" w:rsidRDefault="008A45CA" w:rsidP="008D10B5">
      <w:pPr>
        <w:jc w:val="both"/>
        <w:rPr>
          <w:rFonts w:asciiTheme="minorHAnsi" w:hAnsiTheme="minorHAnsi"/>
          <w:lang w:val="en-GB" w:eastAsia="en-GB"/>
        </w:rPr>
      </w:pPr>
    </w:p>
    <w:p w:rsidR="008A45CA" w:rsidRPr="008D10B5" w:rsidRDefault="008A45CA" w:rsidP="008D10B5">
      <w:pPr>
        <w:ind w:right="-96"/>
        <w:jc w:val="both"/>
        <w:rPr>
          <w:rFonts w:asciiTheme="minorHAnsi" w:hAnsiTheme="minorHAnsi"/>
          <w:lang w:val="en-GB" w:eastAsia="en-GB"/>
        </w:rPr>
      </w:pPr>
      <w:r w:rsidRPr="008D10B5">
        <w:rPr>
          <w:rFonts w:asciiTheme="minorHAnsi" w:hAnsiTheme="minorHAnsi"/>
          <w:lang w:val="en-GB" w:eastAsia="en-GB"/>
        </w:rPr>
        <w:t xml:space="preserve">The laboratory procedures were designed to yield pure quartz, of a particular grain size range, from the natural sediment samples. In order to obtain this material, samples were taken through a standard preparation procedure, as outlined below. All laboratory treatments were performed under low intensity laboratory safe-lighting, from purpose-built filtered sodium lamps (emitting at 588 nm). </w:t>
      </w:r>
    </w:p>
    <w:p w:rsidR="008A45CA" w:rsidRPr="008D10B5" w:rsidRDefault="008A45CA" w:rsidP="008D10B5">
      <w:pPr>
        <w:ind w:right="-96"/>
        <w:jc w:val="both"/>
        <w:rPr>
          <w:rFonts w:asciiTheme="minorHAnsi" w:hAnsiTheme="minorHAnsi"/>
          <w:lang w:val="en-GB" w:eastAsia="en-GB"/>
        </w:rPr>
      </w:pPr>
    </w:p>
    <w:p w:rsidR="008A45CA" w:rsidRPr="008D10B5" w:rsidRDefault="008A45CA" w:rsidP="008D10B5">
      <w:pPr>
        <w:ind w:right="-96"/>
        <w:jc w:val="both"/>
        <w:rPr>
          <w:rFonts w:asciiTheme="minorHAnsi" w:hAnsiTheme="minorHAnsi"/>
          <w:color w:val="000000"/>
          <w:lang w:val="en-GB" w:eastAsia="en-GB"/>
        </w:rPr>
      </w:pPr>
      <w:r w:rsidRPr="008D10B5">
        <w:rPr>
          <w:rFonts w:asciiTheme="minorHAnsi" w:hAnsiTheme="minorHAnsi"/>
          <w:lang w:val="en-GB" w:eastAsia="en-GB"/>
        </w:rPr>
        <w:t>The sample was wet-sieved to a resolution of ~50</w:t>
      </w:r>
      <w:r w:rsidRPr="008D10B5">
        <w:rPr>
          <w:rFonts w:asciiTheme="minorHAnsi" w:hAnsiTheme="minorHAnsi"/>
          <w:lang w:val="en-GB" w:eastAsia="en-GB"/>
        </w:rPr>
        <w:sym w:font="Symbol" w:char="F06D"/>
      </w:r>
      <w:r w:rsidRPr="008D10B5">
        <w:rPr>
          <w:rFonts w:asciiTheme="minorHAnsi" w:hAnsiTheme="minorHAnsi"/>
          <w:lang w:val="en-GB" w:eastAsia="en-GB"/>
        </w:rPr>
        <w:t>m, and the modal grain size was retained for further processing. Typically the grain sizes used for dating are 90-125</w:t>
      </w:r>
      <w:r w:rsidRPr="008D10B5">
        <w:rPr>
          <w:rFonts w:asciiTheme="minorHAnsi" w:hAnsiTheme="minorHAnsi"/>
          <w:lang w:val="en-GB" w:eastAsia="en-GB"/>
        </w:rPr>
        <w:sym w:font="Symbol" w:char="F06D"/>
      </w:r>
      <w:r w:rsidRPr="008D10B5">
        <w:rPr>
          <w:rFonts w:asciiTheme="minorHAnsi" w:hAnsiTheme="minorHAnsi"/>
          <w:lang w:val="en-GB" w:eastAsia="en-GB"/>
        </w:rPr>
        <w:t>m or 180-250μm (see Appendix 1 for details of specific samples). For both samples, the chosen fraction (180-255) was treated with hydrochloric acid (HCl) to remove carbonate and then treated in concentrated HF (48%) for 100 minutes. This treatment serves two purposes: (</w:t>
      </w:r>
      <w:proofErr w:type="spellStart"/>
      <w:r w:rsidRPr="008D10B5">
        <w:rPr>
          <w:rFonts w:asciiTheme="minorHAnsi" w:hAnsiTheme="minorHAnsi"/>
          <w:lang w:val="en-GB" w:eastAsia="en-GB"/>
        </w:rPr>
        <w:t>i</w:t>
      </w:r>
      <w:proofErr w:type="spellEnd"/>
      <w:r w:rsidRPr="008D10B5">
        <w:rPr>
          <w:rFonts w:asciiTheme="minorHAnsi" w:hAnsiTheme="minorHAnsi"/>
          <w:lang w:val="en-GB" w:eastAsia="en-GB"/>
        </w:rPr>
        <w:t xml:space="preserve">) to dissolve feldspar grains, and (ii) to remove (etch) the outer surface of quartz grains (the only part of each quartz grain exposed during burial to natural alpha radiation). Any heavy minerals present were subsequently removed by gravity separation using a sodium </w:t>
      </w:r>
      <w:proofErr w:type="spellStart"/>
      <w:r w:rsidRPr="008D10B5">
        <w:rPr>
          <w:rFonts w:asciiTheme="minorHAnsi" w:hAnsiTheme="minorHAnsi"/>
          <w:lang w:val="en-GB" w:eastAsia="en-GB"/>
        </w:rPr>
        <w:t>polytungstate</w:t>
      </w:r>
      <w:proofErr w:type="spellEnd"/>
      <w:r w:rsidRPr="008D10B5">
        <w:rPr>
          <w:rFonts w:asciiTheme="minorHAnsi" w:hAnsiTheme="minorHAnsi"/>
          <w:lang w:val="en-GB" w:eastAsia="en-GB"/>
        </w:rPr>
        <w:t xml:space="preserve"> solution at 2.68 g.cm</w:t>
      </w:r>
      <w:r w:rsidRPr="008D10B5">
        <w:rPr>
          <w:rFonts w:asciiTheme="minorHAnsi" w:hAnsiTheme="minorHAnsi"/>
          <w:vertAlign w:val="superscript"/>
          <w:lang w:val="en-GB" w:eastAsia="en-GB"/>
        </w:rPr>
        <w:t>-3</w:t>
      </w:r>
      <w:r w:rsidRPr="008D10B5">
        <w:rPr>
          <w:rFonts w:asciiTheme="minorHAnsi" w:hAnsiTheme="minorHAnsi"/>
          <w:lang w:val="en-GB" w:eastAsia="en-GB"/>
        </w:rPr>
        <w:t xml:space="preserve">. Finally, each sample was re-sieved to remove heavily etched grains. The order of the heavy liquid separation and second sieving are on occasion reversed for practical reasons, and for samples with extremely low yields, either or both of these treatments may be omitted after careful consideration. </w:t>
      </w:r>
      <w:r w:rsidRPr="008D10B5">
        <w:rPr>
          <w:rFonts w:asciiTheme="minorHAnsi" w:hAnsiTheme="minorHAnsi"/>
          <w:color w:val="000000"/>
          <w:lang w:val="en-GB" w:eastAsia="en-GB"/>
        </w:rPr>
        <w:t>The prepared quartz samples were mounted on 1cm diameter aluminium discs for luminescence measurement using viscous silicone oil.</w:t>
      </w:r>
    </w:p>
    <w:p w:rsidR="008A45CA" w:rsidRPr="008D10B5" w:rsidRDefault="008A45CA" w:rsidP="008D10B5">
      <w:pPr>
        <w:ind w:right="-96"/>
        <w:jc w:val="both"/>
        <w:rPr>
          <w:rFonts w:asciiTheme="minorHAnsi" w:hAnsiTheme="minorHAnsi"/>
          <w:color w:val="000000"/>
          <w:lang w:val="en-GB" w:eastAsia="en-GB"/>
        </w:rPr>
      </w:pPr>
    </w:p>
    <w:p w:rsidR="008A45CA" w:rsidRPr="008D10B5" w:rsidRDefault="008A45CA" w:rsidP="008D10B5">
      <w:pPr>
        <w:ind w:right="-96"/>
        <w:jc w:val="both"/>
        <w:rPr>
          <w:rFonts w:asciiTheme="minorHAnsi" w:hAnsiTheme="minorHAnsi"/>
          <w:lang w:val="en-GB" w:eastAsia="en-GB"/>
        </w:rPr>
      </w:pPr>
      <w:r w:rsidRPr="008D10B5">
        <w:rPr>
          <w:rFonts w:asciiTheme="minorHAnsi" w:hAnsiTheme="minorHAnsi"/>
          <w:color w:val="000000"/>
          <w:lang w:val="en-GB" w:eastAsia="en-GB"/>
        </w:rPr>
        <w:t xml:space="preserve">Various tests for sample purity are made. Sub-samples of the prepared material are examined using optical microscopy and the sample is exposed (within the </w:t>
      </w:r>
      <w:proofErr w:type="spellStart"/>
      <w:r w:rsidRPr="008D10B5">
        <w:rPr>
          <w:rFonts w:asciiTheme="minorHAnsi" w:hAnsiTheme="minorHAnsi"/>
          <w:color w:val="000000"/>
          <w:lang w:val="en-GB" w:eastAsia="en-GB"/>
        </w:rPr>
        <w:t>Risø</w:t>
      </w:r>
      <w:proofErr w:type="spellEnd"/>
      <w:r w:rsidRPr="008D10B5">
        <w:rPr>
          <w:rFonts w:asciiTheme="minorHAnsi" w:hAnsiTheme="minorHAnsi"/>
          <w:color w:val="000000"/>
          <w:lang w:val="en-GB" w:eastAsia="en-GB"/>
        </w:rPr>
        <w:t xml:space="preserve"> measurement system) to infrared (IR) light. Quartz generally does not produce measurable IR luminescence at room temperature whereas feldspar, which can suffer from anomalous fading of the IRSL and OSL </w:t>
      </w:r>
      <w:r w:rsidRPr="008D10B5">
        <w:rPr>
          <w:rFonts w:asciiTheme="minorHAnsi" w:hAnsiTheme="minorHAnsi"/>
          <w:color w:val="000000"/>
          <w:lang w:val="en-GB" w:eastAsia="en-GB"/>
        </w:rPr>
        <w:lastRenderedPageBreak/>
        <w:t>signals, or may be less rapidly bleached in some environments, produces an intense luminescence when stimulated with IR.</w:t>
      </w:r>
      <w:r w:rsidRPr="008D10B5">
        <w:rPr>
          <w:rFonts w:asciiTheme="minorHAnsi" w:hAnsiTheme="minorHAnsi"/>
          <w:i/>
          <w:iCs/>
          <w:color w:val="000000"/>
          <w:lang w:val="en-GB" w:eastAsia="en-GB"/>
        </w:rPr>
        <w:t xml:space="preserve"> </w:t>
      </w:r>
      <w:r w:rsidRPr="008D10B5">
        <w:rPr>
          <w:rFonts w:asciiTheme="minorHAnsi" w:hAnsiTheme="minorHAnsi"/>
          <w:color w:val="000000"/>
          <w:lang w:val="en-GB" w:eastAsia="en-GB"/>
        </w:rPr>
        <w:t>The presence of a strong infra-red stimulated luminescence (IRSL) signal is therefore used as an indication for the presence of feldspar contaminants and is a criterion for rejection. In the rare cases where samples are rejected due to presence of high levels of IRSL, the prepared sediment sample is treated for ~ 2 weeks in concentrated H</w:t>
      </w:r>
      <w:r w:rsidRPr="008D10B5">
        <w:rPr>
          <w:rFonts w:asciiTheme="minorHAnsi" w:hAnsiTheme="minorHAnsi"/>
          <w:color w:val="000000"/>
          <w:vertAlign w:val="subscript"/>
          <w:lang w:val="en-GB" w:eastAsia="en-GB"/>
        </w:rPr>
        <w:t>2</w:t>
      </w:r>
      <w:r w:rsidRPr="008D10B5">
        <w:rPr>
          <w:rFonts w:asciiTheme="minorHAnsi" w:hAnsiTheme="minorHAnsi"/>
          <w:color w:val="000000"/>
          <w:lang w:val="en-GB" w:eastAsia="en-GB"/>
        </w:rPr>
        <w:t>SiF</w:t>
      </w:r>
      <w:r w:rsidRPr="008D10B5">
        <w:rPr>
          <w:rFonts w:asciiTheme="minorHAnsi" w:hAnsiTheme="minorHAnsi"/>
          <w:color w:val="000000"/>
          <w:vertAlign w:val="subscript"/>
          <w:lang w:val="en-GB" w:eastAsia="en-GB"/>
        </w:rPr>
        <w:t>6</w:t>
      </w:r>
      <w:r w:rsidRPr="008D10B5">
        <w:rPr>
          <w:rFonts w:asciiTheme="minorHAnsi" w:hAnsiTheme="minorHAnsi"/>
          <w:color w:val="000000"/>
          <w:lang w:val="en-GB" w:eastAsia="en-GB"/>
        </w:rPr>
        <w:t xml:space="preserve"> (silica-saturated HF) which effectively dissolves non-quartz material. If following this treatment, IRSL persists then the sample is subjected to a further two week H</w:t>
      </w:r>
      <w:r w:rsidRPr="008D10B5">
        <w:rPr>
          <w:rFonts w:asciiTheme="minorHAnsi" w:hAnsiTheme="minorHAnsi"/>
          <w:color w:val="000000"/>
          <w:vertAlign w:val="subscript"/>
          <w:lang w:val="en-GB" w:eastAsia="en-GB"/>
        </w:rPr>
        <w:t>2</w:t>
      </w:r>
      <w:r w:rsidRPr="008D10B5">
        <w:rPr>
          <w:rFonts w:asciiTheme="minorHAnsi" w:hAnsiTheme="minorHAnsi"/>
          <w:color w:val="000000"/>
          <w:lang w:val="en-GB" w:eastAsia="en-GB"/>
        </w:rPr>
        <w:t>SiF</w:t>
      </w:r>
      <w:r w:rsidRPr="008D10B5">
        <w:rPr>
          <w:rFonts w:asciiTheme="minorHAnsi" w:hAnsiTheme="minorHAnsi"/>
          <w:color w:val="000000"/>
          <w:vertAlign w:val="subscript"/>
          <w:lang w:val="en-GB" w:eastAsia="en-GB"/>
        </w:rPr>
        <w:t xml:space="preserve">6 </w:t>
      </w:r>
      <w:r w:rsidRPr="008D10B5">
        <w:rPr>
          <w:rFonts w:asciiTheme="minorHAnsi" w:hAnsiTheme="minorHAnsi"/>
          <w:color w:val="000000"/>
          <w:lang w:val="en-GB" w:eastAsia="en-GB"/>
        </w:rPr>
        <w:t>acid treatment before proceeding to the dating phase (luminescence measurement) and the results are interpreted with caution and the possible contamination of the sample will be discussed. No such extended acid preparation was required for the samples submitted for analysis.</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Section 7:</w:t>
      </w:r>
      <w:r w:rsidRPr="008D10B5">
        <w:rPr>
          <w:rFonts w:asciiTheme="minorHAnsi" w:hAnsiTheme="minorHAnsi"/>
          <w:b/>
          <w:bCs/>
          <w:lang w:val="en-GB" w:eastAsia="en-GB"/>
        </w:rPr>
        <w:tab/>
        <w:t xml:space="preserve">Dose rate determination </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Radiation dose is described in units of </w:t>
      </w:r>
      <w:proofErr w:type="spellStart"/>
      <w:r w:rsidRPr="008D10B5">
        <w:rPr>
          <w:rFonts w:asciiTheme="minorHAnsi" w:hAnsiTheme="minorHAnsi"/>
          <w:lang w:val="en-GB" w:eastAsia="en-GB"/>
        </w:rPr>
        <w:t>Gray</w:t>
      </w:r>
      <w:proofErr w:type="spellEnd"/>
      <w:r w:rsidRPr="008D10B5">
        <w:rPr>
          <w:rFonts w:asciiTheme="minorHAnsi" w:hAnsiTheme="minorHAnsi"/>
          <w:lang w:val="en-GB" w:eastAsia="en-GB"/>
        </w:rPr>
        <w:t xml:space="preserve"> (</w:t>
      </w:r>
      <w:proofErr w:type="spellStart"/>
      <w:r w:rsidRPr="008D10B5">
        <w:rPr>
          <w:rFonts w:asciiTheme="minorHAnsi" w:hAnsiTheme="minorHAnsi"/>
          <w:lang w:val="en-GB" w:eastAsia="en-GB"/>
        </w:rPr>
        <w:t>Gy</w:t>
      </w:r>
      <w:proofErr w:type="spellEnd"/>
      <w:r w:rsidRPr="008D10B5">
        <w:rPr>
          <w:rFonts w:asciiTheme="minorHAnsi" w:hAnsiTheme="minorHAnsi"/>
          <w:lang w:val="en-GB" w:eastAsia="en-GB"/>
        </w:rPr>
        <w:t xml:space="preserve">), the standard SI units of absorbed dose (1 </w:t>
      </w:r>
      <w:proofErr w:type="spellStart"/>
      <w:r w:rsidRPr="008D10B5">
        <w:rPr>
          <w:rFonts w:asciiTheme="minorHAnsi" w:hAnsiTheme="minorHAnsi"/>
          <w:lang w:val="en-GB" w:eastAsia="en-GB"/>
        </w:rPr>
        <w:t>Gy</w:t>
      </w:r>
      <w:proofErr w:type="spellEnd"/>
      <w:r w:rsidRPr="008D10B5">
        <w:rPr>
          <w:rFonts w:asciiTheme="minorHAnsi" w:hAnsiTheme="minorHAnsi"/>
          <w:lang w:val="en-GB" w:eastAsia="en-GB"/>
        </w:rPr>
        <w:t xml:space="preserve"> = 1 Joule/kg). The measurement of annual dose rate can be made using a variety of different methods. For most samples, the majority of the environmental dose rate is due to the radioactive decay of unstable isotopes of uranium (U), thorium (Th) and potassium (K). It is therefore necessary to measure the concentrations of each of these elements in each dating sample. An estimation of U, Th and K content can be made using a variety of different methods. These methods are described briefly below. </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proofErr w:type="gramStart"/>
      <w:r w:rsidRPr="008D10B5">
        <w:rPr>
          <w:rFonts w:asciiTheme="minorHAnsi" w:hAnsiTheme="minorHAnsi"/>
          <w:b/>
          <w:bCs/>
          <w:lang w:val="en-GB" w:eastAsia="en-GB"/>
        </w:rPr>
        <w:t>7.1  Field</w:t>
      </w:r>
      <w:proofErr w:type="gramEnd"/>
      <w:r w:rsidRPr="008D10B5">
        <w:rPr>
          <w:rFonts w:asciiTheme="minorHAnsi" w:hAnsiTheme="minorHAnsi"/>
          <w:b/>
          <w:bCs/>
          <w:lang w:val="en-GB" w:eastAsia="en-GB"/>
        </w:rPr>
        <w:t>-based gamma-spectrometry</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A portable spectrometer is taken to the sampling site. The probe (housing an </w:t>
      </w:r>
      <w:proofErr w:type="spellStart"/>
      <w:r w:rsidRPr="008D10B5">
        <w:rPr>
          <w:rFonts w:asciiTheme="minorHAnsi" w:hAnsiTheme="minorHAnsi"/>
          <w:lang w:val="en-GB" w:eastAsia="en-GB"/>
        </w:rPr>
        <w:t>NaI</w:t>
      </w:r>
      <w:proofErr w:type="spellEnd"/>
      <w:r w:rsidRPr="008D10B5">
        <w:rPr>
          <w:rFonts w:asciiTheme="minorHAnsi" w:hAnsiTheme="minorHAnsi"/>
          <w:lang w:val="en-GB" w:eastAsia="en-GB"/>
        </w:rPr>
        <w:t xml:space="preserve"> scintillator crystal) is inserted in to the cavity left behind following extraction of the sample. Measurements typically take up to one hour and result in direct estimation of the total in-situ gamma radiation field. The spectra are also used to estimate contributions from U, Th and K individually. Through comparison to known concentration standards, quantitative estimates of U, Th and K concentrations are made.</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roofErr w:type="gramStart"/>
      <w:r w:rsidRPr="008D10B5">
        <w:rPr>
          <w:rFonts w:asciiTheme="minorHAnsi" w:hAnsiTheme="minorHAnsi"/>
          <w:b/>
          <w:bCs/>
          <w:lang w:val="en-GB" w:eastAsia="en-GB"/>
        </w:rPr>
        <w:t xml:space="preserve">7.2  </w:t>
      </w:r>
      <w:r w:rsidRPr="008D10B5">
        <w:rPr>
          <w:rFonts w:asciiTheme="minorHAnsi" w:hAnsiTheme="minorHAnsi"/>
          <w:b/>
          <w:lang w:val="en-GB" w:eastAsia="en-GB"/>
        </w:rPr>
        <w:t>ICP</w:t>
      </w:r>
      <w:proofErr w:type="gramEnd"/>
      <w:r w:rsidRPr="008D10B5">
        <w:rPr>
          <w:rFonts w:asciiTheme="minorHAnsi" w:hAnsiTheme="minorHAnsi"/>
          <w:b/>
          <w:lang w:val="en-GB" w:eastAsia="en-GB"/>
        </w:rPr>
        <w:t>-MS analysis</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A representative sub-sample (typically 10-20g, though as little as a few mg may be used with specialised procedures) of the OSL sample is sent for commercial analysis by fusion ICP-MS to an accredited laboratory. The fusion ensures that the entire sample is dissolved. It is only with this attack that major oxides including SiO2, REE and other high field strength elements are put into solution. The sample is first crushed to a nominal minus 10 mesh (1.7 mm), mechanically split (riffle) to obtain a representative sample and then pulverized to at least 95% minus 150 mesh (106 microns). Samples are prepared and </w:t>
      </w:r>
      <w:proofErr w:type="spellStart"/>
      <w:r w:rsidRPr="008D10B5">
        <w:rPr>
          <w:rFonts w:asciiTheme="minorHAnsi" w:hAnsiTheme="minorHAnsi"/>
          <w:lang w:val="en-GB" w:eastAsia="en-GB"/>
        </w:rPr>
        <w:t>analyzed</w:t>
      </w:r>
      <w:proofErr w:type="spellEnd"/>
      <w:r w:rsidRPr="008D10B5">
        <w:rPr>
          <w:rFonts w:asciiTheme="minorHAnsi" w:hAnsiTheme="minorHAnsi"/>
          <w:lang w:val="en-GB" w:eastAsia="en-GB"/>
        </w:rPr>
        <w:t xml:space="preserve"> in a batch system.  Each batch contains a method reagent blank, certified reference material and 17% replicates.  Samples are mixed with a flux of lithium metaborate and lithium tetraborate and fused in an induction furnace.  The molten melt is immediately poured into a solution of 5% nitric acid containing an internal standard, and mixed continuously until completely dissolved </w:t>
      </w:r>
      <w:r w:rsidRPr="008D10B5">
        <w:rPr>
          <w:rFonts w:asciiTheme="minorHAnsi" w:hAnsiTheme="minorHAnsi"/>
          <w:lang w:val="en-GB" w:eastAsia="en-GB"/>
        </w:rPr>
        <w:lastRenderedPageBreak/>
        <w:t xml:space="preserve">(~30 minutes).  The samples are run for major oxides and selected trace elements on a combination simultaneous/sequential Thermo Jarrell-Ash ENVIRO II ICP or a Spectro </w:t>
      </w:r>
      <w:proofErr w:type="spellStart"/>
      <w:r w:rsidRPr="008D10B5">
        <w:rPr>
          <w:rFonts w:asciiTheme="minorHAnsi" w:hAnsiTheme="minorHAnsi"/>
          <w:lang w:val="en-GB" w:eastAsia="en-GB"/>
        </w:rPr>
        <w:t>Cirros</w:t>
      </w:r>
      <w:proofErr w:type="spellEnd"/>
      <w:r w:rsidRPr="008D10B5">
        <w:rPr>
          <w:rFonts w:asciiTheme="minorHAnsi" w:hAnsiTheme="minorHAnsi"/>
          <w:lang w:val="en-GB" w:eastAsia="en-GB"/>
        </w:rPr>
        <w:t xml:space="preserve"> ICP.  Calibration is performed using 7 prepared USGS and CANMET certified reference materials.  One of the 7 standards is used during the analysis for every group of ten samples. Totals should be between 98.5% and 101%.  If results come out lower, samples are scanned for base metals.  Low reported totals may indicate sulphate being present or other elements like Li which won’t normally be scanned for. Samples with low totals however are automatically refused and re-</w:t>
      </w:r>
      <w:proofErr w:type="spellStart"/>
      <w:r w:rsidRPr="008D10B5">
        <w:rPr>
          <w:rFonts w:asciiTheme="minorHAnsi" w:hAnsiTheme="minorHAnsi"/>
          <w:lang w:val="en-GB" w:eastAsia="en-GB"/>
        </w:rPr>
        <w:t>analyzed</w:t>
      </w:r>
      <w:proofErr w:type="spellEnd"/>
      <w:r w:rsidRPr="008D10B5">
        <w:rPr>
          <w:rFonts w:asciiTheme="minorHAnsi" w:hAnsiTheme="minorHAnsi"/>
          <w:lang w:val="en-GB" w:eastAsia="en-GB"/>
        </w:rPr>
        <w:t xml:space="preserve">. The measurement of K and Th are usually precise, though samples with low levels of U may be below the detection limit for this element, depending on the interferences from other isotopes. </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eastAsia="en-GB"/>
        </w:rPr>
      </w:pPr>
      <w:proofErr w:type="gramStart"/>
      <w:r w:rsidRPr="008D10B5">
        <w:rPr>
          <w:rFonts w:asciiTheme="minorHAnsi" w:hAnsiTheme="minorHAnsi"/>
          <w:b/>
          <w:bCs/>
          <w:lang w:val="en-GB" w:eastAsia="en-GB"/>
        </w:rPr>
        <w:t>7.3  Alpha</w:t>
      </w:r>
      <w:proofErr w:type="gramEnd"/>
      <w:r w:rsidRPr="008D10B5">
        <w:rPr>
          <w:rFonts w:asciiTheme="minorHAnsi" w:hAnsiTheme="minorHAnsi"/>
          <w:b/>
          <w:bCs/>
          <w:lang w:val="en-GB" w:eastAsia="en-GB"/>
        </w:rPr>
        <w:t>-counting and flame photometry</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A sub-sample of sediment (typically 3g) is dried and crushed to a fine powder (&lt;34</w:t>
      </w:r>
      <w:r w:rsidRPr="008D10B5">
        <w:rPr>
          <w:rFonts w:asciiTheme="minorHAnsi" w:hAnsiTheme="minorHAnsi"/>
          <w:lang w:val="en-GB" w:eastAsia="en-GB"/>
        </w:rPr>
        <w:sym w:font="Symbol" w:char="F06D"/>
      </w:r>
      <w:r w:rsidRPr="008D10B5">
        <w:rPr>
          <w:rFonts w:asciiTheme="minorHAnsi" w:hAnsiTheme="minorHAnsi"/>
          <w:lang w:val="en-GB" w:eastAsia="en-GB"/>
        </w:rPr>
        <w:t xml:space="preserve">m). The powder is then placed in a shallow container that holds a zinc-sulphide </w:t>
      </w:r>
      <w:r w:rsidRPr="008D10B5">
        <w:rPr>
          <w:rFonts w:asciiTheme="minorHAnsi" w:hAnsiTheme="minorHAnsi"/>
          <w:lang w:val="en-GB" w:eastAsia="en-GB"/>
        </w:rPr>
        <w:sym w:font="Symbol" w:char="F061"/>
      </w:r>
      <w:r w:rsidRPr="008D10B5">
        <w:rPr>
          <w:rFonts w:asciiTheme="minorHAnsi" w:hAnsiTheme="minorHAnsi"/>
          <w:lang w:val="en-GB" w:eastAsia="en-GB"/>
        </w:rPr>
        <w:t xml:space="preserve">-scintillator screen directly beneath the sample. The </w:t>
      </w:r>
      <w:r w:rsidRPr="008D10B5">
        <w:rPr>
          <w:rFonts w:asciiTheme="minorHAnsi" w:hAnsiTheme="minorHAnsi"/>
          <w:lang w:val="en-GB" w:eastAsia="en-GB"/>
        </w:rPr>
        <w:sym w:font="Symbol" w:char="F061"/>
      </w:r>
      <w:r w:rsidRPr="008D10B5">
        <w:rPr>
          <w:rFonts w:asciiTheme="minorHAnsi" w:hAnsiTheme="minorHAnsi"/>
          <w:lang w:val="en-GB" w:eastAsia="en-GB"/>
        </w:rPr>
        <w:t xml:space="preserve"> emissions of U and Th (during radioactive decay) are then counted, giving a measure of total uranium/thorium concentration. The potassium concentration is estimated using standard flame-photometry methods.</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The estimates of U, Th and K concentration are converted to estimates of radiation dose rate (</w:t>
      </w:r>
      <w:proofErr w:type="spellStart"/>
      <w:r w:rsidRPr="008D10B5">
        <w:rPr>
          <w:rFonts w:asciiTheme="minorHAnsi" w:hAnsiTheme="minorHAnsi"/>
          <w:lang w:val="en-GB" w:eastAsia="en-GB"/>
        </w:rPr>
        <w:t>mGy</w:t>
      </w:r>
      <w:proofErr w:type="spellEnd"/>
      <w:r w:rsidRPr="008D10B5">
        <w:rPr>
          <w:rFonts w:asciiTheme="minorHAnsi" w:hAnsiTheme="minorHAnsi"/>
          <w:lang w:val="en-GB" w:eastAsia="en-GB"/>
        </w:rPr>
        <w:t xml:space="preserve">/a) using the standard conversion factors of </w:t>
      </w:r>
      <w:proofErr w:type="spellStart"/>
      <w:r w:rsidRPr="008D10B5">
        <w:rPr>
          <w:rFonts w:asciiTheme="minorHAnsi" w:hAnsiTheme="minorHAnsi"/>
          <w:lang w:val="en-GB" w:eastAsia="en-GB"/>
        </w:rPr>
        <w:t>Adamiec</w:t>
      </w:r>
      <w:proofErr w:type="spellEnd"/>
      <w:r w:rsidRPr="008D10B5">
        <w:rPr>
          <w:rFonts w:asciiTheme="minorHAnsi" w:hAnsiTheme="minorHAnsi"/>
          <w:lang w:val="en-GB" w:eastAsia="en-GB"/>
        </w:rPr>
        <w:t xml:space="preserve"> and Aitken (1998) (see Appendix A).</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Other factors that influence the annual dose rate, and hence require calculation/measurement, are described below.</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eastAsia="en-GB"/>
        </w:rPr>
      </w:pPr>
      <w:proofErr w:type="gramStart"/>
      <w:r w:rsidRPr="008D10B5">
        <w:rPr>
          <w:rFonts w:asciiTheme="minorHAnsi" w:hAnsiTheme="minorHAnsi"/>
          <w:b/>
          <w:bCs/>
          <w:lang w:val="en-GB" w:eastAsia="en-GB"/>
        </w:rPr>
        <w:t>7.4  Moisture</w:t>
      </w:r>
      <w:proofErr w:type="gramEnd"/>
      <w:r w:rsidRPr="008D10B5">
        <w:rPr>
          <w:rFonts w:asciiTheme="minorHAnsi" w:hAnsiTheme="minorHAnsi"/>
          <w:b/>
          <w:bCs/>
          <w:lang w:val="en-GB" w:eastAsia="en-GB"/>
        </w:rPr>
        <w:t xml:space="preserve"> content of the sample</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Moisture within the pore spaces of sediments absorbs </w:t>
      </w:r>
      <w:r w:rsidRPr="008D10B5">
        <w:rPr>
          <w:rFonts w:asciiTheme="minorHAnsi" w:hAnsiTheme="minorHAnsi"/>
          <w:lang w:val="en-GB" w:eastAsia="en-GB"/>
        </w:rPr>
        <w:sym w:font="Symbol" w:char="F061"/>
      </w:r>
      <w:r w:rsidRPr="008D10B5">
        <w:rPr>
          <w:rFonts w:asciiTheme="minorHAnsi" w:hAnsiTheme="minorHAnsi"/>
          <w:lang w:val="en-GB" w:eastAsia="en-GB"/>
        </w:rPr>
        <w:t xml:space="preserve">, </w:t>
      </w:r>
      <w:r w:rsidRPr="008D10B5">
        <w:rPr>
          <w:rFonts w:asciiTheme="minorHAnsi" w:hAnsiTheme="minorHAnsi"/>
          <w:lang w:val="en-GB" w:eastAsia="en-GB"/>
        </w:rPr>
        <w:sym w:font="Symbol" w:char="F062"/>
      </w:r>
      <w:r w:rsidRPr="008D10B5">
        <w:rPr>
          <w:rFonts w:asciiTheme="minorHAnsi" w:hAnsiTheme="minorHAnsi"/>
          <w:lang w:val="en-GB" w:eastAsia="en-GB"/>
        </w:rPr>
        <w:t xml:space="preserve"> and </w:t>
      </w:r>
      <w:r w:rsidRPr="008D10B5">
        <w:rPr>
          <w:rFonts w:asciiTheme="minorHAnsi" w:hAnsiTheme="minorHAnsi"/>
          <w:lang w:val="en-GB" w:eastAsia="en-GB"/>
        </w:rPr>
        <w:sym w:font="Symbol" w:char="F067"/>
      </w:r>
      <w:r w:rsidRPr="008D10B5">
        <w:rPr>
          <w:rFonts w:asciiTheme="minorHAnsi" w:hAnsiTheme="minorHAnsi"/>
          <w:lang w:val="en-GB" w:eastAsia="en-GB"/>
        </w:rPr>
        <w:t xml:space="preserve">-radiation. As a result, less is absorbed by the mineral grains. It is therefore important to assess the present day water content of the sediment and to make some assessment of the variability of moisture throughout the burial period of the sample. The moisture correction factors of Aitken (1985) are used in the age calculation (Appendix A). </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proofErr w:type="gramStart"/>
      <w:r w:rsidRPr="008D10B5">
        <w:rPr>
          <w:rFonts w:asciiTheme="minorHAnsi" w:hAnsiTheme="minorHAnsi"/>
          <w:b/>
          <w:bCs/>
          <w:lang w:val="en-GB" w:eastAsia="en-GB"/>
        </w:rPr>
        <w:t>7.5  Cosmic</w:t>
      </w:r>
      <w:proofErr w:type="gramEnd"/>
      <w:r w:rsidRPr="008D10B5">
        <w:rPr>
          <w:rFonts w:asciiTheme="minorHAnsi" w:hAnsiTheme="minorHAnsi"/>
          <w:b/>
          <w:bCs/>
          <w:lang w:val="en-GB" w:eastAsia="en-GB"/>
        </w:rPr>
        <w:t xml:space="preserve"> dose rate</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The contribution of cosmic radiation to the total dose rate is calculated as a function of (geomagnetic) latitude, altitude, burial depth and average over-burden density, according to the formulae of Prescott and Hutton (1994).</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b/>
          <w:bCs/>
          <w:lang w:val="en-GB" w:eastAsia="en-GB"/>
        </w:rPr>
      </w:pPr>
      <w:r w:rsidRPr="008D10B5">
        <w:rPr>
          <w:rFonts w:asciiTheme="minorHAnsi" w:hAnsiTheme="minorHAnsi"/>
          <w:b/>
          <w:bCs/>
          <w:lang w:val="en-GB" w:eastAsia="en-GB"/>
        </w:rPr>
        <w:t>7.6</w:t>
      </w:r>
      <w:r w:rsidRPr="008D10B5">
        <w:rPr>
          <w:rFonts w:asciiTheme="minorHAnsi" w:hAnsiTheme="minorHAnsi"/>
          <w:b/>
          <w:bCs/>
          <w:lang w:val="en-GB" w:eastAsia="en-GB"/>
        </w:rPr>
        <w:tab/>
        <w:t>Radiation attenuation factors</w:t>
      </w:r>
    </w:p>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lastRenderedPageBreak/>
        <w:t xml:space="preserve">For coarse grains, the portion of the sample that receives an </w:t>
      </w:r>
      <w:r w:rsidRPr="008D10B5">
        <w:rPr>
          <w:rFonts w:asciiTheme="minorHAnsi" w:hAnsiTheme="minorHAnsi"/>
          <w:lang w:val="en-GB" w:eastAsia="en-GB"/>
        </w:rPr>
        <w:sym w:font="Symbol" w:char="F061"/>
      </w:r>
      <w:r w:rsidRPr="008D10B5">
        <w:rPr>
          <w:rFonts w:asciiTheme="minorHAnsi" w:hAnsiTheme="minorHAnsi"/>
          <w:lang w:val="en-GB" w:eastAsia="en-GB"/>
        </w:rPr>
        <w:t xml:space="preserve">-dose is removed by HF etching. Therefore, no consideration of the </w:t>
      </w:r>
      <w:r w:rsidRPr="008D10B5">
        <w:rPr>
          <w:rFonts w:asciiTheme="minorHAnsi" w:hAnsiTheme="minorHAnsi"/>
          <w:lang w:val="en-GB" w:eastAsia="en-GB"/>
        </w:rPr>
        <w:sym w:font="Symbol" w:char="F061"/>
      </w:r>
      <w:r w:rsidRPr="008D10B5">
        <w:rPr>
          <w:rFonts w:asciiTheme="minorHAnsi" w:hAnsiTheme="minorHAnsi"/>
          <w:lang w:val="en-GB" w:eastAsia="en-GB"/>
        </w:rPr>
        <w:t xml:space="preserve">-dose is made during the age calculation. </w:t>
      </w:r>
      <w:r w:rsidRPr="008D10B5">
        <w:rPr>
          <w:rFonts w:asciiTheme="minorHAnsi" w:hAnsiTheme="minorHAnsi"/>
          <w:lang w:val="en-GB" w:eastAsia="en-GB"/>
        </w:rPr>
        <w:sym w:font="Symbol" w:char="F062"/>
      </w:r>
      <w:r w:rsidRPr="008D10B5">
        <w:rPr>
          <w:rFonts w:asciiTheme="minorHAnsi" w:hAnsiTheme="minorHAnsi"/>
          <w:lang w:val="en-GB" w:eastAsia="en-GB"/>
        </w:rPr>
        <w:t xml:space="preserve">-particles (electrons) are significantly attenuated (i.e. a large fraction of the energy is absorbed) as the </w:t>
      </w:r>
      <w:r w:rsidRPr="008D10B5">
        <w:rPr>
          <w:rFonts w:asciiTheme="minorHAnsi" w:hAnsiTheme="minorHAnsi"/>
          <w:lang w:val="en-GB" w:eastAsia="en-GB"/>
        </w:rPr>
        <w:sym w:font="Symbol" w:char="F062"/>
      </w:r>
      <w:r w:rsidRPr="008D10B5">
        <w:rPr>
          <w:rFonts w:asciiTheme="minorHAnsi" w:hAnsiTheme="minorHAnsi"/>
          <w:lang w:val="en-GB" w:eastAsia="en-GB"/>
        </w:rPr>
        <w:t xml:space="preserve">-particle passes through a grain. Account of this effect is needed in order to correctly estimate to dose received by the ‘average’ grain. The so-called ‘attenuation factors’ are taken from the empirical work of </w:t>
      </w:r>
      <w:proofErr w:type="spellStart"/>
      <w:r w:rsidRPr="008D10B5">
        <w:rPr>
          <w:rFonts w:asciiTheme="minorHAnsi" w:hAnsiTheme="minorHAnsi"/>
          <w:lang w:val="en-GB" w:eastAsia="en-GB"/>
        </w:rPr>
        <w:t>Mejdahl</w:t>
      </w:r>
      <w:proofErr w:type="spellEnd"/>
      <w:r w:rsidRPr="008D10B5">
        <w:rPr>
          <w:rFonts w:asciiTheme="minorHAnsi" w:hAnsiTheme="minorHAnsi"/>
          <w:lang w:val="en-GB" w:eastAsia="en-GB"/>
        </w:rPr>
        <w:t xml:space="preserve"> (1979). </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The </w:t>
      </w:r>
      <w:r w:rsidRPr="008D10B5">
        <w:rPr>
          <w:rFonts w:asciiTheme="minorHAnsi" w:hAnsiTheme="minorHAnsi"/>
          <w:lang w:val="en-GB" w:eastAsia="en-GB"/>
        </w:rPr>
        <w:sym w:font="Symbol" w:char="F067"/>
      </w:r>
      <w:r w:rsidRPr="008D10B5">
        <w:rPr>
          <w:rFonts w:asciiTheme="minorHAnsi" w:hAnsiTheme="minorHAnsi"/>
          <w:lang w:val="en-GB" w:eastAsia="en-GB"/>
        </w:rPr>
        <w:t>-dose is assumed to be unaffected by attenuation as the penetration of gamma-rays through sediments is several orders of magnitude greater than (~10</w:t>
      </w:r>
      <w:r w:rsidRPr="008D10B5">
        <w:rPr>
          <w:rFonts w:asciiTheme="minorHAnsi" w:hAnsiTheme="minorHAnsi"/>
          <w:vertAlign w:val="superscript"/>
          <w:lang w:val="en-GB" w:eastAsia="en-GB"/>
        </w:rPr>
        <w:t>5</w:t>
      </w:r>
      <w:r w:rsidRPr="008D10B5">
        <w:rPr>
          <w:rFonts w:asciiTheme="minorHAnsi" w:hAnsiTheme="minorHAnsi"/>
          <w:lang w:val="en-GB" w:eastAsia="en-GB"/>
        </w:rPr>
        <w:t xml:space="preserve"> times) the size of individual grains. Consequently, no attenuation factors are applied to the </w:t>
      </w:r>
      <w:r w:rsidRPr="008D10B5">
        <w:rPr>
          <w:rFonts w:asciiTheme="minorHAnsi" w:hAnsiTheme="minorHAnsi"/>
          <w:lang w:val="en-GB" w:eastAsia="en-GB"/>
        </w:rPr>
        <w:sym w:font="Symbol" w:char="F067"/>
      </w:r>
      <w:r w:rsidRPr="008D10B5">
        <w:rPr>
          <w:rFonts w:asciiTheme="minorHAnsi" w:hAnsiTheme="minorHAnsi"/>
          <w:lang w:val="en-GB" w:eastAsia="en-GB"/>
        </w:rPr>
        <w:t>-dose.</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Results for the U, Th (ppm) and K (%) concentration of each sample, together with the other parameters used in the age calculation, are given in Appendix A.</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b/>
          <w:bCs/>
          <w:lang w:val="en-GB"/>
        </w:rPr>
      </w:pPr>
      <w:r w:rsidRPr="008D10B5">
        <w:rPr>
          <w:rFonts w:asciiTheme="minorHAnsi" w:hAnsiTheme="minorHAnsi"/>
          <w:b/>
          <w:bCs/>
          <w:lang w:val="en-GB"/>
        </w:rPr>
        <w:t>Section 8:</w:t>
      </w:r>
      <w:r w:rsidRPr="008D10B5">
        <w:rPr>
          <w:rFonts w:asciiTheme="minorHAnsi" w:hAnsiTheme="minorHAnsi"/>
          <w:b/>
          <w:bCs/>
          <w:lang w:val="en-GB"/>
        </w:rPr>
        <w:tab/>
        <w:t>Statistics and error calculation</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The calculated age depends on the estimate of total absorbed dose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and the annual dose rate (</w:t>
      </w:r>
      <w:r w:rsidRPr="008D10B5">
        <w:rPr>
          <w:rFonts w:asciiTheme="minorHAnsi" w:hAnsiTheme="minorHAnsi"/>
          <w:i/>
          <w:iCs/>
          <w:lang w:val="en-GB"/>
        </w:rPr>
        <w:t>D</w:t>
      </w:r>
      <w:r w:rsidRPr="008D10B5">
        <w:rPr>
          <w:rFonts w:asciiTheme="minorHAnsi" w:hAnsiTheme="minorHAnsi"/>
          <w:i/>
          <w:iCs/>
          <w:vertAlign w:val="subscript"/>
          <w:lang w:val="en-GB"/>
        </w:rPr>
        <w:t>R</w:t>
      </w:r>
      <w:r w:rsidRPr="008D10B5">
        <w:rPr>
          <w:rFonts w:asciiTheme="minorHAnsi" w:hAnsiTheme="minorHAnsi"/>
          <w:lang w:val="en-GB"/>
        </w:rPr>
        <w:t>). Both of these estimates have uncertainties associated with them. This section gives general details of how the ‘error’ (the statistical uncertainty) is calculated for each term and combined with the errors on other terms to give an overall estimate of uncertainty on the estimate of age.</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b/>
          <w:bCs/>
          <w:lang w:val="en-GB"/>
        </w:rPr>
      </w:pPr>
      <w:proofErr w:type="gramStart"/>
      <w:r w:rsidRPr="008D10B5">
        <w:rPr>
          <w:rFonts w:asciiTheme="minorHAnsi" w:hAnsiTheme="minorHAnsi"/>
          <w:b/>
          <w:bCs/>
          <w:lang w:val="en-GB"/>
        </w:rPr>
        <w:t>8.1</w:t>
      </w:r>
      <w:r w:rsidRPr="008D10B5">
        <w:rPr>
          <w:rFonts w:asciiTheme="minorHAnsi" w:hAnsiTheme="minorHAnsi"/>
          <w:b/>
          <w:bCs/>
          <w:i/>
          <w:iCs/>
          <w:lang w:val="en-GB"/>
        </w:rPr>
        <w:t xml:space="preserve">  D</w:t>
      </w:r>
      <w:r w:rsidRPr="008D10B5">
        <w:rPr>
          <w:rFonts w:asciiTheme="minorHAnsi" w:hAnsiTheme="minorHAnsi"/>
          <w:b/>
          <w:bCs/>
          <w:i/>
          <w:iCs/>
          <w:vertAlign w:val="subscript"/>
          <w:lang w:val="en-GB"/>
        </w:rPr>
        <w:t>e</w:t>
      </w:r>
      <w:proofErr w:type="gramEnd"/>
      <w:r w:rsidRPr="008D10B5">
        <w:rPr>
          <w:rFonts w:asciiTheme="minorHAnsi" w:hAnsiTheme="minorHAnsi"/>
          <w:b/>
          <w:bCs/>
          <w:lang w:val="en-GB"/>
        </w:rPr>
        <w:t xml:space="preserve"> or palaeodose estimation</w:t>
      </w: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As described in a previous section (Figure 4.1), individual estimates of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are </w:t>
      </w:r>
      <w:proofErr w:type="gramStart"/>
      <w:r w:rsidRPr="008D10B5">
        <w:rPr>
          <w:rFonts w:asciiTheme="minorHAnsi" w:hAnsiTheme="minorHAnsi"/>
          <w:lang w:val="en-GB"/>
        </w:rPr>
        <w:t>obtained  from</w:t>
      </w:r>
      <w:proofErr w:type="gramEnd"/>
      <w:r w:rsidRPr="008D10B5">
        <w:rPr>
          <w:rFonts w:asciiTheme="minorHAnsi" w:hAnsiTheme="minorHAnsi"/>
          <w:lang w:val="en-GB"/>
        </w:rPr>
        <w:t xml:space="preserve"> each of the aliquot (sub-samples) measured, using the SAR technique. The value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is obtained by interpolating between the points of the dose response curve. Statistical uncertainties are calculated for each of the individual points and also on the interpolated value of De. Typically, 12 aliquots are measured for each sample.</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Each of the points on the growth curve is defined as</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position w:val="-30"/>
          <w:lang w:val="en-GB"/>
        </w:rPr>
        <w:object w:dxaOrig="1920" w:dyaOrig="6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6pt;height:34pt" o:ole="">
            <v:imagedata r:id="rId4" o:title=""/>
          </v:shape>
          <o:OLEObject Type="Embed" ProgID="Equation.3" ShapeID="_x0000_i1025" DrawAspect="Content" ObjectID="_1608297521" r:id="rId5"/>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Eq.1</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where </w:t>
      </w:r>
      <w:r w:rsidRPr="008D10B5">
        <w:rPr>
          <w:rFonts w:asciiTheme="minorHAnsi" w:hAnsiTheme="minorHAnsi"/>
          <w:i/>
          <w:iCs/>
          <w:lang w:val="en-GB"/>
        </w:rPr>
        <w:t>L</w:t>
      </w:r>
      <w:r w:rsidRPr="008D10B5">
        <w:rPr>
          <w:rFonts w:asciiTheme="minorHAnsi" w:hAnsiTheme="minorHAnsi"/>
          <w:i/>
          <w:iCs/>
          <w:vertAlign w:val="subscript"/>
          <w:lang w:val="en-GB"/>
        </w:rPr>
        <w:t>i</w:t>
      </w:r>
      <w:r w:rsidRPr="008D10B5">
        <w:rPr>
          <w:rFonts w:asciiTheme="minorHAnsi" w:hAnsiTheme="minorHAnsi"/>
          <w:lang w:val="en-GB"/>
        </w:rPr>
        <w:t xml:space="preserve"> is the integrated (initial) OSL from the regeneration dose and </w:t>
      </w:r>
      <w:r w:rsidRPr="008D10B5">
        <w:rPr>
          <w:rFonts w:asciiTheme="minorHAnsi" w:hAnsiTheme="minorHAnsi"/>
          <w:i/>
          <w:iCs/>
          <w:lang w:val="en-GB"/>
        </w:rPr>
        <w:t>l</w:t>
      </w:r>
      <w:r w:rsidRPr="008D10B5">
        <w:rPr>
          <w:rFonts w:asciiTheme="minorHAnsi" w:hAnsiTheme="minorHAnsi"/>
          <w:i/>
          <w:iCs/>
          <w:vertAlign w:val="subscript"/>
          <w:lang w:val="en-GB"/>
        </w:rPr>
        <w:t>i</w:t>
      </w:r>
      <w:r w:rsidRPr="008D10B5">
        <w:rPr>
          <w:rFonts w:asciiTheme="minorHAnsi" w:hAnsiTheme="minorHAnsi"/>
          <w:lang w:val="en-GB"/>
        </w:rPr>
        <w:t xml:space="preserve"> is the measured background signal, </w:t>
      </w:r>
      <w:r w:rsidRPr="008D10B5">
        <w:rPr>
          <w:rFonts w:asciiTheme="minorHAnsi" w:hAnsiTheme="minorHAnsi"/>
          <w:i/>
          <w:iCs/>
          <w:lang w:val="en-GB"/>
        </w:rPr>
        <w:t>S</w:t>
      </w:r>
      <w:r w:rsidRPr="008D10B5">
        <w:rPr>
          <w:rFonts w:asciiTheme="minorHAnsi" w:hAnsiTheme="minorHAnsi"/>
          <w:i/>
          <w:iCs/>
          <w:vertAlign w:val="subscript"/>
          <w:lang w:val="en-GB"/>
        </w:rPr>
        <w:t>i</w:t>
      </w:r>
      <w:r w:rsidRPr="008D10B5">
        <w:rPr>
          <w:rFonts w:asciiTheme="minorHAnsi" w:hAnsiTheme="minorHAnsi"/>
          <w:lang w:val="en-GB"/>
        </w:rPr>
        <w:t xml:space="preserve"> is the integrated (initial) OSL from the test dose (see Section 3) and </w:t>
      </w:r>
      <w:proofErr w:type="spellStart"/>
      <w:r w:rsidRPr="008D10B5">
        <w:rPr>
          <w:rFonts w:asciiTheme="minorHAnsi" w:hAnsiTheme="minorHAnsi"/>
          <w:lang w:val="en-GB"/>
        </w:rPr>
        <w:t>si</w:t>
      </w:r>
      <w:proofErr w:type="spellEnd"/>
      <w:r w:rsidRPr="008D10B5">
        <w:rPr>
          <w:rFonts w:asciiTheme="minorHAnsi" w:hAnsiTheme="minorHAnsi"/>
          <w:lang w:val="en-GB"/>
        </w:rPr>
        <w:t xml:space="preserve"> is the background; </w:t>
      </w:r>
      <w:r w:rsidRPr="008D10B5">
        <w:rPr>
          <w:rFonts w:asciiTheme="minorHAnsi" w:hAnsiTheme="minorHAnsi"/>
          <w:i/>
          <w:iCs/>
          <w:lang w:val="en-GB"/>
        </w:rPr>
        <w:t>f</w:t>
      </w:r>
      <w:r w:rsidRPr="008D10B5">
        <w:rPr>
          <w:rFonts w:asciiTheme="minorHAnsi" w:hAnsiTheme="minorHAnsi"/>
          <w:lang w:val="en-GB"/>
        </w:rPr>
        <w:t xml:space="preserve"> is a scaling factor included to take account of the difference in duration of the </w:t>
      </w:r>
      <w:proofErr w:type="spellStart"/>
      <w:proofErr w:type="gramStart"/>
      <w:r w:rsidRPr="008D10B5">
        <w:rPr>
          <w:rFonts w:asciiTheme="minorHAnsi" w:hAnsiTheme="minorHAnsi"/>
          <w:i/>
          <w:iCs/>
          <w:lang w:val="en-GB"/>
        </w:rPr>
        <w:t>L</w:t>
      </w:r>
      <w:r w:rsidRPr="008D10B5">
        <w:rPr>
          <w:rFonts w:asciiTheme="minorHAnsi" w:hAnsiTheme="minorHAnsi"/>
          <w:i/>
          <w:iCs/>
          <w:vertAlign w:val="subscript"/>
          <w:lang w:val="en-GB"/>
        </w:rPr>
        <w:t>i</w:t>
      </w:r>
      <w:r w:rsidRPr="008D10B5">
        <w:rPr>
          <w:rFonts w:asciiTheme="minorHAnsi" w:hAnsiTheme="minorHAnsi"/>
          <w:i/>
          <w:iCs/>
          <w:lang w:val="en-GB"/>
        </w:rPr>
        <w:t>,S</w:t>
      </w:r>
      <w:r w:rsidRPr="008D10B5">
        <w:rPr>
          <w:rFonts w:asciiTheme="minorHAnsi" w:hAnsiTheme="minorHAnsi"/>
          <w:i/>
          <w:iCs/>
          <w:vertAlign w:val="subscript"/>
          <w:lang w:val="en-GB"/>
        </w:rPr>
        <w:t>i</w:t>
      </w:r>
      <w:proofErr w:type="spellEnd"/>
      <w:proofErr w:type="gramEnd"/>
      <w:r w:rsidRPr="008D10B5">
        <w:rPr>
          <w:rFonts w:asciiTheme="minorHAnsi" w:hAnsiTheme="minorHAnsi"/>
          <w:lang w:val="en-GB"/>
        </w:rPr>
        <w:t xml:space="preserve"> and </w:t>
      </w:r>
      <w:proofErr w:type="spellStart"/>
      <w:r w:rsidRPr="008D10B5">
        <w:rPr>
          <w:rFonts w:asciiTheme="minorHAnsi" w:hAnsiTheme="minorHAnsi"/>
          <w:i/>
          <w:iCs/>
          <w:lang w:val="en-GB"/>
        </w:rPr>
        <w:t>l</w:t>
      </w:r>
      <w:r w:rsidRPr="008D10B5">
        <w:rPr>
          <w:rFonts w:asciiTheme="minorHAnsi" w:hAnsiTheme="minorHAnsi"/>
          <w:i/>
          <w:iCs/>
          <w:vertAlign w:val="subscript"/>
          <w:lang w:val="en-GB"/>
        </w:rPr>
        <w:t>i</w:t>
      </w:r>
      <w:r w:rsidRPr="008D10B5">
        <w:rPr>
          <w:rFonts w:asciiTheme="minorHAnsi" w:hAnsiTheme="minorHAnsi"/>
          <w:i/>
          <w:iCs/>
          <w:lang w:val="en-GB"/>
        </w:rPr>
        <w:t>,s</w:t>
      </w:r>
      <w:r w:rsidRPr="008D10B5">
        <w:rPr>
          <w:rFonts w:asciiTheme="minorHAnsi" w:hAnsiTheme="minorHAnsi"/>
          <w:i/>
          <w:iCs/>
          <w:vertAlign w:val="subscript"/>
          <w:lang w:val="en-GB"/>
        </w:rPr>
        <w:t>i</w:t>
      </w:r>
      <w:proofErr w:type="spellEnd"/>
      <w:r w:rsidRPr="008D10B5">
        <w:rPr>
          <w:rFonts w:asciiTheme="minorHAnsi" w:hAnsiTheme="minorHAnsi"/>
          <w:lang w:val="en-GB"/>
        </w:rPr>
        <w:t xml:space="preserve"> measurements.</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The error on each dose-response data point (see Figure 4.1) is calculated by propagating ‘counting statistics’ errors (assuming Poisson statistics) from the integration of raw OSL data. The error on each term in Equation 1 is given by the square-root of the value. For example, </w:t>
      </w:r>
      <w:r w:rsidRPr="008D10B5">
        <w:rPr>
          <w:rFonts w:asciiTheme="minorHAnsi" w:hAnsiTheme="minorHAnsi"/>
          <w:lang w:val="en-GB"/>
        </w:rPr>
        <w:lastRenderedPageBreak/>
        <w:t xml:space="preserve">the range for </w:t>
      </w:r>
      <w:r w:rsidRPr="008D10B5">
        <w:rPr>
          <w:rFonts w:asciiTheme="minorHAnsi" w:hAnsiTheme="minorHAnsi"/>
          <w:i/>
          <w:iCs/>
          <w:lang w:val="en-GB"/>
        </w:rPr>
        <w:t>L</w:t>
      </w:r>
      <w:r w:rsidRPr="008D10B5">
        <w:rPr>
          <w:rFonts w:asciiTheme="minorHAnsi" w:hAnsiTheme="minorHAnsi"/>
          <w:i/>
          <w:iCs/>
          <w:vertAlign w:val="subscript"/>
          <w:lang w:val="en-GB"/>
        </w:rPr>
        <w:t>i</w:t>
      </w:r>
      <w:r w:rsidRPr="008D10B5">
        <w:rPr>
          <w:rFonts w:asciiTheme="minorHAnsi" w:hAnsiTheme="minorHAnsi"/>
          <w:lang w:val="en-GB"/>
        </w:rPr>
        <w:t xml:space="preserve"> is given by </w:t>
      </w:r>
      <w:r w:rsidRPr="008D10B5">
        <w:rPr>
          <w:rFonts w:asciiTheme="minorHAnsi" w:hAnsiTheme="minorHAnsi"/>
          <w:position w:val="-14"/>
          <w:lang w:val="en-GB"/>
        </w:rPr>
        <w:object w:dxaOrig="900" w:dyaOrig="420">
          <v:shape id="_x0000_i1026" type="#_x0000_t75" style="width:45pt;height:21pt" o:ole="">
            <v:imagedata r:id="rId6" o:title=""/>
          </v:shape>
          <o:OLEObject Type="Embed" ProgID="Equation.3" ShapeID="_x0000_i1026" DrawAspect="Content" ObjectID="_1608297522" r:id="rId7"/>
        </w:object>
      </w:r>
      <w:r w:rsidRPr="008D10B5">
        <w:rPr>
          <w:rFonts w:asciiTheme="minorHAnsi" w:hAnsiTheme="minorHAnsi"/>
          <w:lang w:val="en-GB"/>
        </w:rPr>
        <w:t xml:space="preserve">. The errors on each value are propagated in the standard way (see below) to give the uncertainty of </w:t>
      </w:r>
      <w:proofErr w:type="gramStart"/>
      <w:r w:rsidRPr="008D10B5">
        <w:rPr>
          <w:rFonts w:asciiTheme="minorHAnsi" w:hAnsiTheme="minorHAnsi"/>
          <w:i/>
          <w:iCs/>
          <w:lang w:val="en-GB"/>
        </w:rPr>
        <w:t>I(</w:t>
      </w:r>
      <w:proofErr w:type="gramEnd"/>
      <w:r w:rsidRPr="008D10B5">
        <w:rPr>
          <w:rFonts w:asciiTheme="minorHAnsi" w:hAnsiTheme="minorHAnsi"/>
          <w:i/>
          <w:iCs/>
          <w:lang w:val="en-GB"/>
        </w:rPr>
        <w:sym w:font="Symbol" w:char="F062"/>
      </w:r>
      <w:r w:rsidRPr="008D10B5">
        <w:rPr>
          <w:rFonts w:asciiTheme="minorHAnsi" w:hAnsiTheme="minorHAnsi"/>
          <w:i/>
          <w:iCs/>
          <w:lang w:val="en-GB"/>
        </w:rPr>
        <w:t>)</w:t>
      </w:r>
      <w:proofErr w:type="spellStart"/>
      <w:r w:rsidRPr="008D10B5">
        <w:rPr>
          <w:rFonts w:asciiTheme="minorHAnsi" w:hAnsiTheme="minorHAnsi"/>
          <w:i/>
          <w:iCs/>
          <w:vertAlign w:val="subscript"/>
          <w:lang w:val="en-GB"/>
        </w:rPr>
        <w:t>i</w:t>
      </w:r>
      <w:proofErr w:type="spellEnd"/>
      <w:r w:rsidRPr="008D10B5">
        <w:rPr>
          <w:rFonts w:asciiTheme="minorHAnsi" w:hAnsiTheme="minorHAnsi"/>
          <w:lang w:val="en-GB"/>
        </w:rPr>
        <w:t>.</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In cases where the dose response can be (locally) approximated by a straight line, a weighted least squares linear fit is used. The errors in this case are calculated analytically using standard formulae.</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In cases where the dose response is significantly non-linear, a single saturating exponential function is used to describe the dose response (a Simplex algorithm is used for fitting in this case). Occasionally an extra linear term is added to the exponential term in order to better describe the form of the dose response, although this is not commonly necessary. The uncertainty for non-linear fitting is calculated using a Monte-Carlo method in which ‘random samples’ of the dose response data are taken (assuming normally distributed probabilities) and used to obtain a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value. The spread in these values is then used to calculate the error on the mean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for each aliquot, giving a range for each De of </w:t>
      </w:r>
      <w:r w:rsidRPr="008D10B5">
        <w:rPr>
          <w:rFonts w:asciiTheme="minorHAnsi" w:hAnsiTheme="minorHAnsi"/>
          <w:i/>
          <w:iCs/>
          <w:lang w:val="en-GB"/>
        </w:rPr>
        <w:t>D</w:t>
      </w:r>
      <w:r w:rsidRPr="008D10B5">
        <w:rPr>
          <w:rFonts w:asciiTheme="minorHAnsi" w:hAnsiTheme="minorHAnsi"/>
          <w:i/>
          <w:iCs/>
          <w:vertAlign w:val="subscript"/>
          <w:lang w:val="en-GB"/>
        </w:rPr>
        <w:t>ei</w:t>
      </w:r>
      <w:r w:rsidRPr="008D10B5">
        <w:rPr>
          <w:rFonts w:asciiTheme="minorHAnsi" w:hAnsiTheme="minorHAnsi"/>
          <w:lang w:val="en-GB"/>
        </w:rPr>
        <w:t xml:space="preserve"> </w:t>
      </w:r>
      <w:r w:rsidRPr="008D10B5">
        <w:rPr>
          <w:rFonts w:asciiTheme="minorHAnsi" w:hAnsiTheme="minorHAnsi"/>
          <w:lang w:val="en-GB"/>
        </w:rPr>
        <w:sym w:font="Symbol" w:char="F0B1"/>
      </w:r>
      <w:r w:rsidRPr="008D10B5">
        <w:rPr>
          <w:rFonts w:asciiTheme="minorHAnsi" w:hAnsiTheme="minorHAnsi"/>
          <w:i/>
          <w:iCs/>
          <w:lang w:val="en-GB"/>
        </w:rPr>
        <w:sym w:font="Symbol" w:char="F073"/>
      </w:r>
      <w:proofErr w:type="spellStart"/>
      <w:r w:rsidRPr="008D10B5">
        <w:rPr>
          <w:rFonts w:asciiTheme="minorHAnsi" w:hAnsiTheme="minorHAnsi"/>
          <w:i/>
          <w:iCs/>
          <w:lang w:val="en-GB"/>
        </w:rPr>
        <w:t>D</w:t>
      </w:r>
      <w:r w:rsidRPr="008D10B5">
        <w:rPr>
          <w:rFonts w:asciiTheme="minorHAnsi" w:hAnsiTheme="minorHAnsi"/>
          <w:i/>
          <w:iCs/>
          <w:vertAlign w:val="subscript"/>
          <w:lang w:val="en-GB"/>
        </w:rPr>
        <w:t>ei</w:t>
      </w:r>
      <w:proofErr w:type="spellEnd"/>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Once the individual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values have been obtained from each aliquot (and the associated uncertainties calculated) the values are grouped to give a final overall estimate of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The final estimate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is calculated using a weighted average. The weight of each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is referred to as </w:t>
      </w:r>
      <w:proofErr w:type="spellStart"/>
      <w:r w:rsidRPr="008D10B5">
        <w:rPr>
          <w:rFonts w:asciiTheme="minorHAnsi" w:hAnsiTheme="minorHAnsi"/>
          <w:i/>
          <w:iCs/>
          <w:lang w:val="en-GB"/>
        </w:rPr>
        <w:t>w</w:t>
      </w:r>
      <w:r w:rsidRPr="008D10B5">
        <w:rPr>
          <w:rFonts w:asciiTheme="minorHAnsi" w:hAnsiTheme="minorHAnsi"/>
          <w:i/>
          <w:iCs/>
          <w:vertAlign w:val="subscript"/>
          <w:lang w:val="en-GB"/>
        </w:rPr>
        <w:t>i</w:t>
      </w:r>
      <w:proofErr w:type="spellEnd"/>
      <w:r w:rsidRPr="008D10B5">
        <w:rPr>
          <w:rFonts w:asciiTheme="minorHAnsi" w:hAnsiTheme="minorHAnsi"/>
          <w:lang w:val="en-GB"/>
        </w:rPr>
        <w:t xml:space="preserve"> and defined as</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position w:val="-36"/>
          <w:lang w:val="en-GB"/>
        </w:rPr>
        <w:object w:dxaOrig="2299" w:dyaOrig="740">
          <v:shape id="_x0000_i1027" type="#_x0000_t75" style="width:114.5pt;height:36.5pt" o:ole="">
            <v:imagedata r:id="rId8" o:title=""/>
          </v:shape>
          <o:OLEObject Type="Embed" ProgID="Equation.3" ShapeID="_x0000_i1027" DrawAspect="Content" ObjectID="_1608297523" r:id="rId9"/>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Eq.2</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The weighted mean is defined </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position w:val="-30"/>
          <w:lang w:val="en-GB"/>
        </w:rPr>
        <w:object w:dxaOrig="1579" w:dyaOrig="560">
          <v:shape id="_x0000_i1028" type="#_x0000_t75" style="width:78.5pt;height:27.5pt" o:ole="">
            <v:imagedata r:id="rId10" o:title=""/>
          </v:shape>
          <o:OLEObject Type="Embed" ProgID="Equation.3" ShapeID="_x0000_i1028" DrawAspect="Content" ObjectID="_1608297524" r:id="rId11"/>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Eq.3</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The weighted standard error, </w:t>
      </w:r>
      <w:r w:rsidRPr="008D10B5">
        <w:rPr>
          <w:rFonts w:asciiTheme="minorHAnsi" w:hAnsiTheme="minorHAnsi"/>
          <w:position w:val="-12"/>
          <w:lang w:val="en-GB"/>
        </w:rPr>
        <w:object w:dxaOrig="480" w:dyaOrig="360">
          <v:shape id="_x0000_i1029" type="#_x0000_t75" style="width:24pt;height:18pt" o:ole="">
            <v:imagedata r:id="rId12" o:title=""/>
          </v:shape>
          <o:OLEObject Type="Embed" ProgID="Equation.3" ShapeID="_x0000_i1029" DrawAspect="Content" ObjectID="_1608297525" r:id="rId13"/>
        </w:object>
      </w:r>
      <w:r w:rsidRPr="008D10B5">
        <w:rPr>
          <w:rFonts w:asciiTheme="minorHAnsi" w:hAnsiTheme="minorHAnsi"/>
          <w:lang w:val="en-GB"/>
        </w:rPr>
        <w:t>, is calculated from</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position w:val="-44"/>
          <w:lang w:val="en-GB"/>
        </w:rPr>
        <w:object w:dxaOrig="3000" w:dyaOrig="1080">
          <v:shape id="_x0000_i1030" type="#_x0000_t75" style="width:150pt;height:54pt" o:ole="">
            <v:imagedata r:id="rId14" o:title=""/>
          </v:shape>
          <o:OLEObject Type="Embed" ProgID="Equation.3" ShapeID="_x0000_i1030" DrawAspect="Content" ObjectID="_1608297526" r:id="rId15"/>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Eq.4</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where n is the number of aliquots. The range of the weighted mean </w:t>
      </w:r>
      <w:r w:rsidRPr="008D10B5">
        <w:rPr>
          <w:rFonts w:asciiTheme="minorHAnsi" w:hAnsiTheme="minorHAnsi"/>
          <w:i/>
          <w:iCs/>
          <w:lang w:val="en-GB"/>
        </w:rPr>
        <w:t>D</w:t>
      </w:r>
      <w:r w:rsidRPr="008D10B5">
        <w:rPr>
          <w:rFonts w:asciiTheme="minorHAnsi" w:hAnsiTheme="minorHAnsi"/>
          <w:i/>
          <w:iCs/>
          <w:vertAlign w:val="subscript"/>
          <w:lang w:val="en-GB"/>
        </w:rPr>
        <w:t>e</w:t>
      </w:r>
      <w:r w:rsidRPr="008D10B5">
        <w:rPr>
          <w:rFonts w:asciiTheme="minorHAnsi" w:hAnsiTheme="minorHAnsi"/>
          <w:lang w:val="en-GB"/>
        </w:rPr>
        <w:t xml:space="preserve"> is then defined as</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position w:val="-12"/>
          <w:lang w:val="en-GB"/>
        </w:rPr>
        <w:object w:dxaOrig="999" w:dyaOrig="380">
          <v:shape id="_x0000_i1031" type="#_x0000_t75" style="width:50pt;height:19pt" o:ole="">
            <v:imagedata r:id="rId16" o:title=""/>
          </v:shape>
          <o:OLEObject Type="Embed" ProgID="Equation.3" ShapeID="_x0000_i1031" DrawAspect="Content" ObjectID="_1608297527" r:id="rId17"/>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Eq.5</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Slight modifications to the approach outlined above are made in special circumstances, though in most cases this description is sufficient.</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b/>
          <w:bCs/>
          <w:lang w:val="en-GB"/>
        </w:rPr>
      </w:pPr>
      <w:proofErr w:type="gramStart"/>
      <w:r w:rsidRPr="008D10B5">
        <w:rPr>
          <w:rFonts w:asciiTheme="minorHAnsi" w:hAnsiTheme="minorHAnsi"/>
          <w:b/>
          <w:bCs/>
          <w:lang w:val="en-GB"/>
        </w:rPr>
        <w:t>8.2  Dose</w:t>
      </w:r>
      <w:proofErr w:type="gramEnd"/>
      <w:r w:rsidRPr="008D10B5">
        <w:rPr>
          <w:rFonts w:asciiTheme="minorHAnsi" w:hAnsiTheme="minorHAnsi"/>
          <w:b/>
          <w:bCs/>
          <w:lang w:val="en-GB"/>
        </w:rPr>
        <w:t xml:space="preserve"> rate</w:t>
      </w: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The errors on the dose rate are due to errors in a range of values, for example, the concentration of U, Th and K, the water content of the sample. The individual components of the dose rate calculation are shown in Appendix A. The uncertainty on the overall dose rate is calculated by combing the uncertainties according to the standard propagation formula given below.</w:t>
      </w:r>
    </w:p>
    <w:p w:rsidR="008A45CA" w:rsidRPr="008D10B5" w:rsidRDefault="008A45CA" w:rsidP="008D10B5">
      <w:pPr>
        <w:jc w:val="both"/>
        <w:rPr>
          <w:rFonts w:asciiTheme="minorHAnsi" w:hAnsiTheme="minorHAnsi"/>
          <w:lang w:val="en-GB"/>
        </w:rPr>
      </w:pPr>
    </w:p>
    <w:p w:rsidR="008A45CA" w:rsidRPr="008D10B5" w:rsidRDefault="008A45CA" w:rsidP="008D10B5">
      <w:pPr>
        <w:ind w:left="-720" w:firstLine="720"/>
        <w:jc w:val="both"/>
        <w:rPr>
          <w:rFonts w:asciiTheme="minorHAnsi" w:hAnsiTheme="minorHAnsi"/>
          <w:b/>
          <w:bCs/>
          <w:lang w:val="en-GB"/>
        </w:rPr>
      </w:pPr>
      <w:proofErr w:type="gramStart"/>
      <w:r w:rsidRPr="008D10B5">
        <w:rPr>
          <w:rFonts w:asciiTheme="minorHAnsi" w:hAnsiTheme="minorHAnsi"/>
          <w:b/>
          <w:bCs/>
          <w:lang w:val="en-GB"/>
        </w:rPr>
        <w:t>8.3  Age</w:t>
      </w:r>
      <w:proofErr w:type="gramEnd"/>
      <w:r w:rsidRPr="008D10B5">
        <w:rPr>
          <w:rFonts w:asciiTheme="minorHAnsi" w:hAnsiTheme="minorHAnsi"/>
          <w:b/>
          <w:bCs/>
          <w:lang w:val="en-GB"/>
        </w:rPr>
        <w:t xml:space="preserve"> calculation</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The calculated age is obtained from dividing the mean </w:t>
      </w:r>
      <w:r w:rsidRPr="008D10B5">
        <w:rPr>
          <w:rFonts w:asciiTheme="minorHAnsi" w:hAnsiTheme="minorHAnsi"/>
          <w:i/>
          <w:iCs/>
          <w:lang w:val="en-GB" w:eastAsia="en-GB"/>
        </w:rPr>
        <w:t>D</w:t>
      </w:r>
      <w:r w:rsidRPr="008D10B5">
        <w:rPr>
          <w:rFonts w:asciiTheme="minorHAnsi" w:hAnsiTheme="minorHAnsi"/>
          <w:i/>
          <w:iCs/>
          <w:vertAlign w:val="subscript"/>
          <w:lang w:val="en-GB" w:eastAsia="en-GB"/>
        </w:rPr>
        <w:t>e</w:t>
      </w:r>
      <w:r w:rsidRPr="008D10B5">
        <w:rPr>
          <w:rFonts w:asciiTheme="minorHAnsi" w:hAnsiTheme="minorHAnsi"/>
          <w:lang w:val="en-GB" w:eastAsia="en-GB"/>
        </w:rPr>
        <w:t xml:space="preserve"> (Eq.3) by the total dose rate (Appendix A). The uncertainty on the final age estimate is calculated using the error propagation formula given below. All calculations were performed using software developed within the laboratory. </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b/>
          <w:bCs/>
          <w:lang w:val="en-GB"/>
        </w:rPr>
      </w:pPr>
      <w:proofErr w:type="gramStart"/>
      <w:r w:rsidRPr="008D10B5">
        <w:rPr>
          <w:rFonts w:asciiTheme="minorHAnsi" w:hAnsiTheme="minorHAnsi"/>
          <w:b/>
          <w:bCs/>
          <w:lang w:val="en-GB"/>
        </w:rPr>
        <w:t>8.4  Standard</w:t>
      </w:r>
      <w:proofErr w:type="gramEnd"/>
      <w:r w:rsidRPr="008D10B5">
        <w:rPr>
          <w:rFonts w:asciiTheme="minorHAnsi" w:hAnsiTheme="minorHAnsi"/>
          <w:b/>
          <w:bCs/>
          <w:lang w:val="en-GB"/>
        </w:rPr>
        <w:t xml:space="preserve"> error propagation</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If a calculated value (</w:t>
      </w:r>
      <w:r w:rsidRPr="008D10B5">
        <w:rPr>
          <w:rFonts w:asciiTheme="minorHAnsi" w:hAnsiTheme="minorHAnsi"/>
          <w:i/>
          <w:iCs/>
          <w:lang w:val="en-GB"/>
        </w:rPr>
        <w:t>y</w:t>
      </w:r>
      <w:r w:rsidRPr="008D10B5">
        <w:rPr>
          <w:rFonts w:asciiTheme="minorHAnsi" w:hAnsiTheme="minorHAnsi"/>
          <w:lang w:val="en-GB"/>
        </w:rPr>
        <w:t>) is calculated using a function (</w:t>
      </w:r>
      <w:r w:rsidRPr="008D10B5">
        <w:rPr>
          <w:rFonts w:asciiTheme="minorHAnsi" w:hAnsiTheme="minorHAnsi"/>
          <w:i/>
          <w:iCs/>
          <w:lang w:val="en-GB"/>
        </w:rPr>
        <w:t>f</w:t>
      </w:r>
      <w:r w:rsidRPr="008D10B5">
        <w:rPr>
          <w:rFonts w:asciiTheme="minorHAnsi" w:hAnsiTheme="minorHAnsi"/>
          <w:lang w:val="en-GB"/>
        </w:rPr>
        <w:t xml:space="preserve">) which contains terms </w:t>
      </w:r>
      <w:r w:rsidRPr="008D10B5">
        <w:rPr>
          <w:rFonts w:asciiTheme="minorHAnsi" w:hAnsiTheme="minorHAnsi"/>
          <w:i/>
          <w:iCs/>
          <w:lang w:val="en-GB"/>
        </w:rPr>
        <w:t>x</w:t>
      </w:r>
      <w:r w:rsidRPr="008D10B5">
        <w:rPr>
          <w:rFonts w:asciiTheme="minorHAnsi" w:hAnsiTheme="minorHAnsi"/>
          <w:i/>
          <w:iCs/>
          <w:vertAlign w:val="subscript"/>
          <w:lang w:val="en-GB"/>
        </w:rPr>
        <w:t>1</w:t>
      </w:r>
      <w:r w:rsidRPr="008D10B5">
        <w:rPr>
          <w:rFonts w:asciiTheme="minorHAnsi" w:hAnsiTheme="minorHAnsi"/>
          <w:lang w:val="en-GB"/>
        </w:rPr>
        <w:t xml:space="preserve">, </w:t>
      </w:r>
      <w:r w:rsidRPr="008D10B5">
        <w:rPr>
          <w:rFonts w:asciiTheme="minorHAnsi" w:hAnsiTheme="minorHAnsi"/>
          <w:i/>
          <w:iCs/>
          <w:lang w:val="en-GB"/>
        </w:rPr>
        <w:t>x</w:t>
      </w:r>
      <w:r w:rsidRPr="008D10B5">
        <w:rPr>
          <w:rFonts w:asciiTheme="minorHAnsi" w:hAnsiTheme="minorHAnsi"/>
          <w:i/>
          <w:iCs/>
          <w:vertAlign w:val="subscript"/>
          <w:lang w:val="en-GB"/>
        </w:rPr>
        <w:t>2</w:t>
      </w:r>
      <w:r w:rsidRPr="008D10B5">
        <w:rPr>
          <w:rFonts w:asciiTheme="minorHAnsi" w:hAnsiTheme="minorHAnsi"/>
          <w:lang w:val="en-GB"/>
        </w:rPr>
        <w:t xml:space="preserve">, </w:t>
      </w:r>
      <w:r w:rsidRPr="008D10B5">
        <w:rPr>
          <w:rFonts w:asciiTheme="minorHAnsi" w:hAnsiTheme="minorHAnsi"/>
          <w:i/>
          <w:iCs/>
          <w:lang w:val="en-GB"/>
        </w:rPr>
        <w:t>x</w:t>
      </w:r>
      <w:r w:rsidRPr="008D10B5">
        <w:rPr>
          <w:rFonts w:asciiTheme="minorHAnsi" w:hAnsiTheme="minorHAnsi"/>
          <w:i/>
          <w:iCs/>
          <w:vertAlign w:val="subscript"/>
          <w:lang w:val="en-GB"/>
        </w:rPr>
        <w:t>3</w:t>
      </w:r>
      <w:r w:rsidRPr="008D10B5">
        <w:rPr>
          <w:rFonts w:asciiTheme="minorHAnsi" w:hAnsiTheme="minorHAnsi"/>
          <w:lang w:val="en-GB"/>
        </w:rPr>
        <w:t xml:space="preserve">.... </w:t>
      </w:r>
      <w:proofErr w:type="spellStart"/>
      <w:r w:rsidRPr="008D10B5">
        <w:rPr>
          <w:rFonts w:asciiTheme="minorHAnsi" w:hAnsiTheme="minorHAnsi"/>
          <w:i/>
          <w:iCs/>
          <w:lang w:val="en-GB"/>
        </w:rPr>
        <w:t>x</w:t>
      </w:r>
      <w:r w:rsidRPr="008D10B5">
        <w:rPr>
          <w:rFonts w:asciiTheme="minorHAnsi" w:hAnsiTheme="minorHAnsi"/>
          <w:i/>
          <w:iCs/>
          <w:vertAlign w:val="subscript"/>
          <w:lang w:val="en-GB"/>
        </w:rPr>
        <w:t>n</w:t>
      </w:r>
      <w:proofErr w:type="spellEnd"/>
      <w:r w:rsidRPr="008D10B5">
        <w:rPr>
          <w:rFonts w:asciiTheme="minorHAnsi" w:hAnsiTheme="minorHAnsi"/>
          <w:lang w:val="en-GB"/>
        </w:rPr>
        <w:t>, then</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position w:val="-12"/>
          <w:lang w:val="en-GB"/>
        </w:rPr>
        <w:object w:dxaOrig="2100" w:dyaOrig="360">
          <v:shape id="_x0000_i1032" type="#_x0000_t75" style="width:105pt;height:18pt" o:ole="">
            <v:imagedata r:id="rId18" o:title=""/>
          </v:shape>
          <o:OLEObject Type="Embed" ProgID="Equation.3" ShapeID="_x0000_i1032" DrawAspect="Content" ObjectID="_1608297528" r:id="rId19"/>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Eq.6</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Each term (</w:t>
      </w:r>
      <w:r w:rsidRPr="008D10B5">
        <w:rPr>
          <w:rFonts w:asciiTheme="minorHAnsi" w:hAnsiTheme="minorHAnsi"/>
          <w:i/>
          <w:iCs/>
          <w:lang w:val="en-GB"/>
        </w:rPr>
        <w:t>x</w:t>
      </w:r>
      <w:r w:rsidRPr="008D10B5">
        <w:rPr>
          <w:rFonts w:asciiTheme="minorHAnsi" w:hAnsiTheme="minorHAnsi"/>
          <w:i/>
          <w:iCs/>
          <w:vertAlign w:val="subscript"/>
          <w:lang w:val="en-GB"/>
        </w:rPr>
        <w:t>i</w:t>
      </w:r>
      <w:r w:rsidRPr="008D10B5">
        <w:rPr>
          <w:rFonts w:asciiTheme="minorHAnsi" w:hAnsiTheme="minorHAnsi"/>
          <w:lang w:val="en-GB"/>
        </w:rPr>
        <w:t xml:space="preserve">) has an associated uncertainty with a range expressed as </w:t>
      </w:r>
      <w:r w:rsidRPr="008D10B5">
        <w:rPr>
          <w:rFonts w:asciiTheme="minorHAnsi" w:hAnsiTheme="minorHAnsi"/>
          <w:i/>
          <w:iCs/>
          <w:lang w:val="en-GB"/>
        </w:rPr>
        <w:t>x</w:t>
      </w:r>
      <w:r w:rsidRPr="008D10B5">
        <w:rPr>
          <w:rFonts w:asciiTheme="minorHAnsi" w:hAnsiTheme="minorHAnsi"/>
          <w:i/>
          <w:iCs/>
          <w:vertAlign w:val="subscript"/>
          <w:lang w:val="en-GB"/>
        </w:rPr>
        <w:t>i</w:t>
      </w:r>
      <w:r w:rsidRPr="008D10B5">
        <w:rPr>
          <w:rFonts w:asciiTheme="minorHAnsi" w:hAnsiTheme="minorHAnsi"/>
          <w:lang w:val="en-GB"/>
        </w:rPr>
        <w:sym w:font="Symbol" w:char="F0B1"/>
      </w:r>
      <w:r w:rsidRPr="008D10B5">
        <w:rPr>
          <w:rFonts w:asciiTheme="minorHAnsi" w:hAnsiTheme="minorHAnsi"/>
          <w:lang w:val="en-GB"/>
        </w:rPr>
        <w:sym w:font="Symbol" w:char="F073"/>
      </w:r>
      <w:proofErr w:type="spellStart"/>
      <w:r w:rsidRPr="008D10B5">
        <w:rPr>
          <w:rFonts w:asciiTheme="minorHAnsi" w:hAnsiTheme="minorHAnsi"/>
          <w:i/>
          <w:iCs/>
          <w:vertAlign w:val="subscript"/>
          <w:lang w:val="en-GB"/>
        </w:rPr>
        <w:t>xi</w:t>
      </w:r>
      <w:proofErr w:type="spellEnd"/>
      <w:r w:rsidRPr="008D10B5">
        <w:rPr>
          <w:rFonts w:asciiTheme="minorHAnsi" w:hAnsiTheme="minorHAnsi"/>
          <w:lang w:val="en-GB"/>
        </w:rPr>
        <w:t xml:space="preserve">. The overall error of </w:t>
      </w:r>
      <w:r w:rsidRPr="008D10B5">
        <w:rPr>
          <w:rFonts w:asciiTheme="minorHAnsi" w:hAnsiTheme="minorHAnsi"/>
          <w:i/>
          <w:iCs/>
          <w:lang w:val="en-GB"/>
        </w:rPr>
        <w:t>y</w:t>
      </w:r>
      <w:r w:rsidRPr="008D10B5">
        <w:rPr>
          <w:rFonts w:asciiTheme="minorHAnsi" w:hAnsiTheme="minorHAnsi"/>
          <w:lang w:val="en-GB"/>
        </w:rPr>
        <w:t xml:space="preserve"> can be calculated through the addition of the partial derivatives of y with respect to each term. Formally, this is written as</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position w:val="-34"/>
          <w:lang w:val="en-GB"/>
        </w:rPr>
        <w:object w:dxaOrig="2240" w:dyaOrig="900">
          <v:shape id="_x0000_i1033" type="#_x0000_t75" style="width:112pt;height:45pt" o:ole="">
            <v:imagedata r:id="rId20" o:title=""/>
          </v:shape>
          <o:OLEObject Type="Embed" ProgID="Equation.3" ShapeID="_x0000_i1033" DrawAspect="Content" ObjectID="_1608297529" r:id="rId21"/>
        </w:object>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r>
      <w:r w:rsidRPr="008D10B5">
        <w:rPr>
          <w:rFonts w:asciiTheme="minorHAnsi" w:hAnsiTheme="minorHAnsi"/>
          <w:lang w:val="en-GB"/>
        </w:rPr>
        <w:tab/>
        <w:t>Eq.7</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lang w:val="en-GB"/>
        </w:rPr>
      </w:pPr>
      <w:r w:rsidRPr="008D10B5">
        <w:rPr>
          <w:rFonts w:asciiTheme="minorHAnsi" w:hAnsiTheme="minorHAnsi"/>
          <w:lang w:val="en-GB"/>
        </w:rPr>
        <w:t xml:space="preserve">giving a range for </w:t>
      </w:r>
      <w:r w:rsidRPr="008D10B5">
        <w:rPr>
          <w:rFonts w:asciiTheme="minorHAnsi" w:hAnsiTheme="minorHAnsi"/>
          <w:i/>
          <w:iCs/>
          <w:lang w:val="en-GB"/>
        </w:rPr>
        <w:t>y</w:t>
      </w:r>
      <w:r w:rsidRPr="008D10B5">
        <w:rPr>
          <w:rFonts w:asciiTheme="minorHAnsi" w:hAnsiTheme="minorHAnsi"/>
          <w:lang w:val="en-GB"/>
        </w:rPr>
        <w:t xml:space="preserve"> as </w:t>
      </w:r>
      <w:r w:rsidRPr="008D10B5">
        <w:rPr>
          <w:rFonts w:asciiTheme="minorHAnsi" w:hAnsiTheme="minorHAnsi"/>
          <w:i/>
          <w:iCs/>
          <w:lang w:val="en-GB"/>
        </w:rPr>
        <w:t>y</w:t>
      </w:r>
      <w:r w:rsidRPr="008D10B5">
        <w:rPr>
          <w:rFonts w:asciiTheme="minorHAnsi" w:hAnsiTheme="minorHAnsi"/>
          <w:lang w:val="en-GB"/>
        </w:rPr>
        <w:sym w:font="Symbol" w:char="F0B1"/>
      </w:r>
      <w:r w:rsidRPr="008D10B5">
        <w:rPr>
          <w:rFonts w:asciiTheme="minorHAnsi" w:hAnsiTheme="minorHAnsi"/>
          <w:i/>
          <w:iCs/>
          <w:lang w:val="en-GB"/>
        </w:rPr>
        <w:sym w:font="Symbol" w:char="F073"/>
      </w:r>
      <w:proofErr w:type="spellStart"/>
      <w:r w:rsidRPr="008D10B5">
        <w:rPr>
          <w:rFonts w:asciiTheme="minorHAnsi" w:hAnsiTheme="minorHAnsi"/>
          <w:i/>
          <w:iCs/>
          <w:vertAlign w:val="subscript"/>
          <w:lang w:val="en-GB"/>
        </w:rPr>
        <w:t>Y</w:t>
      </w:r>
      <w:proofErr w:type="spellEnd"/>
      <w:r w:rsidRPr="008D10B5">
        <w:rPr>
          <w:rFonts w:asciiTheme="minorHAnsi" w:hAnsiTheme="minorHAnsi"/>
          <w:i/>
          <w:iCs/>
          <w:vertAlign w:val="subscript"/>
          <w:lang w:val="en-GB"/>
        </w:rPr>
        <w:t>.</w:t>
      </w:r>
    </w:p>
    <w:p w:rsidR="008A45CA" w:rsidRPr="008D10B5" w:rsidRDefault="008A45CA" w:rsidP="008D10B5">
      <w:pPr>
        <w:jc w:val="both"/>
        <w:rPr>
          <w:rFonts w:asciiTheme="minorHAnsi" w:hAnsiTheme="minorHAnsi"/>
          <w:lang w:val="en-GB"/>
        </w:rPr>
      </w:pPr>
    </w:p>
    <w:p w:rsidR="008A45CA" w:rsidRPr="008D10B5" w:rsidRDefault="008A45CA" w:rsidP="008D10B5">
      <w:pPr>
        <w:jc w:val="both"/>
        <w:rPr>
          <w:rFonts w:asciiTheme="minorHAnsi" w:hAnsiTheme="minorHAnsi"/>
          <w:b/>
          <w:bCs/>
          <w:lang w:val="en-GB"/>
        </w:rPr>
      </w:pPr>
    </w:p>
    <w:p w:rsidR="008A45CA" w:rsidRPr="008D10B5" w:rsidRDefault="008A45CA" w:rsidP="008D10B5">
      <w:pPr>
        <w:jc w:val="both"/>
        <w:rPr>
          <w:rFonts w:asciiTheme="minorHAnsi" w:hAnsiTheme="minorHAnsi"/>
          <w:b/>
          <w:bCs/>
          <w:lang w:val="en-GB"/>
        </w:rPr>
      </w:pPr>
      <w:r w:rsidRPr="008D10B5">
        <w:rPr>
          <w:rFonts w:asciiTheme="minorHAnsi" w:hAnsiTheme="minorHAnsi"/>
          <w:b/>
          <w:bCs/>
          <w:lang w:val="en-GB"/>
        </w:rPr>
        <w:t>Section 9:</w:t>
      </w:r>
      <w:r w:rsidRPr="008D10B5">
        <w:rPr>
          <w:rFonts w:asciiTheme="minorHAnsi" w:hAnsiTheme="minorHAnsi"/>
          <w:b/>
          <w:bCs/>
          <w:lang w:val="en-GB"/>
        </w:rPr>
        <w:tab/>
        <w:t>Selected references</w:t>
      </w:r>
    </w:p>
    <w:p w:rsidR="008A45CA" w:rsidRPr="008D10B5" w:rsidRDefault="008A45CA" w:rsidP="008D10B5">
      <w:pPr>
        <w:ind w:hanging="720"/>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roofErr w:type="spellStart"/>
      <w:r w:rsidRPr="008D10B5">
        <w:rPr>
          <w:rFonts w:asciiTheme="minorHAnsi" w:hAnsiTheme="minorHAnsi"/>
          <w:lang w:val="en-GB" w:eastAsia="en-GB"/>
        </w:rPr>
        <w:t>Adamiec</w:t>
      </w:r>
      <w:proofErr w:type="spellEnd"/>
      <w:r w:rsidRPr="008D10B5">
        <w:rPr>
          <w:rFonts w:asciiTheme="minorHAnsi" w:hAnsiTheme="minorHAnsi"/>
          <w:lang w:val="en-GB" w:eastAsia="en-GB"/>
        </w:rPr>
        <w:t xml:space="preserve"> G. and Aitken M. J. (1998) Dose-rate conversion factors: update. </w:t>
      </w:r>
      <w:r w:rsidRPr="008D10B5">
        <w:rPr>
          <w:rFonts w:asciiTheme="minorHAnsi" w:hAnsiTheme="minorHAnsi"/>
          <w:i/>
          <w:iCs/>
          <w:lang w:val="en-GB" w:eastAsia="en-GB"/>
        </w:rPr>
        <w:t>Ancient TL</w:t>
      </w:r>
      <w:r w:rsidRPr="008D10B5">
        <w:rPr>
          <w:rFonts w:asciiTheme="minorHAnsi" w:hAnsiTheme="minorHAnsi"/>
          <w:lang w:val="en-GB" w:eastAsia="en-GB"/>
        </w:rPr>
        <w:t>, 16, 37-50.</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Aitken M. J. (1998) </w:t>
      </w:r>
      <w:r w:rsidRPr="008D10B5">
        <w:rPr>
          <w:rFonts w:asciiTheme="minorHAnsi" w:hAnsiTheme="minorHAnsi"/>
          <w:i/>
          <w:lang w:val="en-GB" w:eastAsia="en-GB"/>
        </w:rPr>
        <w:t>Introduction to optical dating</w:t>
      </w:r>
      <w:r w:rsidRPr="008D10B5">
        <w:rPr>
          <w:rFonts w:asciiTheme="minorHAnsi" w:hAnsiTheme="minorHAnsi"/>
          <w:lang w:val="en-GB" w:eastAsia="en-GB"/>
        </w:rPr>
        <w:t>. Oxford University Press, Oxford.</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iCs/>
          <w:lang w:val="en-GB" w:eastAsia="en-GB"/>
        </w:rPr>
      </w:pPr>
      <w:r w:rsidRPr="008D10B5">
        <w:rPr>
          <w:rFonts w:asciiTheme="minorHAnsi" w:hAnsiTheme="minorHAnsi"/>
          <w:iCs/>
          <w:lang w:val="en-GB" w:eastAsia="en-GB"/>
        </w:rPr>
        <w:t xml:space="preserve">Bailey R. M. (2001) </w:t>
      </w:r>
      <w:r w:rsidRPr="008D10B5">
        <w:rPr>
          <w:rFonts w:asciiTheme="minorHAnsi" w:hAnsiTheme="minorHAnsi"/>
          <w:bCs/>
          <w:iCs/>
          <w:lang w:val="en-GB" w:eastAsia="en-GB"/>
        </w:rPr>
        <w:t>Towards a general kinetic model for optically and thermally stimulated luminescence of quartz</w:t>
      </w:r>
      <w:r w:rsidRPr="008D10B5">
        <w:rPr>
          <w:rFonts w:asciiTheme="minorHAnsi" w:hAnsiTheme="minorHAnsi"/>
          <w:iCs/>
          <w:lang w:val="en-GB" w:eastAsia="en-GB"/>
        </w:rPr>
        <w:t xml:space="preserve">. </w:t>
      </w:r>
      <w:r w:rsidRPr="008D10B5">
        <w:rPr>
          <w:rFonts w:asciiTheme="minorHAnsi" w:hAnsiTheme="minorHAnsi"/>
          <w:i/>
          <w:lang w:val="en-GB" w:eastAsia="en-GB"/>
        </w:rPr>
        <w:t>Radiation Measurements</w:t>
      </w:r>
      <w:r w:rsidRPr="008D10B5">
        <w:rPr>
          <w:rFonts w:asciiTheme="minorHAnsi" w:hAnsiTheme="minorHAnsi"/>
          <w:iCs/>
          <w:lang w:val="en-GB" w:eastAsia="en-GB"/>
        </w:rPr>
        <w:t>, 33, 17-45.</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iCs/>
          <w:lang w:val="en-GB" w:eastAsia="en-GB"/>
        </w:rPr>
        <w:t xml:space="preserve">Bailey R. M. (2000) </w:t>
      </w:r>
      <w:r w:rsidRPr="008D10B5">
        <w:rPr>
          <w:rFonts w:asciiTheme="minorHAnsi" w:hAnsiTheme="minorHAnsi"/>
          <w:lang w:val="en-GB" w:eastAsia="en-GB"/>
        </w:rPr>
        <w:t xml:space="preserve">Circumventing possible inaccuracies of the single aliquot regeneration method for the optical dating of quartz, </w:t>
      </w:r>
      <w:r w:rsidRPr="008D10B5">
        <w:rPr>
          <w:rFonts w:asciiTheme="minorHAnsi" w:hAnsiTheme="minorHAnsi"/>
          <w:i/>
          <w:lang w:val="en-GB" w:eastAsia="en-GB"/>
        </w:rPr>
        <w:t>Radiation Measurements</w:t>
      </w:r>
      <w:r w:rsidRPr="008D10B5">
        <w:rPr>
          <w:rFonts w:asciiTheme="minorHAnsi" w:hAnsiTheme="minorHAnsi"/>
          <w:iCs/>
          <w:lang w:val="en-GB" w:eastAsia="en-GB"/>
        </w:rPr>
        <w:t xml:space="preserve">, </w:t>
      </w:r>
      <w:proofErr w:type="gramStart"/>
      <w:r w:rsidRPr="008D10B5">
        <w:rPr>
          <w:rFonts w:asciiTheme="minorHAnsi" w:hAnsiTheme="minorHAnsi"/>
          <w:iCs/>
          <w:lang w:val="en-GB" w:eastAsia="en-GB"/>
        </w:rPr>
        <w:t xml:space="preserve">32, </w:t>
      </w:r>
      <w:r w:rsidRPr="008D10B5">
        <w:rPr>
          <w:rFonts w:asciiTheme="minorHAnsi" w:hAnsiTheme="minorHAnsi"/>
          <w:lang w:val="en-GB" w:eastAsia="en-GB"/>
        </w:rPr>
        <w:t xml:space="preserve"> 833</w:t>
      </w:r>
      <w:proofErr w:type="gramEnd"/>
      <w:r w:rsidRPr="008D10B5">
        <w:rPr>
          <w:rFonts w:asciiTheme="minorHAnsi" w:hAnsiTheme="minorHAnsi"/>
          <w:lang w:val="en-GB" w:eastAsia="en-GB"/>
        </w:rPr>
        <w:t>-840.</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iCs/>
          <w:lang w:val="en-GB" w:eastAsia="en-GB"/>
        </w:rPr>
      </w:pPr>
      <w:r w:rsidRPr="008D10B5">
        <w:rPr>
          <w:rFonts w:asciiTheme="minorHAnsi" w:hAnsiTheme="minorHAnsi"/>
          <w:lang w:val="en-GB" w:eastAsia="en-GB"/>
        </w:rPr>
        <w:lastRenderedPageBreak/>
        <w:t xml:space="preserve">Banerjee D., Murray A. S., </w:t>
      </w:r>
      <w:proofErr w:type="spellStart"/>
      <w:r w:rsidRPr="008D10B5">
        <w:rPr>
          <w:rFonts w:asciiTheme="minorHAnsi" w:hAnsiTheme="minorHAnsi"/>
          <w:lang w:val="en-GB" w:eastAsia="en-GB"/>
        </w:rPr>
        <w:t>Bøtter</w:t>
      </w:r>
      <w:proofErr w:type="spellEnd"/>
      <w:r w:rsidRPr="008D10B5">
        <w:rPr>
          <w:rFonts w:asciiTheme="minorHAnsi" w:hAnsiTheme="minorHAnsi"/>
          <w:lang w:val="en-GB" w:eastAsia="en-GB"/>
        </w:rPr>
        <w:t xml:space="preserve">-Jensen L. and Lang A. (2001) Equivalent dose estimation using a single aliquot of </w:t>
      </w:r>
      <w:proofErr w:type="spellStart"/>
      <w:r w:rsidRPr="008D10B5">
        <w:rPr>
          <w:rFonts w:asciiTheme="minorHAnsi" w:hAnsiTheme="minorHAnsi"/>
          <w:lang w:val="en-GB" w:eastAsia="en-GB"/>
        </w:rPr>
        <w:t>polymineral</w:t>
      </w:r>
      <w:proofErr w:type="spellEnd"/>
      <w:r w:rsidRPr="008D10B5">
        <w:rPr>
          <w:rFonts w:asciiTheme="minorHAnsi" w:hAnsiTheme="minorHAnsi"/>
          <w:lang w:val="en-GB" w:eastAsia="en-GB"/>
        </w:rPr>
        <w:t xml:space="preserve"> fine grains. </w:t>
      </w:r>
      <w:r w:rsidRPr="008D10B5">
        <w:rPr>
          <w:rFonts w:asciiTheme="minorHAnsi" w:hAnsiTheme="minorHAnsi"/>
          <w:i/>
          <w:lang w:val="en-GB" w:eastAsia="en-GB"/>
        </w:rPr>
        <w:t>Radiation Measurements</w:t>
      </w:r>
      <w:r w:rsidRPr="008D10B5">
        <w:rPr>
          <w:rFonts w:asciiTheme="minorHAnsi" w:hAnsiTheme="minorHAnsi"/>
          <w:iCs/>
          <w:lang w:val="en-GB" w:eastAsia="en-GB"/>
        </w:rPr>
        <w:t>, 33, 73-94.</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Gautier A. (2001) Luminescence dating of archaeometallurgical slag: use of the SAR technique for determination of the burial dose. </w:t>
      </w:r>
      <w:r w:rsidRPr="008D10B5">
        <w:rPr>
          <w:rFonts w:asciiTheme="minorHAnsi" w:hAnsiTheme="minorHAnsi"/>
          <w:i/>
          <w:iCs/>
          <w:lang w:val="en-GB" w:eastAsia="en-GB"/>
        </w:rPr>
        <w:t xml:space="preserve">Quaternary Science Reviews, </w:t>
      </w:r>
      <w:r w:rsidRPr="008D10B5">
        <w:rPr>
          <w:rFonts w:asciiTheme="minorHAnsi" w:hAnsiTheme="minorHAnsi"/>
          <w:lang w:val="en-GB" w:eastAsia="en-GB"/>
        </w:rPr>
        <w:t>20, 973-980.</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Huntley D. J., Godfrey-Smith D. I and </w:t>
      </w:r>
      <w:proofErr w:type="spellStart"/>
      <w:r w:rsidRPr="008D10B5">
        <w:rPr>
          <w:rFonts w:asciiTheme="minorHAnsi" w:hAnsiTheme="minorHAnsi"/>
          <w:lang w:val="en-GB" w:eastAsia="en-GB"/>
        </w:rPr>
        <w:t>Thewalt</w:t>
      </w:r>
      <w:proofErr w:type="spellEnd"/>
      <w:r w:rsidRPr="008D10B5">
        <w:rPr>
          <w:rFonts w:asciiTheme="minorHAnsi" w:hAnsiTheme="minorHAnsi"/>
          <w:lang w:val="en-GB" w:eastAsia="en-GB"/>
        </w:rPr>
        <w:t xml:space="preserve"> M. L. W. (1985) Optical dating of sediments. </w:t>
      </w:r>
      <w:r w:rsidRPr="008D10B5">
        <w:rPr>
          <w:rFonts w:asciiTheme="minorHAnsi" w:hAnsiTheme="minorHAnsi"/>
          <w:i/>
          <w:lang w:val="en-GB" w:eastAsia="en-GB"/>
        </w:rPr>
        <w:t>Nature</w:t>
      </w:r>
      <w:r w:rsidRPr="008D10B5">
        <w:rPr>
          <w:rFonts w:asciiTheme="minorHAnsi" w:hAnsiTheme="minorHAnsi"/>
          <w:lang w:val="en-GB" w:eastAsia="en-GB"/>
        </w:rPr>
        <w:t xml:space="preserve"> 313, 105-107.</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roofErr w:type="spellStart"/>
      <w:r w:rsidRPr="008D10B5">
        <w:rPr>
          <w:rFonts w:asciiTheme="minorHAnsi" w:hAnsiTheme="minorHAnsi"/>
          <w:lang w:val="en-GB" w:eastAsia="en-GB"/>
        </w:rPr>
        <w:t>Mejdahl</w:t>
      </w:r>
      <w:proofErr w:type="spellEnd"/>
      <w:r w:rsidRPr="008D10B5">
        <w:rPr>
          <w:rFonts w:asciiTheme="minorHAnsi" w:hAnsiTheme="minorHAnsi"/>
          <w:lang w:val="en-GB" w:eastAsia="en-GB"/>
        </w:rPr>
        <w:t xml:space="preserve"> V. (1979) Thermoluminescence dating: beta dose attenuation in quartz grains. </w:t>
      </w:r>
      <w:r w:rsidRPr="008D10B5">
        <w:rPr>
          <w:rFonts w:asciiTheme="minorHAnsi" w:hAnsiTheme="minorHAnsi"/>
          <w:i/>
          <w:iCs/>
          <w:lang w:val="en-GB" w:eastAsia="en-GB"/>
        </w:rPr>
        <w:t>Archaeometry</w:t>
      </w:r>
      <w:r w:rsidRPr="008D10B5">
        <w:rPr>
          <w:rFonts w:asciiTheme="minorHAnsi" w:hAnsiTheme="minorHAnsi"/>
          <w:lang w:val="en-GB" w:eastAsia="en-GB"/>
        </w:rPr>
        <w:t>, 21, 61-73.</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Murray A. S. and </w:t>
      </w:r>
      <w:proofErr w:type="spellStart"/>
      <w:r w:rsidRPr="008D10B5">
        <w:rPr>
          <w:rFonts w:asciiTheme="minorHAnsi" w:hAnsiTheme="minorHAnsi"/>
          <w:lang w:val="en-GB" w:eastAsia="en-GB"/>
        </w:rPr>
        <w:t>Wintle</w:t>
      </w:r>
      <w:proofErr w:type="spellEnd"/>
      <w:r w:rsidRPr="008D10B5">
        <w:rPr>
          <w:rFonts w:asciiTheme="minorHAnsi" w:hAnsiTheme="minorHAnsi"/>
          <w:lang w:val="en-GB" w:eastAsia="en-GB"/>
        </w:rPr>
        <w:t xml:space="preserve"> A. G.  (2000)  Luminescence dating of quartz using an improved single-aliquot regenerative-dose protocol.  </w:t>
      </w:r>
      <w:r w:rsidRPr="008D10B5">
        <w:rPr>
          <w:rFonts w:asciiTheme="minorHAnsi" w:hAnsiTheme="minorHAnsi"/>
          <w:i/>
          <w:lang w:val="en-GB" w:eastAsia="en-GB"/>
        </w:rPr>
        <w:t>Radiation Measurement</w:t>
      </w:r>
      <w:r w:rsidRPr="008D10B5">
        <w:rPr>
          <w:rFonts w:asciiTheme="minorHAnsi" w:hAnsiTheme="minorHAnsi"/>
          <w:lang w:val="en-GB" w:eastAsia="en-GB"/>
        </w:rPr>
        <w:t xml:space="preserve"> 32, 57-73.</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Prescott J. R. and Hutton J. T. (1994) Cosmic ray contributions to dose rates for luminescence and ESR dating: large depths and long term time variations.  </w:t>
      </w:r>
      <w:r w:rsidRPr="008D10B5">
        <w:rPr>
          <w:rFonts w:asciiTheme="minorHAnsi" w:hAnsiTheme="minorHAnsi"/>
          <w:i/>
          <w:lang w:val="en-GB" w:eastAsia="en-GB"/>
        </w:rPr>
        <w:t>Radiation Measurements</w:t>
      </w:r>
      <w:r w:rsidRPr="008D10B5">
        <w:rPr>
          <w:rFonts w:asciiTheme="minorHAnsi" w:hAnsiTheme="minorHAnsi"/>
          <w:lang w:val="en-GB" w:eastAsia="en-GB"/>
        </w:rPr>
        <w:t xml:space="preserve"> 23, 497-500.</w:t>
      </w:r>
    </w:p>
    <w:p w:rsidR="008A45CA" w:rsidRPr="008D10B5" w:rsidRDefault="008A45CA" w:rsidP="008D10B5">
      <w:pPr>
        <w:jc w:val="both"/>
        <w:rPr>
          <w:rFonts w:asciiTheme="minorHAnsi" w:hAnsiTheme="minorHAnsi"/>
          <w:lang w:val="en-GB" w:eastAsia="en-GB"/>
        </w:rPr>
      </w:pPr>
    </w:p>
    <w:p w:rsidR="008A45CA" w:rsidRPr="008D10B5" w:rsidRDefault="008A45CA" w:rsidP="008D10B5">
      <w:pPr>
        <w:tabs>
          <w:tab w:val="left" w:pos="-720"/>
          <w:tab w:val="left" w:pos="0"/>
        </w:tabs>
        <w:suppressAutoHyphens/>
        <w:jc w:val="both"/>
        <w:rPr>
          <w:rFonts w:asciiTheme="minorHAnsi" w:hAnsiTheme="minorHAnsi"/>
          <w:spacing w:val="-3"/>
          <w:lang w:val="en-GB" w:eastAsia="en-GB"/>
        </w:rPr>
      </w:pPr>
      <w:r w:rsidRPr="008D10B5">
        <w:rPr>
          <w:rFonts w:asciiTheme="minorHAnsi" w:hAnsiTheme="minorHAnsi"/>
          <w:spacing w:val="-3"/>
          <w:lang w:val="en-GB" w:eastAsia="en-GB"/>
        </w:rPr>
        <w:t xml:space="preserve">Rhodes E. J. (1988) Methodological considerations in the optical dating of quartz. </w:t>
      </w:r>
      <w:r w:rsidRPr="008D10B5">
        <w:rPr>
          <w:rFonts w:asciiTheme="minorHAnsi" w:hAnsiTheme="minorHAnsi"/>
          <w:i/>
          <w:spacing w:val="-3"/>
          <w:lang w:val="en-GB" w:eastAsia="en-GB"/>
        </w:rPr>
        <w:t>Quaternary Science Reviews</w:t>
      </w:r>
      <w:r w:rsidRPr="008D10B5">
        <w:rPr>
          <w:rFonts w:asciiTheme="minorHAnsi" w:hAnsiTheme="minorHAnsi"/>
          <w:spacing w:val="-3"/>
          <w:lang w:val="en-GB" w:eastAsia="en-GB"/>
        </w:rPr>
        <w:t xml:space="preserve"> 7, 395-400.</w:t>
      </w:r>
    </w:p>
    <w:p w:rsidR="008A45CA" w:rsidRPr="008D10B5" w:rsidRDefault="008A45CA" w:rsidP="008D10B5">
      <w:pPr>
        <w:jc w:val="both"/>
        <w:rPr>
          <w:rFonts w:asciiTheme="minorHAnsi" w:hAnsiTheme="minorHAnsi"/>
          <w:lang w:val="en-GB"/>
        </w:rPr>
      </w:pPr>
    </w:p>
    <w:p w:rsidR="008A45CA" w:rsidRPr="008D10B5" w:rsidRDefault="008A45CA" w:rsidP="008D10B5">
      <w:pPr>
        <w:tabs>
          <w:tab w:val="left" w:pos="-720"/>
          <w:tab w:val="left" w:pos="0"/>
        </w:tabs>
        <w:suppressAutoHyphens/>
        <w:jc w:val="both"/>
        <w:rPr>
          <w:rFonts w:asciiTheme="minorHAnsi" w:hAnsiTheme="minorHAnsi"/>
          <w:spacing w:val="-3"/>
          <w:lang w:val="en-GB" w:eastAsia="en-GB"/>
        </w:rPr>
      </w:pPr>
      <w:r w:rsidRPr="008D10B5">
        <w:rPr>
          <w:rFonts w:asciiTheme="minorHAnsi" w:hAnsiTheme="minorHAnsi"/>
          <w:spacing w:val="-3"/>
          <w:lang w:val="en-GB" w:eastAsia="en-GB"/>
        </w:rPr>
        <w:t xml:space="preserve">Smith B. W., Aitken M. J., Rhodes, E. J., Robinson P. D. and Geldard, D. M. (1986) Optical dating: methodological aspects. </w:t>
      </w:r>
      <w:r w:rsidRPr="008D10B5">
        <w:rPr>
          <w:rFonts w:asciiTheme="minorHAnsi" w:hAnsiTheme="minorHAnsi"/>
          <w:i/>
          <w:spacing w:val="-3"/>
          <w:lang w:val="en-GB" w:eastAsia="en-GB"/>
        </w:rPr>
        <w:t>Radiation Protection Dosimetry</w:t>
      </w:r>
      <w:r w:rsidRPr="008D10B5">
        <w:rPr>
          <w:rFonts w:asciiTheme="minorHAnsi" w:hAnsiTheme="minorHAnsi"/>
          <w:spacing w:val="-3"/>
          <w:lang w:val="en-GB" w:eastAsia="en-GB"/>
        </w:rPr>
        <w:t xml:space="preserve"> 17, 229-233.</w:t>
      </w:r>
    </w:p>
    <w:p w:rsidR="008A45CA" w:rsidRPr="008D10B5" w:rsidRDefault="008A45CA" w:rsidP="008D10B5">
      <w:pPr>
        <w:tabs>
          <w:tab w:val="left" w:pos="-720"/>
          <w:tab w:val="left" w:pos="0"/>
        </w:tabs>
        <w:suppressAutoHyphens/>
        <w:jc w:val="both"/>
        <w:rPr>
          <w:rFonts w:asciiTheme="minorHAnsi" w:hAnsiTheme="minorHAnsi"/>
          <w:spacing w:val="-3"/>
          <w:lang w:val="en-GB" w:eastAsia="en-GB"/>
        </w:rPr>
      </w:pPr>
    </w:p>
    <w:p w:rsidR="008A45CA" w:rsidRPr="008D10B5" w:rsidRDefault="008A45CA" w:rsidP="008D10B5">
      <w:pPr>
        <w:tabs>
          <w:tab w:val="left" w:pos="-720"/>
          <w:tab w:val="left" w:pos="0"/>
        </w:tabs>
        <w:suppressAutoHyphens/>
        <w:jc w:val="both"/>
        <w:rPr>
          <w:rFonts w:asciiTheme="minorHAnsi" w:hAnsiTheme="minorHAnsi"/>
          <w:spacing w:val="-3"/>
          <w:lang w:val="en-GB" w:eastAsia="en-GB"/>
        </w:rPr>
      </w:pPr>
      <w:r w:rsidRPr="008D10B5">
        <w:rPr>
          <w:rFonts w:asciiTheme="minorHAnsi" w:hAnsiTheme="minorHAnsi"/>
          <w:spacing w:val="-3"/>
          <w:lang w:val="en-GB" w:eastAsia="en-GB"/>
        </w:rPr>
        <w:t xml:space="preserve">Smith B. W., Rhodes E. J., Stokes S., Spooner N. A. and Aitken M. J., 1990, Optical dating of sediments: initial results from Oxford. </w:t>
      </w:r>
      <w:r w:rsidRPr="008D10B5">
        <w:rPr>
          <w:rFonts w:asciiTheme="minorHAnsi" w:hAnsiTheme="minorHAnsi"/>
          <w:i/>
          <w:iCs/>
          <w:spacing w:val="-3"/>
          <w:lang w:val="en-GB" w:eastAsia="en-GB"/>
        </w:rPr>
        <w:t>Archaeometry</w:t>
      </w:r>
      <w:r w:rsidRPr="008D10B5">
        <w:rPr>
          <w:rFonts w:asciiTheme="minorHAnsi" w:hAnsiTheme="minorHAnsi"/>
          <w:spacing w:val="-3"/>
          <w:lang w:val="en-GB" w:eastAsia="en-GB"/>
        </w:rPr>
        <w:t>, 32, 19-31.</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 xml:space="preserve">Zimmermann, D.W. 1971 </w:t>
      </w:r>
      <w:proofErr w:type="spellStart"/>
      <w:r w:rsidRPr="008D10B5">
        <w:rPr>
          <w:rFonts w:asciiTheme="minorHAnsi" w:hAnsiTheme="minorHAnsi"/>
          <w:lang w:val="en-GB" w:eastAsia="en-GB"/>
        </w:rPr>
        <w:t>Thermoluminescent</w:t>
      </w:r>
      <w:proofErr w:type="spellEnd"/>
      <w:r w:rsidRPr="008D10B5">
        <w:rPr>
          <w:rFonts w:asciiTheme="minorHAnsi" w:hAnsiTheme="minorHAnsi"/>
          <w:lang w:val="en-GB" w:eastAsia="en-GB"/>
        </w:rPr>
        <w:t xml:space="preserve"> dating using fine grains from pottery. Archaeometry, 13, 29-52.</w:t>
      </w: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b/>
          <w:lang w:val="en-GB"/>
        </w:rPr>
      </w:pPr>
      <w:r w:rsidRPr="008D10B5">
        <w:rPr>
          <w:rFonts w:asciiTheme="minorHAnsi" w:hAnsiTheme="minorHAnsi"/>
          <w:b/>
          <w:lang w:val="en-GB" w:eastAsia="en-GB"/>
        </w:rPr>
        <w:br w:type="page"/>
      </w:r>
    </w:p>
    <w:p w:rsidR="008A45CA" w:rsidRPr="008D10B5" w:rsidRDefault="008A45CA" w:rsidP="008D10B5">
      <w:pPr>
        <w:jc w:val="both"/>
        <w:rPr>
          <w:rFonts w:asciiTheme="minorHAnsi" w:hAnsiTheme="minorHAnsi"/>
          <w:b/>
          <w:lang w:val="en-GB"/>
        </w:rPr>
      </w:pPr>
      <w:r w:rsidRPr="008D10B5">
        <w:rPr>
          <w:rFonts w:asciiTheme="minorHAnsi" w:hAnsiTheme="minorHAnsi"/>
          <w:b/>
          <w:lang w:val="en-GB"/>
        </w:rPr>
        <w:lastRenderedPageBreak/>
        <w:t>Appendix A              Sample details</w:t>
      </w:r>
    </w:p>
    <w:tbl>
      <w:tblPr>
        <w:tblW w:w="9386" w:type="dxa"/>
        <w:tblInd w:w="78" w:type="dxa"/>
        <w:tblLayout w:type="fixed"/>
        <w:tblLook w:val="0000" w:firstRow="0" w:lastRow="0" w:firstColumn="0" w:lastColumn="0" w:noHBand="0" w:noVBand="0"/>
      </w:tblPr>
      <w:tblGrid>
        <w:gridCol w:w="4141"/>
        <w:gridCol w:w="992"/>
        <w:gridCol w:w="993"/>
        <w:gridCol w:w="992"/>
        <w:gridCol w:w="992"/>
        <w:gridCol w:w="1276"/>
      </w:tblGrid>
      <w:tr w:rsidR="008A45CA" w:rsidRPr="008D10B5" w:rsidTr="00D61164">
        <w:trPr>
          <w:trHeight w:val="245"/>
        </w:trPr>
        <w:tc>
          <w:tcPr>
            <w:tcW w:w="4141" w:type="dxa"/>
            <w:tcBorders>
              <w:top w:val="nil"/>
              <w:left w:val="nil"/>
              <w:bottom w:val="nil"/>
              <w:right w:val="nil"/>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nil"/>
              <w:bottom w:val="single" w:sz="6" w:space="0" w:color="auto"/>
              <w:right w:val="nil"/>
            </w:tcBorders>
            <w:shd w:val="clear" w:color="FF0000" w:fill="auto"/>
          </w:tcPr>
          <w:p w:rsidR="008A45CA" w:rsidRPr="008D10B5" w:rsidRDefault="008A45CA" w:rsidP="008D10B5">
            <w:pPr>
              <w:autoSpaceDE w:val="0"/>
              <w:autoSpaceDN w:val="0"/>
              <w:adjustRightInd w:val="0"/>
              <w:jc w:val="both"/>
              <w:rPr>
                <w:rFonts w:asciiTheme="minorHAnsi" w:hAnsiTheme="minorHAnsi"/>
                <w:b/>
                <w:bCs/>
                <w:color w:val="000000"/>
                <w:lang w:eastAsia="en-GB"/>
              </w:rPr>
            </w:pPr>
          </w:p>
        </w:tc>
        <w:tc>
          <w:tcPr>
            <w:tcW w:w="993" w:type="dxa"/>
            <w:tcBorders>
              <w:top w:val="nil"/>
              <w:left w:val="nil"/>
              <w:bottom w:val="single" w:sz="6" w:space="0" w:color="auto"/>
              <w:right w:val="nil"/>
            </w:tcBorders>
            <w:shd w:val="clear" w:color="FF0000" w:fill="auto"/>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nil"/>
              <w:bottom w:val="single" w:sz="6" w:space="0" w:color="auto"/>
              <w:right w:val="nil"/>
            </w:tcBorders>
            <w:shd w:val="clear" w:color="FF0000" w:fill="auto"/>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nil"/>
              <w:bottom w:val="single" w:sz="6" w:space="0" w:color="auto"/>
              <w:right w:val="nil"/>
            </w:tcBorders>
            <w:shd w:val="clear" w:color="FF0000" w:fill="auto"/>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1276" w:type="dxa"/>
            <w:tcBorders>
              <w:top w:val="nil"/>
              <w:left w:val="nil"/>
              <w:bottom w:val="single" w:sz="6" w:space="0" w:color="auto"/>
              <w:right w:val="nil"/>
            </w:tcBorders>
            <w:shd w:val="clear" w:color="FF0000" w:fill="auto"/>
          </w:tcPr>
          <w:p w:rsidR="008A45CA" w:rsidRPr="008D10B5" w:rsidRDefault="008A45CA" w:rsidP="008D10B5">
            <w:pPr>
              <w:autoSpaceDE w:val="0"/>
              <w:autoSpaceDN w:val="0"/>
              <w:adjustRightInd w:val="0"/>
              <w:jc w:val="both"/>
              <w:rPr>
                <w:rFonts w:asciiTheme="minorHAnsi" w:hAnsiTheme="minorHAnsi"/>
                <w:color w:val="000000"/>
                <w:lang w:eastAsia="en-GB"/>
              </w:rPr>
            </w:pPr>
          </w:p>
        </w:tc>
      </w:tr>
      <w:tr w:rsidR="008A45CA" w:rsidRPr="008D10B5" w:rsidTr="00D61164">
        <w:trPr>
          <w:trHeight w:val="245"/>
        </w:trPr>
        <w:tc>
          <w:tcPr>
            <w:tcW w:w="4141"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Sample number</w:t>
            </w:r>
          </w:p>
        </w:tc>
        <w:tc>
          <w:tcPr>
            <w:tcW w:w="992"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OSL 2</w:t>
            </w:r>
          </w:p>
        </w:tc>
        <w:tc>
          <w:tcPr>
            <w:tcW w:w="993"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OSL 4</w:t>
            </w:r>
          </w:p>
        </w:tc>
        <w:tc>
          <w:tcPr>
            <w:tcW w:w="992"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OSL 7</w:t>
            </w:r>
          </w:p>
        </w:tc>
        <w:tc>
          <w:tcPr>
            <w:tcW w:w="992"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OSL 8</w:t>
            </w:r>
          </w:p>
        </w:tc>
        <w:tc>
          <w:tcPr>
            <w:tcW w:w="1276"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OSL 9</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Laboratory code</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X3032</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X3034</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X3037</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X3039</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X3039</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Free sample</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color w:val="000000"/>
                <w:lang w:eastAsia="en-GB"/>
              </w:rPr>
            </w:pPr>
            <w:r w:rsidRPr="008D10B5">
              <w:rPr>
                <w:rFonts w:asciiTheme="minorHAnsi" w:hAnsiTheme="minorHAnsi"/>
                <w:color w:val="000000"/>
                <w:lang w:eastAsia="en-GB"/>
              </w:rPr>
              <w:t xml:space="preserve"> </w:t>
            </w:r>
            <w:r w:rsidRPr="008D10B5">
              <w:rPr>
                <w:rFonts w:asciiTheme="minorHAnsi" w:hAnsiTheme="minorHAnsi"/>
                <w:b/>
                <w:color w:val="000000"/>
                <w:lang w:eastAsia="en-GB"/>
              </w:rPr>
              <w:t>Palaeodose (</w:t>
            </w:r>
            <w:proofErr w:type="spellStart"/>
            <w:r w:rsidRPr="008D10B5">
              <w:rPr>
                <w:rFonts w:asciiTheme="minorHAnsi" w:hAnsiTheme="minorHAnsi"/>
                <w:b/>
                <w:color w:val="000000"/>
                <w:lang w:eastAsia="en-GB"/>
              </w:rPr>
              <w:t>Gy</w:t>
            </w:r>
            <w:proofErr w:type="spellEnd"/>
            <w:r w:rsidRPr="008D10B5">
              <w:rPr>
                <w:rFonts w:asciiTheme="minorHAnsi" w:hAnsiTheme="minorHAnsi"/>
                <w:b/>
                <w:color w:val="000000"/>
                <w:lang w:eastAsia="en-GB"/>
              </w:rPr>
              <w:t>)</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242.44</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293.68</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[302.00]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282.45</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241.73</w:t>
            </w:r>
          </w:p>
        </w:tc>
      </w:tr>
      <w:tr w:rsidR="008A45CA" w:rsidRPr="008D10B5" w:rsidTr="00D61164">
        <w:trPr>
          <w:trHeight w:val="245"/>
        </w:trPr>
        <w:tc>
          <w:tcPr>
            <w:tcW w:w="4141" w:type="dxa"/>
            <w:tcBorders>
              <w:top w:val="nil"/>
              <w:left w:val="single" w:sz="6" w:space="0" w:color="auto"/>
              <w:bottom w:val="nil"/>
              <w:right w:val="nil"/>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Uncertainty</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8.12</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16.22</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35.52</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17.54</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27.07</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Measured uncertainty</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6.52</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15.12</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35.00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16.61</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26.64</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Source calibration error (2%)</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4.85</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5.87</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6.04</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5.65</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4.83</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Grain size</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Min. grain size (</w:t>
            </w:r>
            <w:r w:rsidRPr="008D10B5">
              <w:rPr>
                <w:rFonts w:asciiTheme="minorHAnsi" w:hAnsiTheme="minorHAnsi" w:cs="Symbol"/>
                <w:color w:val="000000"/>
                <w:lang w:eastAsia="en-GB"/>
              </w:rPr>
              <w:t></w:t>
            </w:r>
            <w:r w:rsidRPr="008D10B5">
              <w:rPr>
                <w:rFonts w:asciiTheme="minorHAnsi" w:hAnsiTheme="minorHAnsi"/>
                <w:color w:val="000000"/>
                <w:lang w:eastAsia="en-GB"/>
              </w:rPr>
              <w:t>m)</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180</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180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180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180</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180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Max grain size  (</w:t>
            </w:r>
            <w:r w:rsidRPr="008D10B5">
              <w:rPr>
                <w:rFonts w:asciiTheme="minorHAnsi" w:hAnsiTheme="minorHAnsi" w:cs="Symbol"/>
                <w:color w:val="000000"/>
                <w:lang w:eastAsia="en-GB"/>
              </w:rPr>
              <w:t></w:t>
            </w:r>
            <w:r w:rsidRPr="008D10B5">
              <w:rPr>
                <w:rFonts w:asciiTheme="minorHAnsi" w:hAnsiTheme="minorHAnsi"/>
                <w:color w:val="000000"/>
                <w:lang w:eastAsia="en-GB"/>
              </w:rPr>
              <w:t>m)</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255</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255</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255</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255</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255</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Measured concentrations</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ICP-MS</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ICP-MS</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ICP-MS</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ICP-MS</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Average ICP</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standard fractional error</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 K</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1.000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1.050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0.850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0.890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[0.950]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error (%K)</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0.053</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0.043</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0.045</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0.048</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Th (ppm)</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6.400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8.600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8.300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8.400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[7.900]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error (ppm)</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0.320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0.430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0.415</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0.420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0.395</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U (ppm)</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1.400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2.200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1.900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2.300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b/>
                <w:lang w:val="en-GB" w:eastAsia="en-GB"/>
              </w:rPr>
            </w:pPr>
            <w:r w:rsidRPr="008D10B5">
              <w:rPr>
                <w:rFonts w:asciiTheme="minorHAnsi" w:hAnsiTheme="minorHAnsi"/>
                <w:b/>
                <w:lang w:val="en-GB" w:eastAsia="en-GB"/>
              </w:rPr>
              <w:t>[1.950]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error (ppm)</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0.070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0.110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0.095</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0.115</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0.098</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Cosmic dose calculations</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Depth (m)</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1.400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2.800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4.200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4.700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5.300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error (m)</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Average overburden density (g.cm^3)</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1.900</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1.900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1.900</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1.900</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1.900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error (g.cm^3)</w:t>
            </w:r>
          </w:p>
        </w:tc>
        <w:tc>
          <w:tcPr>
            <w:tcW w:w="992" w:type="dxa"/>
            <w:tcBorders>
              <w:top w:val="nil"/>
              <w:left w:val="single" w:sz="6" w:space="0" w:color="auto"/>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993" w:type="dxa"/>
            <w:tcBorders>
              <w:top w:val="nil"/>
              <w:left w:val="single" w:sz="6" w:space="0" w:color="auto"/>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992" w:type="dxa"/>
            <w:tcBorders>
              <w:top w:val="nil"/>
              <w:left w:val="single" w:sz="6" w:space="0" w:color="auto"/>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992" w:type="dxa"/>
            <w:tcBorders>
              <w:top w:val="nil"/>
              <w:left w:val="single" w:sz="6" w:space="0" w:color="auto"/>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c>
          <w:tcPr>
            <w:tcW w:w="1276" w:type="dxa"/>
            <w:tcBorders>
              <w:top w:val="nil"/>
              <w:left w:val="single" w:sz="6" w:space="0" w:color="auto"/>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Latitude (deg.), north positive</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51</w:t>
            </w:r>
          </w:p>
        </w:tc>
        <w:tc>
          <w:tcPr>
            <w:tcW w:w="993"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51</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51</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51</w:t>
            </w:r>
          </w:p>
        </w:tc>
        <w:tc>
          <w:tcPr>
            <w:tcW w:w="1276"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51</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w:t>
            </w:r>
            <w:proofErr w:type="spellStart"/>
            <w:r w:rsidRPr="008D10B5">
              <w:rPr>
                <w:rFonts w:asciiTheme="minorHAnsi" w:hAnsiTheme="minorHAnsi"/>
                <w:color w:val="000000"/>
                <w:lang w:eastAsia="en-GB"/>
              </w:rPr>
              <w:t>Longditude</w:t>
            </w:r>
            <w:proofErr w:type="spellEnd"/>
            <w:r w:rsidRPr="008D10B5">
              <w:rPr>
                <w:rFonts w:asciiTheme="minorHAnsi" w:hAnsiTheme="minorHAnsi"/>
                <w:color w:val="000000"/>
                <w:lang w:eastAsia="en-GB"/>
              </w:rPr>
              <w:t xml:space="preserve"> (deg.), east positive</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w:t>
            </w:r>
          </w:p>
        </w:tc>
        <w:tc>
          <w:tcPr>
            <w:tcW w:w="993"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w:t>
            </w:r>
          </w:p>
        </w:tc>
        <w:tc>
          <w:tcPr>
            <w:tcW w:w="1276"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1</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Altitude (m above sea-level))</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3</w:t>
            </w:r>
          </w:p>
        </w:tc>
        <w:tc>
          <w:tcPr>
            <w:tcW w:w="993"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3</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3</w:t>
            </w:r>
          </w:p>
        </w:tc>
        <w:tc>
          <w:tcPr>
            <w:tcW w:w="992"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3</w:t>
            </w:r>
          </w:p>
        </w:tc>
        <w:tc>
          <w:tcPr>
            <w:tcW w:w="1276" w:type="dxa"/>
            <w:tcBorders>
              <w:top w:val="nil"/>
              <w:left w:val="single" w:sz="6" w:space="0" w:color="auto"/>
              <w:bottom w:val="nil"/>
              <w:right w:val="single" w:sz="6" w:space="0" w:color="auto"/>
            </w:tcBorders>
            <w:shd w:val="clear" w:color="FFCC00" w:fill="auto"/>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3</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Cosmic dose rate  (</w:t>
            </w:r>
            <w:r w:rsidRPr="008D10B5">
              <w:rPr>
                <w:rFonts w:asciiTheme="minorHAnsi" w:hAnsiTheme="minorHAnsi" w:cs="Symbol"/>
                <w:color w:val="000000"/>
                <w:lang w:eastAsia="en-GB"/>
              </w:rPr>
              <w:t></w:t>
            </w:r>
            <w:proofErr w:type="spellStart"/>
            <w:r w:rsidRPr="008D10B5">
              <w:rPr>
                <w:rFonts w:asciiTheme="minorHAnsi" w:hAnsiTheme="minorHAnsi"/>
                <w:color w:val="000000"/>
                <w:lang w:eastAsia="en-GB"/>
              </w:rPr>
              <w:t>Gy</w:t>
            </w:r>
            <w:proofErr w:type="spellEnd"/>
            <w:r w:rsidRPr="008D10B5">
              <w:rPr>
                <w:rFonts w:asciiTheme="minorHAnsi" w:hAnsiTheme="minorHAnsi"/>
                <w:color w:val="000000"/>
                <w:lang w:eastAsia="en-GB"/>
              </w:rPr>
              <w:t>/ka)</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53.6</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53.6</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53.6</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53.6</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53.6</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 xml:space="preserve"> error</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0.174</w:t>
            </w:r>
          </w:p>
        </w:tc>
        <w:tc>
          <w:tcPr>
            <w:tcW w:w="993"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0.146</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0.123</w:t>
            </w:r>
          </w:p>
        </w:tc>
        <w:tc>
          <w:tcPr>
            <w:tcW w:w="992"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0.116</w:t>
            </w:r>
          </w:p>
        </w:tc>
        <w:tc>
          <w:tcPr>
            <w:tcW w:w="1276" w:type="dxa"/>
            <w:tcBorders>
              <w:top w:val="nil"/>
              <w:left w:val="single" w:sz="6" w:space="0" w:color="auto"/>
              <w:bottom w:val="nil"/>
              <w:right w:val="single" w:sz="6" w:space="0" w:color="auto"/>
            </w:tcBorders>
            <w:vAlign w:val="bottom"/>
          </w:tcPr>
          <w:p w:rsidR="008A45CA" w:rsidRPr="008D10B5" w:rsidRDefault="008A45CA" w:rsidP="008D10B5">
            <w:pPr>
              <w:jc w:val="both"/>
              <w:rPr>
                <w:rFonts w:asciiTheme="minorHAnsi" w:hAnsiTheme="minorHAnsi"/>
                <w:lang w:val="en-GB" w:eastAsia="en-GB"/>
              </w:rPr>
            </w:pPr>
            <w:r w:rsidRPr="008D10B5">
              <w:rPr>
                <w:rFonts w:asciiTheme="minorHAnsi" w:hAnsiTheme="minorHAnsi"/>
                <w:lang w:val="en-GB" w:eastAsia="en-GB"/>
              </w:rPr>
              <w:t>0.109</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Moisture content</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lang w:eastAsia="en-GB"/>
              </w:rPr>
            </w:pP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Measured water content (% of dry weight)</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16.930</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14.690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14.690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16.580</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23.960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Estimated mean moisture (water / wet sediment)</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0.170</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0.150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0.150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0.170</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0.240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r w:rsidRPr="008D10B5">
              <w:rPr>
                <w:rFonts w:asciiTheme="minorHAnsi" w:hAnsiTheme="minorHAnsi"/>
                <w:color w:val="000000"/>
                <w:lang w:eastAsia="en-GB"/>
              </w:rPr>
              <w:t>error</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0.050</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0.050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0.050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0.050</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r w:rsidRPr="008D10B5">
              <w:rPr>
                <w:rFonts w:asciiTheme="minorHAnsi" w:hAnsiTheme="minorHAnsi"/>
                <w:lang w:eastAsia="en-GB"/>
              </w:rPr>
              <w:t>0.050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lang w:eastAsia="en-GB"/>
              </w:rPr>
            </w:pPr>
          </w:p>
        </w:tc>
      </w:tr>
      <w:tr w:rsidR="008A45CA" w:rsidRPr="008D10B5" w:rsidTr="00D61164">
        <w:trPr>
          <w:trHeight w:val="245"/>
        </w:trPr>
        <w:tc>
          <w:tcPr>
            <w:tcW w:w="4141"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Total dose rate, </w:t>
            </w:r>
            <w:proofErr w:type="spellStart"/>
            <w:r w:rsidRPr="008D10B5">
              <w:rPr>
                <w:rFonts w:asciiTheme="minorHAnsi" w:hAnsiTheme="minorHAnsi"/>
                <w:b/>
                <w:bCs/>
                <w:color w:val="000000"/>
                <w:lang w:eastAsia="en-GB"/>
              </w:rPr>
              <w:t>Gy</w:t>
            </w:r>
            <w:proofErr w:type="spellEnd"/>
            <w:r w:rsidRPr="008D10B5">
              <w:rPr>
                <w:rFonts w:asciiTheme="minorHAnsi" w:hAnsiTheme="minorHAnsi"/>
                <w:b/>
                <w:bCs/>
                <w:color w:val="000000"/>
                <w:lang w:eastAsia="en-GB"/>
              </w:rPr>
              <w:t>/ka</w:t>
            </w:r>
          </w:p>
        </w:tc>
        <w:tc>
          <w:tcPr>
            <w:tcW w:w="992"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1.57</w:t>
            </w:r>
          </w:p>
        </w:tc>
        <w:tc>
          <w:tcPr>
            <w:tcW w:w="993"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1.90</w:t>
            </w:r>
          </w:p>
        </w:tc>
        <w:tc>
          <w:tcPr>
            <w:tcW w:w="992"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1.64</w:t>
            </w:r>
          </w:p>
        </w:tc>
        <w:tc>
          <w:tcPr>
            <w:tcW w:w="992"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1.71</w:t>
            </w:r>
          </w:p>
        </w:tc>
        <w:tc>
          <w:tcPr>
            <w:tcW w:w="1276" w:type="dxa"/>
            <w:tcBorders>
              <w:top w:val="single" w:sz="6" w:space="0" w:color="auto"/>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1.50</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error</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0.10</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0.13</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0.11</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0.11</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0.10</w:t>
            </w:r>
          </w:p>
        </w:tc>
      </w:tr>
      <w:tr w:rsidR="008A45CA" w:rsidRPr="008D10B5" w:rsidTr="00D61164">
        <w:trPr>
          <w:trHeight w:val="245"/>
        </w:trPr>
        <w:tc>
          <w:tcPr>
            <w:tcW w:w="4141" w:type="dxa"/>
            <w:tcBorders>
              <w:top w:val="nil"/>
              <w:left w:val="single" w:sz="6" w:space="0" w:color="auto"/>
              <w:bottom w:val="sing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lastRenderedPageBreak/>
              <w:t xml:space="preserve"> % error</w:t>
            </w:r>
          </w:p>
        </w:tc>
        <w:tc>
          <w:tcPr>
            <w:tcW w:w="992" w:type="dxa"/>
            <w:tcBorders>
              <w:top w:val="nil"/>
              <w:left w:val="single" w:sz="6" w:space="0" w:color="auto"/>
              <w:bottom w:val="sing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6.67</w:t>
            </w:r>
          </w:p>
        </w:tc>
        <w:tc>
          <w:tcPr>
            <w:tcW w:w="993" w:type="dxa"/>
            <w:tcBorders>
              <w:top w:val="nil"/>
              <w:left w:val="single" w:sz="6" w:space="0" w:color="auto"/>
              <w:bottom w:val="sing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6.68</w:t>
            </w:r>
          </w:p>
        </w:tc>
        <w:tc>
          <w:tcPr>
            <w:tcW w:w="992" w:type="dxa"/>
            <w:tcBorders>
              <w:top w:val="nil"/>
              <w:left w:val="single" w:sz="6" w:space="0" w:color="auto"/>
              <w:bottom w:val="sing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6.64</w:t>
            </w:r>
          </w:p>
        </w:tc>
        <w:tc>
          <w:tcPr>
            <w:tcW w:w="992" w:type="dxa"/>
            <w:tcBorders>
              <w:top w:val="nil"/>
              <w:left w:val="single" w:sz="6" w:space="0" w:color="auto"/>
              <w:bottom w:val="sing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6.63</w:t>
            </w:r>
          </w:p>
        </w:tc>
        <w:tc>
          <w:tcPr>
            <w:tcW w:w="1276" w:type="dxa"/>
            <w:tcBorders>
              <w:top w:val="nil"/>
              <w:left w:val="single" w:sz="6" w:space="0" w:color="auto"/>
              <w:bottom w:val="sing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6.63</w:t>
            </w:r>
          </w:p>
        </w:tc>
      </w:tr>
      <w:tr w:rsidR="008A45CA" w:rsidRPr="008D10B5" w:rsidTr="00D61164">
        <w:trPr>
          <w:trHeight w:val="259"/>
        </w:trPr>
        <w:tc>
          <w:tcPr>
            <w:tcW w:w="4141" w:type="dxa"/>
            <w:tcBorders>
              <w:top w:val="single" w:sz="6" w:space="0" w:color="auto"/>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single" w:sz="6" w:space="0" w:color="auto"/>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3" w:type="dxa"/>
            <w:tcBorders>
              <w:top w:val="single" w:sz="6" w:space="0" w:color="auto"/>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single" w:sz="6" w:space="0" w:color="auto"/>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992" w:type="dxa"/>
            <w:tcBorders>
              <w:top w:val="single" w:sz="6" w:space="0" w:color="auto"/>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c>
          <w:tcPr>
            <w:tcW w:w="1276" w:type="dxa"/>
            <w:tcBorders>
              <w:top w:val="single" w:sz="6" w:space="0" w:color="auto"/>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color w:val="000000"/>
                <w:lang w:eastAsia="en-GB"/>
              </w:rPr>
            </w:pPr>
          </w:p>
        </w:tc>
      </w:tr>
      <w:tr w:rsidR="008A45CA" w:rsidRPr="008D10B5" w:rsidTr="00D61164">
        <w:trPr>
          <w:trHeight w:val="259"/>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AGE (ka)</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154.49</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154.40</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183.62</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165.31</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160.77</w:t>
            </w:r>
          </w:p>
        </w:tc>
      </w:tr>
      <w:tr w:rsidR="008A45CA" w:rsidRPr="008D10B5" w:rsidTr="00D61164">
        <w:trPr>
          <w:trHeight w:val="245"/>
        </w:trPr>
        <w:tc>
          <w:tcPr>
            <w:tcW w:w="4141"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error</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11.54</w:t>
            </w:r>
          </w:p>
        </w:tc>
        <w:tc>
          <w:tcPr>
            <w:tcW w:w="993"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13.38</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24.79</w:t>
            </w:r>
          </w:p>
        </w:tc>
        <w:tc>
          <w:tcPr>
            <w:tcW w:w="992"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15.02</w:t>
            </w:r>
          </w:p>
        </w:tc>
        <w:tc>
          <w:tcPr>
            <w:tcW w:w="1276" w:type="dxa"/>
            <w:tcBorders>
              <w:top w:val="nil"/>
              <w:left w:val="single" w:sz="6" w:space="0" w:color="auto"/>
              <w:bottom w:val="nil"/>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20.92</w:t>
            </w:r>
          </w:p>
        </w:tc>
      </w:tr>
      <w:tr w:rsidR="008A45CA" w:rsidRPr="008D10B5" w:rsidTr="00D61164">
        <w:trPr>
          <w:trHeight w:val="259"/>
        </w:trPr>
        <w:tc>
          <w:tcPr>
            <w:tcW w:w="4141" w:type="dxa"/>
            <w:tcBorders>
              <w:top w:val="nil"/>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
                <w:bCs/>
                <w:color w:val="000000"/>
                <w:lang w:eastAsia="en-GB"/>
              </w:rPr>
            </w:pPr>
            <w:r w:rsidRPr="008D10B5">
              <w:rPr>
                <w:rFonts w:asciiTheme="minorHAnsi" w:hAnsiTheme="minorHAnsi"/>
                <w:b/>
                <w:bCs/>
                <w:color w:val="000000"/>
                <w:lang w:eastAsia="en-GB"/>
              </w:rPr>
              <w:t xml:space="preserve"> % error</w:t>
            </w:r>
          </w:p>
        </w:tc>
        <w:tc>
          <w:tcPr>
            <w:tcW w:w="992" w:type="dxa"/>
            <w:tcBorders>
              <w:top w:val="nil"/>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7.47</w:t>
            </w:r>
          </w:p>
        </w:tc>
        <w:tc>
          <w:tcPr>
            <w:tcW w:w="993" w:type="dxa"/>
            <w:tcBorders>
              <w:top w:val="nil"/>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8.67</w:t>
            </w:r>
          </w:p>
        </w:tc>
        <w:tc>
          <w:tcPr>
            <w:tcW w:w="992" w:type="dxa"/>
            <w:tcBorders>
              <w:top w:val="nil"/>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13.50</w:t>
            </w:r>
          </w:p>
        </w:tc>
        <w:tc>
          <w:tcPr>
            <w:tcW w:w="992" w:type="dxa"/>
            <w:tcBorders>
              <w:top w:val="nil"/>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9.09</w:t>
            </w:r>
          </w:p>
        </w:tc>
        <w:tc>
          <w:tcPr>
            <w:tcW w:w="1276" w:type="dxa"/>
            <w:tcBorders>
              <w:top w:val="nil"/>
              <w:left w:val="single" w:sz="6" w:space="0" w:color="auto"/>
              <w:bottom w:val="double" w:sz="6" w:space="0" w:color="auto"/>
              <w:right w:val="single" w:sz="6" w:space="0" w:color="auto"/>
            </w:tcBorders>
          </w:tcPr>
          <w:p w:rsidR="008A45CA" w:rsidRPr="008D10B5" w:rsidRDefault="008A45CA" w:rsidP="008D10B5">
            <w:pPr>
              <w:autoSpaceDE w:val="0"/>
              <w:autoSpaceDN w:val="0"/>
              <w:adjustRightInd w:val="0"/>
              <w:jc w:val="both"/>
              <w:rPr>
                <w:rFonts w:asciiTheme="minorHAnsi" w:hAnsiTheme="minorHAnsi"/>
                <w:bCs/>
                <w:color w:val="000000"/>
                <w:lang w:eastAsia="en-GB"/>
              </w:rPr>
            </w:pPr>
            <w:r w:rsidRPr="008D10B5">
              <w:rPr>
                <w:rFonts w:asciiTheme="minorHAnsi" w:hAnsiTheme="minorHAnsi"/>
                <w:bCs/>
                <w:color w:val="000000"/>
                <w:lang w:eastAsia="en-GB"/>
              </w:rPr>
              <w:t>13.02</w:t>
            </w:r>
          </w:p>
        </w:tc>
      </w:tr>
    </w:tbl>
    <w:p w:rsidR="008A45CA" w:rsidRPr="008D10B5" w:rsidRDefault="008A45CA" w:rsidP="008D10B5">
      <w:pPr>
        <w:jc w:val="both"/>
        <w:rPr>
          <w:rFonts w:asciiTheme="minorHAnsi" w:hAnsiTheme="minorHAnsi"/>
          <w:b/>
          <w:bCs/>
          <w:lang w:val="en-GB" w:eastAsia="en-GB"/>
        </w:rPr>
      </w:pPr>
    </w:p>
    <w:p w:rsidR="008A45CA" w:rsidRPr="008D10B5" w:rsidRDefault="008A45CA" w:rsidP="008D10B5">
      <w:pPr>
        <w:jc w:val="both"/>
        <w:rPr>
          <w:rFonts w:asciiTheme="minorHAnsi" w:hAnsiTheme="minorHAnsi"/>
          <w:lang w:val="en-GB" w:eastAsia="en-GB"/>
        </w:rPr>
      </w:pPr>
    </w:p>
    <w:p w:rsidR="008A45CA" w:rsidRPr="008D10B5" w:rsidRDefault="008A45CA" w:rsidP="008D10B5">
      <w:pPr>
        <w:jc w:val="both"/>
        <w:rPr>
          <w:rFonts w:asciiTheme="minorHAnsi" w:hAnsiTheme="minorHAnsi"/>
        </w:rPr>
      </w:pPr>
    </w:p>
    <w:sectPr w:rsidR="008A45CA" w:rsidRPr="008D10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4C1"/>
    <w:rsid w:val="00022756"/>
    <w:rsid w:val="001E72A1"/>
    <w:rsid w:val="002B6118"/>
    <w:rsid w:val="00305EC9"/>
    <w:rsid w:val="0031001F"/>
    <w:rsid w:val="004F0185"/>
    <w:rsid w:val="005E5E3E"/>
    <w:rsid w:val="006E6119"/>
    <w:rsid w:val="007B31C4"/>
    <w:rsid w:val="008A45CA"/>
    <w:rsid w:val="008B4087"/>
    <w:rsid w:val="008D10B5"/>
    <w:rsid w:val="00975013"/>
    <w:rsid w:val="00AB2AEB"/>
    <w:rsid w:val="00B154C1"/>
    <w:rsid w:val="00B267FA"/>
    <w:rsid w:val="00B847C2"/>
    <w:rsid w:val="00BB32B1"/>
    <w:rsid w:val="00C521A8"/>
    <w:rsid w:val="00D9709E"/>
    <w:rsid w:val="00E60A06"/>
    <w:rsid w:val="00FD7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D332"/>
  <w15:chartTrackingRefBased/>
  <w15:docId w15:val="{32E6FAB5-E9F6-48C8-94E6-CFCBB054A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54C1"/>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B31C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1C4"/>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wmf"/><Relationship Id="rId13" Type="http://schemas.openxmlformats.org/officeDocument/2006/relationships/oleObject" Target="embeddings/oleObject5.bin"/><Relationship Id="rId18" Type="http://schemas.openxmlformats.org/officeDocument/2006/relationships/image" Target="media/image8.wmf"/><Relationship Id="rId3" Type="http://schemas.openxmlformats.org/officeDocument/2006/relationships/webSettings" Target="webSettings.xml"/><Relationship Id="rId21" Type="http://schemas.openxmlformats.org/officeDocument/2006/relationships/oleObject" Target="embeddings/oleObject9.bin"/><Relationship Id="rId7" Type="http://schemas.openxmlformats.org/officeDocument/2006/relationships/oleObject" Target="embeddings/oleObject2.bin"/><Relationship Id="rId12" Type="http://schemas.openxmlformats.org/officeDocument/2006/relationships/image" Target="media/image5.wmf"/><Relationship Id="rId17" Type="http://schemas.openxmlformats.org/officeDocument/2006/relationships/oleObject" Target="embeddings/oleObject7.bin"/><Relationship Id="rId2" Type="http://schemas.openxmlformats.org/officeDocument/2006/relationships/settings" Target="settings.xml"/><Relationship Id="rId16" Type="http://schemas.openxmlformats.org/officeDocument/2006/relationships/image" Target="media/image7.wmf"/><Relationship Id="rId20" Type="http://schemas.openxmlformats.org/officeDocument/2006/relationships/image" Target="media/image9.wmf"/><Relationship Id="rId1" Type="http://schemas.openxmlformats.org/officeDocument/2006/relationships/styles" Target="styles.xml"/><Relationship Id="rId6" Type="http://schemas.openxmlformats.org/officeDocument/2006/relationships/image" Target="media/image2.wmf"/><Relationship Id="rId11" Type="http://schemas.openxmlformats.org/officeDocument/2006/relationships/oleObject" Target="embeddings/oleObject4.bin"/><Relationship Id="rId5" Type="http://schemas.openxmlformats.org/officeDocument/2006/relationships/oleObject" Target="embeddings/oleObject1.bin"/><Relationship Id="rId15" Type="http://schemas.openxmlformats.org/officeDocument/2006/relationships/oleObject" Target="embeddings/oleObject6.bin"/><Relationship Id="rId23" Type="http://schemas.openxmlformats.org/officeDocument/2006/relationships/theme" Target="theme/theme1.xml"/><Relationship Id="rId10" Type="http://schemas.openxmlformats.org/officeDocument/2006/relationships/image" Target="media/image4.wmf"/><Relationship Id="rId19" Type="http://schemas.openxmlformats.org/officeDocument/2006/relationships/oleObject" Target="embeddings/oleObject8.bin"/><Relationship Id="rId4" Type="http://schemas.openxmlformats.org/officeDocument/2006/relationships/image" Target="media/image1.wmf"/><Relationship Id="rId9" Type="http://schemas.openxmlformats.org/officeDocument/2006/relationships/oleObject" Target="embeddings/oleObject3.bin"/><Relationship Id="rId14" Type="http://schemas.openxmlformats.org/officeDocument/2006/relationships/image" Target="media/image6.w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4026</Words>
  <Characters>22951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Martin Bates</cp:lastModifiedBy>
  <cp:revision>2</cp:revision>
  <cp:lastPrinted>2016-02-24T22:11:00Z</cp:lastPrinted>
  <dcterms:created xsi:type="dcterms:W3CDTF">2019-01-06T16:32:00Z</dcterms:created>
  <dcterms:modified xsi:type="dcterms:W3CDTF">2019-01-06T16:32:00Z</dcterms:modified>
</cp:coreProperties>
</file>