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1732C2">
        <w:tc>
          <w:tcPr>
            <w:tcW w:w="10910" w:type="dxa"/>
          </w:tcPr>
          <w:p w14:paraId="02F8EE88" w14:textId="418E605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524D4">
              <w:rPr>
                <w:rFonts w:ascii="Times New Roman" w:hAnsi="Times New Roman" w:cs="Times New Roman"/>
                <w:b/>
                <w:color w:val="auto"/>
                <w:sz w:val="48"/>
              </w:rPr>
              <w:t>Holly Richards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6F6D20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C524D4">
              <w:rPr>
                <w:rFonts w:ascii="Times New Roman" w:hAnsi="Times New Roman" w:cs="Times New Roman"/>
                <w:b/>
                <w:color w:val="auto"/>
                <w:sz w:val="48"/>
              </w:rPr>
              <w:t>Holly.Richards2@ceredigion.gov.uk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388227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732C2">
              <w:rPr>
                <w:rFonts w:ascii="Times New Roman" w:hAnsi="Times New Roman" w:cs="Times New Roman"/>
                <w:b/>
                <w:color w:val="auto"/>
                <w:sz w:val="48"/>
              </w:rPr>
              <w:t>2419442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5B030FD7" w14:textId="77777777" w:rsidR="00A36E7F" w:rsidRPr="00A36E7F" w:rsidRDefault="00A36E7F" w:rsidP="00A36E7F">
            <w:pPr>
              <w:jc w:val="both"/>
              <w:rPr>
                <w:sz w:val="24"/>
                <w:szCs w:val="24"/>
              </w:rPr>
            </w:pPr>
            <w:r w:rsidRPr="00A36E7F">
              <w:rPr>
                <w:sz w:val="24"/>
                <w:szCs w:val="24"/>
              </w:rPr>
              <w:t>The Social Services and wellbeing Act (Wales) 2014 [ Hereafter SSWBA 2014] states Safeguarding children is the responsibility of all public bodies and services. The emphasis is on protecting children from abuse, with professionals expected to identify signs of harm, understand, indicators and report abuse or suspected abuse, and the duty to make enquiries.</w:t>
            </w:r>
          </w:p>
          <w:p w14:paraId="1F83A0D2" w14:textId="77777777" w:rsidR="00A36E7F" w:rsidRDefault="00A36E7F" w:rsidP="00A36E7F">
            <w:pPr>
              <w:jc w:val="both"/>
              <w:rPr>
                <w:sz w:val="24"/>
                <w:szCs w:val="24"/>
              </w:rPr>
            </w:pPr>
            <w:r w:rsidRPr="00A36E7F">
              <w:rPr>
                <w:sz w:val="24"/>
                <w:szCs w:val="24"/>
              </w:rPr>
              <w:t>Abuse to children can be in the form of harm, neglect, physical abuse, sexual abuse and emotional abuse (Healy,2018). Each of these has further forms, practitioners must understand these to ensure children are protected. Indicators of harm can include environmental and historical factors such as poverty, parental or care giver substance misuse, criminal activity or history, mental and physical health and disability (Healy, 2018).</w:t>
            </w:r>
          </w:p>
          <w:p w14:paraId="633D1A4C" w14:textId="77777777" w:rsidR="00A36E7F" w:rsidRPr="00A36E7F" w:rsidRDefault="00A36E7F" w:rsidP="00A36E7F">
            <w:pPr>
              <w:jc w:val="both"/>
              <w:rPr>
                <w:sz w:val="24"/>
                <w:szCs w:val="24"/>
              </w:rPr>
            </w:pPr>
          </w:p>
          <w:p w14:paraId="17BD597B" w14:textId="3A26BA17" w:rsidR="00A36E7F" w:rsidRDefault="00A36E7F" w:rsidP="00A36E7F">
            <w:pPr>
              <w:jc w:val="both"/>
              <w:rPr>
                <w:sz w:val="24"/>
                <w:szCs w:val="24"/>
              </w:rPr>
            </w:pPr>
            <w:r w:rsidRPr="00A36E7F">
              <w:rPr>
                <w:sz w:val="24"/>
                <w:szCs w:val="24"/>
              </w:rPr>
              <w:t>Children’s safeguarding legislation includes international, national, local, and organisational policies and procedures. The SSWBA 2014 is the primary legislation guiding practitioners in Wales. However, other national and international laws are also important, both within SSWBA 2014 and as standalone frameworks in safeguarding children</w:t>
            </w:r>
            <w:r>
              <w:rPr>
                <w:sz w:val="24"/>
                <w:szCs w:val="24"/>
              </w:rPr>
              <w:t>.</w:t>
            </w:r>
          </w:p>
          <w:p w14:paraId="5E97F1A4" w14:textId="77777777" w:rsidR="00A36E7F" w:rsidRPr="00A36E7F" w:rsidRDefault="00A36E7F" w:rsidP="00A36E7F">
            <w:pPr>
              <w:jc w:val="both"/>
              <w:rPr>
                <w:sz w:val="24"/>
                <w:szCs w:val="24"/>
              </w:rPr>
            </w:pPr>
          </w:p>
          <w:p w14:paraId="561E7835" w14:textId="77777777" w:rsidR="00A36E7F" w:rsidRDefault="00A36E7F" w:rsidP="00A36E7F">
            <w:pPr>
              <w:jc w:val="both"/>
              <w:rPr>
                <w:sz w:val="24"/>
                <w:szCs w:val="24"/>
              </w:rPr>
            </w:pPr>
            <w:r w:rsidRPr="00A36E7F">
              <w:rPr>
                <w:sz w:val="24"/>
                <w:szCs w:val="24"/>
              </w:rPr>
              <w:t xml:space="preserve">Prior to the introduction of SSWBA 2014, Wales became one of the first British Nations to ensure children’s rights are considered during law and policy making and implementation, by making the United Nations Convention on the Rights of the Child domestic law. This was delivered through the Rights of the Children and Young Persons (Wales) Measure 2011 (Welsh Government, 2011; United Nations, 1989). </w:t>
            </w:r>
          </w:p>
          <w:p w14:paraId="479B26DA" w14:textId="77777777" w:rsidR="00A36E7F" w:rsidRPr="00A36E7F" w:rsidRDefault="00A36E7F" w:rsidP="00A36E7F">
            <w:pPr>
              <w:jc w:val="both"/>
              <w:rPr>
                <w:sz w:val="24"/>
                <w:szCs w:val="24"/>
              </w:rPr>
            </w:pPr>
          </w:p>
          <w:p w14:paraId="69F66FC1" w14:textId="77777777" w:rsidR="00A36E7F" w:rsidRPr="00A36E7F" w:rsidRDefault="00A36E7F" w:rsidP="00A36E7F">
            <w:pPr>
              <w:jc w:val="both"/>
              <w:rPr>
                <w:sz w:val="24"/>
                <w:szCs w:val="24"/>
              </w:rPr>
            </w:pPr>
            <w:r w:rsidRPr="00A36E7F">
              <w:rPr>
                <w:sz w:val="24"/>
                <w:szCs w:val="24"/>
              </w:rPr>
              <w:t>National legislation implemented in Wales are The Children Act 1989 [ Hereafter CA 1989] which under section 47 places a duty on local authorities to investigate when there is reasonable cause to suspect that a child is at risk or suffering significant harm. Section 31 of The CA 1989 sets out the thresholds for seeking care and supervision orders through the courts. The Children Act 2004 [ Hereafter CA 2004] also applies as Section 25 promotes collaborative working, section 28 places safeguarding duties on all public bodies, section 29 empowers Welsh minister to oversee guide and support children’s services.</w:t>
            </w:r>
          </w:p>
          <w:p w14:paraId="2E2A2B89" w14:textId="77777777" w:rsidR="00A36E7F" w:rsidRDefault="00A36E7F" w:rsidP="00A36E7F">
            <w:pPr>
              <w:jc w:val="both"/>
              <w:rPr>
                <w:sz w:val="24"/>
                <w:szCs w:val="24"/>
              </w:rPr>
            </w:pPr>
            <w:r w:rsidRPr="00A36E7F">
              <w:rPr>
                <w:sz w:val="24"/>
                <w:szCs w:val="24"/>
              </w:rPr>
              <w:lastRenderedPageBreak/>
              <w:t>SSWBA 2014 became the main legislation in Wales in relation to safeguarding children alongside the CA 1989 and CA 2004. Section 130 of the SSWBA 2014 defines a ‘child at risk’ and ‘reasonable cause to suspect’ a child is at risk, then all services and public bodies including health, education and social care have a duty to report.</w:t>
            </w:r>
          </w:p>
          <w:p w14:paraId="5BB5809C" w14:textId="77777777" w:rsidR="00A36E7F" w:rsidRPr="00A36E7F" w:rsidRDefault="00A36E7F" w:rsidP="00A36E7F">
            <w:pPr>
              <w:jc w:val="both"/>
              <w:rPr>
                <w:sz w:val="24"/>
                <w:szCs w:val="24"/>
              </w:rPr>
            </w:pPr>
          </w:p>
          <w:p w14:paraId="22D4FA3E" w14:textId="77FC620B" w:rsidR="00A36E7F" w:rsidRDefault="00A36E7F" w:rsidP="00A36E7F">
            <w:pPr>
              <w:jc w:val="both"/>
              <w:rPr>
                <w:sz w:val="24"/>
                <w:szCs w:val="24"/>
              </w:rPr>
            </w:pPr>
            <w:r w:rsidRPr="00A36E7F">
              <w:rPr>
                <w:sz w:val="24"/>
                <w:szCs w:val="24"/>
              </w:rPr>
              <w:t xml:space="preserve">When a concern is reported, the local authority must assess if the child is at immediate risk. If so, a Section 47 enquiry under the CA 1989 is required. If not, under Section 21 of the SSWBA 2014, the authority must assess the child’s support needs, considering the family network. </w:t>
            </w:r>
            <w:r w:rsidR="00B35616" w:rsidRPr="00A36E7F">
              <w:rPr>
                <w:sz w:val="24"/>
                <w:szCs w:val="24"/>
              </w:rPr>
              <w:t>Assessments follow</w:t>
            </w:r>
            <w:r w:rsidRPr="00A36E7F">
              <w:rPr>
                <w:sz w:val="24"/>
                <w:szCs w:val="24"/>
              </w:rPr>
              <w:t xml:space="preserve"> a child-centred approach and use the Framework for the Assessment of Children and their Families (The Care and Support (Eligibility) (Wales) Regulations 2015).</w:t>
            </w:r>
          </w:p>
          <w:p w14:paraId="41884D8E" w14:textId="77777777" w:rsidR="00B35616" w:rsidRPr="00A36E7F" w:rsidRDefault="00B35616" w:rsidP="00A36E7F">
            <w:pPr>
              <w:jc w:val="both"/>
              <w:rPr>
                <w:sz w:val="24"/>
                <w:szCs w:val="24"/>
              </w:rPr>
            </w:pPr>
          </w:p>
          <w:p w14:paraId="6D8CB8AF" w14:textId="5F90DD56" w:rsidR="00FC0334" w:rsidRDefault="00A36E7F" w:rsidP="00A36E7F">
            <w:pPr>
              <w:jc w:val="both"/>
              <w:rPr>
                <w:sz w:val="24"/>
                <w:szCs w:val="24"/>
              </w:rPr>
            </w:pPr>
            <w:r w:rsidRPr="00A36E7F">
              <w:rPr>
                <w:sz w:val="24"/>
                <w:szCs w:val="24"/>
              </w:rPr>
              <w:t>Under the SSWBA 2014 safeguarding boards have been established, they include representatives from social services, police services, health and education services. The safeguarding boards develop policies and procedures to identify, refer and manage cases where a child may be at risk. Local authorities align with these procedures, which guide professionals on referrals, assessments, information sharing, and decision-making. These are defined by the Wales Safeguarding Procedures 2019 their aim is to provide a clear framework and guidance to all professionals and public bodies in relation to safeguarding children and adults in Wales (Welsh Government, 2019).</w:t>
            </w:r>
          </w:p>
          <w:p w14:paraId="4A95F4DB" w14:textId="77777777" w:rsidR="00FC0334" w:rsidRDefault="00FC0334" w:rsidP="00FF7EBB">
            <w:pPr>
              <w:jc w:val="both"/>
              <w:rPr>
                <w:sz w:val="24"/>
                <w:szCs w:val="24"/>
              </w:rPr>
            </w:pPr>
          </w:p>
          <w:p w14:paraId="0C6F59FE" w14:textId="77777777" w:rsidR="00B35616" w:rsidRDefault="00B35616" w:rsidP="00FF7EBB">
            <w:pPr>
              <w:jc w:val="both"/>
              <w:rPr>
                <w:sz w:val="24"/>
                <w:szCs w:val="24"/>
              </w:rPr>
            </w:pPr>
          </w:p>
          <w:p w14:paraId="65A2A46D" w14:textId="29A60625" w:rsidR="00B35616" w:rsidRDefault="00B35616" w:rsidP="00FF7EBB">
            <w:pPr>
              <w:jc w:val="both"/>
              <w:rPr>
                <w:sz w:val="24"/>
                <w:szCs w:val="24"/>
              </w:rPr>
            </w:pPr>
            <w:r>
              <w:rPr>
                <w:sz w:val="24"/>
                <w:szCs w:val="24"/>
              </w:rPr>
              <w:t>Word Count: 550</w:t>
            </w: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3C7F97AE" w14:textId="77777777" w:rsidR="005A4753" w:rsidRDefault="005A4753" w:rsidP="005A4753">
            <w:pPr>
              <w:jc w:val="both"/>
              <w:rPr>
                <w:sz w:val="24"/>
                <w:szCs w:val="24"/>
              </w:rPr>
            </w:pPr>
            <w:r w:rsidRPr="005A4753">
              <w:rPr>
                <w:sz w:val="24"/>
                <w:szCs w:val="24"/>
              </w:rPr>
              <w:t xml:space="preserve">The main comparison between and adults and children’s safeguarding </w:t>
            </w:r>
            <w:proofErr w:type="gramStart"/>
            <w:r w:rsidRPr="005A4753">
              <w:rPr>
                <w:sz w:val="24"/>
                <w:szCs w:val="24"/>
              </w:rPr>
              <w:t>is</w:t>
            </w:r>
            <w:proofErr w:type="gramEnd"/>
            <w:r w:rsidRPr="005A4753">
              <w:rPr>
                <w:sz w:val="24"/>
                <w:szCs w:val="24"/>
              </w:rPr>
              <w:t xml:space="preserve"> that adults have the right to autonomy, while children’s safeguarding balances protection from harm with upholding children’s rights seek (Brammer, 2020).</w:t>
            </w:r>
          </w:p>
          <w:p w14:paraId="34E1F26D" w14:textId="77777777" w:rsidR="005A4753" w:rsidRPr="005A4753" w:rsidRDefault="005A4753" w:rsidP="005A4753">
            <w:pPr>
              <w:jc w:val="both"/>
              <w:rPr>
                <w:sz w:val="24"/>
                <w:szCs w:val="24"/>
              </w:rPr>
            </w:pPr>
          </w:p>
          <w:p w14:paraId="05EAD039" w14:textId="77777777" w:rsidR="005A4753" w:rsidRDefault="005A4753" w:rsidP="005A4753">
            <w:pPr>
              <w:jc w:val="both"/>
              <w:rPr>
                <w:sz w:val="24"/>
                <w:szCs w:val="24"/>
              </w:rPr>
            </w:pPr>
            <w:r w:rsidRPr="005A4753">
              <w:rPr>
                <w:sz w:val="24"/>
                <w:szCs w:val="24"/>
              </w:rPr>
              <w:t xml:space="preserve">The Social Service and Wellbeing Act (Wales) 2014 [ Hereafter SSWBA 2014] places duty on services and practitioners to gain a person’s views, wishes and feelings and consent to intervention if they </w:t>
            </w:r>
            <w:proofErr w:type="gramStart"/>
            <w:r w:rsidRPr="005A4753">
              <w:rPr>
                <w:sz w:val="24"/>
                <w:szCs w:val="24"/>
              </w:rPr>
              <w:t>are able to</w:t>
            </w:r>
            <w:proofErr w:type="gramEnd"/>
            <w:r w:rsidRPr="005A4753">
              <w:rPr>
                <w:sz w:val="24"/>
                <w:szCs w:val="24"/>
              </w:rPr>
              <w:t xml:space="preserve"> provide it. An adult is defined in SSWBA 2014 as a person over the age of 18.</w:t>
            </w:r>
          </w:p>
          <w:p w14:paraId="2CD6CE75" w14:textId="77777777" w:rsidR="005A4753" w:rsidRPr="005A4753" w:rsidRDefault="005A4753" w:rsidP="005A4753">
            <w:pPr>
              <w:jc w:val="both"/>
              <w:rPr>
                <w:sz w:val="24"/>
                <w:szCs w:val="24"/>
              </w:rPr>
            </w:pPr>
          </w:p>
          <w:p w14:paraId="1C42BE4D" w14:textId="77777777" w:rsidR="005A4753" w:rsidRDefault="005A4753" w:rsidP="005A4753">
            <w:pPr>
              <w:jc w:val="both"/>
              <w:rPr>
                <w:sz w:val="24"/>
                <w:szCs w:val="24"/>
              </w:rPr>
            </w:pPr>
            <w:r w:rsidRPr="005A4753">
              <w:rPr>
                <w:sz w:val="24"/>
                <w:szCs w:val="24"/>
              </w:rPr>
              <w:lastRenderedPageBreak/>
              <w:t>However, children’s safeguarding work operates under the principle that the child’s welfare is paramount. When harm or risk of harm is suspected, local authorities can intervene without gaining the consent of the child or those with parental responsibility. This aligns with duties under the Children Act 1989 [ Hereafter CA 1989]. While the Act requires that children’s views be considered, the child’s welfare takes precedence (Children Act 1989; Department for Education, 2018).</w:t>
            </w:r>
          </w:p>
          <w:p w14:paraId="70096C34" w14:textId="77777777" w:rsidR="005A4753" w:rsidRPr="005A4753" w:rsidRDefault="005A4753" w:rsidP="005A4753">
            <w:pPr>
              <w:jc w:val="both"/>
              <w:rPr>
                <w:sz w:val="24"/>
                <w:szCs w:val="24"/>
              </w:rPr>
            </w:pPr>
          </w:p>
          <w:p w14:paraId="478B4E2A" w14:textId="07D39631" w:rsidR="005A4753" w:rsidRPr="005A4753" w:rsidRDefault="005A4753" w:rsidP="005A4753">
            <w:pPr>
              <w:jc w:val="both"/>
              <w:rPr>
                <w:sz w:val="24"/>
                <w:szCs w:val="24"/>
              </w:rPr>
            </w:pPr>
            <w:r w:rsidRPr="005A4753">
              <w:rPr>
                <w:sz w:val="24"/>
                <w:szCs w:val="24"/>
              </w:rPr>
              <w:t xml:space="preserve">Although, when working to safeguard children and considering their ability to make their own decisions case law such as Gillick V West Norfolk and Wisbech area health board. This case law determined that children under 16 if they have understanding and intellect to do so can consent to medical treatment </w:t>
            </w:r>
            <w:r w:rsidRPr="005A4753">
              <w:rPr>
                <w:sz w:val="24"/>
                <w:szCs w:val="24"/>
              </w:rPr>
              <w:t>without</w:t>
            </w:r>
            <w:r w:rsidRPr="005A4753">
              <w:rPr>
                <w:sz w:val="24"/>
                <w:szCs w:val="24"/>
              </w:rPr>
              <w:t xml:space="preserve"> parental consent or knowledge. This paved the way for the Gillick competency test (Gillick v West Norfolk and Wisbech Area Health Authority, 1985).</w:t>
            </w:r>
          </w:p>
          <w:p w14:paraId="2E82E597" w14:textId="77777777" w:rsidR="00C524D4" w:rsidRDefault="00C524D4" w:rsidP="005A4753">
            <w:pPr>
              <w:jc w:val="both"/>
              <w:rPr>
                <w:sz w:val="24"/>
                <w:szCs w:val="24"/>
              </w:rPr>
            </w:pPr>
          </w:p>
          <w:p w14:paraId="464271F5" w14:textId="1375EFF2" w:rsidR="005A4753" w:rsidRDefault="005A4753" w:rsidP="005A4753">
            <w:pPr>
              <w:jc w:val="both"/>
              <w:rPr>
                <w:sz w:val="24"/>
                <w:szCs w:val="24"/>
              </w:rPr>
            </w:pPr>
            <w:r w:rsidRPr="005A4753">
              <w:rPr>
                <w:sz w:val="24"/>
                <w:szCs w:val="24"/>
              </w:rPr>
              <w:t>However, The Mental Capacity Act 2005 [ Hereafter MCA 2005] defines an adult as anyone over the age of 16. The MCA 2005 is a statutory framework to assess decision making capacity. The MCA 2005 supports the safeguarding of adults by assessing their capacity to make decisions, when a person is deemed to lack capacity a decision can be made in their best interest by the local authority or an appointed person (MCA, 2005). However, the age limitation of 16 under the MCA 2005 conflicts with CA 1989 that states a child is defined as up to the age of 18 (Children Act, 1989). Although, case laws have identified that a child aged between 16-17 should be considered under the MCA 2005 and to have presumed capacity, however courts can still intervene under the CA1989 (Gillick v West Norfolk and Wisbech Area Health Authority, 1985).</w:t>
            </w:r>
          </w:p>
          <w:p w14:paraId="2F3C61D6" w14:textId="77777777" w:rsidR="005A4753" w:rsidRPr="005A4753" w:rsidRDefault="005A4753" w:rsidP="005A4753">
            <w:pPr>
              <w:jc w:val="both"/>
              <w:rPr>
                <w:sz w:val="24"/>
                <w:szCs w:val="24"/>
              </w:rPr>
            </w:pPr>
          </w:p>
          <w:p w14:paraId="795C6051" w14:textId="7E1A8F87" w:rsidR="00FC0334" w:rsidRDefault="005A4753" w:rsidP="005A4753">
            <w:pPr>
              <w:jc w:val="both"/>
              <w:rPr>
                <w:sz w:val="24"/>
                <w:szCs w:val="24"/>
              </w:rPr>
            </w:pPr>
            <w:r w:rsidRPr="005A4753">
              <w:rPr>
                <w:sz w:val="24"/>
                <w:szCs w:val="24"/>
              </w:rPr>
              <w:t>Children’s safeguarding has been long established with legislation, policies, procedure and frameworks. However, in comparison adult safeguarding legislation, policies and procedures are relatively more recent. The regional safeguarding board developed under the Wales Safeguarding procedure 2019 giving weight to safeguarding adults as well as developing best practice strategies for services and practitioners through case practice reviews (Wales Safeguarding Procedures, 2019; Welsh Government, 2019).</w:t>
            </w:r>
          </w:p>
          <w:p w14:paraId="2EFF866E" w14:textId="77777777" w:rsidR="005A4753" w:rsidRDefault="005A4753" w:rsidP="005A4753">
            <w:pPr>
              <w:jc w:val="both"/>
              <w:rPr>
                <w:sz w:val="24"/>
                <w:szCs w:val="24"/>
              </w:rPr>
            </w:pPr>
          </w:p>
          <w:p w14:paraId="55394A11" w14:textId="06D4089F" w:rsidR="005A4753" w:rsidRDefault="005A4753" w:rsidP="005A4753">
            <w:pPr>
              <w:jc w:val="both"/>
              <w:rPr>
                <w:sz w:val="24"/>
                <w:szCs w:val="24"/>
              </w:rPr>
            </w:pPr>
            <w:r>
              <w:rPr>
                <w:sz w:val="24"/>
                <w:szCs w:val="24"/>
              </w:rPr>
              <w:t>Word count: 438</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2C2"/>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4753"/>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1931"/>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6E7F"/>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5616"/>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4D4"/>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67DA"/>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1191</Words>
  <Characters>6599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Holly Richards</cp:lastModifiedBy>
  <cp:revision>2</cp:revision>
  <cp:lastPrinted>2020-02-11T19:20:00Z</cp:lastPrinted>
  <dcterms:created xsi:type="dcterms:W3CDTF">2025-10-07T18:02:00Z</dcterms:created>
  <dcterms:modified xsi:type="dcterms:W3CDTF">2025-10-07T18:02:00Z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