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A6FF3" w14:textId="0DB922EC" w:rsidR="002B3FFF" w:rsidRDefault="002B3FFF" w:rsidP="002B3FFF">
      <w:pPr>
        <w:spacing w:line="360" w:lineRule="auto"/>
        <w:jc w:val="center"/>
        <w:rPr>
          <w:rFonts w:ascii="Arial" w:hAnsi="Arial" w:cs="Arial"/>
          <w:b/>
          <w:bCs/>
          <w:sz w:val="28"/>
          <w:szCs w:val="28"/>
        </w:rPr>
      </w:pPr>
      <w:r w:rsidRPr="00CD33A8">
        <w:rPr>
          <w:rFonts w:asciiTheme="minorBidi" w:hAnsiTheme="minorBidi"/>
          <w:noProof/>
          <w:sz w:val="22"/>
        </w:rPr>
        <w:drawing>
          <wp:anchor distT="0" distB="0" distL="114300" distR="114300" simplePos="0" relativeHeight="251659264" behindDoc="0" locked="0" layoutInCell="1" allowOverlap="1" wp14:anchorId="127D7BEC" wp14:editId="7CF45804">
            <wp:simplePos x="0" y="0"/>
            <wp:positionH relativeFrom="column">
              <wp:posOffset>-426720</wp:posOffset>
            </wp:positionH>
            <wp:positionV relativeFrom="paragraph">
              <wp:posOffset>0</wp:posOffset>
            </wp:positionV>
            <wp:extent cx="1979295" cy="1144905"/>
            <wp:effectExtent l="0" t="0" r="190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979295" cy="11449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159350" w14:textId="77777777" w:rsidR="002B3FFF" w:rsidRDefault="002B3FFF" w:rsidP="002B3FFF">
      <w:pPr>
        <w:spacing w:line="360" w:lineRule="auto"/>
        <w:jc w:val="center"/>
        <w:rPr>
          <w:rFonts w:ascii="Arial" w:hAnsi="Arial" w:cs="Arial"/>
          <w:b/>
          <w:bCs/>
          <w:sz w:val="28"/>
          <w:szCs w:val="28"/>
        </w:rPr>
      </w:pPr>
    </w:p>
    <w:p w14:paraId="0AF1C744" w14:textId="77777777" w:rsidR="002B3FFF" w:rsidRDefault="002B3FFF" w:rsidP="002B3FFF">
      <w:pPr>
        <w:spacing w:line="360" w:lineRule="auto"/>
        <w:jc w:val="center"/>
        <w:rPr>
          <w:rFonts w:ascii="Arial" w:hAnsi="Arial" w:cs="Arial"/>
          <w:b/>
          <w:bCs/>
          <w:sz w:val="28"/>
          <w:szCs w:val="28"/>
        </w:rPr>
      </w:pPr>
    </w:p>
    <w:p w14:paraId="341FEC39" w14:textId="77777777" w:rsidR="002B3FFF" w:rsidRPr="00592A01" w:rsidRDefault="002B3FFF" w:rsidP="002B3FFF">
      <w:pPr>
        <w:spacing w:line="360" w:lineRule="auto"/>
        <w:jc w:val="center"/>
        <w:rPr>
          <w:rFonts w:ascii="Arial" w:hAnsi="Arial" w:cs="Arial"/>
          <w:b/>
          <w:bCs/>
          <w:sz w:val="28"/>
          <w:szCs w:val="28"/>
        </w:rPr>
      </w:pPr>
    </w:p>
    <w:p w14:paraId="046B19B7" w14:textId="293A140C" w:rsidR="002B3FFF" w:rsidRPr="00592A01" w:rsidRDefault="002B3FFF" w:rsidP="002B3FFF">
      <w:pPr>
        <w:spacing w:line="360" w:lineRule="auto"/>
        <w:jc w:val="center"/>
        <w:rPr>
          <w:rFonts w:ascii="Arial" w:hAnsi="Arial" w:cs="Arial"/>
          <w:b/>
          <w:bCs/>
          <w:sz w:val="32"/>
          <w:szCs w:val="32"/>
        </w:rPr>
      </w:pPr>
      <w:r w:rsidRPr="00592A01">
        <w:rPr>
          <w:rFonts w:ascii="Arial" w:hAnsi="Arial" w:cs="Arial"/>
          <w:b/>
          <w:bCs/>
          <w:sz w:val="32"/>
          <w:szCs w:val="32"/>
        </w:rPr>
        <w:t>BSc (Hons) Health and Social Care</w:t>
      </w:r>
    </w:p>
    <w:p w14:paraId="1BC62C31" w14:textId="77777777" w:rsidR="002B3FFF" w:rsidRPr="00592A01" w:rsidRDefault="002B3FFF" w:rsidP="002B3FFF">
      <w:pPr>
        <w:spacing w:line="360" w:lineRule="auto"/>
        <w:jc w:val="center"/>
        <w:rPr>
          <w:rFonts w:ascii="Arial" w:hAnsi="Arial" w:cs="Arial"/>
          <w:b/>
          <w:bCs/>
          <w:sz w:val="28"/>
          <w:szCs w:val="28"/>
        </w:rPr>
      </w:pPr>
    </w:p>
    <w:p w14:paraId="1C9A1BCF" w14:textId="77777777" w:rsidR="002B3FFF" w:rsidRPr="00592A01" w:rsidRDefault="002B3FFF" w:rsidP="002B3FFF">
      <w:pPr>
        <w:spacing w:line="360" w:lineRule="auto"/>
        <w:jc w:val="center"/>
        <w:rPr>
          <w:rFonts w:ascii="Arial" w:hAnsi="Arial" w:cs="Arial"/>
          <w:b/>
          <w:bCs/>
          <w:sz w:val="28"/>
          <w:szCs w:val="28"/>
        </w:rPr>
      </w:pPr>
      <w:r w:rsidRPr="00592A01">
        <w:rPr>
          <w:rFonts w:ascii="Arial" w:hAnsi="Arial" w:cs="Arial"/>
          <w:b/>
          <w:bCs/>
          <w:sz w:val="28"/>
          <w:szCs w:val="28"/>
        </w:rPr>
        <w:t>Module: Introduction to Independent Research Skills (BMHP5019)</w:t>
      </w:r>
    </w:p>
    <w:p w14:paraId="5F299D07" w14:textId="77777777" w:rsidR="002B3FFF" w:rsidRPr="00592A01" w:rsidRDefault="002B3FFF" w:rsidP="002B3FFF">
      <w:pPr>
        <w:spacing w:line="360" w:lineRule="auto"/>
        <w:jc w:val="center"/>
        <w:rPr>
          <w:rFonts w:ascii="Arial" w:hAnsi="Arial" w:cs="Arial"/>
          <w:sz w:val="28"/>
          <w:szCs w:val="28"/>
        </w:rPr>
      </w:pPr>
    </w:p>
    <w:p w14:paraId="5A7A04A9" w14:textId="77777777" w:rsidR="002B3FFF" w:rsidRPr="00592A01" w:rsidRDefault="002B3FFF" w:rsidP="002B3FFF">
      <w:pPr>
        <w:spacing w:line="360" w:lineRule="auto"/>
        <w:jc w:val="center"/>
        <w:rPr>
          <w:rFonts w:ascii="Arial" w:hAnsi="Arial" w:cs="Arial"/>
          <w:sz w:val="28"/>
          <w:szCs w:val="28"/>
        </w:rPr>
      </w:pPr>
      <w:r w:rsidRPr="00592A01">
        <w:rPr>
          <w:rFonts w:ascii="Arial" w:hAnsi="Arial" w:cs="Arial"/>
          <w:b/>
          <w:bCs/>
          <w:sz w:val="28"/>
          <w:szCs w:val="28"/>
        </w:rPr>
        <w:t>Assessment title: Assessment 1</w:t>
      </w:r>
      <w:r w:rsidRPr="00592A01">
        <w:rPr>
          <w:rFonts w:ascii="Arial" w:hAnsi="Arial" w:cs="Arial"/>
          <w:sz w:val="28"/>
          <w:szCs w:val="28"/>
        </w:rPr>
        <w:t xml:space="preserve"> - </w:t>
      </w:r>
      <w:r w:rsidRPr="00592A01">
        <w:rPr>
          <w:rFonts w:ascii="Arial" w:hAnsi="Arial" w:cs="Arial"/>
          <w:b/>
          <w:bCs/>
          <w:sz w:val="28"/>
          <w:szCs w:val="28"/>
        </w:rPr>
        <w:t>Research Proposal</w:t>
      </w:r>
      <w:r w:rsidRPr="00592A01">
        <w:rPr>
          <w:rFonts w:ascii="Arial" w:hAnsi="Arial" w:cs="Arial"/>
          <w:sz w:val="28"/>
          <w:szCs w:val="28"/>
        </w:rPr>
        <w:t xml:space="preserve"> </w:t>
      </w:r>
    </w:p>
    <w:p w14:paraId="1611AF8C" w14:textId="77777777" w:rsidR="002B3FFF" w:rsidRPr="00592A01" w:rsidRDefault="002B3FFF" w:rsidP="002B3FFF">
      <w:pPr>
        <w:spacing w:line="360" w:lineRule="auto"/>
        <w:rPr>
          <w:rFonts w:ascii="Arial" w:hAnsi="Arial" w:cs="Arial"/>
          <w:sz w:val="28"/>
          <w:szCs w:val="28"/>
        </w:rPr>
      </w:pPr>
    </w:p>
    <w:p w14:paraId="3F8853C5" w14:textId="77777777" w:rsidR="002B3FFF" w:rsidRPr="00592A01" w:rsidRDefault="002B3FFF" w:rsidP="002B3FFF">
      <w:pPr>
        <w:spacing w:line="360" w:lineRule="auto"/>
        <w:rPr>
          <w:rFonts w:ascii="Arial" w:hAnsi="Arial" w:cs="Arial"/>
          <w:sz w:val="28"/>
          <w:szCs w:val="28"/>
        </w:rPr>
      </w:pPr>
    </w:p>
    <w:p w14:paraId="6C027219" w14:textId="2A451F57" w:rsidR="002B3FFF" w:rsidRPr="00592A01" w:rsidRDefault="002B3FFF" w:rsidP="002B3FFF">
      <w:pPr>
        <w:spacing w:line="360" w:lineRule="auto"/>
        <w:rPr>
          <w:rFonts w:ascii="Arial" w:hAnsi="Arial" w:cs="Arial"/>
          <w:b/>
          <w:bCs/>
          <w:sz w:val="28"/>
          <w:szCs w:val="28"/>
        </w:rPr>
      </w:pPr>
      <w:r w:rsidRPr="00592A01">
        <w:rPr>
          <w:rFonts w:ascii="Arial" w:hAnsi="Arial" w:cs="Arial"/>
          <w:b/>
          <w:bCs/>
          <w:sz w:val="28"/>
          <w:szCs w:val="28"/>
        </w:rPr>
        <w:t xml:space="preserve">Student ID: </w:t>
      </w:r>
      <w:r w:rsidR="00874398" w:rsidRPr="00592A01">
        <w:rPr>
          <w:rFonts w:ascii="Arial" w:hAnsi="Arial" w:cs="Arial"/>
          <w:b/>
          <w:bCs/>
          <w:sz w:val="28"/>
          <w:szCs w:val="28"/>
        </w:rPr>
        <w:t>2427265</w:t>
      </w:r>
    </w:p>
    <w:p w14:paraId="34E01880" w14:textId="77777777" w:rsidR="002B3FFF" w:rsidRPr="00592A01" w:rsidRDefault="002B3FFF" w:rsidP="002B3FFF">
      <w:pPr>
        <w:spacing w:line="360" w:lineRule="auto"/>
        <w:rPr>
          <w:rFonts w:ascii="Arial" w:hAnsi="Arial" w:cs="Arial"/>
          <w:sz w:val="28"/>
          <w:szCs w:val="28"/>
        </w:rPr>
      </w:pPr>
    </w:p>
    <w:p w14:paraId="54231866" w14:textId="77777777" w:rsidR="00874398" w:rsidRPr="00592A01" w:rsidRDefault="002B3FFF" w:rsidP="00874398">
      <w:pPr>
        <w:spacing w:line="360" w:lineRule="auto"/>
        <w:rPr>
          <w:rFonts w:ascii="Arial" w:hAnsi="Arial" w:cs="Arial"/>
          <w:sz w:val="28"/>
          <w:szCs w:val="28"/>
        </w:rPr>
      </w:pPr>
      <w:r w:rsidRPr="00592A01">
        <w:rPr>
          <w:rFonts w:ascii="Arial" w:hAnsi="Arial" w:cs="Arial"/>
          <w:b/>
          <w:bCs/>
          <w:sz w:val="28"/>
          <w:szCs w:val="28"/>
        </w:rPr>
        <w:t>Student Name</w:t>
      </w:r>
      <w:r w:rsidRPr="00592A01">
        <w:rPr>
          <w:rFonts w:ascii="Arial" w:hAnsi="Arial" w:cs="Arial"/>
          <w:sz w:val="28"/>
          <w:szCs w:val="28"/>
        </w:rPr>
        <w:t xml:space="preserve">: </w:t>
      </w:r>
      <w:r w:rsidR="00874398" w:rsidRPr="00592A01">
        <w:rPr>
          <w:rFonts w:ascii="Arial" w:hAnsi="Arial" w:cs="Arial"/>
          <w:b/>
          <w:bCs/>
          <w:sz w:val="28"/>
          <w:szCs w:val="28"/>
        </w:rPr>
        <w:t>Corazon Gallardo Parayno</w:t>
      </w:r>
    </w:p>
    <w:p w14:paraId="152D148E" w14:textId="77777777" w:rsidR="002B3FFF" w:rsidRPr="00592A01" w:rsidRDefault="002B3FFF" w:rsidP="002B3FFF">
      <w:pPr>
        <w:spacing w:line="360" w:lineRule="auto"/>
        <w:rPr>
          <w:rFonts w:ascii="Arial" w:hAnsi="Arial" w:cs="Arial"/>
          <w:sz w:val="28"/>
          <w:szCs w:val="28"/>
        </w:rPr>
      </w:pPr>
    </w:p>
    <w:p w14:paraId="7D7A4E7E" w14:textId="193D470C" w:rsidR="002B3FFF" w:rsidRPr="00592A01" w:rsidRDefault="002B3FFF" w:rsidP="002B3FFF">
      <w:pPr>
        <w:spacing w:line="360" w:lineRule="auto"/>
        <w:rPr>
          <w:rFonts w:ascii="Arial" w:hAnsi="Arial" w:cs="Arial"/>
          <w:b/>
          <w:bCs/>
          <w:sz w:val="28"/>
          <w:szCs w:val="28"/>
        </w:rPr>
      </w:pPr>
      <w:r w:rsidRPr="00592A01">
        <w:rPr>
          <w:rFonts w:ascii="Arial" w:hAnsi="Arial" w:cs="Arial"/>
          <w:b/>
          <w:bCs/>
          <w:sz w:val="28"/>
          <w:szCs w:val="28"/>
        </w:rPr>
        <w:t>Date of submission</w:t>
      </w:r>
      <w:r w:rsidRPr="00592A01">
        <w:rPr>
          <w:rFonts w:ascii="Arial" w:hAnsi="Arial" w:cs="Arial"/>
          <w:sz w:val="28"/>
          <w:szCs w:val="28"/>
        </w:rPr>
        <w:t xml:space="preserve">: </w:t>
      </w:r>
      <w:r w:rsidR="00874398" w:rsidRPr="00592A01">
        <w:rPr>
          <w:rFonts w:ascii="Arial" w:hAnsi="Arial" w:cs="Arial"/>
          <w:b/>
          <w:bCs/>
          <w:sz w:val="28"/>
          <w:szCs w:val="28"/>
        </w:rPr>
        <w:t>October 30,2026</w:t>
      </w:r>
    </w:p>
    <w:p w14:paraId="58223FD8" w14:textId="77777777" w:rsidR="002B3FFF" w:rsidRPr="00592A01" w:rsidRDefault="002B3FFF" w:rsidP="002B3FFF">
      <w:pPr>
        <w:spacing w:line="360" w:lineRule="auto"/>
        <w:rPr>
          <w:rFonts w:ascii="Arial" w:hAnsi="Arial" w:cs="Arial"/>
          <w:sz w:val="28"/>
          <w:szCs w:val="28"/>
        </w:rPr>
      </w:pPr>
    </w:p>
    <w:p w14:paraId="34F815EA" w14:textId="1E613378" w:rsidR="002B3FFF" w:rsidRPr="00592A01" w:rsidRDefault="002B3FFF" w:rsidP="002B3FFF">
      <w:pPr>
        <w:spacing w:line="360" w:lineRule="auto"/>
        <w:rPr>
          <w:rFonts w:ascii="Arial" w:hAnsi="Arial" w:cs="Arial"/>
          <w:b/>
          <w:bCs/>
          <w:sz w:val="28"/>
          <w:szCs w:val="28"/>
        </w:rPr>
      </w:pPr>
      <w:r w:rsidRPr="00592A01">
        <w:rPr>
          <w:rFonts w:ascii="Arial" w:hAnsi="Arial" w:cs="Arial"/>
          <w:b/>
          <w:bCs/>
          <w:sz w:val="28"/>
          <w:szCs w:val="28"/>
        </w:rPr>
        <w:t>Lecturer’s name</w:t>
      </w:r>
      <w:r w:rsidRPr="00592A01">
        <w:rPr>
          <w:rFonts w:ascii="Arial" w:hAnsi="Arial" w:cs="Arial"/>
          <w:sz w:val="28"/>
          <w:szCs w:val="28"/>
        </w:rPr>
        <w:t xml:space="preserve">: </w:t>
      </w:r>
      <w:r w:rsidR="00874398" w:rsidRPr="00592A01">
        <w:rPr>
          <w:rFonts w:ascii="Arial" w:hAnsi="Arial" w:cs="Arial"/>
          <w:b/>
          <w:bCs/>
          <w:sz w:val="28"/>
          <w:szCs w:val="28"/>
        </w:rPr>
        <w:t>Dr. Soban Sadiq</w:t>
      </w:r>
    </w:p>
    <w:p w14:paraId="2C6D80AF" w14:textId="77777777" w:rsidR="002B3FFF" w:rsidRPr="00592A01" w:rsidRDefault="002B3FFF" w:rsidP="002B3FFF">
      <w:pPr>
        <w:spacing w:line="360" w:lineRule="auto"/>
        <w:rPr>
          <w:rFonts w:ascii="Arial" w:hAnsi="Arial" w:cs="Arial"/>
          <w:sz w:val="28"/>
          <w:szCs w:val="28"/>
        </w:rPr>
      </w:pPr>
    </w:p>
    <w:p w14:paraId="477226BB" w14:textId="77777777" w:rsidR="002B3FFF" w:rsidRDefault="002B3FFF" w:rsidP="00DE5860">
      <w:pPr>
        <w:spacing w:before="100" w:beforeAutospacing="1" w:after="100" w:afterAutospacing="1" w:line="360" w:lineRule="auto"/>
        <w:jc w:val="both"/>
        <w:outlineLvl w:val="0"/>
        <w:rPr>
          <w:rFonts w:ascii="Arial" w:eastAsia="Times New Roman" w:hAnsi="Arial" w:cs="Arial"/>
          <w:b/>
          <w:bCs/>
          <w:kern w:val="36"/>
          <w:lang w:eastAsia="en-GB"/>
          <w14:ligatures w14:val="none"/>
        </w:rPr>
      </w:pPr>
    </w:p>
    <w:p w14:paraId="43AE6C63" w14:textId="77777777" w:rsidR="002B3FFF" w:rsidRDefault="002B3FFF" w:rsidP="00DE5860">
      <w:pPr>
        <w:spacing w:before="100" w:beforeAutospacing="1" w:after="100" w:afterAutospacing="1" w:line="360" w:lineRule="auto"/>
        <w:jc w:val="both"/>
        <w:outlineLvl w:val="0"/>
        <w:rPr>
          <w:rFonts w:ascii="Arial" w:eastAsia="Times New Roman" w:hAnsi="Arial" w:cs="Arial"/>
          <w:b/>
          <w:bCs/>
          <w:kern w:val="36"/>
          <w:lang w:eastAsia="en-GB"/>
          <w14:ligatures w14:val="none"/>
        </w:rPr>
      </w:pPr>
    </w:p>
    <w:p w14:paraId="703BDC81" w14:textId="77777777" w:rsidR="00AB612F" w:rsidRDefault="00DE5860" w:rsidP="00DE5860">
      <w:pPr>
        <w:spacing w:before="100" w:beforeAutospacing="1" w:after="100" w:afterAutospacing="1" w:line="360" w:lineRule="auto"/>
        <w:jc w:val="both"/>
        <w:rPr>
          <w:rFonts w:ascii="Arial" w:eastAsia="Times New Roman" w:hAnsi="Arial" w:cs="Arial"/>
          <w:b/>
          <w:bCs/>
          <w:kern w:val="0"/>
          <w:lang w:eastAsia="en-GB"/>
          <w14:ligatures w14:val="none"/>
        </w:rPr>
      </w:pPr>
      <w:r w:rsidRPr="00DE5860">
        <w:rPr>
          <w:rFonts w:ascii="Arial" w:eastAsia="Times New Roman" w:hAnsi="Arial" w:cs="Arial"/>
          <w:b/>
          <w:bCs/>
          <w:kern w:val="0"/>
          <w:lang w:eastAsia="en-GB"/>
          <w14:ligatures w14:val="none"/>
        </w:rPr>
        <w:lastRenderedPageBreak/>
        <w:t>Telehealth and older adults with long-term health conditions in the UK:</w:t>
      </w:r>
    </w:p>
    <w:p w14:paraId="6EA1C98B" w14:textId="593CA8D4" w:rsidR="00DE5860" w:rsidRPr="00DE5860" w:rsidRDefault="00DE5860" w:rsidP="00DE5860">
      <w:pPr>
        <w:spacing w:before="100" w:beforeAutospacing="1" w:after="100" w:afterAutospacing="1" w:line="360" w:lineRule="auto"/>
        <w:jc w:val="both"/>
        <w:rPr>
          <w:rFonts w:ascii="Arial" w:eastAsia="Times New Roman" w:hAnsi="Arial" w:cs="Arial"/>
          <w:b/>
          <w:bCs/>
          <w:kern w:val="0"/>
          <w:lang w:eastAsia="en-GB"/>
          <w14:ligatures w14:val="none"/>
        </w:rPr>
      </w:pPr>
      <w:r w:rsidRPr="00DE5860">
        <w:rPr>
          <w:rFonts w:ascii="Arial" w:eastAsia="Times New Roman" w:hAnsi="Arial" w:cs="Arial"/>
          <w:b/>
          <w:bCs/>
          <w:kern w:val="0"/>
          <w:lang w:eastAsia="en-GB"/>
          <w14:ligatures w14:val="none"/>
        </w:rPr>
        <w:t xml:space="preserve"> </w:t>
      </w:r>
      <w:r w:rsidRPr="005E3CA3">
        <w:rPr>
          <w:rFonts w:ascii="Arial" w:eastAsia="Times New Roman" w:hAnsi="Arial" w:cs="Arial"/>
          <w:b/>
          <w:bCs/>
          <w:kern w:val="0"/>
          <w:lang w:eastAsia="en-GB"/>
          <w14:ligatures w14:val="none"/>
        </w:rPr>
        <w:t>A</w:t>
      </w:r>
      <w:r w:rsidR="0006303D">
        <w:rPr>
          <w:rFonts w:ascii="Arial" w:eastAsia="Times New Roman" w:hAnsi="Arial" w:cs="Arial"/>
          <w:b/>
          <w:bCs/>
          <w:kern w:val="0"/>
          <w:lang w:eastAsia="en-GB"/>
          <w14:ligatures w14:val="none"/>
        </w:rPr>
        <w:t xml:space="preserve"> Proposal</w:t>
      </w:r>
      <w:r w:rsidR="00193EBF">
        <w:rPr>
          <w:rFonts w:ascii="Arial" w:eastAsia="Times New Roman" w:hAnsi="Arial" w:cs="Arial"/>
          <w:b/>
          <w:bCs/>
          <w:kern w:val="0"/>
          <w:lang w:eastAsia="en-GB"/>
          <w14:ligatures w14:val="none"/>
        </w:rPr>
        <w:t xml:space="preserve"> for </w:t>
      </w:r>
      <w:r w:rsidR="00FA39CD">
        <w:rPr>
          <w:rFonts w:ascii="Arial" w:eastAsia="Times New Roman" w:hAnsi="Arial" w:cs="Arial"/>
          <w:b/>
          <w:bCs/>
          <w:kern w:val="0"/>
          <w:lang w:eastAsia="en-GB"/>
          <w14:ligatures w14:val="none"/>
        </w:rPr>
        <w:t xml:space="preserve">a </w:t>
      </w:r>
      <w:r w:rsidR="00FA39CD" w:rsidRPr="005E3CA3">
        <w:rPr>
          <w:rFonts w:ascii="Arial" w:eastAsia="Times New Roman" w:hAnsi="Arial" w:cs="Arial"/>
          <w:b/>
          <w:bCs/>
          <w:kern w:val="0"/>
          <w:lang w:eastAsia="en-GB"/>
          <w14:ligatures w14:val="none"/>
        </w:rPr>
        <w:t>Scoping</w:t>
      </w:r>
      <w:r w:rsidRPr="00DE5860">
        <w:rPr>
          <w:rFonts w:ascii="Arial" w:eastAsia="Times New Roman" w:hAnsi="Arial" w:cs="Arial"/>
          <w:b/>
          <w:bCs/>
          <w:kern w:val="0"/>
          <w:lang w:eastAsia="en-GB"/>
          <w14:ligatures w14:val="none"/>
        </w:rPr>
        <w:t xml:space="preserve"> </w:t>
      </w:r>
      <w:r w:rsidR="00193EBF">
        <w:rPr>
          <w:rFonts w:ascii="Arial" w:eastAsia="Times New Roman" w:hAnsi="Arial" w:cs="Arial"/>
          <w:b/>
          <w:bCs/>
          <w:kern w:val="0"/>
          <w:lang w:eastAsia="en-GB"/>
          <w14:ligatures w14:val="none"/>
        </w:rPr>
        <w:t>R</w:t>
      </w:r>
      <w:r w:rsidRPr="00DE5860">
        <w:rPr>
          <w:rFonts w:ascii="Arial" w:eastAsia="Times New Roman" w:hAnsi="Arial" w:cs="Arial"/>
          <w:b/>
          <w:bCs/>
          <w:kern w:val="0"/>
          <w:lang w:eastAsia="en-GB"/>
          <w14:ligatures w14:val="none"/>
        </w:rPr>
        <w:t xml:space="preserve">eview </w:t>
      </w:r>
    </w:p>
    <w:p w14:paraId="3365828D" w14:textId="77777777" w:rsidR="00AB612F" w:rsidRDefault="00AB612F" w:rsidP="00DE5860">
      <w:pPr>
        <w:spacing w:before="100" w:beforeAutospacing="1" w:after="100" w:afterAutospacing="1" w:line="360" w:lineRule="auto"/>
        <w:jc w:val="both"/>
        <w:outlineLvl w:val="2"/>
        <w:rPr>
          <w:rFonts w:ascii="Arial" w:eastAsia="Times New Roman" w:hAnsi="Arial" w:cs="Arial"/>
          <w:b/>
          <w:bCs/>
          <w:kern w:val="0"/>
          <w:sz w:val="22"/>
          <w:szCs w:val="22"/>
          <w:lang w:eastAsia="en-GB"/>
          <w14:ligatures w14:val="none"/>
        </w:rPr>
      </w:pPr>
    </w:p>
    <w:p w14:paraId="4FBDBA14" w14:textId="43872A10" w:rsidR="00DE5860" w:rsidRPr="00DE5860" w:rsidRDefault="00DE5860" w:rsidP="00592A01">
      <w:pPr>
        <w:spacing w:before="100" w:beforeAutospacing="1" w:after="100" w:afterAutospacing="1" w:line="360" w:lineRule="auto"/>
        <w:jc w:val="both"/>
        <w:outlineLvl w:val="2"/>
        <w:rPr>
          <w:rFonts w:ascii="Arial" w:eastAsia="Times New Roman" w:hAnsi="Arial" w:cs="Arial"/>
          <w:b/>
          <w:bCs/>
          <w:kern w:val="0"/>
          <w:sz w:val="22"/>
          <w:szCs w:val="22"/>
          <w:lang w:eastAsia="en-GB"/>
          <w14:ligatures w14:val="none"/>
        </w:rPr>
      </w:pPr>
      <w:r w:rsidRPr="00DE5860">
        <w:rPr>
          <w:rFonts w:ascii="Arial" w:eastAsia="Times New Roman" w:hAnsi="Arial" w:cs="Arial"/>
          <w:b/>
          <w:bCs/>
          <w:kern w:val="0"/>
          <w:sz w:val="22"/>
          <w:szCs w:val="22"/>
          <w:lang w:eastAsia="en-GB"/>
          <w14:ligatures w14:val="none"/>
        </w:rPr>
        <w:t>Review question:</w:t>
      </w:r>
    </w:p>
    <w:p w14:paraId="0201C1E0" w14:textId="3E2C297E" w:rsidR="00DE5860" w:rsidRPr="00592A01" w:rsidRDefault="00DE5860" w:rsidP="00592A01">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92A01">
        <w:rPr>
          <w:sz w:val="22"/>
          <w:szCs w:val="22"/>
        </w:rPr>
        <w:t xml:space="preserve">What </w:t>
      </w:r>
      <w:r w:rsidR="007A4A0D">
        <w:rPr>
          <w:sz w:val="22"/>
          <w:szCs w:val="22"/>
        </w:rPr>
        <w:t xml:space="preserve">are </w:t>
      </w:r>
      <w:r w:rsidRPr="00592A01">
        <w:rPr>
          <w:sz w:val="22"/>
          <w:szCs w:val="22"/>
        </w:rPr>
        <w:t>the benefits of telehealth in improving healthcare access, supporting long-term condition management and promoting continuity of care for older adults in the UK, and what barriers do these individuals experience in accessing and using telehealth services, particularly in relation to digital literacy, affordability, accessibility and internet connectivity?</w:t>
      </w:r>
    </w:p>
    <w:p w14:paraId="3F1AF36E" w14:textId="67E97C1F" w:rsidR="00DE5860" w:rsidRPr="00DE5860" w:rsidRDefault="00DE5860" w:rsidP="00592A01">
      <w:pPr>
        <w:spacing w:before="100" w:beforeAutospacing="1" w:after="100" w:afterAutospacing="1" w:line="360" w:lineRule="auto"/>
        <w:jc w:val="both"/>
        <w:outlineLvl w:val="2"/>
        <w:rPr>
          <w:rFonts w:ascii="Arial" w:eastAsia="Times New Roman" w:hAnsi="Arial" w:cs="Arial"/>
          <w:b/>
          <w:bCs/>
          <w:kern w:val="0"/>
          <w:sz w:val="22"/>
          <w:szCs w:val="22"/>
          <w:lang w:eastAsia="en-GB"/>
          <w14:ligatures w14:val="none"/>
        </w:rPr>
      </w:pPr>
      <w:r w:rsidRPr="00DE5860">
        <w:rPr>
          <w:rFonts w:ascii="Arial" w:eastAsia="Times New Roman" w:hAnsi="Arial" w:cs="Arial"/>
          <w:b/>
          <w:bCs/>
          <w:kern w:val="0"/>
          <w:sz w:val="22"/>
          <w:szCs w:val="22"/>
          <w:lang w:eastAsia="en-GB"/>
          <w14:ligatures w14:val="none"/>
        </w:rPr>
        <w:t>Objectives:</w:t>
      </w:r>
    </w:p>
    <w:p w14:paraId="51DF3278" w14:textId="005CFEA2" w:rsidR="007A4A0D" w:rsidRDefault="00DE5860" w:rsidP="00592A01">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DE5860">
        <w:rPr>
          <w:rFonts w:ascii="Arial" w:eastAsia="Times New Roman" w:hAnsi="Arial" w:cs="Arial"/>
          <w:kern w:val="0"/>
          <w:sz w:val="22"/>
          <w:szCs w:val="22"/>
          <w:lang w:eastAsia="en-GB"/>
          <w14:ligatures w14:val="none"/>
        </w:rPr>
        <w:t xml:space="preserve">The objectives </w:t>
      </w:r>
      <w:r w:rsidR="00771208" w:rsidRPr="00DE5860">
        <w:rPr>
          <w:rFonts w:ascii="Arial" w:eastAsia="Times New Roman" w:hAnsi="Arial" w:cs="Arial"/>
          <w:kern w:val="0"/>
          <w:sz w:val="22"/>
          <w:szCs w:val="22"/>
          <w:lang w:eastAsia="en-GB"/>
          <w14:ligatures w14:val="none"/>
        </w:rPr>
        <w:t>are.</w:t>
      </w:r>
    </w:p>
    <w:p w14:paraId="2EFF3F6D" w14:textId="68CA23C8" w:rsidR="00771208" w:rsidRPr="00771208" w:rsidRDefault="00771208" w:rsidP="00771208">
      <w:pPr>
        <w:pStyle w:val="ListParagraph"/>
        <w:numPr>
          <w:ilvl w:val="0"/>
          <w:numId w:val="1"/>
        </w:num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71208">
        <w:rPr>
          <w:rFonts w:ascii="Arial" w:eastAsia="Times New Roman" w:hAnsi="Arial" w:cs="Arial"/>
          <w:kern w:val="0"/>
          <w:sz w:val="22"/>
          <w:szCs w:val="22"/>
          <w:lang w:eastAsia="en-GB"/>
          <w14:ligatures w14:val="none"/>
        </w:rPr>
        <w:t>T</w:t>
      </w:r>
      <w:r w:rsidR="00DE5860" w:rsidRPr="00771208">
        <w:rPr>
          <w:rFonts w:ascii="Arial" w:eastAsia="Times New Roman" w:hAnsi="Arial" w:cs="Arial"/>
          <w:kern w:val="0"/>
          <w:sz w:val="22"/>
          <w:szCs w:val="22"/>
          <w:lang w:eastAsia="en-GB"/>
          <w14:ligatures w14:val="none"/>
        </w:rPr>
        <w:t xml:space="preserve">o identify reported benefits for healthcare access and condition </w:t>
      </w:r>
      <w:r w:rsidRPr="00771208">
        <w:rPr>
          <w:rFonts w:ascii="Arial" w:eastAsia="Times New Roman" w:hAnsi="Arial" w:cs="Arial"/>
          <w:kern w:val="0"/>
          <w:sz w:val="22"/>
          <w:szCs w:val="22"/>
          <w:lang w:eastAsia="en-GB"/>
          <w14:ligatures w14:val="none"/>
        </w:rPr>
        <w:t>management.</w:t>
      </w:r>
      <w:r w:rsidR="00DE5860" w:rsidRPr="00771208">
        <w:rPr>
          <w:rFonts w:ascii="Arial" w:eastAsia="Times New Roman" w:hAnsi="Arial" w:cs="Arial"/>
          <w:kern w:val="0"/>
          <w:sz w:val="22"/>
          <w:szCs w:val="22"/>
          <w:lang w:eastAsia="en-GB"/>
          <w14:ligatures w14:val="none"/>
        </w:rPr>
        <w:t xml:space="preserve"> </w:t>
      </w:r>
    </w:p>
    <w:p w14:paraId="47886142" w14:textId="58B098A4" w:rsidR="00771208" w:rsidRPr="00771208" w:rsidRDefault="00771208" w:rsidP="00771208">
      <w:pPr>
        <w:pStyle w:val="ListParagraph"/>
        <w:numPr>
          <w:ilvl w:val="0"/>
          <w:numId w:val="1"/>
        </w:num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71208">
        <w:rPr>
          <w:rFonts w:ascii="Arial" w:eastAsia="Times New Roman" w:hAnsi="Arial" w:cs="Arial"/>
          <w:kern w:val="0"/>
          <w:sz w:val="22"/>
          <w:szCs w:val="22"/>
          <w:lang w:eastAsia="en-GB"/>
          <w14:ligatures w14:val="none"/>
        </w:rPr>
        <w:t xml:space="preserve">To </w:t>
      </w:r>
      <w:r w:rsidR="00DE5860" w:rsidRPr="00771208">
        <w:rPr>
          <w:rFonts w:ascii="Arial" w:eastAsia="Times New Roman" w:hAnsi="Arial" w:cs="Arial"/>
          <w:kern w:val="0"/>
          <w:sz w:val="22"/>
          <w:szCs w:val="22"/>
          <w:lang w:eastAsia="en-GB"/>
          <w14:ligatures w14:val="none"/>
        </w:rPr>
        <w:t xml:space="preserve">explore barriers associated with digital literacy, affordability, accessibility and internet </w:t>
      </w:r>
      <w:r w:rsidRPr="00771208">
        <w:rPr>
          <w:rFonts w:ascii="Arial" w:eastAsia="Times New Roman" w:hAnsi="Arial" w:cs="Arial"/>
          <w:kern w:val="0"/>
          <w:sz w:val="22"/>
          <w:szCs w:val="22"/>
          <w:lang w:eastAsia="en-GB"/>
          <w14:ligatures w14:val="none"/>
        </w:rPr>
        <w:t>connectivity.</w:t>
      </w:r>
      <w:r w:rsidR="00DE5860" w:rsidRPr="00771208">
        <w:rPr>
          <w:rFonts w:ascii="Arial" w:eastAsia="Times New Roman" w:hAnsi="Arial" w:cs="Arial"/>
          <w:kern w:val="0"/>
          <w:sz w:val="22"/>
          <w:szCs w:val="22"/>
          <w:lang w:eastAsia="en-GB"/>
          <w14:ligatures w14:val="none"/>
        </w:rPr>
        <w:t xml:space="preserve"> </w:t>
      </w:r>
    </w:p>
    <w:p w14:paraId="07F9886C" w14:textId="73215E10" w:rsidR="00DE5860" w:rsidRPr="00771208" w:rsidRDefault="00771208" w:rsidP="00771208">
      <w:pPr>
        <w:pStyle w:val="ListParagraph"/>
        <w:numPr>
          <w:ilvl w:val="0"/>
          <w:numId w:val="1"/>
        </w:num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71208">
        <w:rPr>
          <w:rFonts w:ascii="Arial" w:eastAsia="Times New Roman" w:hAnsi="Arial" w:cs="Arial"/>
          <w:kern w:val="0"/>
          <w:sz w:val="22"/>
          <w:szCs w:val="22"/>
          <w:lang w:eastAsia="en-GB"/>
          <w14:ligatures w14:val="none"/>
        </w:rPr>
        <w:t xml:space="preserve">To </w:t>
      </w:r>
      <w:r w:rsidR="00DE5860" w:rsidRPr="00771208">
        <w:rPr>
          <w:rFonts w:ascii="Arial" w:eastAsia="Times New Roman" w:hAnsi="Arial" w:cs="Arial"/>
          <w:kern w:val="0"/>
          <w:sz w:val="22"/>
          <w:szCs w:val="22"/>
          <w:lang w:eastAsia="en-GB"/>
          <w14:ligatures w14:val="none"/>
        </w:rPr>
        <w:t>examine the experiences of older adults and healthcare professionals and identify evidence gaps and implications for equitable, person-centred practice.</w:t>
      </w:r>
    </w:p>
    <w:p w14:paraId="0AF35953" w14:textId="1D8A9100" w:rsidR="00DE5860" w:rsidRPr="00592A01" w:rsidRDefault="00DE5860" w:rsidP="00592A01">
      <w:pPr>
        <w:spacing w:before="100" w:beforeAutospacing="1" w:after="100" w:afterAutospacing="1" w:line="360" w:lineRule="auto"/>
        <w:jc w:val="both"/>
        <w:outlineLvl w:val="2"/>
        <w:rPr>
          <w:rFonts w:ascii="Arial" w:eastAsia="Times New Roman" w:hAnsi="Arial" w:cs="Arial"/>
          <w:b/>
          <w:bCs/>
          <w:kern w:val="0"/>
          <w:sz w:val="22"/>
          <w:szCs w:val="22"/>
          <w:lang w:eastAsia="en-GB"/>
          <w14:ligatures w14:val="none"/>
        </w:rPr>
      </w:pPr>
      <w:r w:rsidRPr="00DE5860">
        <w:rPr>
          <w:rFonts w:ascii="Arial" w:eastAsia="Times New Roman" w:hAnsi="Arial" w:cs="Arial"/>
          <w:b/>
          <w:bCs/>
          <w:kern w:val="0"/>
          <w:sz w:val="22"/>
          <w:szCs w:val="22"/>
          <w:lang w:eastAsia="en-GB"/>
          <w14:ligatures w14:val="none"/>
        </w:rPr>
        <w:t>Rationale:</w:t>
      </w:r>
    </w:p>
    <w:p w14:paraId="2382B7D1" w14:textId="77777777" w:rsidR="00E515EF" w:rsidRDefault="00E515EF" w:rsidP="00E515EF">
      <w:pPr>
        <w:pStyle w:val="NormalWeb"/>
      </w:pPr>
      <w:r>
        <w:t xml:space="preserve">The relevance of this review extends beyond technological innovation to the delivery of equitable health and social care. NHS England's (2023) </w:t>
      </w:r>
      <w:r>
        <w:rPr>
          <w:rStyle w:val="Emphasis"/>
          <w:rFonts w:eastAsiaTheme="majorEastAsia"/>
        </w:rPr>
        <w:t>Inclusive digital healthcare</w:t>
      </w:r>
      <w:r>
        <w:t xml:space="preserve"> framework highlights the need to address barriers relating to device and data affordability, accessibility, digital skills and confidence. These considerations are particularly important for older adults managing long-term conditions, for whom difficulties accessing remote services may compound existing health inequalities. In practice, healthcare professionals and service providers need to consider individual preferences, digital capabilities and accessibility requirements when offering telehealth, while maintaining appropriate alternative routes to care. Mapping the available evidence may therefore help identify approaches that support continuity of care without assuming that digital delivery is suitable for every older person.</w:t>
      </w:r>
    </w:p>
    <w:p w14:paraId="2E555988" w14:textId="77777777" w:rsidR="00E515EF" w:rsidRDefault="00E515EF" w:rsidP="00592A01">
      <w:pPr>
        <w:spacing w:before="100" w:beforeAutospacing="1" w:after="100" w:afterAutospacing="1" w:line="360" w:lineRule="auto"/>
        <w:jc w:val="both"/>
        <w:outlineLvl w:val="2"/>
        <w:rPr>
          <w:sz w:val="22"/>
          <w:szCs w:val="22"/>
        </w:rPr>
      </w:pPr>
    </w:p>
    <w:p w14:paraId="5A472635" w14:textId="0EDF79EE" w:rsidR="00874398" w:rsidRPr="00592A01" w:rsidRDefault="00841BE0" w:rsidP="00592A01">
      <w:pPr>
        <w:spacing w:before="100" w:beforeAutospacing="1" w:after="100" w:afterAutospacing="1" w:line="360" w:lineRule="auto"/>
        <w:jc w:val="both"/>
        <w:outlineLvl w:val="2"/>
        <w:rPr>
          <w:rFonts w:ascii="Arial" w:eastAsia="Times New Roman" w:hAnsi="Arial" w:cs="Arial"/>
          <w:b/>
          <w:bCs/>
          <w:kern w:val="0"/>
          <w:sz w:val="22"/>
          <w:szCs w:val="22"/>
          <w:lang w:eastAsia="en-GB"/>
          <w14:ligatures w14:val="none"/>
        </w:rPr>
      </w:pPr>
      <w:r w:rsidRPr="00592A01">
        <w:rPr>
          <w:sz w:val="22"/>
          <w:szCs w:val="22"/>
        </w:rPr>
        <w:t xml:space="preserve">Telehealth supports remote consultations, monitoring and long-term condition management, but access is not equal. NHS England (2023) highlights the need to address digital exclusion, while Lewinski et al. (2022) examine telehealth’s potential and limitations in chronic care. Older </w:t>
      </w:r>
      <w:r w:rsidRPr="00592A01">
        <w:rPr>
          <w:sz w:val="22"/>
          <w:szCs w:val="22"/>
        </w:rPr>
        <w:lastRenderedPageBreak/>
        <w:t>adults may face barriers relating to digital skills, affordability and accessibility. A scoping review is appropriate to map existing evidence and identify research gaps (Munn et al., 2022). Its findings may inform more inclusive, equitable and person-centred healthcare delivery across UK health and social care services.</w:t>
      </w:r>
    </w:p>
    <w:p w14:paraId="586F3C73" w14:textId="03E5AF81" w:rsidR="00DE5860" w:rsidRPr="00592A01" w:rsidRDefault="00DE5860" w:rsidP="00592A01">
      <w:pPr>
        <w:spacing w:before="100" w:beforeAutospacing="1" w:after="100" w:afterAutospacing="1" w:line="360" w:lineRule="auto"/>
        <w:jc w:val="both"/>
        <w:outlineLvl w:val="2"/>
        <w:rPr>
          <w:rFonts w:ascii="Arial" w:eastAsia="Times New Roman" w:hAnsi="Arial" w:cs="Arial"/>
          <w:b/>
          <w:bCs/>
          <w:kern w:val="0"/>
          <w:sz w:val="22"/>
          <w:szCs w:val="22"/>
          <w:lang w:eastAsia="en-GB"/>
          <w14:ligatures w14:val="none"/>
        </w:rPr>
      </w:pPr>
      <w:r w:rsidRPr="00DE5860">
        <w:rPr>
          <w:rFonts w:ascii="Arial" w:eastAsia="Times New Roman" w:hAnsi="Arial" w:cs="Arial"/>
          <w:b/>
          <w:bCs/>
          <w:kern w:val="0"/>
          <w:sz w:val="22"/>
          <w:szCs w:val="22"/>
          <w:lang w:eastAsia="en-GB"/>
          <w14:ligatures w14:val="none"/>
        </w:rPr>
        <w:t>Methods:</w:t>
      </w:r>
    </w:p>
    <w:p w14:paraId="72818412" w14:textId="3B1C0842" w:rsidR="0093128C" w:rsidRPr="00592A01" w:rsidRDefault="0093128C" w:rsidP="00592A01">
      <w:pPr>
        <w:pStyle w:val="NormalWeb"/>
        <w:spacing w:line="360" w:lineRule="auto"/>
        <w:jc w:val="both"/>
        <w:rPr>
          <w:rFonts w:ascii="Arial" w:hAnsi="Arial" w:cs="Arial"/>
          <w:sz w:val="22"/>
          <w:szCs w:val="22"/>
        </w:rPr>
      </w:pPr>
      <w:r w:rsidRPr="00592A01">
        <w:rPr>
          <w:rFonts w:ascii="Arial" w:hAnsi="Arial" w:cs="Arial"/>
          <w:sz w:val="22"/>
          <w:szCs w:val="22"/>
        </w:rPr>
        <w:t xml:space="preserve">A scoping review will follow JBI methodological guidance (Peters </w:t>
      </w:r>
      <w:r w:rsidRPr="00592A01">
        <w:rPr>
          <w:rStyle w:val="Emphasis"/>
          <w:rFonts w:ascii="Arial" w:eastAsiaTheme="majorEastAsia" w:hAnsi="Arial" w:cs="Arial"/>
          <w:sz w:val="22"/>
          <w:szCs w:val="22"/>
        </w:rPr>
        <w:t>et al.</w:t>
      </w:r>
      <w:r w:rsidRPr="00592A01">
        <w:rPr>
          <w:rFonts w:ascii="Arial" w:hAnsi="Arial" w:cs="Arial"/>
          <w:sz w:val="22"/>
          <w:szCs w:val="22"/>
        </w:rPr>
        <w:t xml:space="preserve">, 2022). CINAHL, MEDLINE/PubMed will be searched for peer-reviewed primary studies and relevant reviews published in English between January 2021 and October 2026. Search terms will include “telehealth”, “older adults”, “long-term conditions” and “United Kingdom”. Eligible studies must examine telehealth use among older adults with long-term conditions in UK health or social care settings. Titles, abstracts and full texts will be screened against predefined criteria. Data will be charted systematically and synthesised descriptively and thematically. Search reporting will follow relevant recommendations from Rethlefsen </w:t>
      </w:r>
      <w:r w:rsidRPr="00592A01">
        <w:rPr>
          <w:rStyle w:val="Emphasis"/>
          <w:rFonts w:ascii="Arial" w:eastAsiaTheme="majorEastAsia" w:hAnsi="Arial" w:cs="Arial"/>
          <w:sz w:val="22"/>
          <w:szCs w:val="22"/>
        </w:rPr>
        <w:t>et al.</w:t>
      </w:r>
      <w:r w:rsidRPr="00592A01">
        <w:rPr>
          <w:rFonts w:ascii="Arial" w:hAnsi="Arial" w:cs="Arial"/>
          <w:sz w:val="22"/>
          <w:szCs w:val="22"/>
        </w:rPr>
        <w:t xml:space="preserve"> (2021), with data presentation informed by Pollock </w:t>
      </w:r>
      <w:r w:rsidRPr="00592A01">
        <w:rPr>
          <w:rStyle w:val="Emphasis"/>
          <w:rFonts w:ascii="Arial" w:eastAsiaTheme="majorEastAsia" w:hAnsi="Arial" w:cs="Arial"/>
          <w:sz w:val="22"/>
          <w:szCs w:val="22"/>
        </w:rPr>
        <w:t>et al.</w:t>
      </w:r>
      <w:r w:rsidRPr="00592A01">
        <w:rPr>
          <w:rFonts w:ascii="Arial" w:hAnsi="Arial" w:cs="Arial"/>
          <w:sz w:val="22"/>
          <w:szCs w:val="22"/>
        </w:rPr>
        <w:t xml:space="preserve"> (2023).</w:t>
      </w:r>
    </w:p>
    <w:p w14:paraId="297DF69E" w14:textId="77777777" w:rsidR="0093128C" w:rsidRPr="00DE5860" w:rsidRDefault="0093128C" w:rsidP="00592A01">
      <w:pPr>
        <w:spacing w:before="100" w:beforeAutospacing="1" w:after="100" w:afterAutospacing="1" w:line="360" w:lineRule="auto"/>
        <w:jc w:val="both"/>
        <w:outlineLvl w:val="2"/>
        <w:rPr>
          <w:rFonts w:ascii="Arial" w:eastAsia="Times New Roman" w:hAnsi="Arial" w:cs="Arial"/>
          <w:b/>
          <w:bCs/>
          <w:kern w:val="0"/>
          <w:sz w:val="22"/>
          <w:szCs w:val="22"/>
          <w:lang w:eastAsia="en-GB"/>
          <w14:ligatures w14:val="none"/>
        </w:rPr>
      </w:pPr>
    </w:p>
    <w:p w14:paraId="4247943D" w14:textId="20C014AB" w:rsidR="00DE5860" w:rsidRPr="00DE5860" w:rsidRDefault="00DE5860" w:rsidP="00592A01">
      <w:pPr>
        <w:spacing w:before="100" w:beforeAutospacing="1" w:after="100" w:afterAutospacing="1" w:line="360" w:lineRule="auto"/>
        <w:jc w:val="both"/>
        <w:outlineLvl w:val="2"/>
        <w:rPr>
          <w:rFonts w:ascii="Arial" w:eastAsia="Times New Roman" w:hAnsi="Arial" w:cs="Arial"/>
          <w:b/>
          <w:bCs/>
          <w:kern w:val="0"/>
          <w:sz w:val="22"/>
          <w:szCs w:val="22"/>
          <w:lang w:eastAsia="en-GB"/>
          <w14:ligatures w14:val="none"/>
        </w:rPr>
      </w:pPr>
      <w:r w:rsidRPr="00DE5860">
        <w:rPr>
          <w:rFonts w:ascii="Arial" w:eastAsia="Times New Roman" w:hAnsi="Arial" w:cs="Arial"/>
          <w:b/>
          <w:bCs/>
          <w:kern w:val="0"/>
          <w:sz w:val="22"/>
          <w:szCs w:val="22"/>
          <w:lang w:eastAsia="en-GB"/>
          <w14:ligatures w14:val="none"/>
        </w:rPr>
        <w:t>Ethical considerations:</w:t>
      </w:r>
    </w:p>
    <w:p w14:paraId="7F80ADA9" w14:textId="77777777" w:rsidR="00E515EF" w:rsidRPr="00E515EF" w:rsidRDefault="00E515EF" w:rsidP="00E515EF">
      <w:pPr>
        <w:pStyle w:val="NormalWeb"/>
        <w:spacing w:line="360" w:lineRule="auto"/>
        <w:jc w:val="both"/>
        <w:rPr>
          <w:rFonts w:ascii="Arial" w:hAnsi="Arial" w:cs="Arial"/>
          <w:sz w:val="22"/>
          <w:szCs w:val="22"/>
        </w:rPr>
      </w:pPr>
      <w:r w:rsidRPr="00E515EF">
        <w:rPr>
          <w:rFonts w:ascii="Arial" w:hAnsi="Arial" w:cs="Arial"/>
          <w:sz w:val="22"/>
          <w:szCs w:val="22"/>
        </w:rPr>
        <w:t>As this scoping review will synthesise existing published literature and will not involve direct recruitment of participants or the collection of new identifiable personal data, formal research ethics approval may not be required. This will be confirmed in accordance with the university's research ethics policy and supervisory guidance. Ethical practice will include accurate referencing, transparent reporting, appropriate acknowledgement of source material and balanced interpretation of findings. The review will also consider how privacy, autonomy, accessibility and digital exclusion are addressed in the included studies, particularly where these issues affect equitable access to healthcare.</w:t>
      </w:r>
    </w:p>
    <w:p w14:paraId="1DB97C2E" w14:textId="77777777" w:rsidR="005E3CA3" w:rsidRPr="00592A01" w:rsidRDefault="005E3CA3" w:rsidP="00592A01">
      <w:pPr>
        <w:pStyle w:val="NormalWeb"/>
        <w:spacing w:line="360" w:lineRule="auto"/>
        <w:jc w:val="both"/>
        <w:rPr>
          <w:rFonts w:ascii="Arial" w:hAnsi="Arial" w:cs="Arial"/>
          <w:b/>
          <w:bCs/>
          <w:sz w:val="22"/>
          <w:szCs w:val="22"/>
        </w:rPr>
      </w:pPr>
    </w:p>
    <w:p w14:paraId="7D89D56B" w14:textId="0E9FA63F" w:rsidR="00DE5860" w:rsidRPr="00592A01" w:rsidRDefault="00DE5860" w:rsidP="00592A01">
      <w:pPr>
        <w:pStyle w:val="NormalWeb"/>
        <w:spacing w:line="360" w:lineRule="auto"/>
        <w:jc w:val="both"/>
        <w:rPr>
          <w:rFonts w:ascii="Arial" w:hAnsi="Arial" w:cs="Arial"/>
          <w:b/>
          <w:bCs/>
          <w:sz w:val="22"/>
          <w:szCs w:val="22"/>
        </w:rPr>
      </w:pPr>
      <w:r w:rsidRPr="00592A01">
        <w:rPr>
          <w:rFonts w:ascii="Arial" w:hAnsi="Arial" w:cs="Arial"/>
          <w:b/>
          <w:bCs/>
          <w:sz w:val="22"/>
          <w:szCs w:val="22"/>
        </w:rPr>
        <w:t>References</w:t>
      </w:r>
    </w:p>
    <w:p w14:paraId="56828656" w14:textId="5E3DA257" w:rsidR="00DE5860" w:rsidRPr="00592A01" w:rsidRDefault="00DE5860" w:rsidP="00592A01">
      <w:pPr>
        <w:pStyle w:val="NormalWeb"/>
        <w:spacing w:line="360" w:lineRule="auto"/>
        <w:jc w:val="both"/>
        <w:rPr>
          <w:rFonts w:ascii="Arial" w:hAnsi="Arial" w:cs="Arial"/>
          <w:sz w:val="22"/>
          <w:szCs w:val="22"/>
        </w:rPr>
      </w:pPr>
      <w:r w:rsidRPr="00592A01">
        <w:rPr>
          <w:rFonts w:ascii="Arial" w:hAnsi="Arial" w:cs="Arial"/>
          <w:sz w:val="22"/>
          <w:szCs w:val="22"/>
        </w:rPr>
        <w:t xml:space="preserve">Lewinski, A.A. et al. (2022) ‘Telehealth for the longitudinal management of chronic conditions: systematic review’, Journal of Medical Internet Research, 24(8), e37100. Available at: </w:t>
      </w:r>
      <w:hyperlink r:id="rId7" w:history="1">
        <w:r w:rsidRPr="00592A01">
          <w:rPr>
            <w:rStyle w:val="Hyperlink"/>
            <w:rFonts w:ascii="Arial" w:eastAsiaTheme="majorEastAsia" w:hAnsi="Arial" w:cs="Arial"/>
            <w:sz w:val="22"/>
            <w:szCs w:val="22"/>
          </w:rPr>
          <w:t>https://doi.org/10.2196/37100</w:t>
        </w:r>
      </w:hyperlink>
      <w:r w:rsidRPr="00592A01">
        <w:rPr>
          <w:rFonts w:ascii="Arial" w:hAnsi="Arial" w:cs="Arial"/>
          <w:sz w:val="22"/>
          <w:szCs w:val="22"/>
        </w:rPr>
        <w:t>.</w:t>
      </w:r>
    </w:p>
    <w:p w14:paraId="68686E27" w14:textId="77777777" w:rsidR="00DE5860" w:rsidRPr="00592A01" w:rsidRDefault="00DE5860" w:rsidP="00592A01">
      <w:pPr>
        <w:pStyle w:val="NormalWeb"/>
        <w:spacing w:line="360" w:lineRule="auto"/>
        <w:jc w:val="both"/>
        <w:rPr>
          <w:rFonts w:ascii="Arial" w:hAnsi="Arial" w:cs="Arial"/>
          <w:sz w:val="22"/>
          <w:szCs w:val="22"/>
        </w:rPr>
      </w:pPr>
      <w:r w:rsidRPr="00592A01">
        <w:rPr>
          <w:rFonts w:ascii="Arial" w:hAnsi="Arial" w:cs="Arial"/>
          <w:sz w:val="22"/>
          <w:szCs w:val="22"/>
        </w:rPr>
        <w:lastRenderedPageBreak/>
        <w:t xml:space="preserve">Munn, Z. et al. (2022) ‘What are scoping reviews? Providing a formal definition of scoping reviews as a type of evidence synthesis’, JBI Evidence Synthesis, 20(4), pp. 950–952. Available at: </w:t>
      </w:r>
      <w:hyperlink r:id="rId8" w:history="1">
        <w:r w:rsidRPr="00592A01">
          <w:rPr>
            <w:rStyle w:val="Hyperlink"/>
            <w:rFonts w:ascii="Arial" w:eastAsiaTheme="majorEastAsia" w:hAnsi="Arial" w:cs="Arial"/>
            <w:sz w:val="22"/>
            <w:szCs w:val="22"/>
          </w:rPr>
          <w:t>https://doi.org/10.11124/JBIES-21-00483</w:t>
        </w:r>
      </w:hyperlink>
      <w:r w:rsidRPr="00592A01">
        <w:rPr>
          <w:rFonts w:ascii="Arial" w:hAnsi="Arial" w:cs="Arial"/>
          <w:sz w:val="22"/>
          <w:szCs w:val="22"/>
        </w:rPr>
        <w:t>.</w:t>
      </w:r>
    </w:p>
    <w:p w14:paraId="0956B101" w14:textId="77777777" w:rsidR="00DE5860" w:rsidRPr="00592A01" w:rsidRDefault="00DE5860" w:rsidP="00592A01">
      <w:pPr>
        <w:pStyle w:val="NormalWeb"/>
        <w:spacing w:line="360" w:lineRule="auto"/>
        <w:jc w:val="both"/>
        <w:rPr>
          <w:rFonts w:ascii="Arial" w:hAnsi="Arial" w:cs="Arial"/>
          <w:sz w:val="22"/>
          <w:szCs w:val="22"/>
        </w:rPr>
      </w:pPr>
      <w:r w:rsidRPr="00592A01">
        <w:rPr>
          <w:rFonts w:ascii="Arial" w:hAnsi="Arial" w:cs="Arial"/>
          <w:sz w:val="22"/>
          <w:szCs w:val="22"/>
        </w:rPr>
        <w:t xml:space="preserve">Peters, M.D.J. et al. (2022) ‘Best practice guidance and reporting items for the development of scoping review protocols’, JBI Evidence Synthesis, 20(4), pp. 953–968. Available at: </w:t>
      </w:r>
      <w:hyperlink r:id="rId9" w:history="1">
        <w:r w:rsidRPr="00592A01">
          <w:rPr>
            <w:rStyle w:val="Hyperlink"/>
            <w:rFonts w:ascii="Arial" w:eastAsiaTheme="majorEastAsia" w:hAnsi="Arial" w:cs="Arial"/>
            <w:sz w:val="22"/>
            <w:szCs w:val="22"/>
          </w:rPr>
          <w:t>https://doi.org/10.11124/JBIES-21-00242</w:t>
        </w:r>
      </w:hyperlink>
      <w:r w:rsidRPr="00592A01">
        <w:rPr>
          <w:rFonts w:ascii="Arial" w:hAnsi="Arial" w:cs="Arial"/>
          <w:sz w:val="22"/>
          <w:szCs w:val="22"/>
        </w:rPr>
        <w:t>.</w:t>
      </w:r>
    </w:p>
    <w:p w14:paraId="5DD116E1" w14:textId="77777777" w:rsidR="00DE5860" w:rsidRPr="00592A01" w:rsidRDefault="00DE5860" w:rsidP="00592A01">
      <w:pPr>
        <w:pStyle w:val="NormalWeb"/>
        <w:spacing w:line="360" w:lineRule="auto"/>
        <w:jc w:val="both"/>
        <w:rPr>
          <w:rFonts w:ascii="Arial" w:hAnsi="Arial" w:cs="Arial"/>
          <w:sz w:val="22"/>
          <w:szCs w:val="22"/>
        </w:rPr>
      </w:pPr>
      <w:r w:rsidRPr="00592A01">
        <w:rPr>
          <w:rFonts w:ascii="Arial" w:hAnsi="Arial" w:cs="Arial"/>
          <w:sz w:val="22"/>
          <w:szCs w:val="22"/>
        </w:rPr>
        <w:t xml:space="preserve">Pollock, D. et al. (2023) ‘Recommendations for the extraction, analysis, and presentation of results in scoping reviews’, JBI Evidence Synthesis, 21(3), pp. 520–532. Available at: </w:t>
      </w:r>
      <w:hyperlink r:id="rId10" w:history="1">
        <w:r w:rsidRPr="00592A01">
          <w:rPr>
            <w:rStyle w:val="Hyperlink"/>
            <w:rFonts w:ascii="Arial" w:eastAsiaTheme="majorEastAsia" w:hAnsi="Arial" w:cs="Arial"/>
            <w:sz w:val="22"/>
            <w:szCs w:val="22"/>
          </w:rPr>
          <w:t>https://doi.org/10.11124/JBIES-22-00123</w:t>
        </w:r>
      </w:hyperlink>
      <w:r w:rsidRPr="00592A01">
        <w:rPr>
          <w:rFonts w:ascii="Arial" w:hAnsi="Arial" w:cs="Arial"/>
          <w:sz w:val="22"/>
          <w:szCs w:val="22"/>
        </w:rPr>
        <w:t>.</w:t>
      </w:r>
    </w:p>
    <w:p w14:paraId="39679353" w14:textId="77777777" w:rsidR="00DE5860" w:rsidRPr="00592A01" w:rsidRDefault="00DE5860" w:rsidP="00592A01">
      <w:pPr>
        <w:pStyle w:val="NormalWeb"/>
        <w:spacing w:line="360" w:lineRule="auto"/>
        <w:jc w:val="both"/>
        <w:rPr>
          <w:rFonts w:ascii="Arial" w:hAnsi="Arial" w:cs="Arial"/>
          <w:sz w:val="22"/>
          <w:szCs w:val="22"/>
        </w:rPr>
      </w:pPr>
      <w:r w:rsidRPr="00592A01">
        <w:rPr>
          <w:rFonts w:ascii="Arial" w:hAnsi="Arial" w:cs="Arial"/>
          <w:sz w:val="22"/>
          <w:szCs w:val="22"/>
        </w:rPr>
        <w:t xml:space="preserve">Rethlefsen, M.L. et al. (2021) ‘PRISMA-S: an extension to the PRISMA Statement for Reporting Literature Searches in Systematic Reviews’, Systematic Reviews, 10, article 39. Available at: </w:t>
      </w:r>
      <w:hyperlink r:id="rId11" w:history="1">
        <w:r w:rsidRPr="00592A01">
          <w:rPr>
            <w:rStyle w:val="Hyperlink"/>
            <w:rFonts w:ascii="Arial" w:eastAsiaTheme="majorEastAsia" w:hAnsi="Arial" w:cs="Arial"/>
            <w:sz w:val="22"/>
            <w:szCs w:val="22"/>
          </w:rPr>
          <w:t>https://doi.org/10.1186/s13643-020-01542-z</w:t>
        </w:r>
      </w:hyperlink>
      <w:r w:rsidRPr="00592A01">
        <w:rPr>
          <w:rFonts w:ascii="Arial" w:hAnsi="Arial" w:cs="Arial"/>
          <w:sz w:val="22"/>
          <w:szCs w:val="22"/>
        </w:rPr>
        <w:t>.</w:t>
      </w:r>
    </w:p>
    <w:p w14:paraId="6A513A9C" w14:textId="77777777" w:rsidR="00DE5860" w:rsidRPr="00592A01" w:rsidRDefault="00DE5860" w:rsidP="00592A01">
      <w:pPr>
        <w:pStyle w:val="NormalWeb"/>
        <w:spacing w:line="360" w:lineRule="auto"/>
        <w:jc w:val="both"/>
        <w:rPr>
          <w:rFonts w:ascii="Arial" w:hAnsi="Arial" w:cs="Arial"/>
          <w:sz w:val="22"/>
          <w:szCs w:val="22"/>
        </w:rPr>
      </w:pPr>
      <w:r w:rsidRPr="00592A01">
        <w:rPr>
          <w:rFonts w:ascii="Arial" w:hAnsi="Arial" w:cs="Arial"/>
          <w:sz w:val="22"/>
          <w:szCs w:val="22"/>
        </w:rPr>
        <w:t xml:space="preserve">NHS England (2023) Inclusive digital healthcare: a framework for NHS action on digital inclusion. Available at: </w:t>
      </w:r>
      <w:hyperlink r:id="rId12" w:history="1">
        <w:r w:rsidRPr="00592A01">
          <w:rPr>
            <w:rStyle w:val="Hyperlink"/>
            <w:rFonts w:ascii="Arial" w:eastAsiaTheme="majorEastAsia" w:hAnsi="Arial" w:cs="Arial"/>
            <w:sz w:val="22"/>
            <w:szCs w:val="22"/>
          </w:rPr>
          <w:t>https://www.england.nhs.uk/long-read/inclusive-digital-healthcare-a-framework-for-nhs-action-on-digital-inclusion/</w:t>
        </w:r>
      </w:hyperlink>
    </w:p>
    <w:p w14:paraId="130F21F5" w14:textId="77777777" w:rsidR="004B053E" w:rsidRPr="00592A01" w:rsidRDefault="004B053E" w:rsidP="00592A01">
      <w:pPr>
        <w:spacing w:line="360" w:lineRule="auto"/>
        <w:jc w:val="both"/>
        <w:rPr>
          <w:rFonts w:ascii="Arial" w:hAnsi="Arial" w:cs="Arial"/>
          <w:sz w:val="22"/>
          <w:szCs w:val="22"/>
        </w:rPr>
      </w:pPr>
    </w:p>
    <w:sectPr w:rsidR="004B053E" w:rsidRPr="00592A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DD0AD9"/>
    <w:multiLevelType w:val="hybridMultilevel"/>
    <w:tmpl w:val="7082BCA4"/>
    <w:lvl w:ilvl="0" w:tplc="08090001">
      <w:start w:val="1"/>
      <w:numFmt w:val="bullet"/>
      <w:lvlText w:val=""/>
      <w:lvlJc w:val="left"/>
      <w:pPr>
        <w:ind w:left="1028" w:hanging="360"/>
      </w:pPr>
      <w:rPr>
        <w:rFonts w:ascii="Symbol" w:hAnsi="Symbol" w:hint="default"/>
      </w:rPr>
    </w:lvl>
    <w:lvl w:ilvl="1" w:tplc="08090003" w:tentative="1">
      <w:start w:val="1"/>
      <w:numFmt w:val="bullet"/>
      <w:lvlText w:val="o"/>
      <w:lvlJc w:val="left"/>
      <w:pPr>
        <w:ind w:left="1748" w:hanging="360"/>
      </w:pPr>
      <w:rPr>
        <w:rFonts w:ascii="Courier New" w:hAnsi="Courier New" w:cs="Courier New" w:hint="default"/>
      </w:rPr>
    </w:lvl>
    <w:lvl w:ilvl="2" w:tplc="08090005" w:tentative="1">
      <w:start w:val="1"/>
      <w:numFmt w:val="bullet"/>
      <w:lvlText w:val=""/>
      <w:lvlJc w:val="left"/>
      <w:pPr>
        <w:ind w:left="2468" w:hanging="360"/>
      </w:pPr>
      <w:rPr>
        <w:rFonts w:ascii="Wingdings" w:hAnsi="Wingdings" w:hint="default"/>
      </w:rPr>
    </w:lvl>
    <w:lvl w:ilvl="3" w:tplc="08090001" w:tentative="1">
      <w:start w:val="1"/>
      <w:numFmt w:val="bullet"/>
      <w:lvlText w:val=""/>
      <w:lvlJc w:val="left"/>
      <w:pPr>
        <w:ind w:left="3188" w:hanging="360"/>
      </w:pPr>
      <w:rPr>
        <w:rFonts w:ascii="Symbol" w:hAnsi="Symbol" w:hint="default"/>
      </w:rPr>
    </w:lvl>
    <w:lvl w:ilvl="4" w:tplc="08090003" w:tentative="1">
      <w:start w:val="1"/>
      <w:numFmt w:val="bullet"/>
      <w:lvlText w:val="o"/>
      <w:lvlJc w:val="left"/>
      <w:pPr>
        <w:ind w:left="3908" w:hanging="360"/>
      </w:pPr>
      <w:rPr>
        <w:rFonts w:ascii="Courier New" w:hAnsi="Courier New" w:cs="Courier New" w:hint="default"/>
      </w:rPr>
    </w:lvl>
    <w:lvl w:ilvl="5" w:tplc="08090005" w:tentative="1">
      <w:start w:val="1"/>
      <w:numFmt w:val="bullet"/>
      <w:lvlText w:val=""/>
      <w:lvlJc w:val="left"/>
      <w:pPr>
        <w:ind w:left="4628" w:hanging="360"/>
      </w:pPr>
      <w:rPr>
        <w:rFonts w:ascii="Wingdings" w:hAnsi="Wingdings" w:hint="default"/>
      </w:rPr>
    </w:lvl>
    <w:lvl w:ilvl="6" w:tplc="08090001" w:tentative="1">
      <w:start w:val="1"/>
      <w:numFmt w:val="bullet"/>
      <w:lvlText w:val=""/>
      <w:lvlJc w:val="left"/>
      <w:pPr>
        <w:ind w:left="5348" w:hanging="360"/>
      </w:pPr>
      <w:rPr>
        <w:rFonts w:ascii="Symbol" w:hAnsi="Symbol" w:hint="default"/>
      </w:rPr>
    </w:lvl>
    <w:lvl w:ilvl="7" w:tplc="08090003" w:tentative="1">
      <w:start w:val="1"/>
      <w:numFmt w:val="bullet"/>
      <w:lvlText w:val="o"/>
      <w:lvlJc w:val="left"/>
      <w:pPr>
        <w:ind w:left="6068" w:hanging="360"/>
      </w:pPr>
      <w:rPr>
        <w:rFonts w:ascii="Courier New" w:hAnsi="Courier New" w:cs="Courier New" w:hint="default"/>
      </w:rPr>
    </w:lvl>
    <w:lvl w:ilvl="8" w:tplc="08090005" w:tentative="1">
      <w:start w:val="1"/>
      <w:numFmt w:val="bullet"/>
      <w:lvlText w:val=""/>
      <w:lvlJc w:val="left"/>
      <w:pPr>
        <w:ind w:left="6788" w:hanging="360"/>
      </w:pPr>
      <w:rPr>
        <w:rFonts w:ascii="Wingdings" w:hAnsi="Wingdings" w:hint="default"/>
      </w:rPr>
    </w:lvl>
  </w:abstractNum>
  <w:num w:numId="1" w16cid:durableId="612396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860"/>
    <w:rsid w:val="0006303D"/>
    <w:rsid w:val="00193EBF"/>
    <w:rsid w:val="002B3FFF"/>
    <w:rsid w:val="00312236"/>
    <w:rsid w:val="00325EF8"/>
    <w:rsid w:val="004241DE"/>
    <w:rsid w:val="004B053E"/>
    <w:rsid w:val="00527789"/>
    <w:rsid w:val="00592A01"/>
    <w:rsid w:val="005E3CA3"/>
    <w:rsid w:val="00771208"/>
    <w:rsid w:val="00790F58"/>
    <w:rsid w:val="007A4A0D"/>
    <w:rsid w:val="007E5649"/>
    <w:rsid w:val="00841BE0"/>
    <w:rsid w:val="00874398"/>
    <w:rsid w:val="008C11CC"/>
    <w:rsid w:val="0093128C"/>
    <w:rsid w:val="00AA47C0"/>
    <w:rsid w:val="00AB612F"/>
    <w:rsid w:val="00AC5BDE"/>
    <w:rsid w:val="00CA06C0"/>
    <w:rsid w:val="00CF34DA"/>
    <w:rsid w:val="00D75ED2"/>
    <w:rsid w:val="00DE5860"/>
    <w:rsid w:val="00E515EF"/>
    <w:rsid w:val="00EF131F"/>
    <w:rsid w:val="00FA39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421EC"/>
  <w15:chartTrackingRefBased/>
  <w15:docId w15:val="{CF6249B1-B098-3A4F-A3EC-44545704A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58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E58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E58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58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58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58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58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58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58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58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E58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E58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58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58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58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58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58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5860"/>
    <w:rPr>
      <w:rFonts w:eastAsiaTheme="majorEastAsia" w:cstheme="majorBidi"/>
      <w:color w:val="272727" w:themeColor="text1" w:themeTint="D8"/>
    </w:rPr>
  </w:style>
  <w:style w:type="paragraph" w:styleId="Title">
    <w:name w:val="Title"/>
    <w:basedOn w:val="Normal"/>
    <w:next w:val="Normal"/>
    <w:link w:val="TitleChar"/>
    <w:uiPriority w:val="10"/>
    <w:qFormat/>
    <w:rsid w:val="00DE58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58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58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58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5860"/>
    <w:pPr>
      <w:spacing w:before="160"/>
      <w:jc w:val="center"/>
    </w:pPr>
    <w:rPr>
      <w:i/>
      <w:iCs/>
      <w:color w:val="404040" w:themeColor="text1" w:themeTint="BF"/>
    </w:rPr>
  </w:style>
  <w:style w:type="character" w:customStyle="1" w:styleId="QuoteChar">
    <w:name w:val="Quote Char"/>
    <w:basedOn w:val="DefaultParagraphFont"/>
    <w:link w:val="Quote"/>
    <w:uiPriority w:val="29"/>
    <w:rsid w:val="00DE5860"/>
    <w:rPr>
      <w:i/>
      <w:iCs/>
      <w:color w:val="404040" w:themeColor="text1" w:themeTint="BF"/>
    </w:rPr>
  </w:style>
  <w:style w:type="paragraph" w:styleId="ListParagraph">
    <w:name w:val="List Paragraph"/>
    <w:basedOn w:val="Normal"/>
    <w:uiPriority w:val="34"/>
    <w:qFormat/>
    <w:rsid w:val="00DE5860"/>
    <w:pPr>
      <w:ind w:left="720"/>
      <w:contextualSpacing/>
    </w:pPr>
  </w:style>
  <w:style w:type="character" w:styleId="IntenseEmphasis">
    <w:name w:val="Intense Emphasis"/>
    <w:basedOn w:val="DefaultParagraphFont"/>
    <w:uiPriority w:val="21"/>
    <w:qFormat/>
    <w:rsid w:val="00DE5860"/>
    <w:rPr>
      <w:i/>
      <w:iCs/>
      <w:color w:val="0F4761" w:themeColor="accent1" w:themeShade="BF"/>
    </w:rPr>
  </w:style>
  <w:style w:type="paragraph" w:styleId="IntenseQuote">
    <w:name w:val="Intense Quote"/>
    <w:basedOn w:val="Normal"/>
    <w:next w:val="Normal"/>
    <w:link w:val="IntenseQuoteChar"/>
    <w:uiPriority w:val="30"/>
    <w:qFormat/>
    <w:rsid w:val="00DE58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5860"/>
    <w:rPr>
      <w:i/>
      <w:iCs/>
      <w:color w:val="0F4761" w:themeColor="accent1" w:themeShade="BF"/>
    </w:rPr>
  </w:style>
  <w:style w:type="character" w:styleId="IntenseReference">
    <w:name w:val="Intense Reference"/>
    <w:basedOn w:val="DefaultParagraphFont"/>
    <w:uiPriority w:val="32"/>
    <w:qFormat/>
    <w:rsid w:val="00DE5860"/>
    <w:rPr>
      <w:b/>
      <w:bCs/>
      <w:smallCaps/>
      <w:color w:val="0F4761" w:themeColor="accent1" w:themeShade="BF"/>
      <w:spacing w:val="5"/>
    </w:rPr>
  </w:style>
  <w:style w:type="paragraph" w:styleId="NormalWeb">
    <w:name w:val="Normal (Web)"/>
    <w:basedOn w:val="Normal"/>
    <w:uiPriority w:val="99"/>
    <w:semiHidden/>
    <w:unhideWhenUsed/>
    <w:rsid w:val="00DE586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DE5860"/>
    <w:rPr>
      <w:color w:val="0000FF"/>
      <w:u w:val="single"/>
    </w:rPr>
  </w:style>
  <w:style w:type="character" w:styleId="Strong">
    <w:name w:val="Strong"/>
    <w:basedOn w:val="DefaultParagraphFont"/>
    <w:uiPriority w:val="22"/>
    <w:qFormat/>
    <w:rsid w:val="00DE5860"/>
    <w:rPr>
      <w:b/>
      <w:bCs/>
    </w:rPr>
  </w:style>
  <w:style w:type="character" w:styleId="Emphasis">
    <w:name w:val="Emphasis"/>
    <w:basedOn w:val="DefaultParagraphFont"/>
    <w:uiPriority w:val="20"/>
    <w:qFormat/>
    <w:rsid w:val="00DE586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16942">
      <w:bodyDiv w:val="1"/>
      <w:marLeft w:val="0"/>
      <w:marRight w:val="0"/>
      <w:marTop w:val="0"/>
      <w:marBottom w:val="0"/>
      <w:divBdr>
        <w:top w:val="none" w:sz="0" w:space="0" w:color="auto"/>
        <w:left w:val="none" w:sz="0" w:space="0" w:color="auto"/>
        <w:bottom w:val="none" w:sz="0" w:space="0" w:color="auto"/>
        <w:right w:val="none" w:sz="0" w:space="0" w:color="auto"/>
      </w:divBdr>
    </w:div>
    <w:div w:id="820729101">
      <w:bodyDiv w:val="1"/>
      <w:marLeft w:val="0"/>
      <w:marRight w:val="0"/>
      <w:marTop w:val="0"/>
      <w:marBottom w:val="0"/>
      <w:divBdr>
        <w:top w:val="none" w:sz="0" w:space="0" w:color="auto"/>
        <w:left w:val="none" w:sz="0" w:space="0" w:color="auto"/>
        <w:bottom w:val="none" w:sz="0" w:space="0" w:color="auto"/>
        <w:right w:val="none" w:sz="0" w:space="0" w:color="auto"/>
      </w:divBdr>
    </w:div>
    <w:div w:id="856581479">
      <w:bodyDiv w:val="1"/>
      <w:marLeft w:val="0"/>
      <w:marRight w:val="0"/>
      <w:marTop w:val="0"/>
      <w:marBottom w:val="0"/>
      <w:divBdr>
        <w:top w:val="none" w:sz="0" w:space="0" w:color="auto"/>
        <w:left w:val="none" w:sz="0" w:space="0" w:color="auto"/>
        <w:bottom w:val="none" w:sz="0" w:space="0" w:color="auto"/>
        <w:right w:val="none" w:sz="0" w:space="0" w:color="auto"/>
      </w:divBdr>
    </w:div>
    <w:div w:id="1385255464">
      <w:bodyDiv w:val="1"/>
      <w:marLeft w:val="0"/>
      <w:marRight w:val="0"/>
      <w:marTop w:val="0"/>
      <w:marBottom w:val="0"/>
      <w:divBdr>
        <w:top w:val="none" w:sz="0" w:space="0" w:color="auto"/>
        <w:left w:val="none" w:sz="0" w:space="0" w:color="auto"/>
        <w:bottom w:val="none" w:sz="0" w:space="0" w:color="auto"/>
        <w:right w:val="none" w:sz="0" w:space="0" w:color="auto"/>
      </w:divBdr>
    </w:div>
    <w:div w:id="1445267485">
      <w:bodyDiv w:val="1"/>
      <w:marLeft w:val="0"/>
      <w:marRight w:val="0"/>
      <w:marTop w:val="0"/>
      <w:marBottom w:val="0"/>
      <w:divBdr>
        <w:top w:val="none" w:sz="0" w:space="0" w:color="auto"/>
        <w:left w:val="none" w:sz="0" w:space="0" w:color="auto"/>
        <w:bottom w:val="none" w:sz="0" w:space="0" w:color="auto"/>
        <w:right w:val="none" w:sz="0" w:space="0" w:color="auto"/>
      </w:divBdr>
      <w:divsChild>
        <w:div w:id="1959290326">
          <w:marLeft w:val="0"/>
          <w:marRight w:val="0"/>
          <w:marTop w:val="0"/>
          <w:marBottom w:val="0"/>
          <w:divBdr>
            <w:top w:val="none" w:sz="0" w:space="0" w:color="auto"/>
            <w:left w:val="none" w:sz="0" w:space="0" w:color="auto"/>
            <w:bottom w:val="none" w:sz="0" w:space="0" w:color="auto"/>
            <w:right w:val="none" w:sz="0" w:space="0" w:color="auto"/>
          </w:divBdr>
        </w:div>
      </w:divsChild>
    </w:div>
    <w:div w:id="1763181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24/JBIES-21-00483?utm_source=chatgpt.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2196/37100?utm_source=chatgpt.com" TargetMode="External"/><Relationship Id="rId12" Type="http://schemas.openxmlformats.org/officeDocument/2006/relationships/hyperlink" Target="https://www.england.nhs.uk/long-read/inclusive-digital-healthcare-a-framework-for-nhs-action-on-digital-inclusion/?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s://doi.org/10.1186/s13643-020-01542-z?utm_source=chatgpt.com" TargetMode="External"/><Relationship Id="rId5" Type="http://schemas.openxmlformats.org/officeDocument/2006/relationships/image" Target="media/image1.png"/><Relationship Id="rId10" Type="http://schemas.openxmlformats.org/officeDocument/2006/relationships/hyperlink" Target="https://doi.org/10.11124/JBIES-22-00123?utm_source=chatgpt.com" TargetMode="External"/><Relationship Id="rId4" Type="http://schemas.openxmlformats.org/officeDocument/2006/relationships/webSettings" Target="webSettings.xml"/><Relationship Id="rId9" Type="http://schemas.openxmlformats.org/officeDocument/2006/relationships/hyperlink" Target="https://doi.org/10.11124/JBIES-21-00242?utm_source=chatgp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366</TotalTime>
  <Pages>4</Pages>
  <Words>785</Words>
  <Characters>5306</Characters>
  <Application>Microsoft Office Word</Application>
  <DocSecurity>0</DocSecurity>
  <Lines>112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Corazon Gallardo Parayno (2427265)</dc:creator>
  <cp:keywords/>
  <dc:description/>
  <cp:lastModifiedBy>Corazon Gallardo Parayno (2427265)</cp:lastModifiedBy>
  <cp:revision>3</cp:revision>
  <dcterms:created xsi:type="dcterms:W3CDTF">2026-10-24T15:16:00Z</dcterms:created>
  <dcterms:modified xsi:type="dcterms:W3CDTF">2026-10-24T22:04:00Z</dcterms:modified>
</cp:coreProperties>
</file>