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DE3D2B8" w14:textId="77777777" w:rsidR="00E03793" w:rsidRDefault="00E03793">
      <w:pPr>
        <w:spacing w:line="240" w:lineRule="auto"/>
        <w:rPr>
          <w:rFonts w:ascii="Times New Roman" w:eastAsia="Times New Roman" w:hAnsi="Times New Roman" w:cs="Times New Roman"/>
          <w:sz w:val="20"/>
          <w:szCs w:val="20"/>
        </w:rPr>
      </w:pPr>
    </w:p>
    <w:p w14:paraId="0817C3C3" w14:textId="77777777" w:rsidR="00E03793" w:rsidRDefault="00E03793">
      <w:pPr>
        <w:spacing w:line="240" w:lineRule="auto"/>
        <w:rPr>
          <w:rFonts w:ascii="Times New Roman" w:eastAsia="Times New Roman" w:hAnsi="Times New Roman" w:cs="Times New Roman"/>
          <w:sz w:val="20"/>
          <w:szCs w:val="20"/>
        </w:rPr>
      </w:pPr>
    </w:p>
    <w:p w14:paraId="12BDC2A5" w14:textId="77777777" w:rsidR="00E03793" w:rsidRDefault="00E03793">
      <w:pPr>
        <w:spacing w:line="240" w:lineRule="auto"/>
        <w:rPr>
          <w:rFonts w:ascii="Times New Roman" w:eastAsia="Times New Roman" w:hAnsi="Times New Roman" w:cs="Times New Roman"/>
          <w:sz w:val="20"/>
          <w:szCs w:val="20"/>
        </w:rPr>
      </w:pPr>
    </w:p>
    <w:p w14:paraId="14E0ED44" w14:textId="77777777" w:rsidR="00E03793" w:rsidRDefault="00E03793">
      <w:pPr>
        <w:spacing w:line="240" w:lineRule="auto"/>
        <w:rPr>
          <w:rFonts w:ascii="Times New Roman" w:eastAsia="Times New Roman" w:hAnsi="Times New Roman" w:cs="Times New Roman"/>
          <w:sz w:val="20"/>
          <w:szCs w:val="20"/>
        </w:rPr>
      </w:pPr>
    </w:p>
    <w:p w14:paraId="13FAFB75" w14:textId="77777777" w:rsidR="00E03793" w:rsidRDefault="00E03793">
      <w:pPr>
        <w:spacing w:line="240" w:lineRule="auto"/>
        <w:rPr>
          <w:rFonts w:ascii="Times New Roman" w:eastAsia="Times New Roman" w:hAnsi="Times New Roman" w:cs="Times New Roman"/>
          <w:sz w:val="20"/>
          <w:szCs w:val="20"/>
        </w:rPr>
      </w:pPr>
    </w:p>
    <w:p w14:paraId="1E8D825C" w14:textId="77777777" w:rsidR="00E03793" w:rsidRDefault="00E03793">
      <w:pPr>
        <w:spacing w:line="240" w:lineRule="auto"/>
        <w:rPr>
          <w:rFonts w:ascii="Times New Roman" w:eastAsia="Times New Roman" w:hAnsi="Times New Roman" w:cs="Times New Roman"/>
          <w:sz w:val="20"/>
          <w:szCs w:val="20"/>
        </w:rPr>
      </w:pPr>
    </w:p>
    <w:p w14:paraId="35CEC882" w14:textId="77777777" w:rsidR="00E03793" w:rsidRDefault="00E03793">
      <w:pPr>
        <w:spacing w:line="240" w:lineRule="auto"/>
        <w:rPr>
          <w:rFonts w:ascii="Times New Roman" w:eastAsia="Times New Roman" w:hAnsi="Times New Roman" w:cs="Times New Roman"/>
          <w:sz w:val="20"/>
          <w:szCs w:val="20"/>
        </w:rPr>
      </w:pPr>
    </w:p>
    <w:p w14:paraId="58EEE8D5" w14:textId="77777777" w:rsidR="00E03793" w:rsidRDefault="00E03793">
      <w:pPr>
        <w:spacing w:line="240" w:lineRule="auto"/>
        <w:rPr>
          <w:rFonts w:ascii="Times New Roman" w:eastAsia="Times New Roman" w:hAnsi="Times New Roman" w:cs="Times New Roman"/>
          <w:sz w:val="20"/>
          <w:szCs w:val="20"/>
        </w:rPr>
      </w:pPr>
    </w:p>
    <w:p w14:paraId="606729C4" w14:textId="77777777" w:rsidR="00E03793" w:rsidRDefault="00E03793">
      <w:pPr>
        <w:spacing w:line="240" w:lineRule="auto"/>
        <w:rPr>
          <w:rFonts w:ascii="Times New Roman" w:eastAsia="Times New Roman" w:hAnsi="Times New Roman" w:cs="Times New Roman"/>
          <w:sz w:val="20"/>
          <w:szCs w:val="20"/>
        </w:rPr>
      </w:pPr>
    </w:p>
    <w:p w14:paraId="0C99B02B" w14:textId="7C50C482" w:rsidR="00BD27BB" w:rsidRDefault="00BD27BB" w:rsidP="00BD27BB">
      <w:pPr>
        <w:spacing w:line="240" w:lineRule="auto"/>
        <w:jc w:val="center"/>
        <w:rPr>
          <w:rFonts w:ascii="Times New Roman" w:eastAsia="Times New Roman" w:hAnsi="Times New Roman" w:cs="Times New Roman"/>
          <w:b/>
          <w:i/>
          <w:sz w:val="52"/>
          <w:szCs w:val="52"/>
        </w:rPr>
      </w:pPr>
      <w:r w:rsidRPr="00BD27BB">
        <w:rPr>
          <w:b/>
          <w:sz w:val="52"/>
          <w:szCs w:val="52"/>
        </w:rPr>
        <w:t>International Financial Management</w:t>
      </w:r>
    </w:p>
    <w:p w14:paraId="02C8E3B3" w14:textId="77777777" w:rsidR="00BD27BB" w:rsidRPr="00BD27BB" w:rsidRDefault="00BD27BB" w:rsidP="00BD27BB">
      <w:pPr>
        <w:spacing w:line="240" w:lineRule="auto"/>
        <w:jc w:val="center"/>
        <w:rPr>
          <w:rFonts w:ascii="Times New Roman" w:eastAsia="Times New Roman" w:hAnsi="Times New Roman" w:cs="Times New Roman"/>
          <w:b/>
          <w:i/>
          <w:sz w:val="52"/>
          <w:szCs w:val="52"/>
        </w:rPr>
      </w:pPr>
    </w:p>
    <w:p w14:paraId="7403787B" w14:textId="772A0191" w:rsidR="00BD27BB" w:rsidRPr="00BD27BB" w:rsidRDefault="00BD27BB" w:rsidP="00BD27BB">
      <w:pPr>
        <w:spacing w:line="240" w:lineRule="auto"/>
        <w:jc w:val="center"/>
        <w:rPr>
          <w:rFonts w:ascii="Times New Roman" w:eastAsia="Times New Roman" w:hAnsi="Times New Roman" w:cs="Times New Roman"/>
          <w:b/>
          <w:i/>
          <w:sz w:val="40"/>
          <w:szCs w:val="40"/>
        </w:rPr>
      </w:pPr>
      <w:r w:rsidRPr="00BD27BB">
        <w:rPr>
          <w:rFonts w:ascii="Times New Roman" w:eastAsia="Times New Roman" w:hAnsi="Times New Roman" w:cs="Times New Roman"/>
          <w:b/>
          <w:i/>
          <w:sz w:val="40"/>
          <w:szCs w:val="40"/>
        </w:rPr>
        <w:t>Module Code: LCBB</w:t>
      </w:r>
      <w:r w:rsidRPr="00BD27BB">
        <w:rPr>
          <w:rFonts w:ascii="Times New Roman" w:eastAsia="Times New Roman" w:hAnsi="Times New Roman" w:cs="Times New Roman"/>
          <w:b/>
          <w:i/>
          <w:sz w:val="40"/>
          <w:szCs w:val="40"/>
        </w:rPr>
        <w:t>6002</w:t>
      </w:r>
    </w:p>
    <w:p w14:paraId="3437FDF3" w14:textId="77777777" w:rsidR="00BD27BB" w:rsidRPr="00BD27BB" w:rsidRDefault="00BD27BB" w:rsidP="00BD27BB">
      <w:pPr>
        <w:spacing w:line="240" w:lineRule="auto"/>
        <w:jc w:val="center"/>
        <w:rPr>
          <w:rFonts w:ascii="Times New Roman" w:eastAsia="Times New Roman" w:hAnsi="Times New Roman" w:cs="Times New Roman"/>
          <w:b/>
          <w:i/>
          <w:sz w:val="32"/>
          <w:szCs w:val="32"/>
        </w:rPr>
      </w:pPr>
    </w:p>
    <w:p w14:paraId="443208C2" w14:textId="77777777" w:rsidR="00BD27BB" w:rsidRDefault="00BD27BB" w:rsidP="00BD27BB">
      <w:pPr>
        <w:spacing w:line="240" w:lineRule="auto"/>
        <w:jc w:val="center"/>
        <w:rPr>
          <w:rFonts w:ascii="Times New Roman" w:eastAsia="Times New Roman" w:hAnsi="Times New Roman" w:cs="Times New Roman"/>
          <w:b/>
          <w:i/>
          <w:sz w:val="32"/>
          <w:szCs w:val="32"/>
        </w:rPr>
      </w:pPr>
      <w:r w:rsidRPr="00BD27BB">
        <w:rPr>
          <w:rFonts w:ascii="Times New Roman" w:eastAsia="Times New Roman" w:hAnsi="Times New Roman" w:cs="Times New Roman"/>
          <w:b/>
          <w:i/>
          <w:sz w:val="32"/>
          <w:szCs w:val="32"/>
        </w:rPr>
        <w:t>Student name: Cristina Madalina Carare</w:t>
      </w:r>
    </w:p>
    <w:p w14:paraId="6AF2B684" w14:textId="77777777" w:rsidR="00BD27BB" w:rsidRDefault="00BD27BB" w:rsidP="00BD27BB">
      <w:pPr>
        <w:spacing w:line="240" w:lineRule="auto"/>
        <w:jc w:val="center"/>
        <w:rPr>
          <w:rFonts w:ascii="Times New Roman" w:eastAsia="Times New Roman" w:hAnsi="Times New Roman" w:cs="Times New Roman"/>
          <w:b/>
          <w:i/>
          <w:sz w:val="32"/>
          <w:szCs w:val="32"/>
        </w:rPr>
      </w:pPr>
      <w:r w:rsidRPr="00BD27BB">
        <w:rPr>
          <w:rFonts w:ascii="Times New Roman" w:eastAsia="Times New Roman" w:hAnsi="Times New Roman" w:cs="Times New Roman"/>
          <w:b/>
          <w:i/>
          <w:sz w:val="32"/>
          <w:szCs w:val="32"/>
        </w:rPr>
        <w:t>Student ID: 2246441</w:t>
      </w:r>
    </w:p>
    <w:p w14:paraId="11B86B22" w14:textId="77777777" w:rsidR="00BD27BB" w:rsidRPr="00BD27BB" w:rsidRDefault="00BD27BB" w:rsidP="00BD27BB">
      <w:pPr>
        <w:spacing w:line="240" w:lineRule="auto"/>
        <w:jc w:val="center"/>
        <w:rPr>
          <w:rFonts w:ascii="Times New Roman" w:eastAsia="Times New Roman" w:hAnsi="Times New Roman" w:cs="Times New Roman"/>
          <w:b/>
          <w:i/>
          <w:sz w:val="32"/>
          <w:szCs w:val="32"/>
        </w:rPr>
      </w:pPr>
    </w:p>
    <w:p w14:paraId="4E86E0E7" w14:textId="3293700F" w:rsidR="00BD27BB" w:rsidRPr="00BD27BB" w:rsidRDefault="00BD27BB" w:rsidP="00BD27BB">
      <w:pPr>
        <w:spacing w:line="240" w:lineRule="auto"/>
        <w:jc w:val="center"/>
        <w:rPr>
          <w:rFonts w:ascii="Times New Roman" w:eastAsia="Times New Roman" w:hAnsi="Times New Roman" w:cs="Times New Roman"/>
          <w:b/>
          <w:bCs/>
          <w:i/>
          <w:sz w:val="32"/>
          <w:szCs w:val="32"/>
        </w:rPr>
      </w:pPr>
      <w:r w:rsidRPr="00BD27BB">
        <w:rPr>
          <w:rFonts w:ascii="Times New Roman" w:eastAsia="Times New Roman" w:hAnsi="Times New Roman" w:cs="Times New Roman"/>
          <w:b/>
          <w:bCs/>
          <w:i/>
          <w:sz w:val="32"/>
          <w:szCs w:val="32"/>
        </w:rPr>
        <w:t xml:space="preserve">Component </w:t>
      </w:r>
      <w:r>
        <w:rPr>
          <w:rFonts w:ascii="Times New Roman" w:eastAsia="Times New Roman" w:hAnsi="Times New Roman" w:cs="Times New Roman"/>
          <w:b/>
          <w:bCs/>
          <w:i/>
          <w:sz w:val="32"/>
          <w:szCs w:val="32"/>
        </w:rPr>
        <w:t>1</w:t>
      </w:r>
      <w:r w:rsidRPr="00BD27BB">
        <w:rPr>
          <w:rFonts w:ascii="Times New Roman" w:eastAsia="Times New Roman" w:hAnsi="Times New Roman" w:cs="Times New Roman"/>
          <w:b/>
          <w:bCs/>
          <w:i/>
          <w:sz w:val="32"/>
          <w:szCs w:val="32"/>
        </w:rPr>
        <w:t xml:space="preserve">: </w:t>
      </w:r>
      <w:r w:rsidRPr="00BD27BB">
        <w:rPr>
          <w:rFonts w:ascii="Times New Roman" w:hAnsi="Times New Roman" w:cs="Times New Roman"/>
          <w:b/>
          <w:i/>
          <w:iCs/>
          <w:sz w:val="32"/>
          <w:szCs w:val="32"/>
        </w:rPr>
        <w:t>Written Report</w:t>
      </w:r>
    </w:p>
    <w:p w14:paraId="276EE35F" w14:textId="4B27B72F" w:rsidR="00BD27BB" w:rsidRPr="00BD27BB" w:rsidRDefault="00BD27BB" w:rsidP="00BD27BB">
      <w:pPr>
        <w:spacing w:line="240" w:lineRule="auto"/>
        <w:jc w:val="center"/>
        <w:rPr>
          <w:rFonts w:ascii="Times New Roman" w:eastAsia="Times New Roman" w:hAnsi="Times New Roman" w:cs="Times New Roman"/>
          <w:b/>
          <w:i/>
          <w:sz w:val="32"/>
          <w:szCs w:val="32"/>
        </w:rPr>
      </w:pPr>
      <w:r w:rsidRPr="00BD27BB">
        <w:rPr>
          <w:rFonts w:ascii="Times New Roman" w:eastAsia="Times New Roman" w:hAnsi="Times New Roman" w:cs="Times New Roman"/>
          <w:b/>
          <w:i/>
          <w:sz w:val="32"/>
          <w:szCs w:val="32"/>
        </w:rPr>
        <w:t>Module Le</w:t>
      </w:r>
      <w:r>
        <w:rPr>
          <w:rFonts w:ascii="Times New Roman" w:eastAsia="Times New Roman" w:hAnsi="Times New Roman" w:cs="Times New Roman"/>
          <w:b/>
          <w:i/>
          <w:sz w:val="32"/>
          <w:szCs w:val="32"/>
        </w:rPr>
        <w:t>cturer</w:t>
      </w:r>
      <w:r w:rsidRPr="00BD27BB">
        <w:rPr>
          <w:rFonts w:ascii="Times New Roman" w:eastAsia="Times New Roman" w:hAnsi="Times New Roman" w:cs="Times New Roman"/>
          <w:b/>
          <w:i/>
          <w:sz w:val="32"/>
          <w:szCs w:val="32"/>
        </w:rPr>
        <w:t>: Dr. Mudassar Hasan</w:t>
      </w:r>
    </w:p>
    <w:p w14:paraId="6B241219" w14:textId="77777777" w:rsidR="00E03793" w:rsidRDefault="00000000">
      <w:pPr>
        <w:spacing w:line="240" w:lineRule="auto"/>
        <w:rPr>
          <w:rFonts w:ascii="Times New Roman" w:eastAsia="Times New Roman" w:hAnsi="Times New Roman" w:cs="Times New Roman"/>
        </w:rPr>
      </w:pPr>
      <w:r>
        <w:br w:type="page"/>
      </w:r>
    </w:p>
    <w:p w14:paraId="61D73E58" w14:textId="77777777" w:rsidR="00E03793" w:rsidRDefault="00E03793">
      <w:pPr>
        <w:spacing w:line="240" w:lineRule="auto"/>
        <w:rPr>
          <w:rFonts w:ascii="Times New Roman" w:eastAsia="Times New Roman" w:hAnsi="Times New Roman" w:cs="Times New Roman"/>
          <w:b/>
          <w:sz w:val="24"/>
          <w:szCs w:val="24"/>
        </w:rPr>
      </w:pPr>
    </w:p>
    <w:p w14:paraId="197F9A27" w14:textId="77777777" w:rsidR="00E03793" w:rsidRDefault="00E03793">
      <w:pPr>
        <w:spacing w:line="240" w:lineRule="auto"/>
        <w:ind w:right="919"/>
        <w:jc w:val="both"/>
        <w:rPr>
          <w:rFonts w:ascii="Times New Roman" w:eastAsia="Times New Roman" w:hAnsi="Times New Roman" w:cs="Times New Roman"/>
          <w:b/>
          <w:sz w:val="24"/>
          <w:szCs w:val="24"/>
        </w:rPr>
      </w:pPr>
    </w:p>
    <w:p w14:paraId="4F497806" w14:textId="77777777" w:rsidR="00E03793" w:rsidRDefault="00E03793">
      <w:pPr>
        <w:spacing w:line="240" w:lineRule="auto"/>
        <w:ind w:right="919"/>
        <w:jc w:val="both"/>
        <w:rPr>
          <w:rFonts w:ascii="Times New Roman" w:eastAsia="Times New Roman" w:hAnsi="Times New Roman" w:cs="Times New Roman"/>
          <w:b/>
          <w:sz w:val="24"/>
          <w:szCs w:val="24"/>
        </w:rPr>
      </w:pPr>
    </w:p>
    <w:p w14:paraId="508E5E50" w14:textId="77777777" w:rsidR="00E03793" w:rsidRDefault="00E03793">
      <w:pPr>
        <w:ind w:right="919"/>
        <w:jc w:val="center"/>
        <w:rPr>
          <w:rFonts w:ascii="Times New Roman" w:eastAsia="Times New Roman" w:hAnsi="Times New Roman" w:cs="Times New Roman"/>
          <w:b/>
          <w:sz w:val="28"/>
          <w:szCs w:val="28"/>
        </w:rPr>
      </w:pPr>
    </w:p>
    <w:p w14:paraId="00C4FEA1" w14:textId="77777777" w:rsidR="00E03793" w:rsidRDefault="00E03793">
      <w:pPr>
        <w:ind w:right="919"/>
        <w:jc w:val="center"/>
        <w:rPr>
          <w:rFonts w:ascii="Times New Roman" w:eastAsia="Times New Roman" w:hAnsi="Times New Roman" w:cs="Times New Roman"/>
          <w:b/>
          <w:sz w:val="28"/>
          <w:szCs w:val="28"/>
        </w:rPr>
      </w:pPr>
    </w:p>
    <w:p w14:paraId="2069189E" w14:textId="77777777" w:rsidR="00E03793" w:rsidRDefault="00E03793">
      <w:pPr>
        <w:ind w:right="919"/>
        <w:jc w:val="center"/>
        <w:rPr>
          <w:rFonts w:ascii="Times New Roman" w:eastAsia="Times New Roman" w:hAnsi="Times New Roman" w:cs="Times New Roman"/>
          <w:b/>
          <w:sz w:val="28"/>
          <w:szCs w:val="28"/>
        </w:rPr>
      </w:pPr>
    </w:p>
    <w:p w14:paraId="7AE22CBA" w14:textId="77777777" w:rsidR="00E03793" w:rsidRDefault="00E03793">
      <w:pPr>
        <w:ind w:right="919"/>
        <w:jc w:val="center"/>
        <w:rPr>
          <w:rFonts w:ascii="Times New Roman" w:eastAsia="Times New Roman" w:hAnsi="Times New Roman" w:cs="Times New Roman"/>
          <w:b/>
          <w:sz w:val="28"/>
          <w:szCs w:val="28"/>
        </w:rPr>
      </w:pPr>
    </w:p>
    <w:p w14:paraId="51DAE447" w14:textId="77777777" w:rsidR="00E03793" w:rsidRDefault="00E03793">
      <w:pPr>
        <w:ind w:right="919"/>
        <w:rPr>
          <w:rFonts w:ascii="Times New Roman" w:eastAsia="Times New Roman" w:hAnsi="Times New Roman" w:cs="Times New Roman"/>
          <w:b/>
          <w:sz w:val="28"/>
          <w:szCs w:val="28"/>
        </w:rPr>
      </w:pPr>
    </w:p>
    <w:p w14:paraId="55744E09" w14:textId="77777777" w:rsidR="00E03793" w:rsidRDefault="00E03793">
      <w:pPr>
        <w:ind w:right="919"/>
        <w:jc w:val="center"/>
        <w:rPr>
          <w:rFonts w:ascii="Times New Roman" w:eastAsia="Times New Roman" w:hAnsi="Times New Roman" w:cs="Times New Roman"/>
          <w:b/>
          <w:sz w:val="28"/>
          <w:szCs w:val="28"/>
        </w:rPr>
      </w:pPr>
    </w:p>
    <w:p w14:paraId="69E28BBB" w14:textId="77777777" w:rsidR="00E03793" w:rsidRDefault="00E03793">
      <w:pPr>
        <w:ind w:right="919"/>
        <w:jc w:val="center"/>
        <w:rPr>
          <w:rFonts w:ascii="Times New Roman" w:eastAsia="Times New Roman" w:hAnsi="Times New Roman" w:cs="Times New Roman"/>
          <w:b/>
          <w:sz w:val="28"/>
          <w:szCs w:val="28"/>
        </w:rPr>
      </w:pPr>
    </w:p>
    <w:p w14:paraId="33176452" w14:textId="77777777" w:rsidR="00E03793" w:rsidRDefault="00000000">
      <w:pPr>
        <w:ind w:right="91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CONTENTS</w:t>
      </w:r>
    </w:p>
    <w:p w14:paraId="23705A09" w14:textId="77777777" w:rsidR="00E03793" w:rsidRDefault="00E03793">
      <w:pPr>
        <w:ind w:right="919"/>
      </w:pPr>
    </w:p>
    <w:sdt>
      <w:sdtPr>
        <w:id w:val="1281148955"/>
        <w:docPartObj>
          <w:docPartGallery w:val="Table of Contents"/>
          <w:docPartUnique/>
        </w:docPartObj>
      </w:sdtPr>
      <w:sdtContent>
        <w:p w14:paraId="48AE9B27" w14:textId="01AE3C34" w:rsidR="00BD27BB" w:rsidRDefault="00000000">
          <w:pPr>
            <w:pStyle w:val="TOC1"/>
            <w:tabs>
              <w:tab w:val="right" w:leader="dot" w:pos="9975"/>
            </w:tabs>
            <w:rPr>
              <w:noProof/>
            </w:rPr>
          </w:pPr>
          <w:r>
            <w:fldChar w:fldCharType="begin"/>
          </w:r>
          <w:r>
            <w:instrText xml:space="preserve"> TOC \h \u \z \t "Heading 1,1,Heading 2,2,Heading 3,3,Heading 4,4,Heading 5,5,Heading 6,6,"</w:instrText>
          </w:r>
          <w:r>
            <w:fldChar w:fldCharType="separate"/>
          </w:r>
          <w:hyperlink w:anchor="_Toc200908882" w:history="1">
            <w:r w:rsidR="00BD27BB" w:rsidRPr="001F08F4">
              <w:rPr>
                <w:rStyle w:val="Hyperlink"/>
                <w:noProof/>
              </w:rPr>
              <w:t>Executive Summary</w:t>
            </w:r>
            <w:r w:rsidR="00BD27BB">
              <w:rPr>
                <w:noProof/>
                <w:webHidden/>
              </w:rPr>
              <w:tab/>
            </w:r>
            <w:r w:rsidR="00BD27BB">
              <w:rPr>
                <w:noProof/>
                <w:webHidden/>
              </w:rPr>
              <w:fldChar w:fldCharType="begin"/>
            </w:r>
            <w:r w:rsidR="00BD27BB">
              <w:rPr>
                <w:noProof/>
                <w:webHidden/>
              </w:rPr>
              <w:instrText xml:space="preserve"> PAGEREF _Toc200908882 \h </w:instrText>
            </w:r>
            <w:r w:rsidR="00BD27BB">
              <w:rPr>
                <w:noProof/>
                <w:webHidden/>
              </w:rPr>
            </w:r>
            <w:r w:rsidR="00BD27BB">
              <w:rPr>
                <w:noProof/>
                <w:webHidden/>
              </w:rPr>
              <w:fldChar w:fldCharType="separate"/>
            </w:r>
            <w:r w:rsidR="00BD27BB">
              <w:rPr>
                <w:noProof/>
                <w:webHidden/>
              </w:rPr>
              <w:t>3</w:t>
            </w:r>
            <w:r w:rsidR="00BD27BB">
              <w:rPr>
                <w:noProof/>
                <w:webHidden/>
              </w:rPr>
              <w:fldChar w:fldCharType="end"/>
            </w:r>
          </w:hyperlink>
        </w:p>
        <w:p w14:paraId="6D82F9F6" w14:textId="337F53A7" w:rsidR="00BD27BB" w:rsidRDefault="00BD27BB">
          <w:pPr>
            <w:pStyle w:val="TOC1"/>
            <w:tabs>
              <w:tab w:val="right" w:leader="dot" w:pos="9975"/>
            </w:tabs>
            <w:rPr>
              <w:noProof/>
            </w:rPr>
          </w:pPr>
          <w:hyperlink w:anchor="_Toc200908883" w:history="1">
            <w:r w:rsidRPr="001F08F4">
              <w:rPr>
                <w:rStyle w:val="Hyperlink"/>
                <w:noProof/>
              </w:rPr>
              <w:t>Introduction</w:t>
            </w:r>
            <w:r>
              <w:rPr>
                <w:noProof/>
                <w:webHidden/>
              </w:rPr>
              <w:tab/>
            </w:r>
            <w:r>
              <w:rPr>
                <w:noProof/>
                <w:webHidden/>
              </w:rPr>
              <w:fldChar w:fldCharType="begin"/>
            </w:r>
            <w:r>
              <w:rPr>
                <w:noProof/>
                <w:webHidden/>
              </w:rPr>
              <w:instrText xml:space="preserve"> PAGEREF _Toc200908883 \h </w:instrText>
            </w:r>
            <w:r>
              <w:rPr>
                <w:noProof/>
                <w:webHidden/>
              </w:rPr>
            </w:r>
            <w:r>
              <w:rPr>
                <w:noProof/>
                <w:webHidden/>
              </w:rPr>
              <w:fldChar w:fldCharType="separate"/>
            </w:r>
            <w:r>
              <w:rPr>
                <w:noProof/>
                <w:webHidden/>
              </w:rPr>
              <w:t>3</w:t>
            </w:r>
            <w:r>
              <w:rPr>
                <w:noProof/>
                <w:webHidden/>
              </w:rPr>
              <w:fldChar w:fldCharType="end"/>
            </w:r>
          </w:hyperlink>
        </w:p>
        <w:p w14:paraId="54BC478E" w14:textId="71F4C852" w:rsidR="00BD27BB" w:rsidRDefault="00BD27BB">
          <w:pPr>
            <w:pStyle w:val="TOC1"/>
            <w:tabs>
              <w:tab w:val="right" w:leader="dot" w:pos="9975"/>
            </w:tabs>
            <w:rPr>
              <w:noProof/>
            </w:rPr>
          </w:pPr>
          <w:hyperlink w:anchor="_Toc200908884" w:history="1">
            <w:r w:rsidRPr="001F08F4">
              <w:rPr>
                <w:rStyle w:val="Hyperlink"/>
                <w:noProof/>
              </w:rPr>
              <w:t>Discussion of findings</w:t>
            </w:r>
            <w:r>
              <w:rPr>
                <w:noProof/>
                <w:webHidden/>
              </w:rPr>
              <w:tab/>
            </w:r>
            <w:r>
              <w:rPr>
                <w:noProof/>
                <w:webHidden/>
              </w:rPr>
              <w:fldChar w:fldCharType="begin"/>
            </w:r>
            <w:r>
              <w:rPr>
                <w:noProof/>
                <w:webHidden/>
              </w:rPr>
              <w:instrText xml:space="preserve"> PAGEREF _Toc200908884 \h </w:instrText>
            </w:r>
            <w:r>
              <w:rPr>
                <w:noProof/>
                <w:webHidden/>
              </w:rPr>
            </w:r>
            <w:r>
              <w:rPr>
                <w:noProof/>
                <w:webHidden/>
              </w:rPr>
              <w:fldChar w:fldCharType="separate"/>
            </w:r>
            <w:r>
              <w:rPr>
                <w:noProof/>
                <w:webHidden/>
              </w:rPr>
              <w:t>3</w:t>
            </w:r>
            <w:r>
              <w:rPr>
                <w:noProof/>
                <w:webHidden/>
              </w:rPr>
              <w:fldChar w:fldCharType="end"/>
            </w:r>
          </w:hyperlink>
        </w:p>
        <w:p w14:paraId="5611EFB9" w14:textId="1AF2278A" w:rsidR="00BD27BB" w:rsidRDefault="00BD27BB">
          <w:pPr>
            <w:pStyle w:val="TOC2"/>
            <w:tabs>
              <w:tab w:val="right" w:leader="dot" w:pos="9975"/>
            </w:tabs>
            <w:rPr>
              <w:noProof/>
            </w:rPr>
          </w:pPr>
          <w:hyperlink w:anchor="_Toc200908885" w:history="1">
            <w:r w:rsidRPr="001F08F4">
              <w:rPr>
                <w:rStyle w:val="Hyperlink"/>
                <w:noProof/>
              </w:rPr>
              <w:t>A. Corporate Governance and Agency Theory: Overview and Relevance</w:t>
            </w:r>
            <w:r>
              <w:rPr>
                <w:noProof/>
                <w:webHidden/>
              </w:rPr>
              <w:tab/>
            </w:r>
            <w:r>
              <w:rPr>
                <w:noProof/>
                <w:webHidden/>
              </w:rPr>
              <w:fldChar w:fldCharType="begin"/>
            </w:r>
            <w:r>
              <w:rPr>
                <w:noProof/>
                <w:webHidden/>
              </w:rPr>
              <w:instrText xml:space="preserve"> PAGEREF _Toc200908885 \h </w:instrText>
            </w:r>
            <w:r>
              <w:rPr>
                <w:noProof/>
                <w:webHidden/>
              </w:rPr>
            </w:r>
            <w:r>
              <w:rPr>
                <w:noProof/>
                <w:webHidden/>
              </w:rPr>
              <w:fldChar w:fldCharType="separate"/>
            </w:r>
            <w:r>
              <w:rPr>
                <w:noProof/>
                <w:webHidden/>
              </w:rPr>
              <w:t>3</w:t>
            </w:r>
            <w:r>
              <w:rPr>
                <w:noProof/>
                <w:webHidden/>
              </w:rPr>
              <w:fldChar w:fldCharType="end"/>
            </w:r>
          </w:hyperlink>
        </w:p>
        <w:p w14:paraId="09265D95" w14:textId="76590304" w:rsidR="00BD27BB" w:rsidRDefault="00BD27BB">
          <w:pPr>
            <w:pStyle w:val="TOC2"/>
            <w:tabs>
              <w:tab w:val="right" w:leader="dot" w:pos="9975"/>
            </w:tabs>
            <w:rPr>
              <w:noProof/>
            </w:rPr>
          </w:pPr>
          <w:hyperlink w:anchor="_Toc200908886" w:history="1">
            <w:r w:rsidRPr="001F08F4">
              <w:rPr>
                <w:rStyle w:val="Hyperlink"/>
                <w:noProof/>
              </w:rPr>
              <w:t>B. Retaining Control with 30% Ownership</w:t>
            </w:r>
            <w:r>
              <w:rPr>
                <w:noProof/>
                <w:webHidden/>
              </w:rPr>
              <w:tab/>
            </w:r>
            <w:r>
              <w:rPr>
                <w:noProof/>
                <w:webHidden/>
              </w:rPr>
              <w:fldChar w:fldCharType="begin"/>
            </w:r>
            <w:r>
              <w:rPr>
                <w:noProof/>
                <w:webHidden/>
              </w:rPr>
              <w:instrText xml:space="preserve"> PAGEREF _Toc200908886 \h </w:instrText>
            </w:r>
            <w:r>
              <w:rPr>
                <w:noProof/>
                <w:webHidden/>
              </w:rPr>
            </w:r>
            <w:r>
              <w:rPr>
                <w:noProof/>
                <w:webHidden/>
              </w:rPr>
              <w:fldChar w:fldCharType="separate"/>
            </w:r>
            <w:r>
              <w:rPr>
                <w:noProof/>
                <w:webHidden/>
              </w:rPr>
              <w:t>4</w:t>
            </w:r>
            <w:r>
              <w:rPr>
                <w:noProof/>
                <w:webHidden/>
              </w:rPr>
              <w:fldChar w:fldCharType="end"/>
            </w:r>
          </w:hyperlink>
        </w:p>
        <w:p w14:paraId="1FE0DAA6" w14:textId="53E9CE93" w:rsidR="00BD27BB" w:rsidRDefault="00BD27BB">
          <w:pPr>
            <w:pStyle w:val="TOC2"/>
            <w:tabs>
              <w:tab w:val="right" w:leader="dot" w:pos="9975"/>
            </w:tabs>
            <w:rPr>
              <w:noProof/>
            </w:rPr>
          </w:pPr>
          <w:hyperlink w:anchor="_Toc200908887" w:history="1">
            <w:r w:rsidRPr="001F08F4">
              <w:rPr>
                <w:rStyle w:val="Hyperlink"/>
                <w:noProof/>
              </w:rPr>
              <w:t>C. Structuring Fair Director Remuneration</w:t>
            </w:r>
            <w:r>
              <w:rPr>
                <w:noProof/>
                <w:webHidden/>
              </w:rPr>
              <w:tab/>
            </w:r>
            <w:r>
              <w:rPr>
                <w:noProof/>
                <w:webHidden/>
              </w:rPr>
              <w:fldChar w:fldCharType="begin"/>
            </w:r>
            <w:r>
              <w:rPr>
                <w:noProof/>
                <w:webHidden/>
              </w:rPr>
              <w:instrText xml:space="preserve"> PAGEREF _Toc200908887 \h </w:instrText>
            </w:r>
            <w:r>
              <w:rPr>
                <w:noProof/>
                <w:webHidden/>
              </w:rPr>
            </w:r>
            <w:r>
              <w:rPr>
                <w:noProof/>
                <w:webHidden/>
              </w:rPr>
              <w:fldChar w:fldCharType="separate"/>
            </w:r>
            <w:r>
              <w:rPr>
                <w:noProof/>
                <w:webHidden/>
              </w:rPr>
              <w:t>4</w:t>
            </w:r>
            <w:r>
              <w:rPr>
                <w:noProof/>
                <w:webHidden/>
              </w:rPr>
              <w:fldChar w:fldCharType="end"/>
            </w:r>
          </w:hyperlink>
        </w:p>
        <w:p w14:paraId="1030CAA7" w14:textId="55213F15" w:rsidR="00BD27BB" w:rsidRDefault="00BD27BB">
          <w:pPr>
            <w:pStyle w:val="TOC2"/>
            <w:tabs>
              <w:tab w:val="right" w:leader="dot" w:pos="9975"/>
            </w:tabs>
            <w:rPr>
              <w:noProof/>
            </w:rPr>
          </w:pPr>
          <w:hyperlink w:anchor="_Toc200908888" w:history="1">
            <w:r w:rsidRPr="001F08F4">
              <w:rPr>
                <w:rStyle w:val="Hyperlink"/>
                <w:noProof/>
              </w:rPr>
              <w:t>D. Institutional Differences: UK vs Shanghai vs Netherlands</w:t>
            </w:r>
            <w:r>
              <w:rPr>
                <w:noProof/>
                <w:webHidden/>
              </w:rPr>
              <w:tab/>
            </w:r>
            <w:r>
              <w:rPr>
                <w:noProof/>
                <w:webHidden/>
              </w:rPr>
              <w:fldChar w:fldCharType="begin"/>
            </w:r>
            <w:r>
              <w:rPr>
                <w:noProof/>
                <w:webHidden/>
              </w:rPr>
              <w:instrText xml:space="preserve"> PAGEREF _Toc200908888 \h </w:instrText>
            </w:r>
            <w:r>
              <w:rPr>
                <w:noProof/>
                <w:webHidden/>
              </w:rPr>
            </w:r>
            <w:r>
              <w:rPr>
                <w:noProof/>
                <w:webHidden/>
              </w:rPr>
              <w:fldChar w:fldCharType="separate"/>
            </w:r>
            <w:r>
              <w:rPr>
                <w:noProof/>
                <w:webHidden/>
              </w:rPr>
              <w:t>5</w:t>
            </w:r>
            <w:r>
              <w:rPr>
                <w:noProof/>
                <w:webHidden/>
              </w:rPr>
              <w:fldChar w:fldCharType="end"/>
            </w:r>
          </w:hyperlink>
        </w:p>
        <w:p w14:paraId="3ADB32EC" w14:textId="36822371" w:rsidR="00BD27BB" w:rsidRDefault="00BD27BB">
          <w:pPr>
            <w:pStyle w:val="TOC1"/>
            <w:tabs>
              <w:tab w:val="right" w:leader="dot" w:pos="9975"/>
            </w:tabs>
            <w:rPr>
              <w:noProof/>
            </w:rPr>
          </w:pPr>
          <w:hyperlink w:anchor="_Toc200908889" w:history="1">
            <w:r w:rsidRPr="001F08F4">
              <w:rPr>
                <w:rStyle w:val="Hyperlink"/>
                <w:noProof/>
              </w:rPr>
              <w:t>Conclusion</w:t>
            </w:r>
            <w:r>
              <w:rPr>
                <w:noProof/>
                <w:webHidden/>
              </w:rPr>
              <w:tab/>
            </w:r>
            <w:r>
              <w:rPr>
                <w:noProof/>
                <w:webHidden/>
              </w:rPr>
              <w:fldChar w:fldCharType="begin"/>
            </w:r>
            <w:r>
              <w:rPr>
                <w:noProof/>
                <w:webHidden/>
              </w:rPr>
              <w:instrText xml:space="preserve"> PAGEREF _Toc200908889 \h </w:instrText>
            </w:r>
            <w:r>
              <w:rPr>
                <w:noProof/>
                <w:webHidden/>
              </w:rPr>
            </w:r>
            <w:r>
              <w:rPr>
                <w:noProof/>
                <w:webHidden/>
              </w:rPr>
              <w:fldChar w:fldCharType="separate"/>
            </w:r>
            <w:r>
              <w:rPr>
                <w:noProof/>
                <w:webHidden/>
              </w:rPr>
              <w:t>6</w:t>
            </w:r>
            <w:r>
              <w:rPr>
                <w:noProof/>
                <w:webHidden/>
              </w:rPr>
              <w:fldChar w:fldCharType="end"/>
            </w:r>
          </w:hyperlink>
        </w:p>
        <w:p w14:paraId="063D61CD" w14:textId="5F0E0FFB" w:rsidR="00BD27BB" w:rsidRDefault="00BD27BB">
          <w:pPr>
            <w:pStyle w:val="TOC1"/>
            <w:tabs>
              <w:tab w:val="right" w:leader="dot" w:pos="9975"/>
            </w:tabs>
            <w:rPr>
              <w:noProof/>
            </w:rPr>
          </w:pPr>
          <w:hyperlink w:anchor="_Toc200908890" w:history="1">
            <w:r w:rsidRPr="001F08F4">
              <w:rPr>
                <w:rStyle w:val="Hyperlink"/>
                <w:noProof/>
              </w:rPr>
              <w:t>Recommendations</w:t>
            </w:r>
            <w:r>
              <w:rPr>
                <w:noProof/>
                <w:webHidden/>
              </w:rPr>
              <w:tab/>
            </w:r>
            <w:r>
              <w:rPr>
                <w:noProof/>
                <w:webHidden/>
              </w:rPr>
              <w:fldChar w:fldCharType="begin"/>
            </w:r>
            <w:r>
              <w:rPr>
                <w:noProof/>
                <w:webHidden/>
              </w:rPr>
              <w:instrText xml:space="preserve"> PAGEREF _Toc200908890 \h </w:instrText>
            </w:r>
            <w:r>
              <w:rPr>
                <w:noProof/>
                <w:webHidden/>
              </w:rPr>
            </w:r>
            <w:r>
              <w:rPr>
                <w:noProof/>
                <w:webHidden/>
              </w:rPr>
              <w:fldChar w:fldCharType="separate"/>
            </w:r>
            <w:r>
              <w:rPr>
                <w:noProof/>
                <w:webHidden/>
              </w:rPr>
              <w:t>6</w:t>
            </w:r>
            <w:r>
              <w:rPr>
                <w:noProof/>
                <w:webHidden/>
              </w:rPr>
              <w:fldChar w:fldCharType="end"/>
            </w:r>
          </w:hyperlink>
        </w:p>
        <w:p w14:paraId="7BDDB5AF" w14:textId="2EB97363" w:rsidR="00BD27BB" w:rsidRDefault="00BD27BB">
          <w:pPr>
            <w:pStyle w:val="TOC1"/>
            <w:tabs>
              <w:tab w:val="right" w:leader="dot" w:pos="9975"/>
            </w:tabs>
            <w:rPr>
              <w:noProof/>
            </w:rPr>
          </w:pPr>
          <w:hyperlink w:anchor="_Toc200908891" w:history="1">
            <w:r w:rsidRPr="001F08F4">
              <w:rPr>
                <w:rStyle w:val="Hyperlink"/>
                <w:noProof/>
              </w:rPr>
              <w:t>Reference List</w:t>
            </w:r>
            <w:r>
              <w:rPr>
                <w:noProof/>
                <w:webHidden/>
              </w:rPr>
              <w:tab/>
            </w:r>
            <w:r>
              <w:rPr>
                <w:noProof/>
                <w:webHidden/>
              </w:rPr>
              <w:fldChar w:fldCharType="begin"/>
            </w:r>
            <w:r>
              <w:rPr>
                <w:noProof/>
                <w:webHidden/>
              </w:rPr>
              <w:instrText xml:space="preserve"> PAGEREF _Toc200908891 \h </w:instrText>
            </w:r>
            <w:r>
              <w:rPr>
                <w:noProof/>
                <w:webHidden/>
              </w:rPr>
            </w:r>
            <w:r>
              <w:rPr>
                <w:noProof/>
                <w:webHidden/>
              </w:rPr>
              <w:fldChar w:fldCharType="separate"/>
            </w:r>
            <w:r>
              <w:rPr>
                <w:noProof/>
                <w:webHidden/>
              </w:rPr>
              <w:t>7</w:t>
            </w:r>
            <w:r>
              <w:rPr>
                <w:noProof/>
                <w:webHidden/>
              </w:rPr>
              <w:fldChar w:fldCharType="end"/>
            </w:r>
          </w:hyperlink>
        </w:p>
        <w:p w14:paraId="13CBB3E1" w14:textId="038FEDF8" w:rsidR="00E03793" w:rsidRDefault="00000000">
          <w:pPr>
            <w:widowControl w:val="0"/>
            <w:tabs>
              <w:tab w:val="right" w:leader="dot" w:pos="12000"/>
            </w:tabs>
            <w:spacing w:before="60" w:line="360" w:lineRule="auto"/>
            <w:ind w:right="919"/>
            <w:rPr>
              <w:rFonts w:ascii="Times New Roman" w:eastAsia="Times New Roman" w:hAnsi="Times New Roman" w:cs="Times New Roman"/>
              <w:b/>
              <w:color w:val="000000"/>
              <w:sz w:val="24"/>
              <w:szCs w:val="24"/>
            </w:rPr>
          </w:pPr>
          <w:r>
            <w:fldChar w:fldCharType="end"/>
          </w:r>
        </w:p>
      </w:sdtContent>
    </w:sdt>
    <w:p w14:paraId="08C0785D" w14:textId="77777777" w:rsidR="00E03793" w:rsidRDefault="00000000">
      <w:pPr>
        <w:ind w:right="919"/>
      </w:pPr>
      <w:r>
        <w:br w:type="page"/>
      </w:r>
    </w:p>
    <w:p w14:paraId="5AD62F0C" w14:textId="77777777" w:rsidR="00E03793" w:rsidRDefault="00E03793">
      <w:pPr>
        <w:pStyle w:val="Heading1"/>
        <w:ind w:right="919"/>
        <w:jc w:val="both"/>
      </w:pPr>
      <w:bookmarkStart w:id="0" w:name="_nhn24catg6uj" w:colFirst="0" w:colLast="0"/>
      <w:bookmarkEnd w:id="0"/>
    </w:p>
    <w:p w14:paraId="65D7C017" w14:textId="77777777" w:rsidR="00E03793" w:rsidRDefault="00000000">
      <w:pPr>
        <w:pStyle w:val="Heading1"/>
        <w:ind w:right="919"/>
        <w:jc w:val="both"/>
      </w:pPr>
      <w:bookmarkStart w:id="1" w:name="_Toc200908882"/>
      <w:r>
        <w:t>Executive Summary</w:t>
      </w:r>
      <w:bookmarkEnd w:id="1"/>
    </w:p>
    <w:p w14:paraId="20F11F4E"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provides strategic guidance for ServiceCo Ltd, a private service-sector firm preparing to list on the UK’s Alternative Investment Market (AIM). The listing will reduce family ownership from 100% to 30%, prompting the need for robust corporate governance and agency theory frameworks. The report explores mechanisms to retain control, fair director remuneration practices, and evaluates international listing alternatives in Shanghai and the Netherlands. Key recommendations include adopting dual-class shares, forming an independent remuneration committee, and favouring the Netherlands for international expansion due to its supportive governance environment aligned with ServiceCo’s long-term service-based strategy.</w:t>
      </w:r>
    </w:p>
    <w:p w14:paraId="41A2D130" w14:textId="77777777" w:rsidR="00BD27BB" w:rsidRDefault="00BD27BB">
      <w:pPr>
        <w:spacing w:line="240" w:lineRule="auto"/>
        <w:ind w:right="919"/>
        <w:jc w:val="both"/>
        <w:rPr>
          <w:rFonts w:ascii="Times New Roman" w:eastAsia="Times New Roman" w:hAnsi="Times New Roman" w:cs="Times New Roman"/>
          <w:sz w:val="24"/>
          <w:szCs w:val="24"/>
        </w:rPr>
      </w:pPr>
    </w:p>
    <w:p w14:paraId="358A59FC" w14:textId="77777777" w:rsidR="00BD27BB" w:rsidRDefault="00BD27BB">
      <w:pPr>
        <w:spacing w:line="240" w:lineRule="auto"/>
        <w:ind w:right="919"/>
        <w:jc w:val="both"/>
        <w:rPr>
          <w:rFonts w:ascii="Times New Roman" w:eastAsia="Times New Roman" w:hAnsi="Times New Roman" w:cs="Times New Roman"/>
        </w:rPr>
      </w:pPr>
    </w:p>
    <w:p w14:paraId="5D4AAADB" w14:textId="77777777" w:rsidR="00E03793" w:rsidRDefault="00000000">
      <w:pPr>
        <w:pStyle w:val="Heading1"/>
        <w:ind w:right="919"/>
        <w:jc w:val="both"/>
      </w:pPr>
      <w:bookmarkStart w:id="2" w:name="_Toc200908883"/>
      <w:r>
        <w:t>Introduction</w:t>
      </w:r>
      <w:bookmarkEnd w:id="2"/>
    </w:p>
    <w:p w14:paraId="14898441"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ServiceCo Ltd is a private limited service-sector business owned and managed by four family-member directors, each holding 25% of shares. As the company prepares for a listing on the Alternative Investment Market (AIM) in the UK, significant changes in ownership and governance are imminent. Upon listing, 70% of shares will be held by external shareholders, and the family’s combined stake will reduce to 30%. This shift requires enhanced understanding and application of corporate governance, agency theory, and institutional frameworks to maintain control, ensure accountability, and align with public investor expectations.</w:t>
      </w:r>
    </w:p>
    <w:p w14:paraId="114A525C" w14:textId="77777777" w:rsidR="00BD27BB" w:rsidRDefault="00BD27BB">
      <w:pPr>
        <w:spacing w:line="240" w:lineRule="auto"/>
        <w:ind w:right="919"/>
        <w:jc w:val="both"/>
        <w:rPr>
          <w:rFonts w:ascii="Times New Roman" w:eastAsia="Times New Roman" w:hAnsi="Times New Roman" w:cs="Times New Roman"/>
          <w:sz w:val="24"/>
          <w:szCs w:val="24"/>
        </w:rPr>
      </w:pPr>
    </w:p>
    <w:p w14:paraId="030F0C3D" w14:textId="77777777" w:rsidR="00BD27BB" w:rsidRDefault="00BD27BB">
      <w:pPr>
        <w:spacing w:line="240" w:lineRule="auto"/>
        <w:ind w:right="919"/>
        <w:jc w:val="both"/>
        <w:rPr>
          <w:rFonts w:ascii="Times New Roman" w:eastAsia="Times New Roman" w:hAnsi="Times New Roman" w:cs="Times New Roman"/>
          <w:sz w:val="24"/>
          <w:szCs w:val="24"/>
        </w:rPr>
      </w:pPr>
    </w:p>
    <w:p w14:paraId="7AA36C47" w14:textId="77777777" w:rsidR="00E03793" w:rsidRDefault="00000000">
      <w:pPr>
        <w:pStyle w:val="Heading1"/>
      </w:pPr>
      <w:bookmarkStart w:id="3" w:name="_Toc200908884"/>
      <w:r>
        <w:t>Discussion of findings</w:t>
      </w:r>
      <w:bookmarkEnd w:id="3"/>
    </w:p>
    <w:p w14:paraId="6A7DE89C" w14:textId="77777777" w:rsidR="00E03793" w:rsidRDefault="00000000">
      <w:pPr>
        <w:pStyle w:val="Heading2"/>
      </w:pPr>
      <w:bookmarkStart w:id="4" w:name="_Toc200908885"/>
      <w:r>
        <w:t>A. Corporate Governance and Agency Theory: Overview and Relevance</w:t>
      </w:r>
      <w:bookmarkEnd w:id="4"/>
    </w:p>
    <w:p w14:paraId="7B519C95" w14:textId="77777777" w:rsidR="00E03793" w:rsidRDefault="00000000">
      <w:pPr>
        <w:spacing w:line="240" w:lineRule="auto"/>
        <w:ind w:right="919"/>
        <w:rPr>
          <w:rFonts w:ascii="Times New Roman" w:eastAsia="Times New Roman" w:hAnsi="Times New Roman" w:cs="Times New Roman"/>
          <w:b/>
          <w:sz w:val="24"/>
          <w:szCs w:val="24"/>
        </w:rPr>
      </w:pPr>
      <w:r>
        <w:rPr>
          <w:rFonts w:ascii="Times New Roman" w:eastAsia="Times New Roman" w:hAnsi="Times New Roman" w:cs="Times New Roman"/>
          <w:b/>
          <w:sz w:val="24"/>
          <w:szCs w:val="24"/>
        </w:rPr>
        <w:t>Corporate Governance in Public Companies</w:t>
      </w:r>
    </w:p>
    <w:p w14:paraId="04F10043"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Corporate governance refers to systems that direct and control a company, particularly regarding its accountability to shareholders and other stakeholders. For public companies, corporate governance ensures transparency, ethical conduct, and long-term value creation (AG and KGaA, 2024). In the UK, while AIM-listed firms are not legally required to follow the UK Corporate Governance Code, they must explain how they manage governance (AG and KGaA, 2024). For a service company, where intangible assets like brand reputation and customer service play a vital role, strong governance builds investor trust and protects long-term sustainability.</w:t>
      </w:r>
    </w:p>
    <w:p w14:paraId="2CA3AED5" w14:textId="77777777" w:rsidR="00E03793" w:rsidRDefault="00000000">
      <w:pPr>
        <w:spacing w:line="240" w:lineRule="auto"/>
        <w:ind w:right="919"/>
        <w:rPr>
          <w:rFonts w:ascii="Times New Roman" w:eastAsia="Times New Roman" w:hAnsi="Times New Roman" w:cs="Times New Roman"/>
          <w:b/>
          <w:sz w:val="24"/>
          <w:szCs w:val="24"/>
        </w:rPr>
      </w:pPr>
      <w:r>
        <w:rPr>
          <w:rFonts w:ascii="Times New Roman" w:eastAsia="Times New Roman" w:hAnsi="Times New Roman" w:cs="Times New Roman"/>
          <w:b/>
          <w:sz w:val="24"/>
          <w:szCs w:val="24"/>
        </w:rPr>
        <w:t>Agency Theory</w:t>
      </w:r>
    </w:p>
    <w:p w14:paraId="1E76E677"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Agency theory examines the relationship between owners (principals) and managers (agents), identifying the potential for conflict when managerial interests diverge from those of shareholders (Du Plessis, Hargovan and Harris, 2018). In a public setting, the board must ensure mechanisms—such as performance-linked remuneration and independent oversight—are in place to mitigate agency costs (Solomon, 2020).</w:t>
      </w:r>
    </w:p>
    <w:p w14:paraId="527428D7" w14:textId="77777777" w:rsidR="00E03793" w:rsidRDefault="00000000">
      <w:pPr>
        <w:spacing w:line="240" w:lineRule="auto"/>
        <w:ind w:right="919"/>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Implications for ServiceCo Ltd</w:t>
      </w:r>
    </w:p>
    <w:p w14:paraId="4D4F9021" w14:textId="77777777" w:rsidR="00E03793" w:rsidRDefault="00000000">
      <w:pPr>
        <w:spacing w:line="240" w:lineRule="auto"/>
        <w:ind w:right="919"/>
        <w:rPr>
          <w:rFonts w:ascii="Times New Roman" w:eastAsia="Times New Roman" w:hAnsi="Times New Roman" w:cs="Times New Roman"/>
          <w:sz w:val="24"/>
          <w:szCs w:val="24"/>
        </w:rPr>
      </w:pPr>
      <w:r>
        <w:rPr>
          <w:rFonts w:ascii="Times New Roman" w:eastAsia="Times New Roman" w:hAnsi="Times New Roman" w:cs="Times New Roman"/>
          <w:sz w:val="24"/>
          <w:szCs w:val="24"/>
        </w:rPr>
        <w:t>As a service business transitioning from close family management to wider shareholder ownership, ServiceCo Ltd must:</w:t>
      </w:r>
    </w:p>
    <w:p w14:paraId="00591B88" w14:textId="77777777" w:rsidR="00E03793" w:rsidRDefault="00000000">
      <w:pPr>
        <w:numPr>
          <w:ilvl w:val="0"/>
          <w:numId w:val="4"/>
        </w:numPr>
        <w:spacing w:line="240" w:lineRule="auto"/>
        <w:ind w:right="919"/>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accountability frameworks,</w:t>
      </w:r>
    </w:p>
    <w:p w14:paraId="7581E634" w14:textId="77777777" w:rsidR="00E03793" w:rsidRDefault="00000000">
      <w:pPr>
        <w:numPr>
          <w:ilvl w:val="0"/>
          <w:numId w:val="4"/>
        </w:numPr>
        <w:spacing w:line="240" w:lineRule="auto"/>
        <w:ind w:right="919"/>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 formal board governance processes (Flammer, Hong and Minor, 2019).</w:t>
      </w:r>
    </w:p>
    <w:p w14:paraId="136942C5" w14:textId="77777777" w:rsidR="00E03793" w:rsidRDefault="00000000">
      <w:pPr>
        <w:numPr>
          <w:ilvl w:val="0"/>
          <w:numId w:val="4"/>
        </w:numPr>
        <w:spacing w:line="240" w:lineRule="auto"/>
        <w:ind w:right="919"/>
        <w:rPr>
          <w:rFonts w:ascii="Times New Roman" w:eastAsia="Times New Roman" w:hAnsi="Times New Roman" w:cs="Times New Roman"/>
          <w:sz w:val="24"/>
          <w:szCs w:val="24"/>
        </w:rPr>
      </w:pPr>
      <w:r>
        <w:rPr>
          <w:rFonts w:ascii="Times New Roman" w:eastAsia="Times New Roman" w:hAnsi="Times New Roman" w:cs="Times New Roman"/>
          <w:sz w:val="24"/>
          <w:szCs w:val="24"/>
        </w:rPr>
        <w:t>Clarify roles and responsibilities to avoid conflicts of interest.</w:t>
      </w:r>
    </w:p>
    <w:p w14:paraId="48333464" w14:textId="77777777" w:rsidR="00E03793" w:rsidRDefault="00000000">
      <w:pPr>
        <w:numPr>
          <w:ilvl w:val="0"/>
          <w:numId w:val="4"/>
        </w:numPr>
        <w:spacing w:line="240" w:lineRule="auto"/>
        <w:ind w:right="919"/>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Communicate clearly with a broader investor base.</w:t>
      </w:r>
    </w:p>
    <w:p w14:paraId="6F6DBC56" w14:textId="77777777" w:rsidR="00E03793" w:rsidRDefault="00000000" w:rsidP="00BD27BB">
      <w:pPr>
        <w:pStyle w:val="Heading2"/>
        <w:keepNext w:val="0"/>
        <w:keepLines w:val="0"/>
      </w:pPr>
      <w:bookmarkStart w:id="5" w:name="_Toc200908886"/>
      <w:r>
        <w:lastRenderedPageBreak/>
        <w:t>B. Retaining Control with 30% Ownership</w:t>
      </w:r>
      <w:bookmarkEnd w:id="5"/>
    </w:p>
    <w:p w14:paraId="5FDF318A" w14:textId="77777777" w:rsidR="00E03793" w:rsidRDefault="00000000" w:rsidP="00BD27BB">
      <w:pPr>
        <w:spacing w:line="240" w:lineRule="auto"/>
        <w:ind w:right="919"/>
        <w:rPr>
          <w:rFonts w:ascii="Times New Roman" w:eastAsia="Times New Roman" w:hAnsi="Times New Roman" w:cs="Times New Roman"/>
          <w:sz w:val="24"/>
          <w:szCs w:val="24"/>
        </w:rPr>
      </w:pPr>
      <w:r>
        <w:rPr>
          <w:rFonts w:ascii="Times New Roman" w:eastAsia="Times New Roman" w:hAnsi="Times New Roman" w:cs="Times New Roman"/>
          <w:b/>
          <w:sz w:val="24"/>
          <w:szCs w:val="24"/>
        </w:rPr>
        <w:t>Control Risks Post-Listing</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Post-AIM listing, external shareholders will hold 70% of equity, giving them potential influence over strategy, dividends, and board decisions. Without safeguards, the founding family risks losing strategic control over the company’s future direction.</w:t>
      </w:r>
    </w:p>
    <w:p w14:paraId="107C768B" w14:textId="77777777" w:rsidR="00E03793" w:rsidRDefault="00000000">
      <w:pPr>
        <w:spacing w:line="240" w:lineRule="auto"/>
        <w:ind w:right="9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Mechanisms to Retain Control</w:t>
      </w:r>
    </w:p>
    <w:p w14:paraId="11DC6C32" w14:textId="77777777" w:rsidR="00E03793" w:rsidRDefault="00000000">
      <w:pPr>
        <w:numPr>
          <w:ilvl w:val="0"/>
          <w:numId w:val="3"/>
        </w:num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Dual-Class Share Structure: </w:t>
      </w:r>
      <w:r>
        <w:rPr>
          <w:rFonts w:ascii="Times New Roman" w:eastAsia="Times New Roman" w:hAnsi="Times New Roman" w:cs="Times New Roman"/>
          <w:sz w:val="24"/>
          <w:szCs w:val="24"/>
        </w:rPr>
        <w:t>ServiceCo Ltd could issue two classes of shares:</w:t>
      </w:r>
    </w:p>
    <w:p w14:paraId="502F6865" w14:textId="77777777" w:rsidR="00E03793" w:rsidRDefault="00000000">
      <w:pPr>
        <w:numPr>
          <w:ilvl w:val="1"/>
          <w:numId w:val="3"/>
        </w:num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 A: Issued to the public with 1 vote/share</w:t>
      </w:r>
    </w:p>
    <w:p w14:paraId="45C4C74E" w14:textId="77777777" w:rsidR="00E03793" w:rsidRDefault="00000000">
      <w:pPr>
        <w:numPr>
          <w:ilvl w:val="1"/>
          <w:numId w:val="3"/>
        </w:num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 B: Retained by family with 10 votes/share</w:t>
      </w:r>
    </w:p>
    <w:p w14:paraId="291EC24B" w14:textId="77777777" w:rsidR="00E03793" w:rsidRDefault="00000000">
      <w:pPr>
        <w:spacing w:line="240" w:lineRule="auto"/>
        <w:ind w:left="720"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adopted by companies like Meta and Alibaba, protects founder control while attracting capital (Flammer, Hong and Minor, 2019).</w:t>
      </w:r>
    </w:p>
    <w:p w14:paraId="1C10919D" w14:textId="77777777" w:rsidR="00E03793" w:rsidRDefault="00000000">
      <w:pPr>
        <w:numPr>
          <w:ilvl w:val="0"/>
          <w:numId w:val="3"/>
        </w:num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Shareholder Agreement</w:t>
      </w:r>
      <w:r>
        <w:rPr>
          <w:rFonts w:ascii="Times New Roman" w:eastAsia="Times New Roman" w:hAnsi="Times New Roman" w:cs="Times New Roman"/>
          <w:sz w:val="24"/>
          <w:szCs w:val="24"/>
        </w:rPr>
        <w:t xml:space="preserve"> legally binding agreement can formalise rights around board appointments, voting thresholds, and reserved matters—ensuring key decisions remain under family influence (Al-Faryan, 2024). </w:t>
      </w:r>
    </w:p>
    <w:p w14:paraId="42AEE9C2" w14:textId="77777777" w:rsidR="00E03793" w:rsidRDefault="00000000">
      <w:pPr>
        <w:numPr>
          <w:ilvl w:val="0"/>
          <w:numId w:val="3"/>
        </w:num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Board Majority and Reserved Powers:-</w:t>
      </w:r>
      <w:r>
        <w:rPr>
          <w:rFonts w:ascii="Times New Roman" w:eastAsia="Times New Roman" w:hAnsi="Times New Roman" w:cs="Times New Roman"/>
          <w:sz w:val="24"/>
          <w:szCs w:val="24"/>
        </w:rPr>
        <w:t xml:space="preserve"> Securing board seats for family directors and establishing specific “reserved matters” (e.g., M&amp;A, dividend policy, strategic shifts) that require unanimous or supermajority votes can help maintain influence (Al-Faryan, 2024).</w:t>
      </w:r>
    </w:p>
    <w:p w14:paraId="4B4A9A62" w14:textId="77777777" w:rsidR="00E03793" w:rsidRDefault="00000000" w:rsidP="00BD27BB">
      <w:pPr>
        <w:numPr>
          <w:ilvl w:val="0"/>
          <w:numId w:val="3"/>
        </w:numPr>
        <w:spacing w:line="240" w:lineRule="auto"/>
        <w:ind w:right="919"/>
        <w:rPr>
          <w:rFonts w:ascii="Times New Roman" w:eastAsia="Times New Roman" w:hAnsi="Times New Roman" w:cs="Times New Roman"/>
          <w:sz w:val="24"/>
          <w:szCs w:val="24"/>
        </w:rPr>
      </w:pPr>
      <w:r>
        <w:rPr>
          <w:rFonts w:ascii="Times New Roman" w:eastAsia="Times New Roman" w:hAnsi="Times New Roman" w:cs="Times New Roman"/>
          <w:b/>
          <w:sz w:val="24"/>
          <w:szCs w:val="24"/>
        </w:rPr>
        <w:t>Foundations or Trusts</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The family can place their shares in a trust or foundation to create a unified voting block that’s resistant to external influence—a common practice in Dutch governance systems (Turnbull, 2019).</w:t>
      </w:r>
    </w:p>
    <w:p w14:paraId="08117274" w14:textId="77777777" w:rsidR="00E03793" w:rsidRDefault="00000000" w:rsidP="00BD27BB">
      <w:pPr>
        <w:numPr>
          <w:ilvl w:val="0"/>
          <w:numId w:val="3"/>
        </w:numPr>
        <w:spacing w:line="240" w:lineRule="auto"/>
        <w:ind w:right="919"/>
        <w:rPr>
          <w:rFonts w:ascii="Times New Roman" w:eastAsia="Times New Roman" w:hAnsi="Times New Roman" w:cs="Times New Roman"/>
          <w:sz w:val="24"/>
          <w:szCs w:val="24"/>
        </w:rPr>
      </w:pPr>
      <w:r>
        <w:rPr>
          <w:rFonts w:ascii="Times New Roman" w:eastAsia="Times New Roman" w:hAnsi="Times New Roman" w:cs="Times New Roman"/>
          <w:b/>
          <w:sz w:val="24"/>
          <w:szCs w:val="24"/>
        </w:rPr>
        <w:t>Dividend Policy Transparency</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Publishing a long-term dividend strategy before listing can prevent pressure from short-term investors, safeguarding reinvestment for sustainable service development (Turnbull, 2019).</w:t>
      </w:r>
    </w:p>
    <w:p w14:paraId="25DBCF34" w14:textId="77777777" w:rsidR="00BD27BB" w:rsidRDefault="00BD27BB">
      <w:pPr>
        <w:numPr>
          <w:ilvl w:val="0"/>
          <w:numId w:val="3"/>
        </w:numPr>
        <w:spacing w:line="240" w:lineRule="auto"/>
        <w:ind w:right="919"/>
        <w:jc w:val="both"/>
        <w:rPr>
          <w:rFonts w:ascii="Times New Roman" w:eastAsia="Times New Roman" w:hAnsi="Times New Roman" w:cs="Times New Roman"/>
          <w:sz w:val="24"/>
          <w:szCs w:val="24"/>
        </w:rPr>
      </w:pPr>
    </w:p>
    <w:p w14:paraId="20607F3E" w14:textId="77777777" w:rsidR="00E03793" w:rsidRDefault="00000000">
      <w:pPr>
        <w:pStyle w:val="Heading2"/>
        <w:jc w:val="both"/>
      </w:pPr>
      <w:bookmarkStart w:id="6" w:name="_Toc200908887"/>
      <w:r>
        <w:t>C. Structuring Fair Director Remuneration</w:t>
      </w:r>
      <w:bookmarkEnd w:id="6"/>
    </w:p>
    <w:p w14:paraId="30FE42B8" w14:textId="77777777" w:rsidR="00E03793" w:rsidRDefault="00000000">
      <w:pPr>
        <w:numPr>
          <w:ilvl w:val="0"/>
          <w:numId w:val="1"/>
        </w:numPr>
        <w:spacing w:line="240" w:lineRule="auto"/>
        <w:ind w:right="9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 of Remuneration in a Service Business</w:t>
      </w:r>
    </w:p>
    <w:p w14:paraId="2552547A"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service-based companies, directors influence client relationships, staff morale, and brand perception. Fair and competitive remuneration helps attract experienced leaders and motivates them to focus on long-term value creation. Well-designed pay structures align directors’ interests with company goals and improve strategic decision-making (Turnbull, 2019).</w:t>
      </w:r>
    </w:p>
    <w:p w14:paraId="627F98AC" w14:textId="77777777" w:rsidR="00E03793" w:rsidRDefault="00000000">
      <w:pPr>
        <w:numPr>
          <w:ilvl w:val="0"/>
          <w:numId w:val="1"/>
        </w:numPr>
        <w:spacing w:line="240" w:lineRule="auto"/>
        <w:ind w:right="9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Independent Remuneration Committee</w:t>
      </w:r>
    </w:p>
    <w:p w14:paraId="5410DBD8"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pay for board members is safeguarded by involving a committee of independent non-executive directors to avoid bias. It looks at common industry standards, checks director performance with main indicators and ensures transparency ,which boosts investors’ trust and lessens risks of conflicts (Meyer et al., 2018).</w:t>
      </w:r>
    </w:p>
    <w:p w14:paraId="25CED3BF" w14:textId="77777777" w:rsidR="00E03793" w:rsidRDefault="00000000">
      <w:pPr>
        <w:numPr>
          <w:ilvl w:val="0"/>
          <w:numId w:val="1"/>
        </w:numPr>
        <w:spacing w:line="240" w:lineRule="auto"/>
        <w:ind w:right="9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Components of Remuneration</w:t>
      </w:r>
    </w:p>
    <w:p w14:paraId="0A9E1DE8"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pay of directors should consist of a fixed salary at the same level as their peers, bonuses for improving customer ratings and outcomes and long-term incentives related to the rising value of the company. Clawback clauses should exist so that bonuses are usually taken back if there is misconduct or reporting mistakes (Meyer et al., 2018).</w:t>
      </w:r>
    </w:p>
    <w:p w14:paraId="6EEE06C0" w14:textId="77777777" w:rsidR="00E03793" w:rsidRDefault="00000000">
      <w:pPr>
        <w:numPr>
          <w:ilvl w:val="0"/>
          <w:numId w:val="1"/>
        </w:numPr>
        <w:spacing w:line="240" w:lineRule="auto"/>
        <w:ind w:right="9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Disclosure and Shareholder Say-on-Pay</w:t>
      </w:r>
    </w:p>
    <w:p w14:paraId="3C85D9CE"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ServiceCo Ltd ought to produce a Directors’ Remuneration Report that explains its remuneration system and the ways directors’ compensation is linked to their performance. </w:t>
      </w:r>
      <w:r>
        <w:rPr>
          <w:rFonts w:ascii="Times New Roman" w:eastAsia="Times New Roman" w:hAnsi="Times New Roman" w:cs="Times New Roman"/>
          <w:sz w:val="24"/>
          <w:szCs w:val="24"/>
        </w:rPr>
        <w:lastRenderedPageBreak/>
        <w:t>Shareholder votes on pay policies contribute to responsibility in governance and, as AIM supports, better involvement from investors (Choi, 2018).</w:t>
      </w:r>
    </w:p>
    <w:p w14:paraId="70865F59" w14:textId="77777777" w:rsidR="00BD27BB" w:rsidRDefault="00BD27BB">
      <w:pPr>
        <w:spacing w:line="240" w:lineRule="auto"/>
        <w:ind w:right="919"/>
        <w:jc w:val="both"/>
        <w:rPr>
          <w:rFonts w:ascii="Times New Roman" w:eastAsia="Times New Roman" w:hAnsi="Times New Roman" w:cs="Times New Roman"/>
          <w:sz w:val="24"/>
          <w:szCs w:val="24"/>
        </w:rPr>
      </w:pPr>
    </w:p>
    <w:p w14:paraId="76017698" w14:textId="77777777" w:rsidR="00E03793" w:rsidRDefault="00000000">
      <w:pPr>
        <w:pStyle w:val="Heading2"/>
        <w:jc w:val="both"/>
      </w:pPr>
      <w:bookmarkStart w:id="7" w:name="_Toc200908888"/>
      <w:r>
        <w:t>D. Institutional Differences: UK vs Shanghai vs Netherlands</w:t>
      </w:r>
      <w:bookmarkEnd w:id="7"/>
    </w:p>
    <w:p w14:paraId="312F9F5A"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ServiceCo Ltd is examining if it should expand to international markets by listing on some foreign stock exchanges and moving its headquarters to Shanghai or the Netherlands. This part of the report describes the different legal and business environments in the United Kingdom (AIM), Shanghai Stock Exchange (SSE) and Euronext Amsterdam located in the Netherlands. It is important to understand these differences since they explain how each place fits into ServiceCo’s approach to its service business, keeping leadership roles and engaging with investors in the long run (Ferrarini and Ungureanu, 2024).</w:t>
      </w:r>
    </w:p>
    <w:p w14:paraId="0B011C89" w14:textId="77777777" w:rsidR="00E03793" w:rsidRDefault="00000000">
      <w:pPr>
        <w:spacing w:line="240" w:lineRule="auto"/>
        <w:ind w:right="9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United Kingdom (AIM)</w:t>
      </w:r>
    </w:p>
    <w:p w14:paraId="44B06945"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market makes it possible for many service sector companies in the UK to access public funds easily, with greater flexibility. The corporate governance within AIM can be more flexible when compared to the Main Market of the London Stock Exchange. ServiceCo is required by AIM to show how it practises good governance, and this ensures both its responsibility (accountability) and independence (autonomy) (Cooke et al., 2025). Despite this, British investors look for service companies to be open, ethical and tactical, since this ensures they keep their customers’ confidence and good reputation (Van Zyl and Mans-Kemp, 2023). Furthermore, there are favourable tax regulations for SMEs such as service providers, in the UK, and their rights are strictly protected by the strong and reliable legal system. So, this is a big reason why the UK stands out for businesses that know and follow UK laws and regulations (Choi, 2018).</w:t>
      </w:r>
    </w:p>
    <w:p w14:paraId="3EC34A11" w14:textId="77777777" w:rsidR="00E03793" w:rsidRDefault="00000000">
      <w:pPr>
        <w:spacing w:line="240" w:lineRule="auto"/>
        <w:ind w:right="9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Shanghai Stock Exchange (SSE)</w:t>
      </w:r>
    </w:p>
    <w:p w14:paraId="64FD4B62"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Shanghai Stock Exchange membership puts firms into a unique institutional environment. State-owned enterprises (SOEs) have a big impact on the SSE, and their governance is generally modelled on a top-down approach led by the government. In most cases, boards in China are not as independent as regulatory organisations, including the China Securities Regulatory Commission (CSRC) can participate directly in company-related matters, mostly concerning financial management or strategy (Al-Faryan, 2024). There are several obstacles foreign companies meet in Shanghai, such as rules against large-scale capital repatriation and high limits on foreign ownership. Things such as brand trust, how clients feel about the company and choosing how to carry out services highlight the importance of limiting managers’ freedom and ability to make their own decisions when operating in a company like ServiceCo Ltd (Solomon, 2020). On top of that, language barriers and tough bureaucratic procedures faced by foreign companies also cause certain practical challenges. The SSE provides companies with a broad investor base, but the weaknesses in this market, like stringent rules, might mean that the network’s advantages are outshone for firms wanting to hold onto control and maintain their service focus (Flammer, Hong and Minor, 2019).</w:t>
      </w:r>
    </w:p>
    <w:p w14:paraId="6441ED4E" w14:textId="77777777" w:rsidR="00E03793" w:rsidRDefault="00000000">
      <w:pPr>
        <w:spacing w:line="240" w:lineRule="auto"/>
        <w:ind w:right="91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Netherlands (Euronext Amsterdam)</w:t>
      </w:r>
    </w:p>
    <w:p w14:paraId="5039A918"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Dutch institutional framework is especially appealing to firms in the service sector who aim for long-term expansion, strongengagement with stakeholders and consistent governance. In the Netherlands, the polder model helps create governments based on group discussions, talks between stakeholders and openness to all. A lot of companies on Euronext Amsterdam construct their board with a two-tier structure which means executive and supervisory roles are divided, making the company more open and cutting down on potential conflicts of interest. The rights of shareholders are set out in EU laws and the European approach allows family-owned companies to safeguard themselves from unjust threats or outside pressure using </w:t>
      </w:r>
      <w:r>
        <w:rPr>
          <w:rFonts w:ascii="Times New Roman" w:eastAsia="Times New Roman" w:hAnsi="Times New Roman" w:cs="Times New Roman"/>
          <w:sz w:val="24"/>
          <w:szCs w:val="24"/>
        </w:rPr>
        <w:lastRenderedPageBreak/>
        <w:t>“stichting” (Ferrarini and Ungureanu, 2024). The business model is particularly important for ServiceCo Ltd, since it wants to have a clear strategy and still distribute information equitably. In addition, the Netherlands provides clear and business-friendly conditions, with easy access to European investors and an economy that matches ServiceCo’s areas of work. On the other hand, dealing with Dutch laws and regulations can be difficult, which is why people need expert legal and financial assistance. However, since the country provides strong protection for investors and ways to maintain control, listing in the Netherlands proves very attractive (Cooke et al., 2025).</w:t>
      </w:r>
    </w:p>
    <w:p w14:paraId="4C00242B" w14:textId="77777777" w:rsidR="00BD27BB" w:rsidRDefault="00BD27BB">
      <w:pPr>
        <w:spacing w:line="240" w:lineRule="auto"/>
        <w:ind w:right="919"/>
        <w:jc w:val="both"/>
        <w:rPr>
          <w:rFonts w:ascii="Times New Roman" w:eastAsia="Times New Roman" w:hAnsi="Times New Roman" w:cs="Times New Roman"/>
          <w:sz w:val="24"/>
          <w:szCs w:val="24"/>
        </w:rPr>
      </w:pPr>
    </w:p>
    <w:p w14:paraId="7445DD41" w14:textId="77777777" w:rsidR="00BD27BB" w:rsidRDefault="00BD27BB">
      <w:pPr>
        <w:spacing w:line="240" w:lineRule="auto"/>
        <w:ind w:right="919"/>
        <w:jc w:val="both"/>
        <w:rPr>
          <w:rFonts w:ascii="Times New Roman" w:eastAsia="Times New Roman" w:hAnsi="Times New Roman" w:cs="Times New Roman"/>
          <w:sz w:val="24"/>
          <w:szCs w:val="24"/>
        </w:rPr>
      </w:pPr>
    </w:p>
    <w:p w14:paraId="159A0500" w14:textId="77777777" w:rsidR="00BD27BB" w:rsidRDefault="00BD27BB">
      <w:pPr>
        <w:spacing w:line="240" w:lineRule="auto"/>
        <w:ind w:right="919"/>
        <w:jc w:val="both"/>
        <w:rPr>
          <w:rFonts w:ascii="Times New Roman" w:eastAsia="Times New Roman" w:hAnsi="Times New Roman" w:cs="Times New Roman"/>
          <w:sz w:val="24"/>
          <w:szCs w:val="24"/>
        </w:rPr>
      </w:pPr>
    </w:p>
    <w:p w14:paraId="4F18DCCD" w14:textId="77777777" w:rsidR="00E03793" w:rsidRDefault="00000000">
      <w:pPr>
        <w:pStyle w:val="Heading1"/>
        <w:ind w:right="919"/>
        <w:jc w:val="both"/>
      </w:pPr>
      <w:bookmarkStart w:id="8" w:name="_Toc200908889"/>
      <w:r>
        <w:t>Conclusion</w:t>
      </w:r>
      <w:bookmarkEnd w:id="8"/>
    </w:p>
    <w:p w14:paraId="07DB9192" w14:textId="77777777" w:rsidR="00E03793" w:rsidRDefault="00000000">
      <w:pPr>
        <w:spacing w:line="240" w:lineRule="auto"/>
        <w:ind w:right="9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a concluding note, the decision to be listed on AIM is a key step in the future of ServiceCo Ltd. One role of governance design is to ensure that the board continues to make important decisions, even with reduced equity. When the company uses sound corporate governance methods, minimises agency problems and awards fair compensation, investors are more likely to invest for a long time and rely on the firm. Operating in the Netherlands provides a more suitable framework for maintaining control and following the values of the service sector, as opposed to Shanghai.</w:t>
      </w:r>
    </w:p>
    <w:p w14:paraId="3B9EC372" w14:textId="77777777" w:rsidR="00BD27BB" w:rsidRDefault="00BD27BB">
      <w:pPr>
        <w:spacing w:line="240" w:lineRule="auto"/>
        <w:ind w:right="919"/>
        <w:jc w:val="both"/>
        <w:rPr>
          <w:rFonts w:ascii="Times New Roman" w:eastAsia="Times New Roman" w:hAnsi="Times New Roman" w:cs="Times New Roman"/>
          <w:sz w:val="24"/>
          <w:szCs w:val="24"/>
        </w:rPr>
      </w:pPr>
    </w:p>
    <w:p w14:paraId="670634B1" w14:textId="77777777" w:rsidR="00BD27BB" w:rsidRDefault="00BD27BB">
      <w:pPr>
        <w:spacing w:line="240" w:lineRule="auto"/>
        <w:ind w:right="919"/>
        <w:jc w:val="both"/>
        <w:rPr>
          <w:rFonts w:ascii="Times New Roman" w:eastAsia="Times New Roman" w:hAnsi="Times New Roman" w:cs="Times New Roman"/>
          <w:sz w:val="24"/>
          <w:szCs w:val="24"/>
        </w:rPr>
      </w:pPr>
    </w:p>
    <w:p w14:paraId="175E2E2C" w14:textId="77777777" w:rsidR="00BD27BB" w:rsidRDefault="00BD27BB">
      <w:pPr>
        <w:spacing w:line="240" w:lineRule="auto"/>
        <w:ind w:right="919"/>
        <w:jc w:val="both"/>
        <w:rPr>
          <w:rFonts w:ascii="Times New Roman" w:eastAsia="Times New Roman" w:hAnsi="Times New Roman" w:cs="Times New Roman"/>
          <w:sz w:val="24"/>
          <w:szCs w:val="24"/>
        </w:rPr>
      </w:pPr>
    </w:p>
    <w:p w14:paraId="0D6C5380" w14:textId="77777777" w:rsidR="00E03793" w:rsidRDefault="00000000">
      <w:pPr>
        <w:pStyle w:val="Heading1"/>
        <w:ind w:right="919"/>
        <w:jc w:val="both"/>
      </w:pPr>
      <w:bookmarkStart w:id="9" w:name="_Toc200908890"/>
      <w:r>
        <w:t>Recommendations</w:t>
      </w:r>
      <w:bookmarkEnd w:id="9"/>
    </w:p>
    <w:p w14:paraId="0FCC1797" w14:textId="77777777" w:rsidR="00E03793" w:rsidRDefault="00000000">
      <w:pPr>
        <w:numPr>
          <w:ilvl w:val="0"/>
          <w:numId w:val="2"/>
        </w:numPr>
        <w:spacing w:line="240" w:lineRule="auto"/>
        <w:ind w:right="91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Even though AIM has flexible rules, a company can still decide to adopt the UK Corporate Governance Code as a sign of commitment to honesty and responsibility.</w:t>
      </w:r>
    </w:p>
    <w:p w14:paraId="23B1B747" w14:textId="77777777" w:rsidR="00E03793" w:rsidRDefault="00000000">
      <w:pPr>
        <w:numPr>
          <w:ilvl w:val="0"/>
          <w:numId w:val="2"/>
        </w:numPr>
        <w:spacing w:line="240" w:lineRule="auto"/>
        <w:ind w:right="91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Organise the company using a Dual-Class Share Structure or a Shareholder Agreement so family members make major decisions while allowing the company to raise more equity.</w:t>
      </w:r>
    </w:p>
    <w:p w14:paraId="73D0D3D7" w14:textId="77777777" w:rsidR="00E03793" w:rsidRDefault="00000000">
      <w:pPr>
        <w:numPr>
          <w:ilvl w:val="0"/>
          <w:numId w:val="2"/>
        </w:numPr>
        <w:spacing w:line="240" w:lineRule="auto"/>
        <w:ind w:right="91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Form an Independent Remuneration Committee to determine payment for directors with an eye on how well the company performs, matching industry norms and quality of services.</w:t>
      </w:r>
    </w:p>
    <w:p w14:paraId="2D5BD006" w14:textId="77777777" w:rsidR="00E03793" w:rsidRDefault="00000000">
      <w:pPr>
        <w:numPr>
          <w:ilvl w:val="0"/>
          <w:numId w:val="2"/>
        </w:numPr>
        <w:spacing w:line="240" w:lineRule="auto"/>
        <w:ind w:right="91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ServiceCo should choose the Netherlands for its foreign listing because it has better governance and legal frameworks for its interests.</w:t>
      </w:r>
    </w:p>
    <w:p w14:paraId="364845D4" w14:textId="77777777" w:rsidR="00E03793" w:rsidRDefault="00000000">
      <w:pPr>
        <w:numPr>
          <w:ilvl w:val="0"/>
          <w:numId w:val="2"/>
        </w:numPr>
        <w:spacing w:line="240" w:lineRule="auto"/>
        <w:ind w:right="91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Educate the Board regarding governance and agency theory by offering regular programmes that strengthen ethical and compliant behaviour.</w:t>
      </w:r>
    </w:p>
    <w:p w14:paraId="0DABB314" w14:textId="77777777" w:rsidR="00E03793" w:rsidRDefault="00000000">
      <w:pPr>
        <w:spacing w:line="240" w:lineRule="auto"/>
        <w:ind w:right="919"/>
        <w:jc w:val="both"/>
        <w:rPr>
          <w:rFonts w:ascii="Times New Roman" w:eastAsia="Times New Roman" w:hAnsi="Times New Roman" w:cs="Times New Roman"/>
          <w:i/>
          <w:sz w:val="24"/>
          <w:szCs w:val="24"/>
        </w:rPr>
      </w:pPr>
      <w:r>
        <w:br w:type="page"/>
      </w:r>
    </w:p>
    <w:p w14:paraId="0F01D0AC" w14:textId="77777777" w:rsidR="00E03793" w:rsidRDefault="00000000">
      <w:pPr>
        <w:pStyle w:val="Heading1"/>
        <w:ind w:right="919"/>
        <w:jc w:val="both"/>
      </w:pPr>
      <w:bookmarkStart w:id="10" w:name="_Toc200908891"/>
      <w:r>
        <w:lastRenderedPageBreak/>
        <w:t>Reference List</w:t>
      </w:r>
      <w:bookmarkEnd w:id="10"/>
    </w:p>
    <w:p w14:paraId="53AF181F"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AG, A. and KGaA, C., 2024. Corporate governance statement.</w:t>
      </w:r>
    </w:p>
    <w:p w14:paraId="7F3D3B98" w14:textId="77777777" w:rsidR="00E03793" w:rsidRDefault="00E03793">
      <w:pPr>
        <w:ind w:right="919"/>
        <w:jc w:val="both"/>
        <w:rPr>
          <w:rFonts w:ascii="Times New Roman" w:eastAsia="Times New Roman" w:hAnsi="Times New Roman" w:cs="Times New Roman"/>
          <w:sz w:val="24"/>
          <w:szCs w:val="24"/>
          <w:highlight w:val="white"/>
        </w:rPr>
      </w:pPr>
    </w:p>
    <w:p w14:paraId="6B242A5B"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 Plessis, J.J., Hargovan, A. and Harris, J., 2018. </w:t>
      </w:r>
      <w:r>
        <w:rPr>
          <w:rFonts w:ascii="Times New Roman" w:eastAsia="Times New Roman" w:hAnsi="Times New Roman" w:cs="Times New Roman"/>
          <w:i/>
          <w:sz w:val="24"/>
          <w:szCs w:val="24"/>
          <w:highlight w:val="white"/>
        </w:rPr>
        <w:t>Principles of contemporary corporate governance</w:t>
      </w:r>
      <w:r>
        <w:rPr>
          <w:rFonts w:ascii="Times New Roman" w:eastAsia="Times New Roman" w:hAnsi="Times New Roman" w:cs="Times New Roman"/>
          <w:sz w:val="24"/>
          <w:szCs w:val="24"/>
          <w:highlight w:val="white"/>
        </w:rPr>
        <w:t>. Cambridge University Press.</w:t>
      </w:r>
    </w:p>
    <w:p w14:paraId="6579D3E0" w14:textId="77777777" w:rsidR="00E03793" w:rsidRDefault="00E03793">
      <w:pPr>
        <w:ind w:right="919"/>
        <w:jc w:val="both"/>
        <w:rPr>
          <w:rFonts w:ascii="Times New Roman" w:eastAsia="Times New Roman" w:hAnsi="Times New Roman" w:cs="Times New Roman"/>
          <w:sz w:val="24"/>
          <w:szCs w:val="24"/>
          <w:highlight w:val="white"/>
        </w:rPr>
      </w:pPr>
    </w:p>
    <w:p w14:paraId="0DC22B18"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Solomon, J., 2020. </w:t>
      </w:r>
      <w:r>
        <w:rPr>
          <w:rFonts w:ascii="Times New Roman" w:eastAsia="Times New Roman" w:hAnsi="Times New Roman" w:cs="Times New Roman"/>
          <w:i/>
          <w:sz w:val="24"/>
          <w:szCs w:val="24"/>
          <w:highlight w:val="white"/>
        </w:rPr>
        <w:t>Corporate governance and accountability</w:t>
      </w:r>
      <w:r>
        <w:rPr>
          <w:rFonts w:ascii="Times New Roman" w:eastAsia="Times New Roman" w:hAnsi="Times New Roman" w:cs="Times New Roman"/>
          <w:sz w:val="24"/>
          <w:szCs w:val="24"/>
          <w:highlight w:val="white"/>
        </w:rPr>
        <w:t>. John Wiley &amp; Sons.</w:t>
      </w:r>
    </w:p>
    <w:p w14:paraId="6CFBEEB7" w14:textId="77777777" w:rsidR="00E03793" w:rsidRDefault="00E03793">
      <w:pPr>
        <w:ind w:right="919"/>
        <w:jc w:val="both"/>
        <w:rPr>
          <w:rFonts w:ascii="Times New Roman" w:eastAsia="Times New Roman" w:hAnsi="Times New Roman" w:cs="Times New Roman"/>
          <w:sz w:val="24"/>
          <w:szCs w:val="24"/>
          <w:highlight w:val="white"/>
        </w:rPr>
      </w:pPr>
    </w:p>
    <w:p w14:paraId="1801C8C3"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Flammer, C., Hong, B. and Minor, D., 2019. Corporate governance and the rise of integrating corporate social responsibility criteria in executive compensation: Effectiveness and implications for firm outcomes. </w:t>
      </w:r>
      <w:r>
        <w:rPr>
          <w:rFonts w:ascii="Times New Roman" w:eastAsia="Times New Roman" w:hAnsi="Times New Roman" w:cs="Times New Roman"/>
          <w:i/>
          <w:sz w:val="24"/>
          <w:szCs w:val="24"/>
          <w:highlight w:val="white"/>
        </w:rPr>
        <w:t>Strategic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40</w:t>
      </w:r>
      <w:r>
        <w:rPr>
          <w:rFonts w:ascii="Times New Roman" w:eastAsia="Times New Roman" w:hAnsi="Times New Roman" w:cs="Times New Roman"/>
          <w:sz w:val="24"/>
          <w:szCs w:val="24"/>
          <w:highlight w:val="white"/>
        </w:rPr>
        <w:t>(7), pp.1097-1122.</w:t>
      </w:r>
    </w:p>
    <w:p w14:paraId="177F9212" w14:textId="77777777" w:rsidR="00E03793" w:rsidRDefault="00E03793">
      <w:pPr>
        <w:ind w:right="919"/>
        <w:jc w:val="both"/>
        <w:rPr>
          <w:rFonts w:ascii="Times New Roman" w:eastAsia="Times New Roman" w:hAnsi="Times New Roman" w:cs="Times New Roman"/>
          <w:sz w:val="24"/>
          <w:szCs w:val="24"/>
          <w:highlight w:val="white"/>
        </w:rPr>
      </w:pPr>
    </w:p>
    <w:p w14:paraId="14137CFB"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Al-Faryan, M.A.S., 2024. Agency theory, corporate governance and corruption: an integrative literature review approach. </w:t>
      </w:r>
      <w:r>
        <w:rPr>
          <w:rFonts w:ascii="Times New Roman" w:eastAsia="Times New Roman" w:hAnsi="Times New Roman" w:cs="Times New Roman"/>
          <w:i/>
          <w:sz w:val="24"/>
          <w:szCs w:val="24"/>
          <w:highlight w:val="white"/>
        </w:rPr>
        <w:t>Cogent social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(1), p.2337893.</w:t>
      </w:r>
    </w:p>
    <w:p w14:paraId="4AAE64C0" w14:textId="77777777" w:rsidR="00E03793" w:rsidRDefault="00E03793">
      <w:pPr>
        <w:ind w:right="919"/>
        <w:jc w:val="both"/>
        <w:rPr>
          <w:rFonts w:ascii="Times New Roman" w:eastAsia="Times New Roman" w:hAnsi="Times New Roman" w:cs="Times New Roman"/>
          <w:sz w:val="24"/>
          <w:szCs w:val="24"/>
          <w:highlight w:val="white"/>
        </w:rPr>
      </w:pPr>
    </w:p>
    <w:p w14:paraId="1F5C031A"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Turnbull, S., 2019. Corporate governance: Its scope, concerns and theories. In </w:t>
      </w:r>
      <w:r>
        <w:rPr>
          <w:rFonts w:ascii="Times New Roman" w:eastAsia="Times New Roman" w:hAnsi="Times New Roman" w:cs="Times New Roman"/>
          <w:i/>
          <w:sz w:val="24"/>
          <w:szCs w:val="24"/>
          <w:highlight w:val="white"/>
        </w:rPr>
        <w:t>Corporate governance</w:t>
      </w:r>
      <w:r>
        <w:rPr>
          <w:rFonts w:ascii="Times New Roman" w:eastAsia="Times New Roman" w:hAnsi="Times New Roman" w:cs="Times New Roman"/>
          <w:sz w:val="24"/>
          <w:szCs w:val="24"/>
          <w:highlight w:val="white"/>
        </w:rPr>
        <w:t xml:space="preserve"> (pp. 415-440). Gower.</w:t>
      </w:r>
    </w:p>
    <w:p w14:paraId="27EFBEC2" w14:textId="77777777" w:rsidR="00E03793" w:rsidRDefault="00E03793">
      <w:pPr>
        <w:ind w:right="919"/>
        <w:jc w:val="both"/>
        <w:rPr>
          <w:rFonts w:ascii="Times New Roman" w:eastAsia="Times New Roman" w:hAnsi="Times New Roman" w:cs="Times New Roman"/>
          <w:sz w:val="24"/>
          <w:szCs w:val="24"/>
          <w:highlight w:val="white"/>
        </w:rPr>
      </w:pPr>
    </w:p>
    <w:p w14:paraId="3375E8CD"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Meyer, K.E., Ding, Y., Li, J. and Zhang, H., 2018. Overcoming distrust: How state-owned enterprises adapt their foreign entries to institutional pressures abroad. </w:t>
      </w:r>
      <w:r>
        <w:rPr>
          <w:rFonts w:ascii="Times New Roman" w:eastAsia="Times New Roman" w:hAnsi="Times New Roman" w:cs="Times New Roman"/>
          <w:i/>
          <w:sz w:val="24"/>
          <w:szCs w:val="24"/>
          <w:highlight w:val="white"/>
        </w:rPr>
        <w:t>State-owned multinationals: Governments in global business</w:t>
      </w:r>
      <w:r>
        <w:rPr>
          <w:rFonts w:ascii="Times New Roman" w:eastAsia="Times New Roman" w:hAnsi="Times New Roman" w:cs="Times New Roman"/>
          <w:sz w:val="24"/>
          <w:szCs w:val="24"/>
          <w:highlight w:val="white"/>
        </w:rPr>
        <w:t>, pp.211-251.</w:t>
      </w:r>
    </w:p>
    <w:p w14:paraId="4D70CF86" w14:textId="77777777" w:rsidR="00E03793" w:rsidRDefault="00E03793">
      <w:pPr>
        <w:ind w:right="919"/>
        <w:jc w:val="both"/>
        <w:rPr>
          <w:rFonts w:ascii="Times New Roman" w:eastAsia="Times New Roman" w:hAnsi="Times New Roman" w:cs="Times New Roman"/>
          <w:sz w:val="24"/>
          <w:szCs w:val="24"/>
          <w:highlight w:val="white"/>
        </w:rPr>
      </w:pPr>
    </w:p>
    <w:p w14:paraId="7BD6135B"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Choi, A.H., 2018. Concentrated ownership and long-term shareholder value. </w:t>
      </w:r>
      <w:r>
        <w:rPr>
          <w:rFonts w:ascii="Times New Roman" w:eastAsia="Times New Roman" w:hAnsi="Times New Roman" w:cs="Times New Roman"/>
          <w:i/>
          <w:sz w:val="24"/>
          <w:szCs w:val="24"/>
          <w:highlight w:val="white"/>
        </w:rPr>
        <w:t>Harv. Bus. L. Rev.</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 p.53.</w:t>
      </w:r>
    </w:p>
    <w:p w14:paraId="5EB1756E" w14:textId="77777777" w:rsidR="00E03793" w:rsidRDefault="00E03793">
      <w:pPr>
        <w:ind w:right="919"/>
        <w:jc w:val="both"/>
        <w:rPr>
          <w:rFonts w:ascii="Times New Roman" w:eastAsia="Times New Roman" w:hAnsi="Times New Roman" w:cs="Times New Roman"/>
          <w:sz w:val="24"/>
          <w:szCs w:val="24"/>
          <w:highlight w:val="white"/>
        </w:rPr>
      </w:pPr>
    </w:p>
    <w:p w14:paraId="58F2E20A"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Ferrarini, G. and Ungureanu, C., 2024. Executive Remuneration: A Comparative Overview II. </w:t>
      </w:r>
      <w:r>
        <w:rPr>
          <w:rFonts w:ascii="Times New Roman" w:eastAsia="Times New Roman" w:hAnsi="Times New Roman" w:cs="Times New Roman"/>
          <w:i/>
          <w:sz w:val="24"/>
          <w:szCs w:val="24"/>
          <w:highlight w:val="white"/>
        </w:rPr>
        <w:t>European Corporate Governance Institute-Law Working Paper</w:t>
      </w:r>
      <w:r>
        <w:rPr>
          <w:rFonts w:ascii="Times New Roman" w:eastAsia="Times New Roman" w:hAnsi="Times New Roman" w:cs="Times New Roman"/>
          <w:sz w:val="24"/>
          <w:szCs w:val="24"/>
          <w:highlight w:val="white"/>
        </w:rPr>
        <w:t>, (814).</w:t>
      </w:r>
    </w:p>
    <w:p w14:paraId="78D674BE" w14:textId="77777777" w:rsidR="00E03793" w:rsidRDefault="00E03793">
      <w:pPr>
        <w:ind w:right="919"/>
        <w:jc w:val="both"/>
        <w:rPr>
          <w:rFonts w:ascii="Times New Roman" w:eastAsia="Times New Roman" w:hAnsi="Times New Roman" w:cs="Times New Roman"/>
          <w:sz w:val="24"/>
          <w:szCs w:val="24"/>
          <w:highlight w:val="white"/>
        </w:rPr>
      </w:pPr>
    </w:p>
    <w:p w14:paraId="5649986E"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Cooke, S., Sheridan, A., Perry, M., Marimuthu, S.B. and Conway, M.L., 2025. Relationships, risks and remuneration: Australian directors “doing” corporate governance. </w:t>
      </w:r>
      <w:r>
        <w:rPr>
          <w:rFonts w:ascii="Times New Roman" w:eastAsia="Times New Roman" w:hAnsi="Times New Roman" w:cs="Times New Roman"/>
          <w:i/>
          <w:sz w:val="24"/>
          <w:szCs w:val="24"/>
          <w:highlight w:val="white"/>
        </w:rPr>
        <w:t>Corporate Governance: The International Journal of Business in Society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25</w:t>
      </w:r>
      <w:r>
        <w:rPr>
          <w:rFonts w:ascii="Times New Roman" w:eastAsia="Times New Roman" w:hAnsi="Times New Roman" w:cs="Times New Roman"/>
          <w:sz w:val="24"/>
          <w:szCs w:val="24"/>
          <w:highlight w:val="white"/>
        </w:rPr>
        <w:t>(3), pp.496-509.</w:t>
      </w:r>
    </w:p>
    <w:p w14:paraId="60699418" w14:textId="77777777" w:rsidR="00E03793" w:rsidRDefault="00E03793">
      <w:pPr>
        <w:ind w:right="919"/>
        <w:jc w:val="both"/>
        <w:rPr>
          <w:rFonts w:ascii="Times New Roman" w:eastAsia="Times New Roman" w:hAnsi="Times New Roman" w:cs="Times New Roman"/>
          <w:sz w:val="24"/>
          <w:szCs w:val="24"/>
          <w:highlight w:val="white"/>
        </w:rPr>
      </w:pPr>
    </w:p>
    <w:p w14:paraId="4D633848" w14:textId="77777777" w:rsidR="00E03793" w:rsidRDefault="00000000">
      <w:pPr>
        <w:ind w:right="91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Van Zyl, M. and Mans-Kemp, N., 2023. Insider perspectives on director remuneration governance deliberations. </w:t>
      </w:r>
      <w:r>
        <w:rPr>
          <w:rFonts w:ascii="Times New Roman" w:eastAsia="Times New Roman" w:hAnsi="Times New Roman" w:cs="Times New Roman"/>
          <w:i/>
          <w:sz w:val="24"/>
          <w:szCs w:val="24"/>
          <w:highlight w:val="white"/>
        </w:rPr>
        <w:t>Personnel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52</w:t>
      </w:r>
      <w:r>
        <w:rPr>
          <w:rFonts w:ascii="Times New Roman" w:eastAsia="Times New Roman" w:hAnsi="Times New Roman" w:cs="Times New Roman"/>
          <w:sz w:val="24"/>
          <w:szCs w:val="24"/>
          <w:highlight w:val="white"/>
        </w:rPr>
        <w:t>(3), pp.799-816.</w:t>
      </w:r>
    </w:p>
    <w:p w14:paraId="7272FAA5" w14:textId="77777777" w:rsidR="00E03793" w:rsidRDefault="00E03793">
      <w:pPr>
        <w:rPr>
          <w:color w:val="222222"/>
          <w:sz w:val="20"/>
          <w:szCs w:val="20"/>
          <w:highlight w:val="white"/>
        </w:rPr>
      </w:pPr>
    </w:p>
    <w:p w14:paraId="400679A3" w14:textId="77777777" w:rsidR="00E03793" w:rsidRDefault="00E03793">
      <w:pPr>
        <w:rPr>
          <w:color w:val="222222"/>
          <w:sz w:val="20"/>
          <w:szCs w:val="20"/>
          <w:highlight w:val="white"/>
        </w:rPr>
      </w:pPr>
    </w:p>
    <w:sectPr w:rsidR="00E03793" w:rsidSect="00F975C3">
      <w:headerReference w:type="default" r:id="rId7"/>
      <w:footerReference w:type="default" r:id="rId8"/>
      <w:pgSz w:w="11906" w:h="16838"/>
      <w:pgMar w:top="969" w:right="481" w:bottom="1508"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7587F" w14:textId="77777777" w:rsidR="00DD2F91" w:rsidRDefault="00DD2F91">
      <w:pPr>
        <w:spacing w:line="240" w:lineRule="auto"/>
      </w:pPr>
      <w:r>
        <w:separator/>
      </w:r>
    </w:p>
  </w:endnote>
  <w:endnote w:type="continuationSeparator" w:id="0">
    <w:p w14:paraId="55B58FBB" w14:textId="77777777" w:rsidR="00DD2F91" w:rsidRDefault="00DD2F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DF6AF" w14:textId="77777777" w:rsidR="00E03793" w:rsidRDefault="00000000">
    <w:pPr>
      <w:ind w:right="919"/>
      <w:jc w:val="right"/>
      <w:rPr>
        <w:rFonts w:ascii="Times New Roman" w:eastAsia="Times New Roman" w:hAnsi="Times New Roman" w:cs="Times New Roman"/>
        <w:sz w:val="20"/>
        <w:szCs w:val="20"/>
      </w:rPr>
    </w:pPr>
    <w:r>
      <w:rPr>
        <w:rFonts w:ascii="Times New Roman" w:eastAsia="Times New Roman" w:hAnsi="Times New Roman" w:cs="Times New Roman"/>
        <w:b/>
        <w:sz w:val="20"/>
        <w:szCs w:val="20"/>
      </w:rPr>
      <w:t>Page No.</w:t>
    </w:r>
    <w:r>
      <w:rPr>
        <w:rFonts w:ascii="Times New Roman" w:eastAsia="Times New Roman" w:hAnsi="Times New Roman" w:cs="Times New Roman"/>
        <w:b/>
        <w:sz w:val="20"/>
        <w:szCs w:val="20"/>
      </w:rPr>
      <w:fldChar w:fldCharType="begin"/>
    </w:r>
    <w:r>
      <w:rPr>
        <w:rFonts w:ascii="Times New Roman" w:eastAsia="Times New Roman" w:hAnsi="Times New Roman" w:cs="Times New Roman"/>
        <w:b/>
        <w:sz w:val="20"/>
        <w:szCs w:val="20"/>
      </w:rPr>
      <w:instrText>PAGE</w:instrText>
    </w:r>
    <w:r>
      <w:rPr>
        <w:rFonts w:ascii="Times New Roman" w:eastAsia="Times New Roman" w:hAnsi="Times New Roman" w:cs="Times New Roman"/>
        <w:b/>
        <w:sz w:val="20"/>
        <w:szCs w:val="20"/>
      </w:rPr>
      <w:fldChar w:fldCharType="separate"/>
    </w:r>
    <w:r w:rsidR="00F975C3">
      <w:rPr>
        <w:rFonts w:ascii="Times New Roman" w:eastAsia="Times New Roman" w:hAnsi="Times New Roman" w:cs="Times New Roman"/>
        <w:b/>
        <w:noProof/>
        <w:sz w:val="20"/>
        <w:szCs w:val="20"/>
      </w:rPr>
      <w:t>1</w:t>
    </w:r>
    <w:r>
      <w:rPr>
        <w:rFonts w:ascii="Times New Roman" w:eastAsia="Times New Roman" w:hAnsi="Times New Roman" w:cs="Times New Roman"/>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7A9E9" w14:textId="77777777" w:rsidR="00DD2F91" w:rsidRDefault="00DD2F91">
      <w:pPr>
        <w:spacing w:line="240" w:lineRule="auto"/>
      </w:pPr>
      <w:r>
        <w:separator/>
      </w:r>
    </w:p>
  </w:footnote>
  <w:footnote w:type="continuationSeparator" w:id="0">
    <w:p w14:paraId="7AAEC1D5" w14:textId="77777777" w:rsidR="00DD2F91" w:rsidRDefault="00DD2F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7047F" w14:textId="77777777" w:rsidR="00E03793" w:rsidRDefault="00000000">
    <w:r>
      <w:rPr>
        <w:noProof/>
      </w:rPr>
      <w:drawing>
        <wp:inline distT="114300" distB="114300" distL="114300" distR="114300" wp14:anchorId="74A04629" wp14:editId="43B07CFE">
          <wp:extent cx="2024063" cy="809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024063" cy="8096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62441"/>
    <w:multiLevelType w:val="multilevel"/>
    <w:tmpl w:val="146E3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994A6A"/>
    <w:multiLevelType w:val="multilevel"/>
    <w:tmpl w:val="2FA07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D63247"/>
    <w:multiLevelType w:val="multilevel"/>
    <w:tmpl w:val="125C9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8D33AA"/>
    <w:multiLevelType w:val="multilevel"/>
    <w:tmpl w:val="5D447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1349622">
    <w:abstractNumId w:val="1"/>
  </w:num>
  <w:num w:numId="2" w16cid:durableId="680351004">
    <w:abstractNumId w:val="0"/>
  </w:num>
  <w:num w:numId="3" w16cid:durableId="288513336">
    <w:abstractNumId w:val="2"/>
  </w:num>
  <w:num w:numId="4" w16cid:durableId="703872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793"/>
    <w:rsid w:val="00060952"/>
    <w:rsid w:val="002C753A"/>
    <w:rsid w:val="005014A4"/>
    <w:rsid w:val="00BD27BB"/>
    <w:rsid w:val="00DD2F91"/>
    <w:rsid w:val="00E03793"/>
    <w:rsid w:val="00F975C3"/>
    <w:rsid w:val="00FD4BA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47AC3"/>
  <w15:docId w15:val="{70995B2D-8FCD-42DB-BAD0-B9C55DA40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40" w:lineRule="auto"/>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240" w:lineRule="auto"/>
      <w:ind w:right="919"/>
      <w:outlineLvl w:val="1"/>
    </w:pPr>
    <w:rPr>
      <w:rFonts w:ascii="Times New Roman" w:eastAsia="Times New Roman" w:hAnsi="Times New Roman" w:cs="Times New Roman"/>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TOC1">
    <w:name w:val="toc 1"/>
    <w:basedOn w:val="Normal"/>
    <w:next w:val="Normal"/>
    <w:autoRedefine/>
    <w:uiPriority w:val="39"/>
    <w:unhideWhenUsed/>
    <w:rsid w:val="00BD27BB"/>
    <w:pPr>
      <w:spacing w:after="100"/>
    </w:pPr>
  </w:style>
  <w:style w:type="paragraph" w:styleId="TOC2">
    <w:name w:val="toc 2"/>
    <w:basedOn w:val="Normal"/>
    <w:next w:val="Normal"/>
    <w:autoRedefine/>
    <w:uiPriority w:val="39"/>
    <w:unhideWhenUsed/>
    <w:rsid w:val="00BD27BB"/>
    <w:pPr>
      <w:spacing w:after="100"/>
      <w:ind w:left="220"/>
    </w:pPr>
  </w:style>
  <w:style w:type="character" w:styleId="Hyperlink">
    <w:name w:val="Hyperlink"/>
    <w:basedOn w:val="DefaultParagraphFont"/>
    <w:uiPriority w:val="99"/>
    <w:unhideWhenUsed/>
    <w:rsid w:val="00BD27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439531">
      <w:bodyDiv w:val="1"/>
      <w:marLeft w:val="0"/>
      <w:marRight w:val="0"/>
      <w:marTop w:val="0"/>
      <w:marBottom w:val="0"/>
      <w:divBdr>
        <w:top w:val="none" w:sz="0" w:space="0" w:color="auto"/>
        <w:left w:val="none" w:sz="0" w:space="0" w:color="auto"/>
        <w:bottom w:val="none" w:sz="0" w:space="0" w:color="auto"/>
        <w:right w:val="none" w:sz="0" w:space="0" w:color="auto"/>
      </w:divBdr>
    </w:div>
    <w:div w:id="677200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2222</Words>
  <Characters>12671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 Carare</dc:creator>
  <cp:lastModifiedBy>Alin Carare (2246440)</cp:lastModifiedBy>
  <cp:revision>2</cp:revision>
  <dcterms:created xsi:type="dcterms:W3CDTF">2025-06-15T18:43:00Z</dcterms:created>
  <dcterms:modified xsi:type="dcterms:W3CDTF">2025-06-15T18:43:00Z</dcterms:modified>
</cp:coreProperties>
</file>