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sz w:val="22"/>
          <w:szCs w:val="2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sz w:val="22"/>
          <w:szCs w:val="22"/>
        </w:rPr>
      </w:pPr>
      <w:r w:rsidDel="00000000" w:rsidR="00000000" w:rsidRPr="00000000">
        <w:rPr>
          <w:rtl w:val="0"/>
        </w:rPr>
      </w:r>
    </w:p>
    <w:p w:rsidR="00000000" w:rsidDel="00000000" w:rsidP="00000000" w:rsidRDefault="00000000" w:rsidRPr="00000000" w14:paraId="00000003">
      <w:pPr>
        <w:spacing w:line="360" w:lineRule="auto"/>
        <w:rPr>
          <w:sz w:val="22"/>
          <w:szCs w:val="22"/>
        </w:rPr>
      </w:pPr>
      <w:r w:rsidDel="00000000" w:rsidR="00000000" w:rsidRPr="00000000">
        <w:rPr>
          <w:rtl w:val="0"/>
        </w:rPr>
      </w:r>
    </w:p>
    <w:p w:rsidR="00000000" w:rsidDel="00000000" w:rsidP="00000000" w:rsidRDefault="00000000" w:rsidRPr="00000000" w14:paraId="00000004">
      <w:pPr>
        <w:spacing w:line="360" w:lineRule="auto"/>
        <w:rPr>
          <w:sz w:val="22"/>
          <w:szCs w:val="22"/>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Introduction to Independent Research Skills</w:t>
      </w:r>
    </w:p>
    <w:p w:rsidR="00000000" w:rsidDel="00000000" w:rsidP="00000000" w:rsidRDefault="00000000" w:rsidRPr="00000000" w14:paraId="00000007">
      <w:pPr>
        <w:tabs>
          <w:tab w:val="left" w:leader="none" w:pos="6540"/>
        </w:tabs>
        <w:spacing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BMHP5019</w:t>
      </w:r>
      <w:r w:rsidDel="00000000" w:rsidR="00000000" w:rsidRPr="00000000">
        <w:rPr>
          <w:rtl w:val="0"/>
        </w:rPr>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Jessica Waters</w:t>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2335157</w:t>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Word count</w:t>
      </w:r>
      <w:r w:rsidDel="00000000" w:rsidR="00000000" w:rsidRPr="00000000">
        <w:rPr>
          <w:rFonts w:ascii="Arial" w:cs="Arial" w:eastAsia="Arial" w:hAnsi="Arial"/>
          <w:sz w:val="28"/>
          <w:szCs w:val="28"/>
          <w:rtl w:val="0"/>
        </w:rPr>
        <w:t xml:space="preserve">: 3600</w:t>
      </w:r>
    </w:p>
    <w:p w:rsidR="00000000" w:rsidDel="00000000" w:rsidP="00000000" w:rsidRDefault="00000000" w:rsidRPr="00000000" w14:paraId="0000000B">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0C">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0D">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0E">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00F">
      <w:pPr>
        <w:spacing w:line="360" w:lineRule="auto"/>
        <w:rPr>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rPr/>
      </w:pPr>
      <w:r w:rsidDel="00000000" w:rsidR="00000000" w:rsidRPr="00000000">
        <w:rPr>
          <w:rtl w:val="0"/>
        </w:rPr>
        <w:t xml:space="preserve">Table of contents</w:t>
      </w:r>
    </w:p>
    <w:sdt>
      <w:sdtPr>
        <w:id w:val="2012237901"/>
        <w:docPartObj>
          <w:docPartGallery w:val="Table of Contents"/>
          <w:docPartUnique w:val="1"/>
        </w:docPartObj>
      </w:sdtPr>
      <w:sdtContent>
        <w:p w:rsidR="00000000" w:rsidDel="00000000" w:rsidP="00000000" w:rsidRDefault="00000000" w:rsidRPr="00000000" w14:paraId="00000011">
          <w:pPr>
            <w:widowControl w:val="0"/>
            <w:tabs>
              <w:tab w:val="right" w:leader="dot" w:pos="9025.511811023624"/>
            </w:tabs>
            <w:spacing w:after="0"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
            <w:r w:rsidDel="00000000" w:rsidR="00000000" w:rsidRPr="00000000">
              <w:rPr>
                <w:b w:val="1"/>
                <w:bCs w:val="1"/>
                <w:color w:val="000000"/>
                <w:u w:val="none"/>
                <w:rtl w:val="0"/>
              </w:rPr>
              <w:t xml:space="preserve">Table of contents</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dot" w:pos="9025.511811023624"/>
            </w:tabs>
            <w:spacing w:after="0" w:before="60" w:line="240" w:lineRule="auto"/>
            <w:rPr>
              <w:b w:val="1"/>
              <w:bCs w:val="1"/>
              <w:color w:val="000000"/>
              <w:u w:val="none"/>
            </w:rPr>
          </w:pPr>
          <w:hyperlink w:anchor="_heading=">
            <w:r w:rsidDel="00000000" w:rsidR="00000000" w:rsidRPr="00000000">
              <w:rPr>
                <w:b w:val="1"/>
                <w:bCs w:val="1"/>
                <w:color w:val="000000"/>
                <w:u w:val="none"/>
                <w:rtl w:val="0"/>
              </w:rPr>
              <w:t xml:space="preserve">Abstract</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dot" w:pos="9025.511811023624"/>
            </w:tabs>
            <w:spacing w:after="0" w:before="60" w:line="240" w:lineRule="auto"/>
            <w:rPr>
              <w:b w:val="1"/>
              <w:bCs w:val="1"/>
              <w:color w:val="000000"/>
              <w:u w:val="none"/>
            </w:rPr>
          </w:pPr>
          <w:hyperlink w:anchor="_heading=">
            <w:r w:rsidDel="00000000" w:rsidR="00000000" w:rsidRPr="00000000">
              <w:rPr>
                <w:b w:val="1"/>
                <w:bCs w:val="1"/>
                <w:color w:val="000000"/>
                <w:u w:val="none"/>
                <w:rtl w:val="0"/>
              </w:rPr>
              <w:t xml:space="preserve">1. Introduction</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dot" w:pos="9025.511811023624"/>
            </w:tabs>
            <w:spacing w:after="0" w:before="60" w:line="240" w:lineRule="auto"/>
            <w:ind w:left="720" w:firstLine="0"/>
            <w:rPr>
              <w:color w:val="000000"/>
              <w:u w:val="none"/>
            </w:rPr>
          </w:pPr>
          <w:hyperlink w:anchor="_heading=h.ut4sxo7ympfq">
            <w:r w:rsidDel="00000000" w:rsidR="00000000" w:rsidRPr="00000000">
              <w:rPr>
                <w:color w:val="000000"/>
                <w:u w:val="none"/>
                <w:rtl w:val="0"/>
              </w:rPr>
              <w:t xml:space="preserve">Objectives</w:t>
              <w:tab/>
            </w:r>
          </w:hyperlink>
          <w:r w:rsidDel="00000000" w:rsidR="00000000" w:rsidRPr="00000000">
            <w:fldChar w:fldCharType="begin"/>
            <w:instrText xml:space="preserve"> PAGEREF _heading=h.ut4sxo7ympfq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dot" w:pos="9025.511811023624"/>
            </w:tabs>
            <w:spacing w:after="0" w:before="60" w:line="240" w:lineRule="auto"/>
            <w:rPr>
              <w:b w:val="1"/>
              <w:bCs w:val="1"/>
              <w:color w:val="000000"/>
              <w:u w:val="none"/>
            </w:rPr>
          </w:pPr>
          <w:hyperlink w:anchor="_heading=">
            <w:r w:rsidDel="00000000" w:rsidR="00000000" w:rsidRPr="00000000">
              <w:rPr>
                <w:b w:val="1"/>
                <w:bCs w:val="1"/>
                <w:color w:val="000000"/>
                <w:u w:val="none"/>
                <w:rtl w:val="0"/>
              </w:rPr>
              <w:t xml:space="preserve">Background</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dot" w:pos="9025.511811023624"/>
            </w:tabs>
            <w:spacing w:after="0" w:before="60" w:line="240" w:lineRule="auto"/>
            <w:rPr>
              <w:b w:val="1"/>
              <w:bCs w:val="1"/>
              <w:color w:val="000000"/>
              <w:u w:val="none"/>
            </w:rPr>
          </w:pPr>
          <w:hyperlink w:anchor="_heading=">
            <w:r w:rsidDel="00000000" w:rsidR="00000000" w:rsidRPr="00000000">
              <w:rPr>
                <w:b w:val="1"/>
                <w:bCs w:val="1"/>
                <w:color w:val="000000"/>
                <w:u w:val="none"/>
                <w:rtl w:val="0"/>
              </w:rPr>
              <w:t xml:space="preserve">3. Methods</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dot" w:pos="9025.511811023624"/>
            </w:tabs>
            <w:spacing w:after="0" w:before="60" w:line="240" w:lineRule="auto"/>
            <w:ind w:left="720" w:firstLine="0"/>
            <w:rPr>
              <w:color w:val="000000"/>
              <w:u w:val="none"/>
            </w:rPr>
          </w:pPr>
          <w:hyperlink w:anchor="_heading=h.1yvkymp5t4he">
            <w:r w:rsidDel="00000000" w:rsidR="00000000" w:rsidRPr="00000000">
              <w:rPr>
                <w:color w:val="000000"/>
                <w:u w:val="none"/>
                <w:rtl w:val="0"/>
              </w:rPr>
              <w:t xml:space="preserve">Search Strategy</w:t>
              <w:tab/>
            </w:r>
          </w:hyperlink>
          <w:r w:rsidDel="00000000" w:rsidR="00000000" w:rsidRPr="00000000">
            <w:fldChar w:fldCharType="begin"/>
            <w:instrText xml:space="preserve"> PAGEREF _heading=h.1yvkymp5t4he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dot" w:pos="9025.511811023624"/>
            </w:tabs>
            <w:spacing w:after="0" w:before="60" w:line="240" w:lineRule="auto"/>
            <w:ind w:left="720" w:firstLine="0"/>
            <w:rPr>
              <w:color w:val="000000"/>
              <w:u w:val="none"/>
            </w:rPr>
          </w:pPr>
          <w:hyperlink w:anchor="_heading=h.yz50no11whdz">
            <w:r w:rsidDel="00000000" w:rsidR="00000000" w:rsidRPr="00000000">
              <w:rPr>
                <w:color w:val="000000"/>
                <w:u w:val="none"/>
                <w:rtl w:val="0"/>
              </w:rPr>
              <w:t xml:space="preserve">Keywords included:</w:t>
              <w:tab/>
            </w:r>
          </w:hyperlink>
          <w:r w:rsidDel="00000000" w:rsidR="00000000" w:rsidRPr="00000000">
            <w:fldChar w:fldCharType="begin"/>
            <w:instrText xml:space="preserve"> PAGEREF _heading=h.yz50no11whdz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dot" w:pos="9025.511811023624"/>
            </w:tabs>
            <w:spacing w:after="0" w:before="60" w:line="240" w:lineRule="auto"/>
            <w:ind w:left="720" w:firstLine="0"/>
            <w:rPr>
              <w:color w:val="000000"/>
              <w:u w:val="none"/>
            </w:rPr>
          </w:pPr>
          <w:hyperlink w:anchor="_heading=h.x0z1gjgkdwcj">
            <w:r w:rsidDel="00000000" w:rsidR="00000000" w:rsidRPr="00000000">
              <w:rPr>
                <w:color w:val="000000"/>
                <w:u w:val="none"/>
                <w:rtl w:val="0"/>
              </w:rPr>
              <w:t xml:space="preserve">Inclusion Criteria</w:t>
              <w:tab/>
            </w:r>
          </w:hyperlink>
          <w:r w:rsidDel="00000000" w:rsidR="00000000" w:rsidRPr="00000000">
            <w:fldChar w:fldCharType="begin"/>
            <w:instrText xml:space="preserve"> PAGEREF _heading=h.x0z1gjgkdwcj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dot" w:pos="9025.511811023624"/>
            </w:tabs>
            <w:spacing w:after="0" w:before="60" w:line="240" w:lineRule="auto"/>
            <w:ind w:left="720" w:firstLine="0"/>
            <w:rPr>
              <w:color w:val="000000"/>
              <w:u w:val="none"/>
            </w:rPr>
          </w:pPr>
          <w:hyperlink w:anchor="_heading=h.dubygogndd85">
            <w:r w:rsidDel="00000000" w:rsidR="00000000" w:rsidRPr="00000000">
              <w:rPr>
                <w:color w:val="000000"/>
                <w:u w:val="none"/>
                <w:rtl w:val="0"/>
              </w:rPr>
              <w:t xml:space="preserve">Exclusion Criteria</w:t>
              <w:tab/>
            </w:r>
          </w:hyperlink>
          <w:r w:rsidDel="00000000" w:rsidR="00000000" w:rsidRPr="00000000">
            <w:fldChar w:fldCharType="begin"/>
            <w:instrText xml:space="preserve"> PAGEREF _heading=h.dubygogndd85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dot" w:pos="9025.511811023624"/>
            </w:tabs>
            <w:spacing w:after="0" w:before="60" w:line="240" w:lineRule="auto"/>
            <w:ind w:left="720" w:firstLine="0"/>
            <w:rPr>
              <w:color w:val="000000"/>
              <w:u w:val="none"/>
            </w:rPr>
          </w:pPr>
          <w:hyperlink w:anchor="_heading=h.r750kq2zjv0f">
            <w:r w:rsidDel="00000000" w:rsidR="00000000" w:rsidRPr="00000000">
              <w:rPr>
                <w:color w:val="000000"/>
                <w:u w:val="none"/>
                <w:rtl w:val="0"/>
              </w:rPr>
              <w:t xml:space="preserve">Study Selection</w:t>
              <w:tab/>
            </w:r>
          </w:hyperlink>
          <w:r w:rsidDel="00000000" w:rsidR="00000000" w:rsidRPr="00000000">
            <w:fldChar w:fldCharType="begin"/>
            <w:instrText xml:space="preserve"> PAGEREF _heading=h.r750kq2zjv0f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dot" w:pos="9025.511811023624"/>
            </w:tabs>
            <w:spacing w:after="0" w:before="60" w:line="240" w:lineRule="auto"/>
            <w:ind w:left="720" w:firstLine="0"/>
            <w:rPr>
              <w:color w:val="000000"/>
              <w:u w:val="none"/>
            </w:rPr>
          </w:pPr>
          <w:hyperlink w:anchor="_heading=h.ojfso84qrvbn">
            <w:r w:rsidDel="00000000" w:rsidR="00000000" w:rsidRPr="00000000">
              <w:rPr>
                <w:color w:val="000000"/>
                <w:u w:val="none"/>
                <w:rtl w:val="0"/>
              </w:rPr>
              <w:t xml:space="preserve">Data Analysis</w:t>
              <w:tab/>
            </w:r>
          </w:hyperlink>
          <w:r w:rsidDel="00000000" w:rsidR="00000000" w:rsidRPr="00000000">
            <w:fldChar w:fldCharType="begin"/>
            <w:instrText xml:space="preserve"> PAGEREF _heading=h.ojfso84qrvbn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dot" w:pos="9025.511811023624"/>
            </w:tabs>
            <w:spacing w:after="0" w:before="60" w:line="240" w:lineRule="auto"/>
            <w:ind w:left="720" w:firstLine="0"/>
            <w:rPr>
              <w:color w:val="000000"/>
              <w:u w:val="none"/>
            </w:rPr>
          </w:pPr>
          <w:hyperlink w:anchor="_heading=h.9t1ysujlzi7m">
            <w:r w:rsidDel="00000000" w:rsidR="00000000" w:rsidRPr="00000000">
              <w:rPr>
                <w:color w:val="000000"/>
                <w:u w:val="none"/>
                <w:rtl w:val="0"/>
              </w:rPr>
              <w:t xml:space="preserve">Ethical Considerations</w:t>
              <w:tab/>
            </w:r>
          </w:hyperlink>
          <w:r w:rsidDel="00000000" w:rsidR="00000000" w:rsidRPr="00000000">
            <w:fldChar w:fldCharType="begin"/>
            <w:instrText xml:space="preserve"> PAGEREF _heading=h.9t1ysujlzi7m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dot" w:pos="9025.511811023624"/>
            </w:tabs>
            <w:spacing w:after="0" w:before="60" w:line="240" w:lineRule="auto"/>
            <w:rPr>
              <w:b w:val="1"/>
              <w:bCs w:val="1"/>
              <w:color w:val="000000"/>
              <w:u w:val="none"/>
            </w:rPr>
          </w:pPr>
          <w:hyperlink w:anchor="_heading=">
            <w:r w:rsidDel="00000000" w:rsidR="00000000" w:rsidRPr="00000000">
              <w:rPr>
                <w:b w:val="1"/>
                <w:bCs w:val="1"/>
                <w:color w:val="000000"/>
                <w:u w:val="none"/>
                <w:rtl w:val="0"/>
              </w:rPr>
              <w:t xml:space="preserve">4. Results</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dot" w:pos="9025.511811023624"/>
            </w:tabs>
            <w:spacing w:after="0" w:before="60" w:line="240" w:lineRule="auto"/>
            <w:rPr>
              <w:b w:val="1"/>
              <w:bCs w:val="1"/>
              <w:color w:val="000000"/>
              <w:u w:val="none"/>
            </w:rPr>
          </w:pPr>
          <w:hyperlink w:anchor="_heading=h.s3abtzyjpfyi">
            <w:r w:rsidDel="00000000" w:rsidR="00000000" w:rsidRPr="00000000">
              <w:rPr>
                <w:b w:val="1"/>
                <w:bCs w:val="1"/>
                <w:color w:val="000000"/>
                <w:u w:val="none"/>
                <w:rtl w:val="0"/>
              </w:rPr>
              <w:t xml:space="preserve">Results Table: Summary of Included Studies</w:t>
              <w:tab/>
            </w:r>
          </w:hyperlink>
          <w:r w:rsidDel="00000000" w:rsidR="00000000" w:rsidRPr="00000000">
            <w:fldChar w:fldCharType="begin"/>
            <w:instrText xml:space="preserve"> PAGEREF _heading=h.s3abtzyjpfyi \h </w:instrText>
            <w:fldChar w:fldCharType="separate"/>
          </w:r>
          <w:r w:rsidDel="00000000" w:rsidR="00000000" w:rsidRPr="00000000">
            <w:rPr>
              <w:b w:val="1"/>
              <w:bCs w:val="1"/>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dot" w:pos="9025.511811023624"/>
            </w:tabs>
            <w:spacing w:after="0" w:before="60" w:line="240" w:lineRule="auto"/>
            <w:rPr>
              <w:b w:val="1"/>
              <w:bCs w:val="1"/>
              <w:color w:val="000000"/>
              <w:u w:val="none"/>
            </w:rPr>
          </w:pPr>
          <w:hyperlink w:anchor="_heading=">
            <w:r w:rsidDel="00000000" w:rsidR="00000000" w:rsidRPr="00000000">
              <w:rPr>
                <w:b w:val="1"/>
                <w:bCs w:val="1"/>
                <w:color w:val="000000"/>
                <w:u w:val="none"/>
                <w:rtl w:val="0"/>
              </w:rPr>
              <w:t xml:space="preserve">5. Discussion</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dot" w:pos="9025.511811023624"/>
            </w:tabs>
            <w:spacing w:after="0" w:before="60" w:line="240" w:lineRule="auto"/>
            <w:rPr>
              <w:b w:val="1"/>
              <w:bCs w:val="1"/>
              <w:color w:val="000000"/>
              <w:u w:val="none"/>
            </w:rPr>
          </w:pPr>
          <w:hyperlink w:anchor="_heading=">
            <w:r w:rsidDel="00000000" w:rsidR="00000000" w:rsidRPr="00000000">
              <w:rPr>
                <w:b w:val="1"/>
                <w:bCs w:val="1"/>
                <w:color w:val="000000"/>
                <w:u w:val="none"/>
                <w:rtl w:val="0"/>
              </w:rPr>
              <w:t xml:space="preserve">6. Conclusion and Recommendations</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dot" w:pos="9025.511811023624"/>
            </w:tabs>
            <w:spacing w:after="0" w:before="60" w:line="240" w:lineRule="auto"/>
            <w:ind w:left="720" w:firstLine="0"/>
            <w:rPr>
              <w:color w:val="000000"/>
              <w:u w:val="none"/>
            </w:rPr>
          </w:pPr>
          <w:hyperlink w:anchor="_heading=h.b1c61q618g0d">
            <w:r w:rsidDel="00000000" w:rsidR="00000000" w:rsidRPr="00000000">
              <w:rPr>
                <w:color w:val="000000"/>
                <w:u w:val="none"/>
                <w:rtl w:val="0"/>
              </w:rPr>
              <w:t xml:space="preserve">Practice</w:t>
              <w:tab/>
            </w:r>
          </w:hyperlink>
          <w:r w:rsidDel="00000000" w:rsidR="00000000" w:rsidRPr="00000000">
            <w:fldChar w:fldCharType="begin"/>
            <w:instrText xml:space="preserve"> PAGEREF _heading=h.b1c61q618g0d \h </w:instrText>
            <w:fldChar w:fldCharType="separate"/>
          </w:r>
          <w:r w:rsidDel="00000000" w:rsidR="00000000" w:rsidRPr="00000000">
            <w:rPr>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dot" w:pos="9025.511811023624"/>
            </w:tabs>
            <w:spacing w:after="0" w:before="60" w:line="240" w:lineRule="auto"/>
            <w:ind w:left="720" w:firstLine="0"/>
            <w:rPr>
              <w:color w:val="000000"/>
              <w:u w:val="none"/>
            </w:rPr>
          </w:pPr>
          <w:hyperlink w:anchor="_heading=h.utoxkowfneyc">
            <w:r w:rsidDel="00000000" w:rsidR="00000000" w:rsidRPr="00000000">
              <w:rPr>
                <w:color w:val="000000"/>
                <w:u w:val="none"/>
                <w:rtl w:val="0"/>
              </w:rPr>
              <w:t xml:space="preserve">Policy</w:t>
              <w:tab/>
            </w:r>
          </w:hyperlink>
          <w:r w:rsidDel="00000000" w:rsidR="00000000" w:rsidRPr="00000000">
            <w:fldChar w:fldCharType="begin"/>
            <w:instrText xml:space="preserve"> PAGEREF _heading=h.utoxkowfneyc \h </w:instrText>
            <w:fldChar w:fldCharType="separate"/>
          </w:r>
          <w:r w:rsidDel="00000000" w:rsidR="00000000" w:rsidRPr="00000000">
            <w:rPr>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dot" w:pos="9025.511811023624"/>
            </w:tabs>
            <w:spacing w:after="0" w:before="60" w:line="240" w:lineRule="auto"/>
            <w:ind w:left="720" w:firstLine="0"/>
            <w:rPr>
              <w:color w:val="000000"/>
              <w:u w:val="none"/>
            </w:rPr>
          </w:pPr>
          <w:hyperlink w:anchor="_heading=h.keq4n4ebi5d">
            <w:r w:rsidDel="00000000" w:rsidR="00000000" w:rsidRPr="00000000">
              <w:rPr>
                <w:color w:val="000000"/>
                <w:u w:val="none"/>
                <w:rtl w:val="0"/>
              </w:rPr>
              <w:t xml:space="preserve">Future Research</w:t>
              <w:tab/>
            </w:r>
          </w:hyperlink>
          <w:r w:rsidDel="00000000" w:rsidR="00000000" w:rsidRPr="00000000">
            <w:fldChar w:fldCharType="begin"/>
            <w:instrText xml:space="preserve"> PAGEREF _heading=h.keq4n4ebi5d \h </w:instrText>
            <w:fldChar w:fldCharType="separate"/>
          </w:r>
          <w:r w:rsidDel="00000000" w:rsidR="00000000" w:rsidRPr="00000000">
            <w:rPr>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dot" w:pos="9025.511811023624"/>
            </w:tabs>
            <w:spacing w:after="0" w:before="60" w:line="240" w:lineRule="auto"/>
            <w:rPr>
              <w:b w:val="1"/>
              <w:bCs w:val="1"/>
              <w:color w:val="000000"/>
              <w:u w:val="none"/>
            </w:rPr>
          </w:pPr>
          <w:hyperlink w:anchor="_heading=">
            <w:r w:rsidDel="00000000" w:rsidR="00000000" w:rsidRPr="00000000">
              <w:rPr>
                <w:b w:val="1"/>
                <w:bCs w:val="1"/>
                <w:color w:val="000000"/>
                <w:u w:val="none"/>
                <w:rtl w:val="0"/>
              </w:rPr>
              <w:t xml:space="preserve">References</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15</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spacing w:line="360" w:lineRule="auto"/>
        <w:rPr>
          <w:sz w:val="22"/>
          <w:szCs w:val="22"/>
        </w:rPr>
      </w:pPr>
      <w:r w:rsidDel="00000000" w:rsidR="00000000" w:rsidRPr="00000000">
        <w:rPr>
          <w:rtl w:val="0"/>
        </w:rPr>
      </w:r>
    </w:p>
    <w:p w:rsidR="00000000" w:rsidDel="00000000" w:rsidP="00000000" w:rsidRDefault="00000000" w:rsidRPr="00000000" w14:paraId="00000028">
      <w:pPr>
        <w:spacing w:line="360" w:lineRule="auto"/>
        <w:rPr>
          <w:sz w:val="22"/>
          <w:szCs w:val="22"/>
        </w:rPr>
      </w:pPr>
      <w:r w:rsidDel="00000000" w:rsidR="00000000" w:rsidRPr="00000000">
        <w:rPr>
          <w:rtl w:val="0"/>
        </w:rPr>
      </w:r>
    </w:p>
    <w:p w:rsidR="00000000" w:rsidDel="00000000" w:rsidP="00000000" w:rsidRDefault="00000000" w:rsidRPr="00000000" w14:paraId="00000029">
      <w:pPr>
        <w:spacing w:line="360" w:lineRule="auto"/>
        <w:rPr>
          <w:sz w:val="22"/>
          <w:szCs w:val="22"/>
        </w:rPr>
      </w:pPr>
      <w:r w:rsidDel="00000000" w:rsidR="00000000" w:rsidRPr="00000000">
        <w:rPr>
          <w:rtl w:val="0"/>
        </w:rPr>
      </w:r>
    </w:p>
    <w:p w:rsidR="00000000" w:rsidDel="00000000" w:rsidP="00000000" w:rsidRDefault="00000000" w:rsidRPr="00000000" w14:paraId="0000002A">
      <w:pPr>
        <w:spacing w:line="360" w:lineRule="auto"/>
        <w:rPr>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sz w:val="24"/>
          <w:szCs w:val="24"/>
        </w:rPr>
      </w:pPr>
      <w:r w:rsidDel="00000000" w:rsidR="00000000" w:rsidRPr="00000000">
        <w:rPr>
          <w:sz w:val="24"/>
          <w:szCs w:val="24"/>
          <w:rtl w:val="0"/>
        </w:rPr>
        <w:t xml:space="preserve">Abstract</w:t>
      </w:r>
    </w:p>
    <w:p w:rsidR="00000000" w:rsidDel="00000000" w:rsidP="00000000" w:rsidRDefault="00000000" w:rsidRPr="00000000" w14:paraId="0000002C">
      <w:pPr>
        <w:spacing w:after="240" w:before="240" w:lineRule="auto"/>
        <w:rPr>
          <w:rFonts w:ascii="Arial" w:cs="Arial" w:eastAsia="Arial" w:hAnsi="Arial"/>
        </w:rPr>
      </w:pPr>
      <w:r w:rsidDel="00000000" w:rsidR="00000000" w:rsidRPr="00000000">
        <w:rPr>
          <w:rFonts w:ascii="Arial" w:cs="Arial" w:eastAsia="Arial" w:hAnsi="Arial"/>
          <w:rtl w:val="0"/>
        </w:rPr>
        <w:t xml:space="preserve">Increasing waiting times within the UK National Health Service (NHS) represent a significant challenge to healthcare delivery and patient outcomes. This scoping review aims to identify the key factors contributing to prolonged NHS waiting times and to examine their impact on UK health and social care practice. A structured search of academic databases, including PubMed, CINAHL, and EBSCOhost, was conducted to identify relevant peer-reviewed studies. Five studies met the predefined inclusion criteria and were included in the review.</w:t>
      </w:r>
    </w:p>
    <w:p w:rsidR="00000000" w:rsidDel="00000000" w:rsidP="00000000" w:rsidRDefault="00000000" w:rsidRPr="00000000" w14:paraId="0000002D">
      <w:pPr>
        <w:spacing w:after="240" w:before="240" w:lineRule="auto"/>
        <w:rPr>
          <w:rFonts w:ascii="Arial" w:cs="Arial" w:eastAsia="Arial" w:hAnsi="Arial"/>
        </w:rPr>
      </w:pPr>
      <w:r w:rsidDel="00000000" w:rsidR="00000000" w:rsidRPr="00000000">
        <w:rPr>
          <w:rFonts w:ascii="Arial" w:cs="Arial" w:eastAsia="Arial" w:hAnsi="Arial"/>
          <w:rtl w:val="0"/>
        </w:rPr>
        <w:t xml:space="preserve">Thematic analysis identified four key factors influencing waiting times: workforce shortages, rising demand for healthcare services, the impact of the COVID-19 pandemic, and systemic inefficiencies in service delivery. The findings indicate that increasing demand, particularly due to an ageing population and higher prevalence of chronic conditions, has exceeded NHS capacity. Workforce shortages further constrain service provision, while pandemic-related disruptions have created a substantial backlog in care. Additionally, inefficiencies such as delayed discharges and fragmented care pathways continue to exacerbate delays.</w:t>
      </w:r>
    </w:p>
    <w:p w:rsidR="00000000" w:rsidDel="00000000" w:rsidP="00000000" w:rsidRDefault="00000000" w:rsidRPr="00000000" w14:paraId="0000002E">
      <w:pPr>
        <w:spacing w:after="240" w:before="240" w:lineRule="auto"/>
        <w:rPr>
          <w:rFonts w:ascii="Arial" w:cs="Arial" w:eastAsia="Arial" w:hAnsi="Arial"/>
        </w:rPr>
      </w:pPr>
      <w:r w:rsidDel="00000000" w:rsidR="00000000" w:rsidRPr="00000000">
        <w:rPr>
          <w:rFonts w:ascii="Arial" w:cs="Arial" w:eastAsia="Arial" w:hAnsi="Arial"/>
          <w:rtl w:val="0"/>
        </w:rPr>
        <w:t xml:space="preserve">Prolonged waiting times are associated with negative patient outcomes, including deterioration in health, increased healthcare utilisation, and reduced patient satisfaction. In conclusion, NHS waiting times are driven by complex and interrelated factors requiring coordinated policy and practice responses. Increased workforce investment, improved system integration, and further research are recommended to address ongoing challenges.</w:t>
      </w:r>
    </w:p>
    <w:p w:rsidR="00000000" w:rsidDel="00000000" w:rsidP="00000000" w:rsidRDefault="00000000" w:rsidRPr="00000000" w14:paraId="0000002F">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30">
      <w:pPr>
        <w:rPr>
          <w:rFonts w:ascii="Arial" w:cs="Arial" w:eastAsia="Arial" w:hAnsi="Arial"/>
        </w:rPr>
      </w:pPr>
      <w:r w:rsidDel="00000000" w:rsidR="00000000" w:rsidRPr="00000000">
        <w:rPr>
          <w:rtl w:val="0"/>
        </w:rPr>
      </w:r>
    </w:p>
    <w:p w:rsidR="00000000" w:rsidDel="00000000" w:rsidP="00000000" w:rsidRDefault="00000000" w:rsidRPr="00000000" w14:paraId="00000031">
      <w:pPr>
        <w:rPr>
          <w:rFonts w:ascii="Arial" w:cs="Arial" w:eastAsia="Arial" w:hAnsi="Arial"/>
        </w:rPr>
      </w:pPr>
      <w:r w:rsidDel="00000000" w:rsidR="00000000" w:rsidRPr="00000000">
        <w:rPr>
          <w:rtl w:val="0"/>
        </w:rPr>
      </w:r>
    </w:p>
    <w:p w:rsidR="00000000" w:rsidDel="00000000" w:rsidP="00000000" w:rsidRDefault="00000000" w:rsidRPr="00000000" w14:paraId="00000032">
      <w:pPr>
        <w:rPr>
          <w:rFonts w:ascii="Arial" w:cs="Arial" w:eastAsia="Arial" w:hAnsi="Arial"/>
        </w:rPr>
      </w:pPr>
      <w:r w:rsidDel="00000000" w:rsidR="00000000" w:rsidRPr="00000000">
        <w:rPr>
          <w:rtl w:val="0"/>
        </w:rPr>
      </w:r>
    </w:p>
    <w:p w:rsidR="00000000" w:rsidDel="00000000" w:rsidP="00000000" w:rsidRDefault="00000000" w:rsidRPr="00000000" w14:paraId="00000033">
      <w:pPr>
        <w:rPr>
          <w:rFonts w:ascii="Arial" w:cs="Arial" w:eastAsia="Arial" w:hAnsi="Arial"/>
        </w:rPr>
      </w:pPr>
      <w:r w:rsidDel="00000000" w:rsidR="00000000" w:rsidRPr="00000000">
        <w:rPr>
          <w:rtl w:val="0"/>
        </w:rPr>
      </w:r>
    </w:p>
    <w:p w:rsidR="00000000" w:rsidDel="00000000" w:rsidP="00000000" w:rsidRDefault="00000000" w:rsidRPr="00000000" w14:paraId="00000034">
      <w:pPr>
        <w:rPr>
          <w:rFonts w:ascii="Arial" w:cs="Arial" w:eastAsia="Arial" w:hAnsi="Arial"/>
        </w:rPr>
      </w:pPr>
      <w:r w:rsidDel="00000000" w:rsidR="00000000" w:rsidRPr="00000000">
        <w:rPr>
          <w:rtl w:val="0"/>
        </w:rPr>
      </w:r>
    </w:p>
    <w:p w:rsidR="00000000" w:rsidDel="00000000" w:rsidP="00000000" w:rsidRDefault="00000000" w:rsidRPr="00000000" w14:paraId="00000035">
      <w:pPr>
        <w:rPr>
          <w:rFonts w:ascii="Arial" w:cs="Arial" w:eastAsia="Arial" w:hAnsi="Arial"/>
        </w:rPr>
      </w:pPr>
      <w:r w:rsidDel="00000000" w:rsidR="00000000" w:rsidRPr="00000000">
        <w:rPr>
          <w:rtl w:val="0"/>
        </w:rPr>
      </w:r>
    </w:p>
    <w:p w:rsidR="00000000" w:rsidDel="00000000" w:rsidP="00000000" w:rsidRDefault="00000000" w:rsidRPr="00000000" w14:paraId="00000036">
      <w:pPr>
        <w:rPr>
          <w:rFonts w:ascii="Arial" w:cs="Arial" w:eastAsia="Arial" w:hAnsi="Arial"/>
        </w:rPr>
      </w:pPr>
      <w:r w:rsidDel="00000000" w:rsidR="00000000" w:rsidRPr="00000000">
        <w:rPr>
          <w:rtl w:val="0"/>
        </w:rPr>
      </w:r>
    </w:p>
    <w:p w:rsidR="00000000" w:rsidDel="00000000" w:rsidP="00000000" w:rsidRDefault="00000000" w:rsidRPr="00000000" w14:paraId="00000037">
      <w:pPr>
        <w:rPr>
          <w:rFonts w:ascii="Arial" w:cs="Arial" w:eastAsia="Arial" w:hAnsi="Arial"/>
        </w:rPr>
      </w:pPr>
      <w:r w:rsidDel="00000000" w:rsidR="00000000" w:rsidRPr="00000000">
        <w:rPr>
          <w:rtl w:val="0"/>
        </w:rPr>
      </w:r>
    </w:p>
    <w:p w:rsidR="00000000" w:rsidDel="00000000" w:rsidP="00000000" w:rsidRDefault="00000000" w:rsidRPr="00000000" w14:paraId="00000038">
      <w:pPr>
        <w:rPr>
          <w:rFonts w:ascii="Arial" w:cs="Arial" w:eastAsia="Arial" w:hAnsi="Arial"/>
        </w:rPr>
      </w:pPr>
      <w:r w:rsidDel="00000000" w:rsidR="00000000" w:rsidRPr="00000000">
        <w:rPr>
          <w:rtl w:val="0"/>
        </w:rPr>
      </w:r>
    </w:p>
    <w:p w:rsidR="00000000" w:rsidDel="00000000" w:rsidP="00000000" w:rsidRDefault="00000000" w:rsidRPr="00000000" w14:paraId="00000039">
      <w:pPr>
        <w:rPr>
          <w:rFonts w:ascii="Arial" w:cs="Arial" w:eastAsia="Arial" w:hAnsi="Arial"/>
        </w:rPr>
      </w:pPr>
      <w:r w:rsidDel="00000000" w:rsidR="00000000" w:rsidRPr="00000000">
        <w:rPr>
          <w:rtl w:val="0"/>
        </w:rPr>
      </w:r>
    </w:p>
    <w:p w:rsidR="00000000" w:rsidDel="00000000" w:rsidP="00000000" w:rsidRDefault="00000000" w:rsidRPr="00000000" w14:paraId="0000003A">
      <w:pPr>
        <w:rPr>
          <w:rFonts w:ascii="Arial" w:cs="Arial" w:eastAsia="Arial" w:hAnsi="Arial"/>
        </w:rPr>
      </w:pPr>
      <w:r w:rsidDel="00000000" w:rsidR="00000000" w:rsidRPr="00000000">
        <w:rPr>
          <w:rtl w:val="0"/>
        </w:rPr>
      </w:r>
    </w:p>
    <w:p w:rsidR="00000000" w:rsidDel="00000000" w:rsidP="00000000" w:rsidRDefault="00000000" w:rsidRPr="00000000" w14:paraId="0000003B">
      <w:pPr>
        <w:pStyle w:val="Heading1"/>
        <w:rPr>
          <w:sz w:val="24"/>
          <w:szCs w:val="24"/>
        </w:rPr>
      </w:pPr>
      <w:r w:rsidDel="00000000" w:rsidR="00000000" w:rsidRPr="00000000">
        <w:rPr>
          <w:sz w:val="24"/>
          <w:szCs w:val="24"/>
          <w:rtl w:val="0"/>
        </w:rPr>
        <w:t xml:space="preserve">1. Introduction</w:t>
      </w:r>
      <w:r w:rsidDel="00000000" w:rsidR="00000000" w:rsidRPr="00000000">
        <w:rPr>
          <w:rtl w:val="0"/>
        </w:rPr>
      </w:r>
    </w:p>
    <w:p w:rsidR="00000000" w:rsidDel="00000000" w:rsidP="00000000" w:rsidRDefault="00000000" w:rsidRPr="00000000" w14:paraId="0000003C">
      <w:pPr>
        <w:spacing w:after="240" w:before="240" w:lineRule="auto"/>
        <w:rPr>
          <w:rFonts w:ascii="Arial" w:cs="Arial" w:eastAsia="Arial" w:hAnsi="Arial"/>
          <w:i w:val="1"/>
          <w:iCs w:val="1"/>
        </w:rPr>
      </w:pPr>
      <w:r w:rsidDel="00000000" w:rsidR="00000000" w:rsidRPr="00000000">
        <w:rPr>
          <w:rFonts w:ascii="Arial" w:cs="Arial" w:eastAsia="Arial" w:hAnsi="Arial"/>
          <w:rtl w:val="0"/>
        </w:rPr>
        <w:t xml:space="preserve">The review question guiding this study is: </w:t>
      </w:r>
      <w:r w:rsidDel="00000000" w:rsidR="00000000" w:rsidRPr="00000000">
        <w:rPr>
          <w:rFonts w:ascii="Arial" w:cs="Arial" w:eastAsia="Arial" w:hAnsi="Arial"/>
          <w:i w:val="1"/>
          <w:iCs w:val="1"/>
          <w:rtl w:val="0"/>
        </w:rPr>
        <w:t xml:space="preserve">What are the key factors contributing to increased NHS waiting times in the UK, and how do these factors affect healthcare delivery and patient outcomes?</w:t>
      </w:r>
    </w:p>
    <w:p w:rsidR="00000000" w:rsidDel="00000000" w:rsidP="00000000" w:rsidRDefault="00000000" w:rsidRPr="00000000" w14:paraId="0000003D">
      <w:pPr>
        <w:spacing w:after="240" w:before="240" w:lineRule="auto"/>
        <w:rPr>
          <w:rFonts w:ascii="Arial" w:cs="Arial" w:eastAsia="Arial" w:hAnsi="Arial"/>
        </w:rPr>
      </w:pPr>
      <w:r w:rsidDel="00000000" w:rsidR="00000000" w:rsidRPr="00000000">
        <w:rPr>
          <w:rFonts w:ascii="Arial" w:cs="Arial" w:eastAsia="Arial" w:hAnsi="Arial"/>
          <w:rtl w:val="0"/>
        </w:rPr>
        <w:t xml:space="preserve">Waiting times within the National Health Service (NHS) represent one of the most persistent structural challenges in UK healthcare delivery. NHS waiting times refer to the duration between referral for treatment and the initiation of clinical intervention, typically measured through referral-to-treatment (RTT) pathways. The NHS Constitution establishes a target that patients should begin treatment within 18 weeks of referral; however, this standard has become increasingly difficult to achieve due to sustained system pressures (NHS England, 2026).</w:t>
      </w:r>
    </w:p>
    <w:p w:rsidR="00000000" w:rsidDel="00000000" w:rsidP="00000000" w:rsidRDefault="00000000" w:rsidRPr="00000000" w14:paraId="0000003E">
      <w:pPr>
        <w:spacing w:after="240" w:before="240" w:lineRule="auto"/>
        <w:rPr>
          <w:rFonts w:ascii="Arial" w:cs="Arial" w:eastAsia="Arial" w:hAnsi="Arial"/>
        </w:rPr>
      </w:pPr>
      <w:r w:rsidDel="00000000" w:rsidR="00000000" w:rsidRPr="00000000">
        <w:rPr>
          <w:rFonts w:ascii="Arial" w:cs="Arial" w:eastAsia="Arial" w:hAnsi="Arial"/>
          <w:rtl w:val="0"/>
        </w:rPr>
        <w:t xml:space="preserve">The significance of waiting times extends beyond administrative performance indicators, as they have direct consequences for patient health outcomes, experience, and system efficiency. Delays in treatment are associated with deterioration in physical health, worsening psychological wellbeing, and reduced quality of life (British Medical Association, 2026). In many cases, prolonged waiting periods result in patients presenting with more advanced conditions, requiring more complex and costly interventions once treatment is delivered.</w:t>
      </w:r>
    </w:p>
    <w:p w:rsidR="00000000" w:rsidDel="00000000" w:rsidP="00000000" w:rsidRDefault="00000000" w:rsidRPr="00000000" w14:paraId="0000003F">
      <w:pPr>
        <w:spacing w:after="240" w:before="240" w:lineRule="auto"/>
        <w:rPr>
          <w:rFonts w:ascii="Arial" w:cs="Arial" w:eastAsia="Arial" w:hAnsi="Arial"/>
        </w:rPr>
      </w:pPr>
      <w:r w:rsidDel="00000000" w:rsidR="00000000" w:rsidRPr="00000000">
        <w:rPr>
          <w:rFonts w:ascii="Arial" w:cs="Arial" w:eastAsia="Arial" w:hAnsi="Arial"/>
          <w:rtl w:val="0"/>
        </w:rPr>
        <w:t xml:space="preserve">The COVID-19 pandemic significantly intensified existing pressures on the NHS by disrupting elective care, reducing outpatient activity, and redirecting clinical resources towards emergency response. This resulted in a substantial backlog of untreated patients, which continues to affect waiting times across multiple specialties (Nuffield Trust, 2022). Alongside this, long-standing workforce shortages, increasing population demand, and structural inefficiencies have further compounded delays in care delivery. </w:t>
      </w:r>
    </w:p>
    <w:p w:rsidR="00000000" w:rsidDel="00000000" w:rsidP="00000000" w:rsidRDefault="00000000" w:rsidRPr="00000000" w14:paraId="00000040">
      <w:pPr>
        <w:spacing w:after="240" w:before="240" w:lineRule="auto"/>
        <w:rPr>
          <w:rFonts w:ascii="Arial" w:cs="Arial" w:eastAsia="Arial" w:hAnsi="Arial"/>
        </w:rPr>
      </w:pPr>
      <w:r w:rsidDel="00000000" w:rsidR="00000000" w:rsidRPr="00000000">
        <w:rPr>
          <w:rFonts w:ascii="Arial" w:cs="Arial" w:eastAsia="Arial" w:hAnsi="Arial"/>
          <w:rtl w:val="0"/>
        </w:rPr>
        <w:t xml:space="preserve">This scoping review is therefore designed to combine existing peer-reviewed evidence to identify the key drivers of NHS waiting times and examine their impact on healthcare delivery and patient outcomes within the UK context. By mapping current research, the review aims to provide a clearer understanding of systemic pressures and highlight areas requiring policy and practice intervention.</w:t>
      </w:r>
    </w:p>
    <w:p w:rsidR="00000000" w:rsidDel="00000000" w:rsidP="00000000" w:rsidRDefault="00000000" w:rsidRPr="00000000" w14:paraId="00000041">
      <w:pPr>
        <w:pStyle w:val="Heading3"/>
        <w:spacing w:after="80" w:before="280" w:line="259" w:lineRule="auto"/>
        <w:rPr/>
      </w:pPr>
      <w:bookmarkStart w:colFirst="0" w:colLast="0" w:name="_heading=h.ut4sxo7ympfq" w:id="0"/>
      <w:bookmarkEnd w:id="0"/>
      <w:r w:rsidDel="00000000" w:rsidR="00000000" w:rsidRPr="00000000">
        <w:rPr>
          <w:rtl w:val="0"/>
        </w:rPr>
        <w:t xml:space="preserve">Objectives</w:t>
      </w:r>
    </w:p>
    <w:p w:rsidR="00000000" w:rsidDel="00000000" w:rsidP="00000000" w:rsidRDefault="00000000" w:rsidRPr="00000000" w14:paraId="00000042">
      <w:pPr>
        <w:numPr>
          <w:ilvl w:val="0"/>
          <w:numId w:val="3"/>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To identify the main causes of NHS waiting times</w:t>
      </w:r>
    </w:p>
    <w:p w:rsidR="00000000" w:rsidDel="00000000" w:rsidP="00000000" w:rsidRDefault="00000000" w:rsidRPr="00000000" w14:paraId="00000043">
      <w:pPr>
        <w:numPr>
          <w:ilvl w:val="0"/>
          <w:numId w:val="3"/>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To examine the impact of waiting times on patient outcomes and service delivery</w:t>
      </w:r>
    </w:p>
    <w:p w:rsidR="00000000" w:rsidDel="00000000" w:rsidP="00000000" w:rsidRDefault="00000000" w:rsidRPr="00000000" w14:paraId="00000044">
      <w:pPr>
        <w:numPr>
          <w:ilvl w:val="0"/>
          <w:numId w:val="3"/>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To analyse peer-reviewed evidence on NHS delays</w:t>
      </w:r>
    </w:p>
    <w:p w:rsidR="00000000" w:rsidDel="00000000" w:rsidP="00000000" w:rsidRDefault="00000000" w:rsidRPr="00000000" w14:paraId="00000045">
      <w:pPr>
        <w:numPr>
          <w:ilvl w:val="0"/>
          <w:numId w:val="3"/>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To identify gaps in current research and practice</w:t>
      </w:r>
    </w:p>
    <w:p w:rsidR="00000000" w:rsidDel="00000000" w:rsidP="00000000" w:rsidRDefault="00000000" w:rsidRPr="00000000" w14:paraId="00000046">
      <w:pPr>
        <w:pStyle w:val="Heading1"/>
        <w:jc w:val="left"/>
        <w:rPr>
          <w:sz w:val="24"/>
          <w:szCs w:val="24"/>
        </w:rPr>
      </w:pPr>
      <w:r w:rsidDel="00000000" w:rsidR="00000000" w:rsidRPr="00000000">
        <w:rPr>
          <w:rtl w:val="0"/>
        </w:rPr>
      </w:r>
    </w:p>
    <w:p w:rsidR="00000000" w:rsidDel="00000000" w:rsidP="00000000" w:rsidRDefault="00000000" w:rsidRPr="00000000" w14:paraId="00000047">
      <w:pPr>
        <w:rPr>
          <w:rFonts w:ascii="Arial" w:cs="Arial" w:eastAsia="Arial" w:hAnsi="Arial"/>
        </w:rPr>
      </w:pPr>
      <w:r w:rsidDel="00000000" w:rsidR="00000000" w:rsidRPr="00000000">
        <w:rPr>
          <w:rtl w:val="0"/>
        </w:rPr>
      </w:r>
    </w:p>
    <w:p w:rsidR="00000000" w:rsidDel="00000000" w:rsidP="00000000" w:rsidRDefault="00000000" w:rsidRPr="00000000" w14:paraId="00000048">
      <w:pPr>
        <w:pStyle w:val="Heading1"/>
        <w:jc w:val="center"/>
        <w:rPr>
          <w:sz w:val="24"/>
          <w:szCs w:val="24"/>
        </w:rPr>
      </w:pPr>
      <w:r w:rsidDel="00000000" w:rsidR="00000000" w:rsidRPr="00000000">
        <w:rPr>
          <w:sz w:val="24"/>
          <w:szCs w:val="24"/>
          <w:rtl w:val="0"/>
        </w:rPr>
        <w:t xml:space="preserve"> Background</w:t>
      </w:r>
    </w:p>
    <w:p w:rsidR="00000000" w:rsidDel="00000000" w:rsidP="00000000" w:rsidRDefault="00000000" w:rsidRPr="00000000" w14:paraId="00000049">
      <w:pPr>
        <w:spacing w:after="240" w:before="240" w:lineRule="auto"/>
        <w:rPr>
          <w:rFonts w:ascii="Arial" w:cs="Arial" w:eastAsia="Arial" w:hAnsi="Arial"/>
        </w:rPr>
      </w:pPr>
      <w:r w:rsidDel="00000000" w:rsidR="00000000" w:rsidRPr="00000000">
        <w:rPr>
          <w:rFonts w:ascii="Arial" w:cs="Arial" w:eastAsia="Arial" w:hAnsi="Arial"/>
          <w:rtl w:val="0"/>
        </w:rPr>
        <w:t xml:space="preserve">The NHS is a publicly funded healthcare system that provides universal healthcare free at the point of use. While this model ensures equitable access, increasing demand has placed sustained pressure on service capacity, resulting in prolonged waiting times across multiple areas of care. National data indicates that waiting lists for elective treatment have reached historically high levels, reflecting a widening gap between demand and available resources. (NHS England, 2026). </w:t>
      </w:r>
    </w:p>
    <w:p w:rsidR="00000000" w:rsidDel="00000000" w:rsidP="00000000" w:rsidRDefault="00000000" w:rsidRPr="00000000" w14:paraId="0000004A">
      <w:pPr>
        <w:spacing w:after="240" w:before="240" w:lineRule="auto"/>
        <w:rPr>
          <w:rFonts w:ascii="Arial" w:cs="Arial" w:eastAsia="Arial" w:hAnsi="Arial"/>
        </w:rPr>
      </w:pPr>
      <w:r w:rsidDel="00000000" w:rsidR="00000000" w:rsidRPr="00000000">
        <w:rPr>
          <w:rFonts w:ascii="Arial" w:cs="Arial" w:eastAsia="Arial" w:hAnsi="Arial"/>
          <w:rtl w:val="0"/>
        </w:rPr>
        <w:t xml:space="preserve">Demographic change is a key driver of increasing demand. The ageing population in the UK has led to a higher prevalence of chronic and long-term conditions such as cardiovascular disease, diabetes, and cancer. These conditions require ongoing management and often involve multiple stages of care, increasing pressure on already stretched services. In addition, advancements in medical technology and treatment options have expanded the scope of available interventions, further increasing demand for healthcare services. (REAL Centre, 2023). </w:t>
      </w:r>
    </w:p>
    <w:p w:rsidR="00000000" w:rsidDel="00000000" w:rsidP="00000000" w:rsidRDefault="00000000" w:rsidRPr="00000000" w14:paraId="0000004B">
      <w:pPr>
        <w:spacing w:after="240" w:before="240" w:lineRule="auto"/>
        <w:rPr>
          <w:rFonts w:ascii="Arial" w:cs="Arial" w:eastAsia="Arial" w:hAnsi="Arial"/>
        </w:rPr>
      </w:pPr>
      <w:r w:rsidDel="00000000" w:rsidR="00000000" w:rsidRPr="00000000">
        <w:rPr>
          <w:rFonts w:ascii="Arial" w:cs="Arial" w:eastAsia="Arial" w:hAnsi="Arial"/>
          <w:rtl w:val="0"/>
        </w:rPr>
        <w:t xml:space="preserve">Workforce shortages represent one of the most significant structural challenges facing the NHS. Persistent gaps in staffing across nursing, medical, and allied health professions limit service capacity and reduce the system’s ability to meet demand. These shortages are compounded by factors such as workforce burnout, increasing workload pressures, and difficulties in recruitment and retention. As a result, fewer patients can be seen within recommended timeframes, contributing directly to longer waiting lists. (BMA, 2026)</w:t>
      </w:r>
    </w:p>
    <w:p w:rsidR="00000000" w:rsidDel="00000000" w:rsidP="00000000" w:rsidRDefault="00000000" w:rsidRPr="00000000" w14:paraId="0000004C">
      <w:pPr>
        <w:spacing w:after="240" w:before="240" w:lineRule="auto"/>
        <w:rPr>
          <w:rFonts w:ascii="Arial" w:cs="Arial" w:eastAsia="Arial" w:hAnsi="Arial"/>
        </w:rPr>
      </w:pPr>
      <w:r w:rsidDel="00000000" w:rsidR="00000000" w:rsidRPr="00000000">
        <w:rPr>
          <w:rFonts w:ascii="Arial" w:cs="Arial" w:eastAsia="Arial" w:hAnsi="Arial"/>
          <w:rtl w:val="0"/>
        </w:rPr>
        <w:t xml:space="preserve">The COVID-19 pandemic had a profound and lasting impact on NHS service delivery. Elective procedures were postponed, outpatient appointments were reduced, and healthcare resources were redirected towards emergency COVID-19 response. This created a substantial backlog of patients awaiting treatment, which continues to place pressure on services despite recovery efforts. (Nuffield Trust, 2022). </w:t>
      </w:r>
    </w:p>
    <w:p w:rsidR="00000000" w:rsidDel="00000000" w:rsidP="00000000" w:rsidRDefault="00000000" w:rsidRPr="00000000" w14:paraId="0000004D">
      <w:pPr>
        <w:spacing w:after="240" w:before="240" w:lineRule="auto"/>
        <w:rPr>
          <w:rFonts w:ascii="Arial" w:cs="Arial" w:eastAsia="Arial" w:hAnsi="Arial"/>
        </w:rPr>
      </w:pPr>
      <w:r w:rsidDel="00000000" w:rsidR="00000000" w:rsidRPr="00000000">
        <w:rPr>
          <w:rFonts w:ascii="Arial" w:cs="Arial" w:eastAsia="Arial" w:hAnsi="Arial"/>
          <w:rtl w:val="0"/>
        </w:rPr>
        <w:t xml:space="preserve">System inefficiencies further contribute to delays within the NHS. These include administrative bottlenecks, fragmented care pathways, and delays in patient discharge due to insufficient social care provision. A significant issue is “bed blocking,” where patients who are medically fit for discharge remain in hospital due to lack of community or social care support. (CMM, 2025). This reduces bed availability and restricts patient flow through the system, creating additional pressure in acute care settings. </w:t>
      </w:r>
    </w:p>
    <w:p w:rsidR="00000000" w:rsidDel="00000000" w:rsidP="00000000" w:rsidRDefault="00000000" w:rsidRPr="00000000" w14:paraId="0000004E">
      <w:pPr>
        <w:spacing w:after="240" w:before="240" w:lineRule="auto"/>
        <w:rPr>
          <w:rFonts w:ascii="Arial" w:cs="Arial" w:eastAsia="Arial" w:hAnsi="Arial"/>
        </w:rPr>
      </w:pPr>
      <w:r w:rsidDel="00000000" w:rsidR="00000000" w:rsidRPr="00000000">
        <w:rPr>
          <w:rFonts w:ascii="Arial" w:cs="Arial" w:eastAsia="Arial" w:hAnsi="Arial"/>
          <w:rtl w:val="0"/>
        </w:rPr>
        <w:t xml:space="preserve">Health inequalities also play a role in shaping waiting time issues. Evidence suggests that individuals from lower socioeconomic backgrounds or certain ethnic minority groups may experience longer delays in accessing care. These disparities highlight underlying structural inequities within the healthcare system that contribute to unequal health outcomes. (NHS England, 2025).</w:t>
      </w:r>
      <w:r w:rsidDel="00000000" w:rsidR="00000000" w:rsidRPr="00000000">
        <w:rPr>
          <w:rtl w:val="0"/>
        </w:rPr>
      </w:r>
    </w:p>
    <w:p w:rsidR="00000000" w:rsidDel="00000000" w:rsidP="00000000" w:rsidRDefault="00000000" w:rsidRPr="00000000" w14:paraId="0000004F">
      <w:pPr>
        <w:rPr>
          <w:rFonts w:ascii="Arial" w:cs="Arial" w:eastAsia="Arial" w:hAnsi="Arial"/>
        </w:rPr>
      </w:pPr>
      <w:r w:rsidDel="00000000" w:rsidR="00000000" w:rsidRPr="00000000">
        <w:rPr>
          <w:rtl w:val="0"/>
        </w:rPr>
      </w:r>
    </w:p>
    <w:p w:rsidR="00000000" w:rsidDel="00000000" w:rsidP="00000000" w:rsidRDefault="00000000" w:rsidRPr="00000000" w14:paraId="00000050">
      <w:pPr>
        <w:pStyle w:val="Heading1"/>
        <w:jc w:val="center"/>
        <w:rPr>
          <w:sz w:val="24"/>
          <w:szCs w:val="24"/>
        </w:rPr>
      </w:pPr>
      <w:r w:rsidDel="00000000" w:rsidR="00000000" w:rsidRPr="00000000">
        <w:rPr>
          <w:sz w:val="24"/>
          <w:szCs w:val="24"/>
          <w:rtl w:val="0"/>
        </w:rPr>
        <w:t xml:space="preserve">3. Methods</w:t>
      </w:r>
    </w:p>
    <w:p w:rsidR="00000000" w:rsidDel="00000000" w:rsidP="00000000" w:rsidRDefault="00000000" w:rsidRPr="00000000" w14:paraId="00000051">
      <w:pPr>
        <w:spacing w:after="240" w:before="240" w:lineRule="auto"/>
        <w:rPr>
          <w:rFonts w:ascii="Arial" w:cs="Arial" w:eastAsia="Arial" w:hAnsi="Arial"/>
        </w:rPr>
      </w:pPr>
      <w:r w:rsidDel="00000000" w:rsidR="00000000" w:rsidRPr="00000000">
        <w:rPr>
          <w:rFonts w:ascii="Arial" w:cs="Arial" w:eastAsia="Arial" w:hAnsi="Arial"/>
          <w:rtl w:val="0"/>
        </w:rPr>
        <w:t xml:space="preserve">A scoping review methodology was employed to map existing literature and identify key themes relating to NHS waiting times in the UK. This approach is appropriate for exploring broad, complex, and multi-factorial healthcare issues where evidence may be heterogeneous.</w:t>
      </w:r>
    </w:p>
    <w:p w:rsidR="00000000" w:rsidDel="00000000" w:rsidP="00000000" w:rsidRDefault="00000000" w:rsidRPr="00000000" w14:paraId="00000052">
      <w:pPr>
        <w:pStyle w:val="Heading3"/>
        <w:spacing w:after="80" w:before="280" w:line="259" w:lineRule="auto"/>
        <w:rPr/>
      </w:pPr>
      <w:bookmarkStart w:colFirst="0" w:colLast="0" w:name="_heading=h.1yvkymp5t4he" w:id="1"/>
      <w:bookmarkEnd w:id="1"/>
      <w:r w:rsidDel="00000000" w:rsidR="00000000" w:rsidRPr="00000000">
        <w:rPr>
          <w:rtl w:val="0"/>
        </w:rPr>
        <w:t xml:space="preserve">Search Strategy</w:t>
      </w:r>
    </w:p>
    <w:p w:rsidR="00000000" w:rsidDel="00000000" w:rsidP="00000000" w:rsidRDefault="00000000" w:rsidRPr="00000000" w14:paraId="00000053">
      <w:pPr>
        <w:spacing w:after="240" w:before="240" w:lineRule="auto"/>
        <w:rPr>
          <w:rFonts w:ascii="Arial" w:cs="Arial" w:eastAsia="Arial" w:hAnsi="Arial"/>
        </w:rPr>
      </w:pPr>
      <w:r w:rsidDel="00000000" w:rsidR="00000000" w:rsidRPr="00000000">
        <w:rPr>
          <w:rFonts w:ascii="Arial" w:cs="Arial" w:eastAsia="Arial" w:hAnsi="Arial"/>
          <w:rtl w:val="0"/>
        </w:rPr>
        <w:t xml:space="preserve">A structured search was conducted using the following electronic databases:</w:t>
      </w:r>
    </w:p>
    <w:p w:rsidR="00000000" w:rsidDel="00000000" w:rsidP="00000000" w:rsidRDefault="00000000" w:rsidRPr="00000000" w14:paraId="00000054">
      <w:pPr>
        <w:numPr>
          <w:ilvl w:val="0"/>
          <w:numId w:val="4"/>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PubMed</w:t>
      </w:r>
    </w:p>
    <w:p w:rsidR="00000000" w:rsidDel="00000000" w:rsidP="00000000" w:rsidRDefault="00000000" w:rsidRPr="00000000" w14:paraId="00000055">
      <w:pPr>
        <w:numPr>
          <w:ilvl w:val="0"/>
          <w:numId w:val="4"/>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CINAHL</w:t>
      </w:r>
    </w:p>
    <w:p w:rsidR="00000000" w:rsidDel="00000000" w:rsidP="00000000" w:rsidRDefault="00000000" w:rsidRPr="00000000" w14:paraId="00000056">
      <w:pPr>
        <w:numPr>
          <w:ilvl w:val="0"/>
          <w:numId w:val="4"/>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EBSCOhost</w:t>
      </w:r>
    </w:p>
    <w:p w:rsidR="00000000" w:rsidDel="00000000" w:rsidP="00000000" w:rsidRDefault="00000000" w:rsidRPr="00000000" w14:paraId="00000057">
      <w:pPr>
        <w:spacing w:after="240" w:before="240" w:lineRule="auto"/>
        <w:rPr>
          <w:rFonts w:ascii="Arial" w:cs="Arial" w:eastAsia="Arial" w:hAnsi="Arial"/>
        </w:rPr>
      </w:pPr>
      <w:r w:rsidDel="00000000" w:rsidR="00000000" w:rsidRPr="00000000">
        <w:rPr>
          <w:rFonts w:ascii="Arial" w:cs="Arial" w:eastAsia="Arial" w:hAnsi="Arial"/>
          <w:rtl w:val="0"/>
        </w:rPr>
        <w:t xml:space="preserve">Google Scholar was used as a supplementary search tool to identify additional relevant studies.</w:t>
      </w:r>
    </w:p>
    <w:p w:rsidR="00000000" w:rsidDel="00000000" w:rsidP="00000000" w:rsidRDefault="00000000" w:rsidRPr="00000000" w14:paraId="00000058">
      <w:pPr>
        <w:pStyle w:val="Heading3"/>
        <w:spacing w:after="80" w:before="280" w:line="259" w:lineRule="auto"/>
        <w:rPr/>
      </w:pPr>
      <w:bookmarkStart w:colFirst="0" w:colLast="0" w:name="_heading=h.yz50no11whdz" w:id="2"/>
      <w:bookmarkEnd w:id="2"/>
      <w:r w:rsidDel="00000000" w:rsidR="00000000" w:rsidRPr="00000000">
        <w:rPr>
          <w:rtl w:val="0"/>
        </w:rPr>
        <w:t xml:space="preserve">Keywords included:</w:t>
      </w:r>
    </w:p>
    <w:p w:rsidR="00000000" w:rsidDel="00000000" w:rsidP="00000000" w:rsidRDefault="00000000" w:rsidRPr="00000000" w14:paraId="00000059">
      <w:pPr>
        <w:numPr>
          <w:ilvl w:val="0"/>
          <w:numId w:val="2"/>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“NHS waiting times”</w:t>
      </w:r>
    </w:p>
    <w:p w:rsidR="00000000" w:rsidDel="00000000" w:rsidP="00000000" w:rsidRDefault="00000000" w:rsidRPr="00000000" w14:paraId="0000005A">
      <w:pPr>
        <w:numPr>
          <w:ilvl w:val="0"/>
          <w:numId w:val="2"/>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“healthcare delays UK”</w:t>
      </w:r>
    </w:p>
    <w:p w:rsidR="00000000" w:rsidDel="00000000" w:rsidP="00000000" w:rsidRDefault="00000000" w:rsidRPr="00000000" w14:paraId="0000005B">
      <w:pPr>
        <w:numPr>
          <w:ilvl w:val="0"/>
          <w:numId w:val="2"/>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“waiting list causes NHS”</w:t>
      </w:r>
    </w:p>
    <w:p w:rsidR="00000000" w:rsidDel="00000000" w:rsidP="00000000" w:rsidRDefault="00000000" w:rsidRPr="00000000" w14:paraId="0000005C">
      <w:pPr>
        <w:numPr>
          <w:ilvl w:val="0"/>
          <w:numId w:val="2"/>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“treatment delays UK healthcare”</w:t>
      </w:r>
    </w:p>
    <w:p w:rsidR="00000000" w:rsidDel="00000000" w:rsidP="00000000" w:rsidRDefault="00000000" w:rsidRPr="00000000" w14:paraId="0000005D">
      <w:pPr>
        <w:numPr>
          <w:ilvl w:val="0"/>
          <w:numId w:val="2"/>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“referral to treatment NHS”</w:t>
      </w:r>
    </w:p>
    <w:p w:rsidR="00000000" w:rsidDel="00000000" w:rsidP="00000000" w:rsidRDefault="00000000" w:rsidRPr="00000000" w14:paraId="0000005E">
      <w:pPr>
        <w:spacing w:after="240" w:before="240" w:lineRule="auto"/>
        <w:rPr>
          <w:rFonts w:ascii="Arial" w:cs="Arial" w:eastAsia="Arial" w:hAnsi="Arial"/>
        </w:rPr>
      </w:pPr>
      <w:r w:rsidDel="00000000" w:rsidR="00000000" w:rsidRPr="00000000">
        <w:rPr>
          <w:rFonts w:ascii="Arial" w:cs="Arial" w:eastAsia="Arial" w:hAnsi="Arial"/>
          <w:rtl w:val="0"/>
        </w:rPr>
        <w:t xml:space="preserve">Boolean operators (AND/OR) were used to refine search results and improve relevance.</w:t>
      </w:r>
    </w:p>
    <w:p w:rsidR="00000000" w:rsidDel="00000000" w:rsidP="00000000" w:rsidRDefault="00000000" w:rsidRPr="00000000" w14:paraId="0000005F">
      <w:pPr>
        <w:pStyle w:val="Heading3"/>
        <w:spacing w:after="80" w:before="280" w:line="259" w:lineRule="auto"/>
        <w:rPr/>
      </w:pPr>
      <w:bookmarkStart w:colFirst="0" w:colLast="0" w:name="_heading=h.x0z1gjgkdwcj" w:id="3"/>
      <w:bookmarkEnd w:id="3"/>
      <w:r w:rsidDel="00000000" w:rsidR="00000000" w:rsidRPr="00000000">
        <w:rPr>
          <w:rtl w:val="0"/>
        </w:rPr>
        <w:t xml:space="preserve">Inclusion Criteria</w:t>
      </w:r>
    </w:p>
    <w:p w:rsidR="00000000" w:rsidDel="00000000" w:rsidP="00000000" w:rsidRDefault="00000000" w:rsidRPr="00000000" w14:paraId="00000060">
      <w:pPr>
        <w:spacing w:after="240" w:before="240" w:lineRule="auto"/>
        <w:rPr>
          <w:rFonts w:ascii="Arial" w:cs="Arial" w:eastAsia="Arial" w:hAnsi="Arial"/>
        </w:rPr>
      </w:pPr>
      <w:r w:rsidDel="00000000" w:rsidR="00000000" w:rsidRPr="00000000">
        <w:rPr>
          <w:rFonts w:ascii="Arial" w:cs="Arial" w:eastAsia="Arial" w:hAnsi="Arial"/>
          <w:rtl w:val="0"/>
        </w:rPr>
        <w:t xml:space="preserve">Studies were included if they met the following criteria:</w:t>
      </w:r>
    </w:p>
    <w:p w:rsidR="00000000" w:rsidDel="00000000" w:rsidP="00000000" w:rsidRDefault="00000000" w:rsidRPr="00000000" w14:paraId="00000061">
      <w:pPr>
        <w:numPr>
          <w:ilvl w:val="0"/>
          <w:numId w:val="1"/>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Peer-reviewed journal articles</w:t>
      </w:r>
    </w:p>
    <w:p w:rsidR="00000000" w:rsidDel="00000000" w:rsidP="00000000" w:rsidRDefault="00000000" w:rsidRPr="00000000" w14:paraId="00000062">
      <w:pPr>
        <w:numPr>
          <w:ilvl w:val="0"/>
          <w:numId w:val="1"/>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UK-based healthcare context</w:t>
      </w:r>
    </w:p>
    <w:p w:rsidR="00000000" w:rsidDel="00000000" w:rsidP="00000000" w:rsidRDefault="00000000" w:rsidRPr="00000000" w14:paraId="00000063">
      <w:pPr>
        <w:numPr>
          <w:ilvl w:val="0"/>
          <w:numId w:val="1"/>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Published within the last 10 years</w:t>
      </w:r>
    </w:p>
    <w:p w:rsidR="00000000" w:rsidDel="00000000" w:rsidP="00000000" w:rsidRDefault="00000000" w:rsidRPr="00000000" w14:paraId="00000064">
      <w:pPr>
        <w:numPr>
          <w:ilvl w:val="0"/>
          <w:numId w:val="1"/>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Focus on causes and/or impacts of NHS waiting times</w:t>
      </w:r>
    </w:p>
    <w:p w:rsidR="00000000" w:rsidDel="00000000" w:rsidP="00000000" w:rsidRDefault="00000000" w:rsidRPr="00000000" w14:paraId="00000065">
      <w:pPr>
        <w:pStyle w:val="Heading3"/>
        <w:spacing w:after="80" w:before="280" w:line="259" w:lineRule="auto"/>
        <w:rPr/>
      </w:pPr>
      <w:bookmarkStart w:colFirst="0" w:colLast="0" w:name="_heading=h.dubygogndd85" w:id="4"/>
      <w:bookmarkEnd w:id="4"/>
      <w:r w:rsidDel="00000000" w:rsidR="00000000" w:rsidRPr="00000000">
        <w:rPr>
          <w:rtl w:val="0"/>
        </w:rPr>
        <w:t xml:space="preserve">Exclusion Criteria</w:t>
      </w:r>
    </w:p>
    <w:p w:rsidR="00000000" w:rsidDel="00000000" w:rsidP="00000000" w:rsidRDefault="00000000" w:rsidRPr="00000000" w14:paraId="00000066">
      <w:pPr>
        <w:numPr>
          <w:ilvl w:val="0"/>
          <w:numId w:val="5"/>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Non-peer-reviewed literature</w:t>
      </w:r>
    </w:p>
    <w:p w:rsidR="00000000" w:rsidDel="00000000" w:rsidP="00000000" w:rsidRDefault="00000000" w:rsidRPr="00000000" w14:paraId="00000067">
      <w:pPr>
        <w:numPr>
          <w:ilvl w:val="0"/>
          <w:numId w:val="5"/>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Policy documents and commentary articles</w:t>
      </w:r>
    </w:p>
    <w:p w:rsidR="00000000" w:rsidDel="00000000" w:rsidP="00000000" w:rsidRDefault="00000000" w:rsidRPr="00000000" w14:paraId="00000068">
      <w:pPr>
        <w:numPr>
          <w:ilvl w:val="0"/>
          <w:numId w:val="5"/>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Studies not focused on UK healthcare</w:t>
      </w:r>
    </w:p>
    <w:p w:rsidR="00000000" w:rsidDel="00000000" w:rsidP="00000000" w:rsidRDefault="00000000" w:rsidRPr="00000000" w14:paraId="00000069">
      <w:pPr>
        <w:pStyle w:val="Heading3"/>
        <w:spacing w:after="80" w:before="280" w:line="259" w:lineRule="auto"/>
        <w:rPr/>
      </w:pPr>
      <w:bookmarkStart w:colFirst="0" w:colLast="0" w:name="_heading=h.jwb44eb94bdj" w:id="5"/>
      <w:bookmarkEnd w:id="5"/>
      <w:r w:rsidDel="00000000" w:rsidR="00000000" w:rsidRPr="00000000">
        <w:rPr>
          <w:rtl w:val="0"/>
        </w:rPr>
      </w:r>
    </w:p>
    <w:p w:rsidR="00000000" w:rsidDel="00000000" w:rsidP="00000000" w:rsidRDefault="00000000" w:rsidRPr="00000000" w14:paraId="0000006A">
      <w:pPr>
        <w:pStyle w:val="Heading3"/>
        <w:spacing w:after="80" w:before="280" w:line="259" w:lineRule="auto"/>
        <w:rPr/>
      </w:pPr>
      <w:bookmarkStart w:colFirst="0" w:colLast="0" w:name="_heading=h.v5gmh5bjx3qc" w:id="6"/>
      <w:bookmarkEnd w:id="6"/>
      <w:r w:rsidDel="00000000" w:rsidR="00000000" w:rsidRPr="00000000">
        <w:rPr>
          <w:rtl w:val="0"/>
        </w:rPr>
      </w:r>
    </w:p>
    <w:p w:rsidR="00000000" w:rsidDel="00000000" w:rsidP="00000000" w:rsidRDefault="00000000" w:rsidRPr="00000000" w14:paraId="0000006B">
      <w:pPr>
        <w:pStyle w:val="Heading3"/>
        <w:spacing w:after="80" w:before="280" w:line="259" w:lineRule="auto"/>
        <w:rPr/>
      </w:pPr>
      <w:bookmarkStart w:colFirst="0" w:colLast="0" w:name="_heading=h.r750kq2zjv0f" w:id="7"/>
      <w:bookmarkEnd w:id="7"/>
      <w:r w:rsidDel="00000000" w:rsidR="00000000" w:rsidRPr="00000000">
        <w:rPr>
          <w:rtl w:val="0"/>
        </w:rPr>
        <w:t xml:space="preserve">Study Selection</w:t>
      </w:r>
    </w:p>
    <w:p w:rsidR="00000000" w:rsidDel="00000000" w:rsidP="00000000" w:rsidRDefault="00000000" w:rsidRPr="00000000" w14:paraId="0000006C">
      <w:pPr>
        <w:spacing w:after="240" w:before="240" w:lineRule="auto"/>
        <w:rPr>
          <w:rFonts w:ascii="Arial" w:cs="Arial" w:eastAsia="Arial" w:hAnsi="Arial"/>
        </w:rPr>
      </w:pPr>
      <w:r w:rsidDel="00000000" w:rsidR="00000000" w:rsidRPr="00000000">
        <w:rPr>
          <w:rFonts w:ascii="Arial" w:cs="Arial" w:eastAsia="Arial" w:hAnsi="Arial"/>
          <w:rtl w:val="0"/>
        </w:rPr>
        <w:t xml:space="preserve">Studies were screened in two stages. First, titles and abstracts were reviewed for relevance. Second, full-text articles were assessed against inclusion criteria. Five studies were selected for final inclusion.</w:t>
      </w:r>
    </w:p>
    <w:p w:rsidR="00000000" w:rsidDel="00000000" w:rsidP="00000000" w:rsidRDefault="00000000" w:rsidRPr="00000000" w14:paraId="0000006D">
      <w:pPr>
        <w:pStyle w:val="Heading3"/>
        <w:spacing w:after="80" w:before="280" w:line="259" w:lineRule="auto"/>
        <w:rPr/>
      </w:pPr>
      <w:bookmarkStart w:colFirst="0" w:colLast="0" w:name="_heading=h.ojfso84qrvbn" w:id="8"/>
      <w:bookmarkEnd w:id="8"/>
      <w:r w:rsidDel="00000000" w:rsidR="00000000" w:rsidRPr="00000000">
        <w:rPr>
          <w:rtl w:val="0"/>
        </w:rPr>
        <w:t xml:space="preserve">Data Analysis</w:t>
      </w:r>
    </w:p>
    <w:p w:rsidR="00000000" w:rsidDel="00000000" w:rsidP="00000000" w:rsidRDefault="00000000" w:rsidRPr="00000000" w14:paraId="0000006E">
      <w:pPr>
        <w:spacing w:after="240" w:before="240" w:lineRule="auto"/>
        <w:rPr>
          <w:rFonts w:ascii="Arial" w:cs="Arial" w:eastAsia="Arial" w:hAnsi="Arial"/>
        </w:rPr>
      </w:pPr>
      <w:r w:rsidDel="00000000" w:rsidR="00000000" w:rsidRPr="00000000">
        <w:rPr>
          <w:rFonts w:ascii="Arial" w:cs="Arial" w:eastAsia="Arial" w:hAnsi="Arial"/>
          <w:rtl w:val="0"/>
        </w:rPr>
        <w:t xml:space="preserve">Thematic analysis was used to identify recurring patterns across studies. Data were coded and organised into key themes relating to workforce, demand, system capacity, and patient outcomes.</w:t>
      </w:r>
    </w:p>
    <w:p w:rsidR="00000000" w:rsidDel="00000000" w:rsidP="00000000" w:rsidRDefault="00000000" w:rsidRPr="00000000" w14:paraId="0000006F">
      <w:pPr>
        <w:pStyle w:val="Heading3"/>
        <w:spacing w:after="80" w:before="280" w:line="259" w:lineRule="auto"/>
        <w:rPr/>
      </w:pPr>
      <w:bookmarkStart w:colFirst="0" w:colLast="0" w:name="_heading=h.9t1ysujlzi7m" w:id="9"/>
      <w:bookmarkEnd w:id="9"/>
      <w:r w:rsidDel="00000000" w:rsidR="00000000" w:rsidRPr="00000000">
        <w:rPr>
          <w:rtl w:val="0"/>
        </w:rPr>
        <w:t xml:space="preserve">Ethical Considerations</w:t>
      </w:r>
    </w:p>
    <w:p w:rsidR="00000000" w:rsidDel="00000000" w:rsidP="00000000" w:rsidRDefault="00000000" w:rsidRPr="00000000" w14:paraId="00000070">
      <w:pPr>
        <w:spacing w:after="240" w:before="240" w:lineRule="auto"/>
        <w:rPr>
          <w:rFonts w:ascii="Arial" w:cs="Arial" w:eastAsia="Arial" w:hAnsi="Arial"/>
        </w:rPr>
      </w:pPr>
      <w:r w:rsidDel="00000000" w:rsidR="00000000" w:rsidRPr="00000000">
        <w:rPr>
          <w:rFonts w:ascii="Arial" w:cs="Arial" w:eastAsia="Arial" w:hAnsi="Arial"/>
          <w:rtl w:val="0"/>
        </w:rPr>
        <w:t xml:space="preserve">As this study used secondary data from publicly available sources, ethical approval was not required. However, all studies were critically evaluated, and appropriate academic referencing was maintained.</w:t>
      </w:r>
    </w:p>
    <w:p w:rsidR="00000000" w:rsidDel="00000000" w:rsidP="00000000" w:rsidRDefault="00000000" w:rsidRPr="00000000" w14:paraId="00000071">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2">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3">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4">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5">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6">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7">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8">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9">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A">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B">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C">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D">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E">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7F">
      <w:pPr>
        <w:spacing w:after="240"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80">
      <w:pPr>
        <w:rPr>
          <w:rFonts w:ascii="Arial" w:cs="Arial" w:eastAsia="Arial" w:hAnsi="Arial"/>
        </w:rPr>
      </w:pPr>
      <w:r w:rsidDel="00000000" w:rsidR="00000000" w:rsidRPr="00000000">
        <w:rPr>
          <w:rtl w:val="0"/>
        </w:rPr>
      </w:r>
    </w:p>
    <w:p w:rsidR="00000000" w:rsidDel="00000000" w:rsidP="00000000" w:rsidRDefault="00000000" w:rsidRPr="00000000" w14:paraId="00000081">
      <w:pPr>
        <w:pStyle w:val="Heading1"/>
        <w:jc w:val="center"/>
        <w:rPr>
          <w:sz w:val="24"/>
          <w:szCs w:val="24"/>
        </w:rPr>
      </w:pPr>
      <w:r w:rsidDel="00000000" w:rsidR="00000000" w:rsidRPr="00000000">
        <w:rPr>
          <w:sz w:val="24"/>
          <w:szCs w:val="24"/>
          <w:rtl w:val="0"/>
        </w:rPr>
        <w:t xml:space="preserve">4. Results</w:t>
      </w:r>
    </w:p>
    <w:p w:rsidR="00000000" w:rsidDel="00000000" w:rsidP="00000000" w:rsidRDefault="00000000" w:rsidRPr="00000000" w14:paraId="00000082">
      <w:pPr>
        <w:spacing w:after="240" w:before="240" w:lineRule="auto"/>
        <w:rPr>
          <w:rFonts w:ascii="Arial" w:cs="Arial" w:eastAsia="Arial" w:hAnsi="Arial"/>
        </w:rPr>
      </w:pPr>
      <w:r w:rsidDel="00000000" w:rsidR="00000000" w:rsidRPr="00000000">
        <w:rPr>
          <w:rFonts w:ascii="Arial" w:cs="Arial" w:eastAsia="Arial" w:hAnsi="Arial"/>
          <w:rtl w:val="0"/>
        </w:rPr>
        <w:t xml:space="preserve">Five peer-reviewed studies were included in this scoping review, comprising a range of quantitative, qualitative, and review-based methodologies. These studies collectively explore the causes and impacts of NHS waiting times within the UK and comparable healthcare systems.</w:t>
      </w:r>
    </w:p>
    <w:p w:rsidR="00000000" w:rsidDel="00000000" w:rsidP="00000000" w:rsidRDefault="00000000" w:rsidRPr="00000000" w14:paraId="00000083">
      <w:pPr>
        <w:spacing w:after="240" w:before="240" w:lineRule="auto"/>
        <w:rPr>
          <w:rFonts w:ascii="Arial" w:cs="Arial" w:eastAsia="Arial" w:hAnsi="Arial"/>
        </w:rPr>
      </w:pPr>
      <w:r w:rsidDel="00000000" w:rsidR="00000000" w:rsidRPr="00000000">
        <w:rPr>
          <w:rFonts w:ascii="Arial" w:cs="Arial" w:eastAsia="Arial" w:hAnsi="Arial"/>
          <w:rtl w:val="0"/>
        </w:rPr>
        <w:t xml:space="preserve">Workforce shortages were consistently identified as a significant contributor to increased waiting times. Limited staffing capacity reduces the ability of healthcare services to deliver timely care, resulting in delays in diagnosis and treatment. Evidence suggests that insufficient workforce provision directly constrains system performance and increases waiting lists (Kreindler, 2010). In the NHS context, ongoing recruitment and retention challenges further exacerbate these delays.</w:t>
      </w:r>
    </w:p>
    <w:p w:rsidR="00000000" w:rsidDel="00000000" w:rsidP="00000000" w:rsidRDefault="00000000" w:rsidRPr="00000000" w14:paraId="00000084">
      <w:pPr>
        <w:spacing w:after="240" w:before="240" w:lineRule="auto"/>
        <w:rPr>
          <w:rFonts w:ascii="Arial" w:cs="Arial" w:eastAsia="Arial" w:hAnsi="Arial"/>
        </w:rPr>
      </w:pPr>
      <w:r w:rsidDel="00000000" w:rsidR="00000000" w:rsidRPr="00000000">
        <w:rPr>
          <w:rFonts w:ascii="Arial" w:cs="Arial" w:eastAsia="Arial" w:hAnsi="Arial"/>
          <w:rtl w:val="0"/>
        </w:rPr>
        <w:t xml:space="preserve">Rising demand for healthcare services emerged as a key driver of waiting times. Factors such as population growth, ageing demographics, and increased prevalence of chronic conditions contribute to higher service utilisation. Giuntella et al. (2018) highlight that increased demand places significant pressure on NHS resources, leading to longer waiting times when capacity is unable to meet patient needs. This imbalance between supply and demand is a central issue underpinning delays.</w:t>
      </w:r>
    </w:p>
    <w:p w:rsidR="00000000" w:rsidDel="00000000" w:rsidP="00000000" w:rsidRDefault="00000000" w:rsidRPr="00000000" w14:paraId="00000085">
      <w:pPr>
        <w:spacing w:after="240" w:before="240" w:lineRule="auto"/>
        <w:rPr>
          <w:rFonts w:ascii="Arial" w:cs="Arial" w:eastAsia="Arial" w:hAnsi="Arial"/>
        </w:rPr>
      </w:pPr>
      <w:r w:rsidDel="00000000" w:rsidR="00000000" w:rsidRPr="00000000">
        <w:rPr>
          <w:rFonts w:ascii="Arial" w:cs="Arial" w:eastAsia="Arial" w:hAnsi="Arial"/>
          <w:rtl w:val="0"/>
        </w:rPr>
        <w:t xml:space="preserve">System-level constraints, including limited hospital capacity and inefficiencies in care delivery, were also identified as contributing factors. Siciliani et al. (2013) emphasise that waiting times are strongly associated with the relationship between available resources and service demand. Delays in patient discharge, often due to limited social care provision, reduce bed availability and create bottlenecks within the system. These structural inefficiencies contribute to prolonged waiting times across multiple stages of care.</w:t>
      </w:r>
    </w:p>
    <w:p w:rsidR="00000000" w:rsidDel="00000000" w:rsidP="00000000" w:rsidRDefault="00000000" w:rsidRPr="00000000" w14:paraId="00000086">
      <w:pPr>
        <w:spacing w:after="240" w:before="240" w:lineRule="auto"/>
        <w:rPr>
          <w:rFonts w:ascii="Arial" w:cs="Arial" w:eastAsia="Arial" w:hAnsi="Arial"/>
        </w:rPr>
      </w:pPr>
      <w:r w:rsidDel="00000000" w:rsidR="00000000" w:rsidRPr="00000000">
        <w:rPr>
          <w:rFonts w:ascii="Arial" w:cs="Arial" w:eastAsia="Arial" w:hAnsi="Arial"/>
          <w:rtl w:val="0"/>
        </w:rPr>
        <w:t xml:space="preserve">The included studies demonstrate that extended waiting times have significant implications for patient health outcomes. Turner et al. (2021) found that longer waiting periods are associated with deterioration in health conditions and increased healthcare utilisation. Delays in treatment may result in more advanced disease progression, requiring more complex interventions and placing additional strain on healthcare services.</w:t>
      </w:r>
    </w:p>
    <w:p w:rsidR="00000000" w:rsidDel="00000000" w:rsidP="00000000" w:rsidRDefault="00000000" w:rsidRPr="00000000" w14:paraId="00000087">
      <w:pPr>
        <w:spacing w:after="240" w:before="240" w:lineRule="auto"/>
        <w:rPr>
          <w:rFonts w:ascii="Arial" w:cs="Arial" w:eastAsia="Arial" w:hAnsi="Arial"/>
        </w:rPr>
      </w:pPr>
      <w:r w:rsidDel="00000000" w:rsidR="00000000" w:rsidRPr="00000000">
        <w:rPr>
          <w:rFonts w:ascii="Arial" w:cs="Arial" w:eastAsia="Arial" w:hAnsi="Arial"/>
          <w:rtl w:val="0"/>
        </w:rPr>
        <w:t xml:space="preserve">Waiting times also have a considerable impact on patient experience and public perception of healthcare services. Dorussen et al. (2024) report that prolonged waiting times are linked to reduced patient satisfaction and lower levels of trust in healthcare systems. Negative experiences associated with delays may influence future healthcare-seeking behaviour and overall engagement with NHS services.</w:t>
      </w:r>
    </w:p>
    <w:p w:rsidR="00000000" w:rsidDel="00000000" w:rsidP="00000000" w:rsidRDefault="00000000" w:rsidRPr="00000000" w14:paraId="00000088">
      <w:pPr>
        <w:tabs>
          <w:tab w:val="left" w:leader="none" w:pos="6540"/>
        </w:tabs>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9">
      <w:pPr>
        <w:pStyle w:val="Heading1"/>
        <w:rPr>
          <w:sz w:val="24"/>
          <w:szCs w:val="24"/>
        </w:rPr>
      </w:pPr>
      <w:r w:rsidDel="00000000" w:rsidR="00000000" w:rsidRPr="00000000">
        <w:rPr>
          <w:rtl w:val="0"/>
        </w:rPr>
      </w:r>
    </w:p>
    <w:p w:rsidR="00000000" w:rsidDel="00000000" w:rsidP="00000000" w:rsidRDefault="00000000" w:rsidRPr="00000000" w14:paraId="0000008A">
      <w:pPr>
        <w:rPr>
          <w:rFonts w:ascii="Arial" w:cs="Arial" w:eastAsia="Arial" w:hAnsi="Arial"/>
        </w:rPr>
      </w:pPr>
      <w:r w:rsidDel="00000000" w:rsidR="00000000" w:rsidRPr="00000000">
        <w:rPr>
          <w:rtl w:val="0"/>
        </w:rPr>
      </w:r>
    </w:p>
    <w:p w:rsidR="00000000" w:rsidDel="00000000" w:rsidP="00000000" w:rsidRDefault="00000000" w:rsidRPr="00000000" w14:paraId="0000008B">
      <w:pPr>
        <w:pStyle w:val="Heading1"/>
        <w:spacing w:after="120" w:before="480" w:lineRule="auto"/>
        <w:rPr>
          <w:sz w:val="24"/>
          <w:szCs w:val="24"/>
        </w:rPr>
      </w:pPr>
      <w:bookmarkStart w:colFirst="0" w:colLast="0" w:name="_heading=h.s3abtzyjpfyi" w:id="10"/>
      <w:bookmarkEnd w:id="10"/>
      <w:r w:rsidDel="00000000" w:rsidR="00000000" w:rsidRPr="00000000">
        <w:rPr>
          <w:sz w:val="24"/>
          <w:szCs w:val="24"/>
          <w:rtl w:val="0"/>
        </w:rPr>
        <w:t xml:space="preserve">Results Table: Summary of Included Studies</w:t>
      </w:r>
      <w:r w:rsidDel="00000000" w:rsidR="00000000" w:rsidRPr="00000000">
        <w:rPr>
          <w:rtl w:val="0"/>
        </w:rPr>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137.6322125170102"/>
        <w:gridCol w:w="1550.9126647204553"/>
        <w:gridCol w:w="1337.6066248735156"/>
        <w:gridCol w:w="1390.9331348352507"/>
        <w:gridCol w:w="1670.8973121343588"/>
        <w:gridCol w:w="1937.5298619430328"/>
        <w:tblGridChange w:id="0">
          <w:tblGrid>
            <w:gridCol w:w="1137.6322125170102"/>
            <w:gridCol w:w="1550.9126647204553"/>
            <w:gridCol w:w="1337.6066248735156"/>
            <w:gridCol w:w="1390.9331348352507"/>
            <w:gridCol w:w="1670.8973121343588"/>
            <w:gridCol w:w="1937.5298619430328"/>
          </w:tblGrid>
        </w:tblGridChange>
      </w:tblGrid>
      <w:tr>
        <w:trPr>
          <w:cantSplit w:val="0"/>
          <w:trHeight w:val="7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D">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Author&amp; Year</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Study Aim</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F">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Design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0">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Setting</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1">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Key Findings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2">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Relevance to Review</w:t>
            </w:r>
            <w:r w:rsidDel="00000000" w:rsidR="00000000" w:rsidRPr="00000000">
              <w:rPr>
                <w:rtl w:val="0"/>
              </w:rPr>
            </w:r>
          </w:p>
        </w:tc>
      </w:tr>
      <w:tr>
        <w:trPr>
          <w:cantSplit w:val="0"/>
          <w:trHeight w:val="216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Kreindler (2010)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To examine policy strategies for reducing waiting times in healthcare 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Literature review</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International (including UK context)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Identified workforce capacity and resource allocation as key determinants of waiting times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Demonstrates how workforce shortages contribute to NHS delays</w:t>
            </w:r>
          </w:p>
        </w:tc>
      </w:tr>
      <w:tr>
        <w:trPr>
          <w:cantSplit w:val="0"/>
          <w:trHeight w:val="243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Giuntella et al. (2018)</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To analyse the impact of population demand on NHS performance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study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UK NHS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Increased demand from population growth and ageing significantly increases waiting times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Supports demand-driven explanation of NHS waiting lists</w:t>
            </w:r>
          </w:p>
        </w:tc>
      </w:tr>
      <w:tr>
        <w:trPr>
          <w:cantSplit w:val="0"/>
          <w:trHeight w:val="216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Siciliani et al. (2013)</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To evaluate waiting time policies across healthcare 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Comparative review</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OECD countries (including UK)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Waiting times linked to imbalance between supply and demand and system inefficiencies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Highlights structural/system-level causes of delays</w:t>
            </w:r>
          </w:p>
        </w:tc>
      </w:tr>
      <w:tr>
        <w:trPr>
          <w:cantSplit w:val="0"/>
          <w:trHeight w:val="188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Turner et al. (2021)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To assess the impact of waiting times on patient outcomes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analysis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NHS England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Longer waits associated with worse health outcomes and increased service use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Shows clinical consequences of delays</w:t>
            </w:r>
          </w:p>
        </w:tc>
      </w:tr>
      <w:tr>
        <w:trPr>
          <w:cantSplit w:val="0"/>
          <w:trHeight w:val="216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Dorussen et al. (2024)</w:t>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(Rise Research, 2026)</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To examine patient satisfaction in relation to waiting times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study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UK / Europe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Longer waiting times reduce patient satisfaction and trust in healthcare 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Demonstrates impact on patient experience</w:t>
            </w:r>
          </w:p>
          <w:p w:rsidR="00000000" w:rsidDel="00000000" w:rsidP="00000000" w:rsidRDefault="00000000" w:rsidRPr="00000000" w14:paraId="000000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0">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C1">
      <w:pPr>
        <w:rPr>
          <w:rFonts w:ascii="Arial" w:cs="Arial" w:eastAsia="Arial" w:hAnsi="Arial"/>
        </w:rPr>
      </w:pPr>
      <w:r w:rsidDel="00000000" w:rsidR="00000000" w:rsidRPr="00000000">
        <w:rPr>
          <w:rtl w:val="0"/>
        </w:rPr>
      </w:r>
    </w:p>
    <w:p w:rsidR="00000000" w:rsidDel="00000000" w:rsidP="00000000" w:rsidRDefault="00000000" w:rsidRPr="00000000" w14:paraId="000000C2">
      <w:pPr>
        <w:pStyle w:val="Heading1"/>
        <w:rPr>
          <w:sz w:val="24"/>
          <w:szCs w:val="24"/>
        </w:rPr>
      </w:pPr>
      <w:r w:rsidDel="00000000" w:rsidR="00000000" w:rsidRPr="00000000">
        <w:rPr>
          <w:rtl w:val="0"/>
        </w:rPr>
      </w:r>
    </w:p>
    <w:p w:rsidR="00000000" w:rsidDel="00000000" w:rsidP="00000000" w:rsidRDefault="00000000" w:rsidRPr="00000000" w14:paraId="000000C3">
      <w:pPr>
        <w:pStyle w:val="Heading1"/>
        <w:rPr>
          <w:sz w:val="24"/>
          <w:szCs w:val="24"/>
        </w:rPr>
      </w:pPr>
      <w:r w:rsidDel="00000000" w:rsidR="00000000" w:rsidRPr="00000000">
        <w:rPr>
          <w:rtl w:val="0"/>
        </w:rPr>
      </w:r>
    </w:p>
    <w:p w:rsidR="00000000" w:rsidDel="00000000" w:rsidP="00000000" w:rsidRDefault="00000000" w:rsidRPr="00000000" w14:paraId="000000C4">
      <w:pPr>
        <w:pStyle w:val="Heading1"/>
        <w:rPr>
          <w:sz w:val="24"/>
          <w:szCs w:val="24"/>
        </w:rPr>
      </w:pPr>
      <w:r w:rsidDel="00000000" w:rsidR="00000000" w:rsidRPr="00000000">
        <w:rPr>
          <w:rtl w:val="0"/>
        </w:rPr>
      </w:r>
    </w:p>
    <w:p w:rsidR="00000000" w:rsidDel="00000000" w:rsidP="00000000" w:rsidRDefault="00000000" w:rsidRPr="00000000" w14:paraId="000000C5">
      <w:pPr>
        <w:pStyle w:val="Heading1"/>
        <w:rPr>
          <w:sz w:val="24"/>
          <w:szCs w:val="24"/>
        </w:rPr>
      </w:pPr>
      <w:r w:rsidDel="00000000" w:rsidR="00000000" w:rsidRPr="00000000">
        <w:rPr>
          <w:rtl w:val="0"/>
        </w:rPr>
      </w:r>
    </w:p>
    <w:p w:rsidR="00000000" w:rsidDel="00000000" w:rsidP="00000000" w:rsidRDefault="00000000" w:rsidRPr="00000000" w14:paraId="000000C6">
      <w:pPr>
        <w:pStyle w:val="Heading1"/>
        <w:rPr>
          <w:sz w:val="24"/>
          <w:szCs w:val="24"/>
        </w:rPr>
      </w:pPr>
      <w:r w:rsidDel="00000000" w:rsidR="00000000" w:rsidRPr="00000000">
        <w:rPr>
          <w:rtl w:val="0"/>
        </w:rPr>
      </w:r>
    </w:p>
    <w:p w:rsidR="00000000" w:rsidDel="00000000" w:rsidP="00000000" w:rsidRDefault="00000000" w:rsidRPr="00000000" w14:paraId="000000C7">
      <w:pPr>
        <w:pStyle w:val="Heading1"/>
        <w:rPr>
          <w:sz w:val="24"/>
          <w:szCs w:val="24"/>
        </w:rPr>
      </w:pPr>
      <w:r w:rsidDel="00000000" w:rsidR="00000000" w:rsidRPr="00000000">
        <w:rPr>
          <w:rtl w:val="0"/>
        </w:rPr>
      </w:r>
    </w:p>
    <w:p w:rsidR="00000000" w:rsidDel="00000000" w:rsidP="00000000" w:rsidRDefault="00000000" w:rsidRPr="00000000" w14:paraId="000000C8">
      <w:pPr>
        <w:pStyle w:val="Heading1"/>
        <w:rPr>
          <w:sz w:val="24"/>
          <w:szCs w:val="24"/>
        </w:rPr>
      </w:pPr>
      <w:r w:rsidDel="00000000" w:rsidR="00000000" w:rsidRPr="00000000">
        <w:rPr>
          <w:rtl w:val="0"/>
        </w:rPr>
      </w:r>
    </w:p>
    <w:p w:rsidR="00000000" w:rsidDel="00000000" w:rsidP="00000000" w:rsidRDefault="00000000" w:rsidRPr="00000000" w14:paraId="000000C9">
      <w:pPr>
        <w:pStyle w:val="Heading1"/>
        <w:rPr>
          <w:sz w:val="24"/>
          <w:szCs w:val="24"/>
        </w:rPr>
      </w:pPr>
      <w:r w:rsidDel="00000000" w:rsidR="00000000" w:rsidRPr="00000000">
        <w:rPr>
          <w:rtl w:val="0"/>
        </w:rPr>
      </w:r>
    </w:p>
    <w:p w:rsidR="00000000" w:rsidDel="00000000" w:rsidP="00000000" w:rsidRDefault="00000000" w:rsidRPr="00000000" w14:paraId="000000CA">
      <w:pPr>
        <w:pStyle w:val="Heading1"/>
        <w:rPr>
          <w:sz w:val="24"/>
          <w:szCs w:val="24"/>
        </w:rPr>
      </w:pPr>
      <w:r w:rsidDel="00000000" w:rsidR="00000000" w:rsidRPr="00000000">
        <w:rPr>
          <w:rtl w:val="0"/>
        </w:rPr>
      </w:r>
    </w:p>
    <w:p w:rsidR="00000000" w:rsidDel="00000000" w:rsidP="00000000" w:rsidRDefault="00000000" w:rsidRPr="00000000" w14:paraId="000000CB">
      <w:pPr>
        <w:rPr>
          <w:rFonts w:ascii="Arial" w:cs="Arial" w:eastAsia="Arial" w:hAnsi="Arial"/>
        </w:rPr>
      </w:pPr>
      <w:r w:rsidDel="00000000" w:rsidR="00000000" w:rsidRPr="00000000">
        <w:rPr>
          <w:rtl w:val="0"/>
        </w:rPr>
      </w:r>
    </w:p>
    <w:p w:rsidR="00000000" w:rsidDel="00000000" w:rsidP="00000000" w:rsidRDefault="00000000" w:rsidRPr="00000000" w14:paraId="000000CC">
      <w:pPr>
        <w:pStyle w:val="Heading1"/>
        <w:rPr>
          <w:sz w:val="24"/>
          <w:szCs w:val="24"/>
        </w:rPr>
      </w:pPr>
      <w:r w:rsidDel="00000000" w:rsidR="00000000" w:rsidRPr="00000000">
        <w:rPr>
          <w:sz w:val="24"/>
          <w:szCs w:val="24"/>
          <w:rtl w:val="0"/>
        </w:rPr>
        <w:t xml:space="preserve">5. Discussion</w:t>
      </w:r>
      <w:r w:rsidDel="00000000" w:rsidR="00000000" w:rsidRPr="00000000">
        <w:rPr>
          <w:rtl w:val="0"/>
        </w:rPr>
      </w:r>
    </w:p>
    <w:p w:rsidR="00000000" w:rsidDel="00000000" w:rsidP="00000000" w:rsidRDefault="00000000" w:rsidRPr="00000000" w14:paraId="000000CD">
      <w:pPr>
        <w:spacing w:after="240" w:before="240" w:lineRule="auto"/>
        <w:rPr>
          <w:rFonts w:ascii="Arial" w:cs="Arial" w:eastAsia="Arial" w:hAnsi="Arial"/>
        </w:rPr>
      </w:pPr>
      <w:r w:rsidDel="00000000" w:rsidR="00000000" w:rsidRPr="00000000">
        <w:rPr>
          <w:rFonts w:ascii="Arial" w:cs="Arial" w:eastAsia="Arial" w:hAnsi="Arial"/>
          <w:rtl w:val="0"/>
        </w:rPr>
        <w:t xml:space="preserve">This scoping review aimed to identify the key factors contributing to increased waiting times in the NHS and to examine their implications for healthcare delivery and patient outcomes in the UK. The findings demonstrate that prolonged waiting times are not caused by a single issue, but rather by a complex interaction of demand pressures, workforce shortages, system capacity limitations, and structural inefficiencies.</w:t>
      </w:r>
    </w:p>
    <w:p w:rsidR="00000000" w:rsidDel="00000000" w:rsidP="00000000" w:rsidRDefault="00000000" w:rsidRPr="00000000" w14:paraId="000000CE">
      <w:pPr>
        <w:spacing w:after="240" w:before="240" w:lineRule="auto"/>
        <w:rPr>
          <w:rFonts w:ascii="Arial" w:cs="Arial" w:eastAsia="Arial" w:hAnsi="Arial"/>
        </w:rPr>
      </w:pPr>
      <w:r w:rsidDel="00000000" w:rsidR="00000000" w:rsidRPr="00000000">
        <w:rPr>
          <w:rFonts w:ascii="Arial" w:cs="Arial" w:eastAsia="Arial" w:hAnsi="Arial"/>
          <w:rtl w:val="0"/>
        </w:rPr>
        <w:t xml:space="preserve">One of the most significant themes identified is the imbalance between demand and capacity within the NHS. Studies such as Giuntella et al. (2018) highlight how increasing population demand, driven by demographic changes and rising prevalence of chronic conditions, has placed sustained pressure on healthcare services. This is supported by Siciliani et al. (2013), who argue that waiting times increase when demand exceeds available supply. In the UK context, this imbalance has become more pronounced in recent years, particularly following the COVID-19 pandemic, which created a substantial backlog of delayed treatments. As a result, the NHS has struggled to meet its referral-to-treatment targets, contributing to growing waiting lists.</w:t>
      </w:r>
    </w:p>
    <w:p w:rsidR="00000000" w:rsidDel="00000000" w:rsidP="00000000" w:rsidRDefault="00000000" w:rsidRPr="00000000" w14:paraId="000000CF">
      <w:pPr>
        <w:spacing w:after="240" w:before="240" w:lineRule="auto"/>
        <w:rPr>
          <w:rFonts w:ascii="Arial" w:cs="Arial" w:eastAsia="Arial" w:hAnsi="Arial"/>
        </w:rPr>
      </w:pPr>
      <w:r w:rsidDel="00000000" w:rsidR="00000000" w:rsidRPr="00000000">
        <w:rPr>
          <w:rFonts w:ascii="Arial" w:cs="Arial" w:eastAsia="Arial" w:hAnsi="Arial"/>
          <w:rtl w:val="0"/>
        </w:rPr>
        <w:t xml:space="preserve">Workforce shortages represent another critical factor influencing waiting times. A lack of sufficient healthcare professionals reduces the system’s ability to deliver timely care, limiting the number of appointments, procedures, and treatments that can be provided. Kreindler (2010) emphasises that workforce capacity is a central determinant of waiting times across healthcare systems. In the NHS, staffing challenges have been exacerbated by factors such as burnout, increased workload, and difficulties in recruitment and retention. These constraints not only contribute to delays but also impact the quality and continuity of care.</w:t>
      </w:r>
    </w:p>
    <w:p w:rsidR="00000000" w:rsidDel="00000000" w:rsidP="00000000" w:rsidRDefault="00000000" w:rsidRPr="00000000" w14:paraId="000000D0">
      <w:pPr>
        <w:spacing w:after="240" w:before="240" w:lineRule="auto"/>
        <w:rPr>
          <w:rFonts w:ascii="Arial" w:cs="Arial" w:eastAsia="Arial" w:hAnsi="Arial"/>
        </w:rPr>
      </w:pPr>
      <w:r w:rsidDel="00000000" w:rsidR="00000000" w:rsidRPr="00000000">
        <w:rPr>
          <w:rFonts w:ascii="Arial" w:cs="Arial" w:eastAsia="Arial" w:hAnsi="Arial"/>
          <w:rtl w:val="0"/>
        </w:rPr>
        <w:t xml:space="preserve">In addition to demand and workforce issues, systemic inefficiencies within healthcare delivery further exacerbate waiting times. Delays in patient discharge, often linked to insufficient social care provision, reduce hospital bed availability and restrict patient flow. This creates bottlenecks across the system, particularly in acute care settings. Furthermore, administrative delays and fragmented care pathways can slow the progression of patients through the healthcare system. While these inefficiencies may appear minor individually, their cumulative effect can significantly increase waiting times.</w:t>
      </w:r>
    </w:p>
    <w:p w:rsidR="00000000" w:rsidDel="00000000" w:rsidP="00000000" w:rsidRDefault="00000000" w:rsidRPr="00000000" w14:paraId="000000D1">
      <w:pPr>
        <w:spacing w:after="240" w:before="240" w:lineRule="auto"/>
        <w:rPr>
          <w:rFonts w:ascii="Arial" w:cs="Arial" w:eastAsia="Arial" w:hAnsi="Arial"/>
        </w:rPr>
      </w:pPr>
      <w:r w:rsidDel="00000000" w:rsidR="00000000" w:rsidRPr="00000000">
        <w:rPr>
          <w:rFonts w:ascii="Arial" w:cs="Arial" w:eastAsia="Arial" w:hAnsi="Arial"/>
          <w:rtl w:val="0"/>
        </w:rPr>
        <w:t xml:space="preserve">The review also highlights the substantial impact of waiting times on patient outcomes and experiences. Turner et al. (2021) demonstrate that prolonged waiting is associated with poorer health outcomes and increased healthcare utilisation. Patients who experience delays may see their conditions deteriorate, requiring more complex and resource-intensive treatment. Additionally, Dorussen et al. (2024) found that longer waiting times are linked to reduced patient satisfaction and trust in healthcare systems. This is particularly important in the NHS, where public confidence plays a crucial role in engagement with services. Negative patient experiences may lead to delayed help-seeking behaviour or increased reliance on emergency services, further compounding system pressures.</w:t>
      </w:r>
    </w:p>
    <w:p w:rsidR="00000000" w:rsidDel="00000000" w:rsidP="00000000" w:rsidRDefault="00000000" w:rsidRPr="00000000" w14:paraId="000000D2">
      <w:pPr>
        <w:spacing w:after="240" w:before="240" w:lineRule="auto"/>
        <w:rPr>
          <w:rFonts w:ascii="Arial" w:cs="Arial" w:eastAsia="Arial" w:hAnsi="Arial"/>
        </w:rPr>
      </w:pPr>
      <w:r w:rsidDel="00000000" w:rsidR="00000000" w:rsidRPr="00000000">
        <w:rPr>
          <w:rFonts w:ascii="Arial" w:cs="Arial" w:eastAsia="Arial" w:hAnsi="Arial"/>
          <w:rtl w:val="0"/>
        </w:rPr>
        <w:t xml:space="preserve">The findings of this review also reflect broader structural challenges within the NHS. While policies and targets, such as the 18-week referral-to-treatment standard, aim to improve performance, they may not fully address underlying capacity constraints. As highlighted by Siciliani et al. (2013), policy interventions must be supported by sufficient resources and workforce capacity to be effective. Without this, targets may become difficult to achieve, potentially leading to unintended consequences such as prioritisation of certain patients over others.</w:t>
      </w:r>
    </w:p>
    <w:p w:rsidR="00000000" w:rsidDel="00000000" w:rsidP="00000000" w:rsidRDefault="00000000" w:rsidRPr="00000000" w14:paraId="000000D3">
      <w:pPr>
        <w:spacing w:after="240" w:before="240" w:lineRule="auto"/>
        <w:rPr>
          <w:rFonts w:ascii="Arial" w:cs="Arial" w:eastAsia="Arial" w:hAnsi="Arial"/>
        </w:rPr>
      </w:pPr>
      <w:r w:rsidDel="00000000" w:rsidR="00000000" w:rsidRPr="00000000">
        <w:rPr>
          <w:rFonts w:ascii="Arial" w:cs="Arial" w:eastAsia="Arial" w:hAnsi="Arial"/>
          <w:rtl w:val="0"/>
        </w:rPr>
        <w:t xml:space="preserve">A key strength of this scoping review is its inclusion of diverse study types, including quantitative, qualitative, and policy-focused research, providing a comprehensive overview of the issue. However, several limitations should be acknowledged. The review is based on a small number of studies, which may limit the generalisability of findings. Additionally, variations in study design and methodology may affect the comparability of results. Despite these limitations, the review offers valuable insights into the multifaceted nature of NHS waiting times.</w:t>
      </w:r>
    </w:p>
    <w:p w:rsidR="00000000" w:rsidDel="00000000" w:rsidP="00000000" w:rsidRDefault="00000000" w:rsidRPr="00000000" w14:paraId="000000D4">
      <w:pPr>
        <w:spacing w:after="240" w:before="240" w:lineRule="auto"/>
        <w:rPr>
          <w:rFonts w:ascii="Arial" w:cs="Arial" w:eastAsia="Arial" w:hAnsi="Arial"/>
        </w:rPr>
      </w:pPr>
      <w:r w:rsidDel="00000000" w:rsidR="00000000" w:rsidRPr="00000000">
        <w:rPr>
          <w:rFonts w:ascii="Arial" w:cs="Arial" w:eastAsia="Arial" w:hAnsi="Arial"/>
          <w:rtl w:val="0"/>
        </w:rPr>
        <w:t xml:space="preserve">Overall, the discussion highlights that NHS waiting times are driven by interconnected factors that require a coordinated and systemic response. Addressing these challenges will require not only increased investment in workforce and infrastructure but also improvements in system efficiency and integration between health and social care services.</w:t>
      </w:r>
    </w:p>
    <w:p w:rsidR="00000000" w:rsidDel="00000000" w:rsidP="00000000" w:rsidRDefault="00000000" w:rsidRPr="00000000" w14:paraId="000000D5">
      <w:pPr>
        <w:rPr>
          <w:rFonts w:ascii="Arial" w:cs="Arial" w:eastAsia="Arial" w:hAnsi="Arial"/>
        </w:rPr>
      </w:pPr>
      <w:r w:rsidDel="00000000" w:rsidR="00000000" w:rsidRPr="00000000">
        <w:rPr>
          <w:rtl w:val="0"/>
        </w:rPr>
      </w:r>
    </w:p>
    <w:p w:rsidR="00000000" w:rsidDel="00000000" w:rsidP="00000000" w:rsidRDefault="00000000" w:rsidRPr="00000000" w14:paraId="000000D6">
      <w:pPr>
        <w:pStyle w:val="Heading1"/>
        <w:rPr>
          <w:sz w:val="24"/>
          <w:szCs w:val="24"/>
        </w:rPr>
      </w:pPr>
      <w:r w:rsidDel="00000000" w:rsidR="00000000" w:rsidRPr="00000000">
        <w:rPr>
          <w:rtl w:val="0"/>
        </w:rPr>
      </w:r>
    </w:p>
    <w:p w:rsidR="00000000" w:rsidDel="00000000" w:rsidP="00000000" w:rsidRDefault="00000000" w:rsidRPr="00000000" w14:paraId="000000D7">
      <w:pPr>
        <w:pStyle w:val="Heading1"/>
        <w:rPr>
          <w:sz w:val="24"/>
          <w:szCs w:val="24"/>
        </w:rPr>
      </w:pPr>
      <w:r w:rsidDel="00000000" w:rsidR="00000000" w:rsidRPr="00000000">
        <w:rPr>
          <w:rtl w:val="0"/>
        </w:rPr>
      </w:r>
    </w:p>
    <w:p w:rsidR="00000000" w:rsidDel="00000000" w:rsidP="00000000" w:rsidRDefault="00000000" w:rsidRPr="00000000" w14:paraId="000000D8">
      <w:pPr>
        <w:pStyle w:val="Heading1"/>
        <w:rPr>
          <w:sz w:val="24"/>
          <w:szCs w:val="24"/>
        </w:rPr>
      </w:pPr>
      <w:r w:rsidDel="00000000" w:rsidR="00000000" w:rsidRPr="00000000">
        <w:rPr>
          <w:rtl w:val="0"/>
        </w:rPr>
      </w:r>
    </w:p>
    <w:p w:rsidR="00000000" w:rsidDel="00000000" w:rsidP="00000000" w:rsidRDefault="00000000" w:rsidRPr="00000000" w14:paraId="000000D9">
      <w:pPr>
        <w:pStyle w:val="Heading1"/>
        <w:rPr>
          <w:sz w:val="24"/>
          <w:szCs w:val="24"/>
        </w:rPr>
      </w:pPr>
      <w:r w:rsidDel="00000000" w:rsidR="00000000" w:rsidRPr="00000000">
        <w:rPr>
          <w:rtl w:val="0"/>
        </w:rPr>
      </w:r>
    </w:p>
    <w:p w:rsidR="00000000" w:rsidDel="00000000" w:rsidP="00000000" w:rsidRDefault="00000000" w:rsidRPr="00000000" w14:paraId="000000DA">
      <w:pPr>
        <w:pStyle w:val="Heading1"/>
        <w:rPr>
          <w:sz w:val="24"/>
          <w:szCs w:val="24"/>
        </w:rPr>
      </w:pPr>
      <w:r w:rsidDel="00000000" w:rsidR="00000000" w:rsidRPr="00000000">
        <w:rPr>
          <w:rtl w:val="0"/>
        </w:rPr>
      </w:r>
    </w:p>
    <w:p w:rsidR="00000000" w:rsidDel="00000000" w:rsidP="00000000" w:rsidRDefault="00000000" w:rsidRPr="00000000" w14:paraId="000000DB">
      <w:pPr>
        <w:pStyle w:val="Heading1"/>
        <w:rPr>
          <w:sz w:val="24"/>
          <w:szCs w:val="24"/>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pStyle w:val="Heading1"/>
        <w:rPr>
          <w:sz w:val="24"/>
          <w:szCs w:val="24"/>
        </w:rPr>
      </w:pPr>
      <w:r w:rsidDel="00000000" w:rsidR="00000000" w:rsidRPr="00000000">
        <w:rPr>
          <w:sz w:val="24"/>
          <w:szCs w:val="24"/>
          <w:rtl w:val="0"/>
        </w:rPr>
        <w:t xml:space="preserve">6. Conclusion and Recommendations</w:t>
      </w:r>
    </w:p>
    <w:p w:rsidR="00000000" w:rsidDel="00000000" w:rsidP="00000000" w:rsidRDefault="00000000" w:rsidRPr="00000000" w14:paraId="000000E0">
      <w:pPr>
        <w:spacing w:after="240" w:before="240" w:lineRule="auto"/>
        <w:rPr>
          <w:rFonts w:ascii="Arial" w:cs="Arial" w:eastAsia="Arial" w:hAnsi="Arial"/>
        </w:rPr>
      </w:pPr>
      <w:r w:rsidDel="00000000" w:rsidR="00000000" w:rsidRPr="00000000">
        <w:rPr>
          <w:rFonts w:ascii="Arial" w:cs="Arial" w:eastAsia="Arial" w:hAnsi="Arial"/>
          <w:rtl w:val="0"/>
        </w:rPr>
        <w:t xml:space="preserve">This scoping review has examined the key factors contributing to increased waiting times within the NHS and their implications for healthcare delivery and patient outcomes in the UK. The findings demonstrate that prolonged waiting times arise from a complex and interconnected set of structural challenges, rather than a single identifiable cause. Central to this issue is the persistent imbalance between rising demand for healthcare services and limited system capacity. Increasing population needs, particularly those associated with ageing and the growing prevalence of chronic conditions, continue to place sustained pressure on NHS services, exceeding the system’s ability to respond effectively within existing resource constraints.</w:t>
      </w:r>
    </w:p>
    <w:p w:rsidR="00000000" w:rsidDel="00000000" w:rsidP="00000000" w:rsidRDefault="00000000" w:rsidRPr="00000000" w14:paraId="000000E1">
      <w:pPr>
        <w:spacing w:after="240" w:before="240" w:lineRule="auto"/>
        <w:rPr>
          <w:rFonts w:ascii="Arial" w:cs="Arial" w:eastAsia="Arial" w:hAnsi="Arial"/>
        </w:rPr>
      </w:pPr>
      <w:r w:rsidDel="00000000" w:rsidR="00000000" w:rsidRPr="00000000">
        <w:rPr>
          <w:rFonts w:ascii="Arial" w:cs="Arial" w:eastAsia="Arial" w:hAnsi="Arial"/>
          <w:rtl w:val="0"/>
        </w:rPr>
        <w:t xml:space="preserve">Workforce shortages have emerged as a critical constraint, limiting service capacity across multiple areas of care. Difficulties in recruitment, retention, and workforce sustainability reduce the NHS’s ability to deliver timely diagnosis and treatment. These pressures have been further intensified by the COVID-19 pandemic, which created a substantial backlog in elective care and disrupted routine service provision. Despite ongoing recovery efforts, the long-term effects of the pandemic continue to influence waiting times, highlighting the fragility of system resilience in the face of external shocks.</w:t>
      </w:r>
    </w:p>
    <w:p w:rsidR="00000000" w:rsidDel="00000000" w:rsidP="00000000" w:rsidRDefault="00000000" w:rsidRPr="00000000" w14:paraId="000000E2">
      <w:pPr>
        <w:spacing w:after="240" w:before="240" w:lineRule="auto"/>
        <w:rPr>
          <w:rFonts w:ascii="Arial" w:cs="Arial" w:eastAsia="Arial" w:hAnsi="Arial"/>
        </w:rPr>
      </w:pPr>
      <w:r w:rsidDel="00000000" w:rsidR="00000000" w:rsidRPr="00000000">
        <w:rPr>
          <w:rFonts w:ascii="Arial" w:cs="Arial" w:eastAsia="Arial" w:hAnsi="Arial"/>
          <w:rtl w:val="0"/>
        </w:rPr>
        <w:t xml:space="preserve">In addition to workforce and demand pressures, system inefficiencies play a significant role in prolonging waiting times. Delayed discharges, often linked to insufficient social care provision, restrict patient flow and reduce bed availability. Fragmented care pathways and administrative inefficiencies further contribute to delays across the patient journey. These findings emphasise that waiting times are not solely a function of demand, but are also shaped by how effectively healthcare systems are organised and coordinated.</w:t>
      </w:r>
    </w:p>
    <w:p w:rsidR="00000000" w:rsidDel="00000000" w:rsidP="00000000" w:rsidRDefault="00000000" w:rsidRPr="00000000" w14:paraId="000000E3">
      <w:pPr>
        <w:spacing w:after="240" w:before="240" w:lineRule="auto"/>
        <w:rPr>
          <w:rFonts w:ascii="Arial" w:cs="Arial" w:eastAsia="Arial" w:hAnsi="Arial"/>
        </w:rPr>
      </w:pPr>
      <w:r w:rsidDel="00000000" w:rsidR="00000000" w:rsidRPr="00000000">
        <w:rPr>
          <w:rFonts w:ascii="Arial" w:cs="Arial" w:eastAsia="Arial" w:hAnsi="Arial"/>
          <w:rtl w:val="0"/>
        </w:rPr>
        <w:t xml:space="preserve">The consequences of extended waiting times are substantial. Patients may experience deterioration in physical and mental health, increased anxiety, and reduced quality of life while awaiting treatment. Delays can also lead to more advanced disease progression, requiring more complex and resource-intensive interventions. At a system level, this creates additional pressure on healthcare services, reinforcing a cyclical pattern in which delays contribute to further demand. Furthermore, prolonged waiting times negatively affect patient satisfaction and trust in NHS services, with potential implications for healthcare-seeking behaviour and long-term engagement with care.</w:t>
      </w:r>
    </w:p>
    <w:p w:rsidR="00000000" w:rsidDel="00000000" w:rsidP="00000000" w:rsidRDefault="00000000" w:rsidRPr="00000000" w14:paraId="000000E4">
      <w:pPr>
        <w:spacing w:after="240" w:before="240" w:lineRule="auto"/>
        <w:rPr>
          <w:rFonts w:ascii="Arial" w:cs="Arial" w:eastAsia="Arial" w:hAnsi="Arial"/>
        </w:rPr>
      </w:pPr>
      <w:r w:rsidDel="00000000" w:rsidR="00000000" w:rsidRPr="00000000">
        <w:rPr>
          <w:rFonts w:ascii="Arial" w:cs="Arial" w:eastAsia="Arial" w:hAnsi="Arial"/>
          <w:rtl w:val="0"/>
        </w:rPr>
        <w:t xml:space="preserve">Importantly, this review highlights that NHS waiting times should be understood as a systemic issue requiring coordinated and sustained responses across multiple levels of the healthcare system. Short-term solutions, such as temporary funding increases or target-driven interventions, are unlikely to produce lasting improvements unless they are supported by long-term strategies addressing workforce capacity, infrastructure, and system integration. Greater alignment between health and social care services is essential to improve patient flow and reduce delays associated with discharge and community care provision.</w:t>
      </w:r>
    </w:p>
    <w:p w:rsidR="00000000" w:rsidDel="00000000" w:rsidP="00000000" w:rsidRDefault="00000000" w:rsidRPr="00000000" w14:paraId="000000E5">
      <w:pPr>
        <w:spacing w:after="240" w:before="240" w:lineRule="auto"/>
        <w:rPr>
          <w:rFonts w:ascii="Arial" w:cs="Arial" w:eastAsia="Arial" w:hAnsi="Arial"/>
          <w:b w:val="1"/>
          <w:bCs w:val="1"/>
        </w:rPr>
      </w:pPr>
      <w:r w:rsidDel="00000000" w:rsidR="00000000" w:rsidRPr="00000000">
        <w:rPr>
          <w:rFonts w:ascii="Arial" w:cs="Arial" w:eastAsia="Arial" w:hAnsi="Arial"/>
          <w:rtl w:val="0"/>
        </w:rPr>
        <w:t xml:space="preserve">In conclusion, NHS waiting times represent a persistent and multifaceted challenge with significant implications for both patients and the healthcare system as a whole. Addressing this issue will require comprehensive and integrated approaches that move beyond reactive measures towards sustainable system-wide reform. Without such coordinated action, waiting times are likely to remain a defining challenge for the NHS, with ongoing consequences for equity, efficiency, and the quality of patient care.</w:t>
      </w:r>
      <w:r w:rsidDel="00000000" w:rsidR="00000000" w:rsidRPr="00000000">
        <w:rPr>
          <w:rtl w:val="0"/>
        </w:rPr>
      </w:r>
    </w:p>
    <w:p w:rsidR="00000000" w:rsidDel="00000000" w:rsidP="00000000" w:rsidRDefault="00000000" w:rsidRPr="00000000" w14:paraId="000000E6">
      <w:pPr>
        <w:rPr>
          <w:rFonts w:ascii="Arial" w:cs="Arial" w:eastAsia="Arial" w:hAnsi="Arial"/>
          <w:b w:val="1"/>
          <w:bCs w:val="1"/>
        </w:rPr>
      </w:pPr>
      <w:r w:rsidDel="00000000" w:rsidR="00000000" w:rsidRPr="00000000">
        <w:rPr>
          <w:rFonts w:ascii="Arial" w:cs="Arial" w:eastAsia="Arial" w:hAnsi="Arial"/>
          <w:b w:val="1"/>
          <w:bCs w:val="1"/>
          <w:rtl w:val="0"/>
        </w:rPr>
        <w:t xml:space="preserve">Recommendations </w:t>
      </w:r>
    </w:p>
    <w:p w:rsidR="00000000" w:rsidDel="00000000" w:rsidP="00000000" w:rsidRDefault="00000000" w:rsidRPr="00000000" w14:paraId="000000E7">
      <w:pPr>
        <w:pStyle w:val="Heading3"/>
        <w:spacing w:after="80" w:before="280" w:line="259" w:lineRule="auto"/>
        <w:rPr>
          <w:b w:val="0"/>
          <w:bCs w:val="0"/>
        </w:rPr>
      </w:pPr>
      <w:bookmarkStart w:colFirst="0" w:colLast="0" w:name="_heading=h.b1c61q618g0d" w:id="11"/>
      <w:bookmarkEnd w:id="11"/>
      <w:r w:rsidDel="00000000" w:rsidR="00000000" w:rsidRPr="00000000">
        <w:rPr>
          <w:b w:val="0"/>
          <w:bCs w:val="0"/>
          <w:rtl w:val="0"/>
        </w:rPr>
        <w:t xml:space="preserve">Practice</w:t>
      </w:r>
    </w:p>
    <w:p w:rsidR="00000000" w:rsidDel="00000000" w:rsidP="00000000" w:rsidRDefault="00000000" w:rsidRPr="00000000" w14:paraId="000000E8">
      <w:pPr>
        <w:numPr>
          <w:ilvl w:val="0"/>
          <w:numId w:val="6"/>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Increase recruitment and retention of healthcare professionals to address workforce shortages</w:t>
      </w:r>
    </w:p>
    <w:p w:rsidR="00000000" w:rsidDel="00000000" w:rsidP="00000000" w:rsidRDefault="00000000" w:rsidRPr="00000000" w14:paraId="000000E9">
      <w:pPr>
        <w:numPr>
          <w:ilvl w:val="0"/>
          <w:numId w:val="6"/>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Improve patient flow through more efficient discharge planning and coordination with social care services</w:t>
      </w:r>
    </w:p>
    <w:p w:rsidR="00000000" w:rsidDel="00000000" w:rsidP="00000000" w:rsidRDefault="00000000" w:rsidRPr="00000000" w14:paraId="000000EA">
      <w:pPr>
        <w:numPr>
          <w:ilvl w:val="0"/>
          <w:numId w:val="6"/>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Enhance use of multidisciplinary teams to optimise service delivery</w:t>
      </w:r>
    </w:p>
    <w:p w:rsidR="00000000" w:rsidDel="00000000" w:rsidP="00000000" w:rsidRDefault="00000000" w:rsidRPr="00000000" w14:paraId="000000EB">
      <w:pPr>
        <w:pStyle w:val="Heading3"/>
        <w:spacing w:after="80" w:before="280" w:line="259" w:lineRule="auto"/>
        <w:rPr>
          <w:b w:val="0"/>
          <w:bCs w:val="0"/>
        </w:rPr>
      </w:pPr>
      <w:bookmarkStart w:colFirst="0" w:colLast="0" w:name="_heading=h.utoxkowfneyc" w:id="12"/>
      <w:bookmarkEnd w:id="12"/>
      <w:r w:rsidDel="00000000" w:rsidR="00000000" w:rsidRPr="00000000">
        <w:rPr>
          <w:b w:val="0"/>
          <w:bCs w:val="0"/>
          <w:rtl w:val="0"/>
        </w:rPr>
        <w:t xml:space="preserve">Policy</w:t>
      </w:r>
    </w:p>
    <w:p w:rsidR="00000000" w:rsidDel="00000000" w:rsidP="00000000" w:rsidRDefault="00000000" w:rsidRPr="00000000" w14:paraId="000000EC">
      <w:pPr>
        <w:numPr>
          <w:ilvl w:val="0"/>
          <w:numId w:val="7"/>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Increase long-term investment in NHS workforce and infrastructure</w:t>
      </w:r>
    </w:p>
    <w:p w:rsidR="00000000" w:rsidDel="00000000" w:rsidP="00000000" w:rsidRDefault="00000000" w:rsidRPr="00000000" w14:paraId="000000ED">
      <w:pPr>
        <w:numPr>
          <w:ilvl w:val="0"/>
          <w:numId w:val="7"/>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Strengthen integration between health and social care to reduce delayed discharges</w:t>
      </w:r>
    </w:p>
    <w:p w:rsidR="00000000" w:rsidDel="00000000" w:rsidP="00000000" w:rsidRDefault="00000000" w:rsidRPr="00000000" w14:paraId="000000EE">
      <w:pPr>
        <w:numPr>
          <w:ilvl w:val="0"/>
          <w:numId w:val="7"/>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Review and adapt waiting time targets to reflect current system pressures and capacity</w:t>
      </w:r>
    </w:p>
    <w:p w:rsidR="00000000" w:rsidDel="00000000" w:rsidP="00000000" w:rsidRDefault="00000000" w:rsidRPr="00000000" w14:paraId="000000EF">
      <w:pPr>
        <w:pStyle w:val="Heading3"/>
        <w:spacing w:after="80" w:before="280" w:line="259" w:lineRule="auto"/>
        <w:rPr>
          <w:b w:val="0"/>
          <w:bCs w:val="0"/>
        </w:rPr>
      </w:pPr>
      <w:bookmarkStart w:colFirst="0" w:colLast="0" w:name="_heading=h.keq4n4ebi5d" w:id="13"/>
      <w:bookmarkEnd w:id="13"/>
      <w:r w:rsidDel="00000000" w:rsidR="00000000" w:rsidRPr="00000000">
        <w:rPr>
          <w:b w:val="0"/>
          <w:bCs w:val="0"/>
          <w:rtl w:val="0"/>
        </w:rPr>
        <w:t xml:space="preserve">Future Research</w:t>
      </w:r>
    </w:p>
    <w:p w:rsidR="00000000" w:rsidDel="00000000" w:rsidP="00000000" w:rsidRDefault="00000000" w:rsidRPr="00000000" w14:paraId="000000F0">
      <w:pPr>
        <w:numPr>
          <w:ilvl w:val="0"/>
          <w:numId w:val="8"/>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Further investigation into the long-term impact of waiting times on patient outcomes</w:t>
      </w:r>
    </w:p>
    <w:p w:rsidR="00000000" w:rsidDel="00000000" w:rsidP="00000000" w:rsidRDefault="00000000" w:rsidRPr="00000000" w14:paraId="000000F1">
      <w:pPr>
        <w:numPr>
          <w:ilvl w:val="0"/>
          <w:numId w:val="8"/>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Exploration of the role of digital health technologies in reducing waiting times</w:t>
      </w:r>
    </w:p>
    <w:p w:rsidR="00000000" w:rsidDel="00000000" w:rsidP="00000000" w:rsidRDefault="00000000" w:rsidRPr="00000000" w14:paraId="000000F2">
      <w:pPr>
        <w:numPr>
          <w:ilvl w:val="0"/>
          <w:numId w:val="8"/>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Research into health inequalities related to waiting times across different population groups</w:t>
      </w:r>
    </w:p>
    <w:p w:rsidR="00000000" w:rsidDel="00000000" w:rsidP="00000000" w:rsidRDefault="00000000" w:rsidRPr="00000000" w14:paraId="000000F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F4">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F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F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F7">
      <w:pPr>
        <w:pStyle w:val="Heading1"/>
        <w:rPr>
          <w:sz w:val="24"/>
          <w:szCs w:val="24"/>
        </w:rPr>
      </w:pPr>
      <w:r w:rsidDel="00000000" w:rsidR="00000000" w:rsidRPr="00000000">
        <w:rPr>
          <w:sz w:val="24"/>
          <w:szCs w:val="24"/>
          <w:rtl w:val="0"/>
        </w:rPr>
        <w:t xml:space="preserve">References</w:t>
      </w:r>
    </w:p>
    <w:p w:rsidR="00000000" w:rsidDel="00000000" w:rsidP="00000000" w:rsidRDefault="00000000" w:rsidRPr="00000000" w14:paraId="000000F8">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British Medical Association (BMA) (2026) </w:t>
      </w:r>
      <w:r w:rsidDel="00000000" w:rsidR="00000000" w:rsidRPr="00000000">
        <w:rPr>
          <w:rFonts w:ascii="Arial" w:cs="Arial" w:eastAsia="Arial" w:hAnsi="Arial"/>
          <w:i w:val="1"/>
          <w:iCs w:val="1"/>
          <w:rtl w:val="0"/>
        </w:rPr>
        <w:t xml:space="preserve">NHS backlog data analysis</w:t>
      </w:r>
      <w:r w:rsidDel="00000000" w:rsidR="00000000" w:rsidRPr="00000000">
        <w:rPr>
          <w:rFonts w:ascii="Arial" w:cs="Arial" w:eastAsia="Arial" w:hAnsi="Arial"/>
          <w:rtl w:val="0"/>
        </w:rPr>
        <w:t xml:space="preserve">. Available at:</w:t>
      </w:r>
      <w:hyperlink r:id="rId8">
        <w:r w:rsidDel="00000000" w:rsidR="00000000" w:rsidRPr="00000000">
          <w:rPr>
            <w:rFonts w:ascii="Arial" w:cs="Arial" w:eastAsia="Arial" w:hAnsi="Arial"/>
            <w:rtl w:val="0"/>
          </w:rPr>
          <w:t xml:space="preserve"> </w:t>
        </w:r>
      </w:hyperlink>
      <w:hyperlink r:id="rId9">
        <w:r w:rsidDel="00000000" w:rsidR="00000000" w:rsidRPr="00000000">
          <w:rPr>
            <w:rFonts w:ascii="Arial" w:cs="Arial" w:eastAsia="Arial" w:hAnsi="Arial"/>
            <w:color w:val="1155cc"/>
            <w:u w:val="single"/>
            <w:rtl w:val="0"/>
          </w:rPr>
          <w:t xml:space="preserve">https://www.bma.org.uk/advice-and-support/nhs-delivery-and-workforce/pressures/nhs-backlog-data-analysis</w:t>
        </w:r>
      </w:hyperlink>
      <w:r w:rsidDel="00000000" w:rsidR="00000000" w:rsidRPr="00000000">
        <w:rPr>
          <w:rFonts w:ascii="Arial" w:cs="Arial" w:eastAsia="Arial" w:hAnsi="Arial"/>
          <w:rtl w:val="0"/>
        </w:rPr>
        <w:t xml:space="preserve"> (Accessed: 21 April 2026).</w:t>
      </w:r>
    </w:p>
    <w:p w:rsidR="00000000" w:rsidDel="00000000" w:rsidP="00000000" w:rsidRDefault="00000000" w:rsidRPr="00000000" w14:paraId="000000F9">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Care Management Matters (CMM) (2025) </w:t>
      </w:r>
      <w:r w:rsidDel="00000000" w:rsidR="00000000" w:rsidRPr="00000000">
        <w:rPr>
          <w:rFonts w:ascii="Arial" w:cs="Arial" w:eastAsia="Arial" w:hAnsi="Arial"/>
          <w:i w:val="1"/>
          <w:iCs w:val="1"/>
          <w:rtl w:val="0"/>
        </w:rPr>
        <w:t xml:space="preserve">Straight talk: bed blocking</w:t>
      </w:r>
      <w:r w:rsidDel="00000000" w:rsidR="00000000" w:rsidRPr="00000000">
        <w:rPr>
          <w:rFonts w:ascii="Arial" w:cs="Arial" w:eastAsia="Arial" w:hAnsi="Arial"/>
          <w:rtl w:val="0"/>
        </w:rPr>
        <w:t xml:space="preserve">. Available at:</w:t>
      </w:r>
      <w:hyperlink r:id="rId10">
        <w:r w:rsidDel="00000000" w:rsidR="00000000" w:rsidRPr="00000000">
          <w:rPr>
            <w:rFonts w:ascii="Arial" w:cs="Arial" w:eastAsia="Arial" w:hAnsi="Arial"/>
            <w:rtl w:val="0"/>
          </w:rPr>
          <w:t xml:space="preserve"> </w:t>
        </w:r>
      </w:hyperlink>
      <w:hyperlink r:id="rId11">
        <w:r w:rsidDel="00000000" w:rsidR="00000000" w:rsidRPr="00000000">
          <w:rPr>
            <w:rFonts w:ascii="Arial" w:cs="Arial" w:eastAsia="Arial" w:hAnsi="Arial"/>
            <w:color w:val="1155cc"/>
            <w:u w:val="single"/>
            <w:rtl w:val="0"/>
          </w:rPr>
          <w:t xml:space="preserve">https://www.caremanagementmatters.co.uk/feature/straight-talk-bed-blocking/</w:t>
        </w:r>
      </w:hyperlink>
      <w:r w:rsidDel="00000000" w:rsidR="00000000" w:rsidRPr="00000000">
        <w:rPr>
          <w:rFonts w:ascii="Arial" w:cs="Arial" w:eastAsia="Arial" w:hAnsi="Arial"/>
          <w:rtl w:val="0"/>
        </w:rPr>
        <w:t xml:space="preserve"> (Accessed: 22 April 2026).</w:t>
      </w:r>
    </w:p>
    <w:p w:rsidR="00000000" w:rsidDel="00000000" w:rsidP="00000000" w:rsidRDefault="00000000" w:rsidRPr="00000000" w14:paraId="000000FA">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Dorussen, H., Lenz, H. and Blavoukos, S. (2024) ‘Public satisfaction with healthcare systems and waiting times’, </w:t>
      </w:r>
      <w:r w:rsidDel="00000000" w:rsidR="00000000" w:rsidRPr="00000000">
        <w:rPr>
          <w:rFonts w:ascii="Arial" w:cs="Arial" w:eastAsia="Arial" w:hAnsi="Arial"/>
          <w:i w:val="1"/>
          <w:iCs w:val="1"/>
          <w:rtl w:val="0"/>
        </w:rPr>
        <w:t xml:space="preserve">Health Policy</w:t>
      </w:r>
      <w:r w:rsidDel="00000000" w:rsidR="00000000" w:rsidRPr="00000000">
        <w:rPr>
          <w:rFonts w:ascii="Arial" w:cs="Arial" w:eastAsia="Arial" w:hAnsi="Arial"/>
          <w:rtl w:val="0"/>
        </w:rPr>
        <w:t xml:space="preserve">, 128(3), pp. 102–110. Available at:</w:t>
      </w:r>
      <w:hyperlink r:id="rId12">
        <w:r w:rsidDel="00000000" w:rsidR="00000000" w:rsidRPr="00000000">
          <w:rPr>
            <w:rFonts w:ascii="Arial" w:cs="Arial" w:eastAsia="Arial" w:hAnsi="Arial"/>
            <w:rtl w:val="0"/>
          </w:rPr>
          <w:t xml:space="preserve"> </w:t>
        </w:r>
      </w:hyperlink>
      <w:hyperlink r:id="rId13">
        <w:r w:rsidDel="00000000" w:rsidR="00000000" w:rsidRPr="00000000">
          <w:rPr>
            <w:rFonts w:ascii="Arial" w:cs="Arial" w:eastAsia="Arial" w:hAnsi="Arial"/>
            <w:color w:val="1155cc"/>
            <w:u w:val="single"/>
            <w:rtl w:val="0"/>
          </w:rPr>
          <w:t xml:space="preserve">https://www.sciencedirect.com/journal/health-policy</w:t>
        </w:r>
      </w:hyperlink>
      <w:r w:rsidDel="00000000" w:rsidR="00000000" w:rsidRPr="00000000">
        <w:rPr>
          <w:rFonts w:ascii="Arial" w:cs="Arial" w:eastAsia="Arial" w:hAnsi="Arial"/>
          <w:rtl w:val="0"/>
        </w:rPr>
        <w:t xml:space="preserve"> (Accessed: 23 April 2026).</w:t>
      </w:r>
    </w:p>
    <w:p w:rsidR="00000000" w:rsidDel="00000000" w:rsidP="00000000" w:rsidRDefault="00000000" w:rsidRPr="00000000" w14:paraId="000000FB">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Giuntella, O., Nicodemo, C. and Vargas-Silva, C. (2018) ‘The effects of population pressure on NHS waiting times’, </w:t>
      </w:r>
      <w:r w:rsidDel="00000000" w:rsidR="00000000" w:rsidRPr="00000000">
        <w:rPr>
          <w:rFonts w:ascii="Arial" w:cs="Arial" w:eastAsia="Arial" w:hAnsi="Arial"/>
          <w:i w:val="1"/>
          <w:iCs w:val="1"/>
          <w:rtl w:val="0"/>
        </w:rPr>
        <w:t xml:space="preserve">Journal of Health Economics</w:t>
      </w:r>
      <w:r w:rsidDel="00000000" w:rsidR="00000000" w:rsidRPr="00000000">
        <w:rPr>
          <w:rFonts w:ascii="Arial" w:cs="Arial" w:eastAsia="Arial" w:hAnsi="Arial"/>
          <w:rtl w:val="0"/>
        </w:rPr>
        <w:t xml:space="preserve">, 58, pp. 123–143. Available at:</w:t>
      </w:r>
      <w:hyperlink r:id="rId14">
        <w:r w:rsidDel="00000000" w:rsidR="00000000" w:rsidRPr="00000000">
          <w:rPr>
            <w:rFonts w:ascii="Arial" w:cs="Arial" w:eastAsia="Arial" w:hAnsi="Arial"/>
            <w:rtl w:val="0"/>
          </w:rPr>
          <w:t xml:space="preserve"> </w:t>
        </w:r>
      </w:hyperlink>
      <w:hyperlink r:id="rId15">
        <w:r w:rsidDel="00000000" w:rsidR="00000000" w:rsidRPr="00000000">
          <w:rPr>
            <w:rFonts w:ascii="Arial" w:cs="Arial" w:eastAsia="Arial" w:hAnsi="Arial"/>
            <w:color w:val="1155cc"/>
            <w:u w:val="single"/>
            <w:rtl w:val="0"/>
          </w:rPr>
          <w:t xml:space="preserve">https://www.sciencedirect.com/journal/journal-of-health-economics</w:t>
        </w:r>
      </w:hyperlink>
      <w:r w:rsidDel="00000000" w:rsidR="00000000" w:rsidRPr="00000000">
        <w:rPr>
          <w:rFonts w:ascii="Arial" w:cs="Arial" w:eastAsia="Arial" w:hAnsi="Arial"/>
          <w:rtl w:val="0"/>
        </w:rPr>
        <w:t xml:space="preserve"> (Accessed: 23 April 2026).</w:t>
      </w:r>
    </w:p>
    <w:p w:rsidR="00000000" w:rsidDel="00000000" w:rsidP="00000000" w:rsidRDefault="00000000" w:rsidRPr="00000000" w14:paraId="000000FC">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Health Foundation (REAL Centre) (2026) </w:t>
      </w:r>
      <w:r w:rsidDel="00000000" w:rsidR="00000000" w:rsidRPr="00000000">
        <w:rPr>
          <w:rFonts w:ascii="Arial" w:cs="Arial" w:eastAsia="Arial" w:hAnsi="Arial"/>
          <w:i w:val="1"/>
          <w:iCs w:val="1"/>
          <w:rtl w:val="0"/>
        </w:rPr>
        <w:t xml:space="preserve">Projected patterns of illness in England</w:t>
      </w:r>
      <w:r w:rsidDel="00000000" w:rsidR="00000000" w:rsidRPr="00000000">
        <w:rPr>
          <w:rFonts w:ascii="Arial" w:cs="Arial" w:eastAsia="Arial" w:hAnsi="Arial"/>
          <w:rtl w:val="0"/>
        </w:rPr>
        <w:t xml:space="preserve">. Available at:</w:t>
      </w:r>
      <w:hyperlink r:id="rId16">
        <w:r w:rsidDel="00000000" w:rsidR="00000000" w:rsidRPr="00000000">
          <w:rPr>
            <w:rFonts w:ascii="Arial" w:cs="Arial" w:eastAsia="Arial" w:hAnsi="Arial"/>
            <w:rtl w:val="0"/>
          </w:rPr>
          <w:t xml:space="preserve"> </w:t>
        </w:r>
      </w:hyperlink>
      <w:hyperlink r:id="rId17">
        <w:r w:rsidDel="00000000" w:rsidR="00000000" w:rsidRPr="00000000">
          <w:rPr>
            <w:rFonts w:ascii="Arial" w:cs="Arial" w:eastAsia="Arial" w:hAnsi="Arial"/>
            <w:color w:val="1155cc"/>
            <w:u w:val="single"/>
            <w:rtl w:val="0"/>
          </w:rPr>
          <w:t xml:space="preserve">https://www.health.org.uk/sites/default/files/upload/publications/2023/Projected%20patterns%20of%20illness%20in%20England_WEB.pdf</w:t>
        </w:r>
      </w:hyperlink>
      <w:r w:rsidDel="00000000" w:rsidR="00000000" w:rsidRPr="00000000">
        <w:rPr>
          <w:rFonts w:ascii="Arial" w:cs="Arial" w:eastAsia="Arial" w:hAnsi="Arial"/>
          <w:rtl w:val="0"/>
        </w:rPr>
        <w:t xml:space="preserve"> (Accessed: 21 April 2026).</w:t>
      </w:r>
    </w:p>
    <w:p w:rsidR="00000000" w:rsidDel="00000000" w:rsidP="00000000" w:rsidRDefault="00000000" w:rsidRPr="00000000" w14:paraId="000000FD">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Kreindler, S.A. (2010) ‘Policy strategies to reduce waits for elective care: a synthesis of international evidence’, </w:t>
      </w:r>
      <w:r w:rsidDel="00000000" w:rsidR="00000000" w:rsidRPr="00000000">
        <w:rPr>
          <w:rFonts w:ascii="Arial" w:cs="Arial" w:eastAsia="Arial" w:hAnsi="Arial"/>
          <w:i w:val="1"/>
          <w:iCs w:val="1"/>
          <w:rtl w:val="0"/>
        </w:rPr>
        <w:t xml:space="preserve">British Medical Bulletin</w:t>
      </w:r>
      <w:r w:rsidDel="00000000" w:rsidR="00000000" w:rsidRPr="00000000">
        <w:rPr>
          <w:rFonts w:ascii="Arial" w:cs="Arial" w:eastAsia="Arial" w:hAnsi="Arial"/>
          <w:rtl w:val="0"/>
        </w:rPr>
        <w:t xml:space="preserve">, 95(1), pp. 7–32. Available at:</w:t>
      </w:r>
      <w:hyperlink r:id="rId18">
        <w:r w:rsidDel="00000000" w:rsidR="00000000" w:rsidRPr="00000000">
          <w:rPr>
            <w:rFonts w:ascii="Arial" w:cs="Arial" w:eastAsia="Arial" w:hAnsi="Arial"/>
            <w:rtl w:val="0"/>
          </w:rPr>
          <w:t xml:space="preserve"> </w:t>
        </w:r>
      </w:hyperlink>
      <w:hyperlink r:id="rId19">
        <w:r w:rsidDel="00000000" w:rsidR="00000000" w:rsidRPr="00000000">
          <w:rPr>
            <w:rFonts w:ascii="Arial" w:cs="Arial" w:eastAsia="Arial" w:hAnsi="Arial"/>
            <w:color w:val="1155cc"/>
            <w:u w:val="single"/>
            <w:rtl w:val="0"/>
          </w:rPr>
          <w:t xml:space="preserve">https://academic.oup.com/bmb/article/95/1/7/</w:t>
        </w:r>
      </w:hyperlink>
      <w:r w:rsidDel="00000000" w:rsidR="00000000" w:rsidRPr="00000000">
        <w:rPr>
          <w:rFonts w:ascii="Arial" w:cs="Arial" w:eastAsia="Arial" w:hAnsi="Arial"/>
          <w:rtl w:val="0"/>
        </w:rPr>
        <w:t xml:space="preserve"> (Accessed: 23 April 2026).</w:t>
      </w:r>
    </w:p>
    <w:p w:rsidR="00000000" w:rsidDel="00000000" w:rsidP="00000000" w:rsidRDefault="00000000" w:rsidRPr="00000000" w14:paraId="000000FE">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NHS England (2025) </w:t>
      </w:r>
      <w:r w:rsidDel="00000000" w:rsidR="00000000" w:rsidRPr="00000000">
        <w:rPr>
          <w:rFonts w:ascii="Arial" w:cs="Arial" w:eastAsia="Arial" w:hAnsi="Arial"/>
          <w:i w:val="1"/>
          <w:iCs w:val="1"/>
          <w:rtl w:val="0"/>
        </w:rPr>
        <w:t xml:space="preserve">Ethnicity recording improvement plan</w:t>
      </w:r>
      <w:r w:rsidDel="00000000" w:rsidR="00000000" w:rsidRPr="00000000">
        <w:rPr>
          <w:rFonts w:ascii="Arial" w:cs="Arial" w:eastAsia="Arial" w:hAnsi="Arial"/>
          <w:rtl w:val="0"/>
        </w:rPr>
        <w:t xml:space="preserve">. Available at:</w:t>
      </w:r>
      <w:hyperlink r:id="rId20">
        <w:r w:rsidDel="00000000" w:rsidR="00000000" w:rsidRPr="00000000">
          <w:rPr>
            <w:rFonts w:ascii="Arial" w:cs="Arial" w:eastAsia="Arial" w:hAnsi="Arial"/>
            <w:rtl w:val="0"/>
          </w:rPr>
          <w:t xml:space="preserve"> </w:t>
        </w:r>
      </w:hyperlink>
      <w:hyperlink r:id="rId21">
        <w:r w:rsidDel="00000000" w:rsidR="00000000" w:rsidRPr="00000000">
          <w:rPr>
            <w:rFonts w:ascii="Arial" w:cs="Arial" w:eastAsia="Arial" w:hAnsi="Arial"/>
            <w:color w:val="1155cc"/>
            <w:u w:val="single"/>
            <w:rtl w:val="0"/>
          </w:rPr>
          <w:t xml:space="preserve">https://www.england.nhs.uk/long-read/ethnicity-recording-improvement-plan/</w:t>
        </w:r>
      </w:hyperlink>
      <w:r w:rsidDel="00000000" w:rsidR="00000000" w:rsidRPr="00000000">
        <w:rPr>
          <w:rFonts w:ascii="Arial" w:cs="Arial" w:eastAsia="Arial" w:hAnsi="Arial"/>
          <w:rtl w:val="0"/>
        </w:rPr>
        <w:t xml:space="preserve"> (Accessed: 21 April 2026).</w:t>
      </w:r>
    </w:p>
    <w:p w:rsidR="00000000" w:rsidDel="00000000" w:rsidP="00000000" w:rsidRDefault="00000000" w:rsidRPr="00000000" w14:paraId="000000FF">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NHS England (2026a) </w:t>
      </w:r>
      <w:r w:rsidDel="00000000" w:rsidR="00000000" w:rsidRPr="00000000">
        <w:rPr>
          <w:rFonts w:ascii="Arial" w:cs="Arial" w:eastAsia="Arial" w:hAnsi="Arial"/>
          <w:i w:val="1"/>
          <w:iCs w:val="1"/>
          <w:rtl w:val="0"/>
        </w:rPr>
        <w:t xml:space="preserve">Referral to treatment</w:t>
      </w:r>
      <w:r w:rsidDel="00000000" w:rsidR="00000000" w:rsidRPr="00000000">
        <w:rPr>
          <w:rFonts w:ascii="Arial" w:cs="Arial" w:eastAsia="Arial" w:hAnsi="Arial"/>
          <w:rtl w:val="0"/>
        </w:rPr>
        <w:t xml:space="preserve">. Available at:</w:t>
      </w:r>
      <w:hyperlink r:id="rId22">
        <w:r w:rsidDel="00000000" w:rsidR="00000000" w:rsidRPr="00000000">
          <w:rPr>
            <w:rFonts w:ascii="Arial" w:cs="Arial" w:eastAsia="Arial" w:hAnsi="Arial"/>
            <w:rtl w:val="0"/>
          </w:rPr>
          <w:t xml:space="preserve"> </w:t>
        </w:r>
      </w:hyperlink>
      <w:hyperlink r:id="rId23">
        <w:r w:rsidDel="00000000" w:rsidR="00000000" w:rsidRPr="00000000">
          <w:rPr>
            <w:rFonts w:ascii="Arial" w:cs="Arial" w:eastAsia="Arial" w:hAnsi="Arial"/>
            <w:color w:val="1155cc"/>
            <w:u w:val="single"/>
            <w:rtl w:val="0"/>
          </w:rPr>
          <w:t xml:space="preserve">https://www.england.nhs.uk/rtt/</w:t>
        </w:r>
      </w:hyperlink>
      <w:r w:rsidDel="00000000" w:rsidR="00000000" w:rsidRPr="00000000">
        <w:rPr>
          <w:rFonts w:ascii="Arial" w:cs="Arial" w:eastAsia="Arial" w:hAnsi="Arial"/>
          <w:rtl w:val="0"/>
        </w:rPr>
        <w:t xml:space="preserve"> (Accessed: 20 April 2026).</w:t>
      </w:r>
    </w:p>
    <w:p w:rsidR="00000000" w:rsidDel="00000000" w:rsidP="00000000" w:rsidRDefault="00000000" w:rsidRPr="00000000" w14:paraId="00000100">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NHS England (2026b) </w:t>
      </w:r>
      <w:r w:rsidDel="00000000" w:rsidR="00000000" w:rsidRPr="00000000">
        <w:rPr>
          <w:rFonts w:ascii="Arial" w:cs="Arial" w:eastAsia="Arial" w:hAnsi="Arial"/>
          <w:i w:val="1"/>
          <w:iCs w:val="1"/>
          <w:rtl w:val="0"/>
        </w:rPr>
        <w:t xml:space="preserve">Waiting list falls to lowest level in three years after busiest winter on record</w:t>
      </w:r>
      <w:r w:rsidDel="00000000" w:rsidR="00000000" w:rsidRPr="00000000">
        <w:rPr>
          <w:rFonts w:ascii="Arial" w:cs="Arial" w:eastAsia="Arial" w:hAnsi="Arial"/>
          <w:rtl w:val="0"/>
        </w:rPr>
        <w:t xml:space="preserve">. Available at:</w:t>
      </w:r>
      <w:hyperlink r:id="rId24">
        <w:r w:rsidDel="00000000" w:rsidR="00000000" w:rsidRPr="00000000">
          <w:rPr>
            <w:rFonts w:ascii="Arial" w:cs="Arial" w:eastAsia="Arial" w:hAnsi="Arial"/>
            <w:rtl w:val="0"/>
          </w:rPr>
          <w:t xml:space="preserve"> </w:t>
        </w:r>
      </w:hyperlink>
      <w:hyperlink r:id="rId25">
        <w:r w:rsidDel="00000000" w:rsidR="00000000" w:rsidRPr="00000000">
          <w:rPr>
            <w:rFonts w:ascii="Arial" w:cs="Arial" w:eastAsia="Arial" w:hAnsi="Arial"/>
            <w:color w:val="1155cc"/>
            <w:u w:val="single"/>
            <w:rtl w:val="0"/>
          </w:rPr>
          <w:t xml:space="preserve">https://www.england.nhs.uk/2026/02/waiting-list-lowest-3-years-battled-busiest-winter-on-record/</w:t>
        </w:r>
      </w:hyperlink>
      <w:r w:rsidDel="00000000" w:rsidR="00000000" w:rsidRPr="00000000">
        <w:rPr>
          <w:rFonts w:ascii="Arial" w:cs="Arial" w:eastAsia="Arial" w:hAnsi="Arial"/>
          <w:rtl w:val="0"/>
        </w:rPr>
        <w:t xml:space="preserve"> (Accessed: 22 April 2026).</w:t>
      </w:r>
    </w:p>
    <w:p w:rsidR="00000000" w:rsidDel="00000000" w:rsidP="00000000" w:rsidRDefault="00000000" w:rsidRPr="00000000" w14:paraId="00000101">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Nuffield Trust (2022) </w:t>
      </w:r>
      <w:r w:rsidDel="00000000" w:rsidR="00000000" w:rsidRPr="00000000">
        <w:rPr>
          <w:rFonts w:ascii="Arial" w:cs="Arial" w:eastAsia="Arial" w:hAnsi="Arial"/>
          <w:i w:val="1"/>
          <w:iCs w:val="1"/>
          <w:rtl w:val="0"/>
        </w:rPr>
        <w:t xml:space="preserve">How much is Covid-19 to blame for growing NHS waiting times?</w:t>
      </w:r>
      <w:r w:rsidDel="00000000" w:rsidR="00000000" w:rsidRPr="00000000">
        <w:rPr>
          <w:rFonts w:ascii="Arial" w:cs="Arial" w:eastAsia="Arial" w:hAnsi="Arial"/>
          <w:rtl w:val="0"/>
        </w:rPr>
        <w:t xml:space="preserve"> Available at:</w:t>
      </w:r>
      <w:hyperlink r:id="rId26">
        <w:r w:rsidDel="00000000" w:rsidR="00000000" w:rsidRPr="00000000">
          <w:rPr>
            <w:rFonts w:ascii="Arial" w:cs="Arial" w:eastAsia="Arial" w:hAnsi="Arial"/>
            <w:rtl w:val="0"/>
          </w:rPr>
          <w:t xml:space="preserve"> </w:t>
        </w:r>
      </w:hyperlink>
      <w:hyperlink r:id="rId27">
        <w:r w:rsidDel="00000000" w:rsidR="00000000" w:rsidRPr="00000000">
          <w:rPr>
            <w:rFonts w:ascii="Arial" w:cs="Arial" w:eastAsia="Arial" w:hAnsi="Arial"/>
            <w:color w:val="1155cc"/>
            <w:u w:val="single"/>
            <w:rtl w:val="0"/>
          </w:rPr>
          <w:t xml:space="preserve">https://www.nuffieldtrust.org.uk/resource/how-much-is-covid-19-to-blame-for-growing-nhs-waiting-times</w:t>
        </w:r>
      </w:hyperlink>
      <w:r w:rsidDel="00000000" w:rsidR="00000000" w:rsidRPr="00000000">
        <w:rPr>
          <w:rFonts w:ascii="Arial" w:cs="Arial" w:eastAsia="Arial" w:hAnsi="Arial"/>
          <w:rtl w:val="0"/>
        </w:rPr>
        <w:t xml:space="preserve"> (Accessed: 22 April 2026).</w:t>
      </w:r>
    </w:p>
    <w:p w:rsidR="00000000" w:rsidDel="00000000" w:rsidP="00000000" w:rsidRDefault="00000000" w:rsidRPr="00000000" w14:paraId="00000102">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Siciliani, L., Borowitz, M. and Moran, V. (2013) </w:t>
      </w:r>
      <w:r w:rsidDel="00000000" w:rsidR="00000000" w:rsidRPr="00000000">
        <w:rPr>
          <w:rFonts w:ascii="Arial" w:cs="Arial" w:eastAsia="Arial" w:hAnsi="Arial"/>
          <w:i w:val="1"/>
          <w:iCs w:val="1"/>
          <w:rtl w:val="0"/>
        </w:rPr>
        <w:t xml:space="preserve">Waiting time policies in the health sector: what works?</w:t>
      </w:r>
      <w:r w:rsidDel="00000000" w:rsidR="00000000" w:rsidRPr="00000000">
        <w:rPr>
          <w:rFonts w:ascii="Arial" w:cs="Arial" w:eastAsia="Arial" w:hAnsi="Arial"/>
          <w:rtl w:val="0"/>
        </w:rPr>
        <w:t xml:space="preserve"> Paris: OECD Publishing. Available at:</w:t>
      </w:r>
      <w:hyperlink r:id="rId28">
        <w:r w:rsidDel="00000000" w:rsidR="00000000" w:rsidRPr="00000000">
          <w:rPr>
            <w:rFonts w:ascii="Arial" w:cs="Arial" w:eastAsia="Arial" w:hAnsi="Arial"/>
            <w:rtl w:val="0"/>
          </w:rPr>
          <w:t xml:space="preserve"> </w:t>
        </w:r>
      </w:hyperlink>
      <w:hyperlink r:id="rId29">
        <w:r w:rsidDel="00000000" w:rsidR="00000000" w:rsidRPr="00000000">
          <w:rPr>
            <w:rFonts w:ascii="Arial" w:cs="Arial" w:eastAsia="Arial" w:hAnsi="Arial"/>
            <w:color w:val="1155cc"/>
            <w:u w:val="single"/>
            <w:rtl w:val="0"/>
          </w:rPr>
          <w:t xml:space="preserve">https://www.oecd.org/health/</w:t>
        </w:r>
      </w:hyperlink>
      <w:r w:rsidDel="00000000" w:rsidR="00000000" w:rsidRPr="00000000">
        <w:rPr>
          <w:rFonts w:ascii="Arial" w:cs="Arial" w:eastAsia="Arial" w:hAnsi="Arial"/>
          <w:rtl w:val="0"/>
        </w:rPr>
        <w:t xml:space="preserve"> (Accessed: 23 April 2026).</w:t>
      </w:r>
    </w:p>
    <w:p w:rsidR="00000000" w:rsidDel="00000000" w:rsidP="00000000" w:rsidRDefault="00000000" w:rsidRPr="00000000" w14:paraId="00000103">
      <w:pPr>
        <w:tabs>
          <w:tab w:val="left" w:leader="none" w:pos="6540"/>
        </w:tabs>
        <w:spacing w:after="240" w:before="240" w:line="360" w:lineRule="auto"/>
        <w:rPr>
          <w:rFonts w:ascii="Arial" w:cs="Arial" w:eastAsia="Arial" w:hAnsi="Arial"/>
        </w:rPr>
      </w:pPr>
      <w:r w:rsidDel="00000000" w:rsidR="00000000" w:rsidRPr="00000000">
        <w:rPr>
          <w:rFonts w:ascii="Arial" w:cs="Arial" w:eastAsia="Arial" w:hAnsi="Arial"/>
          <w:rtl w:val="0"/>
        </w:rPr>
        <w:t xml:space="preserve">Turner, A.J., Nikolova, S. and Sutton, M. (2021) ‘The impact of waiting time on patient outcomes: evidence from the NHS’, </w:t>
      </w:r>
      <w:r w:rsidDel="00000000" w:rsidR="00000000" w:rsidRPr="00000000">
        <w:rPr>
          <w:rFonts w:ascii="Arial" w:cs="Arial" w:eastAsia="Arial" w:hAnsi="Arial"/>
          <w:i w:val="1"/>
          <w:iCs w:val="1"/>
          <w:rtl w:val="0"/>
        </w:rPr>
        <w:t xml:space="preserve">Health Economics</w:t>
      </w:r>
      <w:r w:rsidDel="00000000" w:rsidR="00000000" w:rsidRPr="00000000">
        <w:rPr>
          <w:rFonts w:ascii="Arial" w:cs="Arial" w:eastAsia="Arial" w:hAnsi="Arial"/>
          <w:rtl w:val="0"/>
        </w:rPr>
        <w:t xml:space="preserve">, 30(6), pp. 1450–1465. Available at:</w:t>
      </w:r>
      <w:hyperlink r:id="rId30">
        <w:r w:rsidDel="00000000" w:rsidR="00000000" w:rsidRPr="00000000">
          <w:rPr>
            <w:rFonts w:ascii="Arial" w:cs="Arial" w:eastAsia="Arial" w:hAnsi="Arial"/>
            <w:rtl w:val="0"/>
          </w:rPr>
          <w:t xml:space="preserve"> </w:t>
        </w:r>
      </w:hyperlink>
      <w:hyperlink r:id="rId31">
        <w:r w:rsidDel="00000000" w:rsidR="00000000" w:rsidRPr="00000000">
          <w:rPr>
            <w:rFonts w:ascii="Arial" w:cs="Arial" w:eastAsia="Arial" w:hAnsi="Arial"/>
            <w:color w:val="1155cc"/>
            <w:u w:val="single"/>
            <w:rtl w:val="0"/>
          </w:rPr>
          <w:t xml:space="preserve">https://onlinelibrary.wiley.com/journal/10991050</w:t>
        </w:r>
      </w:hyperlink>
      <w:r w:rsidDel="00000000" w:rsidR="00000000" w:rsidRPr="00000000">
        <w:rPr>
          <w:rFonts w:ascii="Arial" w:cs="Arial" w:eastAsia="Arial" w:hAnsi="Arial"/>
          <w:rtl w:val="0"/>
        </w:rPr>
        <w:t xml:space="preserve"> (Accessed: 23 April 2026).</w:t>
      </w:r>
    </w:p>
    <w:p w:rsidR="00000000" w:rsidDel="00000000" w:rsidP="00000000" w:rsidRDefault="00000000" w:rsidRPr="00000000" w14:paraId="00000104">
      <w:pPr>
        <w:tabs>
          <w:tab w:val="left" w:leader="none" w:pos="6540"/>
        </w:tabs>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05">
      <w:pPr>
        <w:tabs>
          <w:tab w:val="left" w:leader="none" w:pos="6540"/>
        </w:tabs>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06">
      <w:pPr>
        <w:tabs>
          <w:tab w:val="left" w:leader="none" w:pos="6540"/>
        </w:tabs>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07">
      <w:pPr>
        <w:tabs>
          <w:tab w:val="left" w:leader="none" w:pos="6540"/>
        </w:tabs>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08">
      <w:pPr>
        <w:tabs>
          <w:tab w:val="left" w:leader="none" w:pos="6540"/>
        </w:tabs>
        <w:spacing w:after="240" w:before="240" w:line="360" w:lineRule="auto"/>
        <w:rPr>
          <w:rFonts w:ascii="Arial" w:cs="Arial" w:eastAsia="Arial" w:hAnsi="Arial"/>
        </w:rPr>
      </w:pPr>
      <w:r w:rsidDel="00000000" w:rsidR="00000000" w:rsidRPr="00000000">
        <w:rPr>
          <w:rtl w:val="0"/>
        </w:rPr>
      </w:r>
    </w:p>
    <w:p w:rsidR="00000000" w:rsidDel="00000000" w:rsidP="00000000" w:rsidRDefault="00000000" w:rsidRPr="00000000" w14:paraId="00000109">
      <w:pPr>
        <w:tabs>
          <w:tab w:val="left" w:leader="none" w:pos="6540"/>
        </w:tabs>
        <w:spacing w:line="360" w:lineRule="auto"/>
        <w:rPr>
          <w:sz w:val="22"/>
          <w:szCs w:val="22"/>
        </w:rPr>
      </w:pPr>
      <w:r w:rsidDel="00000000" w:rsidR="00000000" w:rsidRPr="00000000">
        <w:rPr>
          <w:rtl w:val="0"/>
        </w:rPr>
      </w:r>
    </w:p>
    <w:p w:rsidR="00000000" w:rsidDel="00000000" w:rsidP="00000000" w:rsidRDefault="00000000" w:rsidRPr="00000000" w14:paraId="0000010A">
      <w:pPr>
        <w:tabs>
          <w:tab w:val="left" w:leader="none" w:pos="6540"/>
        </w:tabs>
        <w:spacing w:line="360" w:lineRule="auto"/>
        <w:rPr>
          <w:sz w:val="22"/>
          <w:szCs w:val="22"/>
        </w:rPr>
      </w:pPr>
      <w:r w:rsidDel="00000000" w:rsidR="00000000" w:rsidRPr="00000000">
        <w:rPr>
          <w:rtl w:val="0"/>
        </w:rPr>
      </w:r>
    </w:p>
    <w:sectPr>
      <w:footerReference r:id="rId32"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360" w:lineRule="auto"/>
    </w:pPr>
    <w:rPr>
      <w:rFonts w:ascii="Arial" w:cs="Arial" w:eastAsia="Arial" w:hAnsi="Arial"/>
      <w:b w:val="1"/>
      <w:bCs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bCs w:val="1"/>
      <w:i w:val="1"/>
      <w:iCs w:val="1"/>
      <w:color w:val="2f5496"/>
      <w:sz w:val="26"/>
      <w:szCs w:val="26"/>
    </w:rPr>
  </w:style>
  <w:style w:type="paragraph" w:styleId="Heading3">
    <w:name w:val="heading 3"/>
    <w:basedOn w:val="Normal"/>
    <w:next w:val="Normal"/>
    <w:pPr>
      <w:spacing w:line="240" w:lineRule="auto"/>
    </w:pPr>
    <w:rPr>
      <w:rFonts w:ascii="Arial" w:cs="Arial" w:eastAsia="Arial" w:hAnsi="Arial"/>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england.nhs.uk/long-read/ethnicity-recording-improvement-plan/" TargetMode="External"/><Relationship Id="rId22" Type="http://schemas.openxmlformats.org/officeDocument/2006/relationships/hyperlink" Target="https://www.england.nhs.uk/rtt/" TargetMode="External"/><Relationship Id="rId21" Type="http://schemas.openxmlformats.org/officeDocument/2006/relationships/hyperlink" Target="https://www.england.nhs.uk/long-read/ethnicity-recording-improvement-plan/" TargetMode="External"/><Relationship Id="rId24" Type="http://schemas.openxmlformats.org/officeDocument/2006/relationships/hyperlink" Target="https://www.england.nhs.uk/2026/02/waiting-list-lowest-3-years-battled-busiest-winter-on-record/" TargetMode="External"/><Relationship Id="rId23" Type="http://schemas.openxmlformats.org/officeDocument/2006/relationships/hyperlink" Target="https://www.england.nhs.uk/rt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ma.org.uk/advice-and-support/nhs-delivery-and-workforce/pressures/nhs-backlog-data-analysis" TargetMode="External"/><Relationship Id="rId26" Type="http://schemas.openxmlformats.org/officeDocument/2006/relationships/hyperlink" Target="https://www.nuffieldtrust.org.uk/resource/how-much-is-covid-19-to-blame-for-growing-nhs-waiting-times" TargetMode="External"/><Relationship Id="rId25" Type="http://schemas.openxmlformats.org/officeDocument/2006/relationships/hyperlink" Target="https://www.england.nhs.uk/2026/02/waiting-list-lowest-3-years-battled-busiest-winter-on-record/" TargetMode="External"/><Relationship Id="rId28" Type="http://schemas.openxmlformats.org/officeDocument/2006/relationships/hyperlink" Target="https://www.oecd.org/health/" TargetMode="External"/><Relationship Id="rId27" Type="http://schemas.openxmlformats.org/officeDocument/2006/relationships/hyperlink" Target="https://www.nuffieldtrust.org.uk/resource/how-much-is-covid-19-to-blame-for-growing-nhs-waiting-times"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oecd.org/health/" TargetMode="External"/><Relationship Id="rId7" Type="http://schemas.openxmlformats.org/officeDocument/2006/relationships/image" Target="media/image1.png"/><Relationship Id="rId8" Type="http://schemas.openxmlformats.org/officeDocument/2006/relationships/hyperlink" Target="https://www.bma.org.uk/advice-and-support/nhs-delivery-and-workforce/pressures/nhs-backlog-data-analysis" TargetMode="External"/><Relationship Id="rId31" Type="http://schemas.openxmlformats.org/officeDocument/2006/relationships/hyperlink" Target="https://onlinelibrary.wiley.com/journal/10991050" TargetMode="External"/><Relationship Id="rId30" Type="http://schemas.openxmlformats.org/officeDocument/2006/relationships/hyperlink" Target="https://onlinelibrary.wiley.com/journal/10991050" TargetMode="External"/><Relationship Id="rId11" Type="http://schemas.openxmlformats.org/officeDocument/2006/relationships/hyperlink" Target="https://www.caremanagementmatters.co.uk/feature/straight-talk-bed-blocking/" TargetMode="External"/><Relationship Id="rId10" Type="http://schemas.openxmlformats.org/officeDocument/2006/relationships/hyperlink" Target="https://www.caremanagementmatters.co.uk/feature/straight-talk-bed-blocking/" TargetMode="External"/><Relationship Id="rId32" Type="http://schemas.openxmlformats.org/officeDocument/2006/relationships/footer" Target="footer1.xml"/><Relationship Id="rId13" Type="http://schemas.openxmlformats.org/officeDocument/2006/relationships/hyperlink" Target="https://www.sciencedirect.com/journal/health-policy" TargetMode="External"/><Relationship Id="rId12" Type="http://schemas.openxmlformats.org/officeDocument/2006/relationships/hyperlink" Target="https://www.sciencedirect.com/journal/health-policy" TargetMode="External"/><Relationship Id="rId15" Type="http://schemas.openxmlformats.org/officeDocument/2006/relationships/hyperlink" Target="https://www.sciencedirect.com/journal/journal-of-health-economics" TargetMode="External"/><Relationship Id="rId14" Type="http://schemas.openxmlformats.org/officeDocument/2006/relationships/hyperlink" Target="https://www.sciencedirect.com/journal/journal-of-health-economics" TargetMode="External"/><Relationship Id="rId17" Type="http://schemas.openxmlformats.org/officeDocument/2006/relationships/hyperlink" Target="https://www.health.org.uk/sites/default/files/upload/publications/2023/Projected%20patterns%20of%20illness%20in%20England_WEB.pdf" TargetMode="External"/><Relationship Id="rId16" Type="http://schemas.openxmlformats.org/officeDocument/2006/relationships/hyperlink" Target="https://www.health.org.uk/sites/default/files/upload/publications/2023/Projected%20patterns%20of%20illness%20in%20England_WEB.pdf" TargetMode="External"/><Relationship Id="rId19" Type="http://schemas.openxmlformats.org/officeDocument/2006/relationships/hyperlink" Target="https://academic.oup.com/bmb/article/95/1/7/" TargetMode="External"/><Relationship Id="rId18" Type="http://schemas.openxmlformats.org/officeDocument/2006/relationships/hyperlink" Target="https://academic.oup.com/bmb/article/95/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jg+rlOJ6oWHD7CPKvGApVLeIhA==">CgMxLjAyDmgudXQ0c3hvN3ltcGZxMg5oLjF5dmt5bXA1dDRoZTIOaC55ejUwbm8xMXdoZHoyDmgueDB6MWdqZ2tkd2NqMg5oLmR1Ynlnb2duZGQ4NTIOaC5qd2I0NGViOTRiZGoyDmgudjVnbWg1Ymp4M3FjMg5oLnI3NTBrcTJ6anYwZjIOaC5vamZzbzg0cXJ2Ym4yDmguOXQxeXN1amx6aTdtMg5oLnMzYWJ0enlqcGZ5aTIOaC5iMWM2MXE2MThnMGQyDmgudXRveGtvd2ZuZXljMg1oLmtlcTRuNGViaTVkOAByITFxam03a2toTk14OEVFQW8zazBza1llWjJHaWdLZHVYU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