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75E" w:rsidRDefault="00E2375E" w:rsidP="00E2375E">
      <w:pPr>
        <w:spacing w:after="0" w:line="240" w:lineRule="auto"/>
        <w:rPr>
          <w:rFonts w:ascii="Times New Roman" w:eastAsia="Times New Roman" w:hAnsi="Times New Roman" w:cs="Times New Roman"/>
          <w:sz w:val="24"/>
          <w:szCs w:val="24"/>
          <w:lang w:eastAsia="en-GB"/>
        </w:rPr>
      </w:pPr>
      <w:r w:rsidRPr="000250F5">
        <w:rPr>
          <w:rFonts w:ascii="Times New Roman" w:eastAsia="Times New Roman" w:hAnsi="Times New Roman" w:cs="Times New Roman"/>
          <w:sz w:val="24"/>
          <w:szCs w:val="24"/>
          <w:lang w:eastAsia="en-GB"/>
        </w:rPr>
        <w:t>The scheme of work that I have chosen and</w:t>
      </w:r>
      <w:r>
        <w:rPr>
          <w:rFonts w:ascii="Times New Roman" w:eastAsia="Times New Roman" w:hAnsi="Times New Roman" w:cs="Times New Roman"/>
          <w:sz w:val="24"/>
          <w:szCs w:val="24"/>
          <w:lang w:eastAsia="en-GB"/>
        </w:rPr>
        <w:t xml:space="preserve"> lessons </w:t>
      </w:r>
      <w:r w:rsidRPr="000250F5">
        <w:rPr>
          <w:rFonts w:ascii="Times New Roman" w:eastAsia="Times New Roman" w:hAnsi="Times New Roman" w:cs="Times New Roman"/>
          <w:sz w:val="24"/>
          <w:szCs w:val="24"/>
          <w:lang w:eastAsia="en-GB"/>
        </w:rPr>
        <w:t>compiled enc</w:t>
      </w:r>
      <w:r>
        <w:rPr>
          <w:rFonts w:ascii="Times New Roman" w:eastAsia="Times New Roman" w:hAnsi="Times New Roman" w:cs="Times New Roman"/>
          <w:sz w:val="24"/>
          <w:szCs w:val="24"/>
          <w:lang w:eastAsia="en-GB"/>
        </w:rPr>
        <w:t>ompasses a general foundation for</w:t>
      </w:r>
      <w:r w:rsidRPr="000250F5">
        <w:rPr>
          <w:rFonts w:ascii="Times New Roman" w:eastAsia="Times New Roman" w:hAnsi="Times New Roman" w:cs="Times New Roman"/>
          <w:sz w:val="24"/>
          <w:szCs w:val="24"/>
          <w:lang w:eastAsia="en-GB"/>
        </w:rPr>
        <w:t xml:space="preserve"> scientific principles. ‘Atoms, Particles, Eleme</w:t>
      </w:r>
      <w:r>
        <w:rPr>
          <w:rFonts w:ascii="Times New Roman" w:eastAsia="Times New Roman" w:hAnsi="Times New Roman" w:cs="Times New Roman"/>
          <w:sz w:val="24"/>
          <w:szCs w:val="24"/>
          <w:lang w:eastAsia="en-GB"/>
        </w:rPr>
        <w:t xml:space="preserve">nts and an Introduction to the </w:t>
      </w:r>
      <w:r w:rsidRPr="000250F5">
        <w:rPr>
          <w:rFonts w:ascii="Times New Roman" w:eastAsia="Times New Roman" w:hAnsi="Times New Roman" w:cs="Times New Roman"/>
          <w:sz w:val="24"/>
          <w:szCs w:val="24"/>
          <w:lang w:eastAsia="en-GB"/>
        </w:rPr>
        <w:t>Periodic Table</w:t>
      </w:r>
      <w:r>
        <w:rPr>
          <w:rFonts w:ascii="Times New Roman" w:eastAsia="Times New Roman" w:hAnsi="Times New Roman" w:cs="Times New Roman"/>
          <w:sz w:val="24"/>
          <w:szCs w:val="24"/>
          <w:lang w:eastAsia="en-GB"/>
        </w:rPr>
        <w:t>’ provides significant grounding for foundational science and subsequent lessons. Without clarity and definition of standard scientific terms and processes, the progress of learning will be limited and make hard word of achieving successful comprehension. I have attempted to create a journey through science that meets the key stage 3 requirements of the National Curriculum, including Y Cwricwlwm Cymreig and the additional framework needs whilst also offering learners the opportunity to view science in an exciting approach to learning.</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Science at Key Stage 3, ‘the sustainable earth’ requires the completion of study modules in solids, liquids and gases, the particle model, elements and their properties. I have focused and researched my lesson plans in this area and incorporated numeracy and literacy skills throughout. </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Pr="008C2481" w:rsidRDefault="00E2375E" w:rsidP="00E2375E">
      <w:pPr>
        <w:rPr>
          <w:rFonts w:ascii="Times New Roman" w:hAnsi="Times New Roman" w:cs="Times New Roman"/>
          <w:sz w:val="24"/>
          <w:szCs w:val="24"/>
        </w:rPr>
      </w:pPr>
      <w:r>
        <w:rPr>
          <w:rFonts w:ascii="Times New Roman" w:eastAsia="Times New Roman" w:hAnsi="Times New Roman" w:cs="Times New Roman"/>
          <w:sz w:val="24"/>
          <w:szCs w:val="24"/>
          <w:lang w:eastAsia="en-GB"/>
        </w:rPr>
        <w:t>My aim has been to introduce Y Cwricwlwm Cymreig through various methods. I have used welsh language in terms of general greetings and statements where appropriate in my micro teaching. When in the classroom, I will be extending this use in a literal manner by adding the date, headings and general terminology on the white board. I wholly endorse the introduction of Welsh culture for effective and successful learning. For example, in lesson 2, the outdoors practical experiment for the demonstration of diffusion of deodorant particles in the atmosphere, introduces the idea of pollutants. The aim is to prompt further learning, ideas and discussions concerning the dangers of pollutants to the environment. Local examples can be introduced, such as the destructive affect from the steel works in Port Talbot and the damage from acid rain to neighbouring homes, buildings, environment and health. Through education in such areas, research has linked cultural reference to successful learning</w:t>
      </w:r>
      <w:r w:rsidRPr="008C2481">
        <w:rPr>
          <w:rFonts w:ascii="Times New Roman" w:eastAsia="Times New Roman" w:hAnsi="Times New Roman" w:cs="Times New Roman"/>
          <w:sz w:val="24"/>
          <w:szCs w:val="24"/>
          <w:lang w:eastAsia="en-GB"/>
        </w:rPr>
        <w:t>, (Brown</w:t>
      </w:r>
      <w:r w:rsidRPr="008C2481">
        <w:rPr>
          <w:rFonts w:ascii="Times New Roman" w:hAnsi="Times New Roman" w:cs="Times New Roman"/>
          <w:sz w:val="24"/>
          <w:szCs w:val="24"/>
        </w:rPr>
        <w:t xml:space="preserve">, J.S., Collins, A. and </w:t>
      </w:r>
      <w:proofErr w:type="spellStart"/>
      <w:r w:rsidRPr="008C2481">
        <w:rPr>
          <w:rFonts w:ascii="Times New Roman" w:hAnsi="Times New Roman" w:cs="Times New Roman"/>
          <w:sz w:val="24"/>
          <w:szCs w:val="24"/>
        </w:rPr>
        <w:t>Duguid</w:t>
      </w:r>
      <w:proofErr w:type="spellEnd"/>
      <w:r w:rsidRPr="008C2481">
        <w:rPr>
          <w:rFonts w:ascii="Times New Roman" w:hAnsi="Times New Roman" w:cs="Times New Roman"/>
          <w:sz w:val="24"/>
          <w:szCs w:val="24"/>
        </w:rPr>
        <w:t xml:space="preserve">, P., (1989). ‘Situated cognition and the culture of learning’, </w:t>
      </w:r>
      <w:r w:rsidRPr="008C2481">
        <w:rPr>
          <w:rFonts w:ascii="Times New Roman" w:hAnsi="Times New Roman" w:cs="Times New Roman"/>
          <w:i/>
          <w:iCs/>
          <w:sz w:val="24"/>
          <w:szCs w:val="24"/>
        </w:rPr>
        <w:t>Educational Researcher</w:t>
      </w:r>
      <w:r w:rsidRPr="008C2481">
        <w:rPr>
          <w:rFonts w:ascii="Times New Roman" w:hAnsi="Times New Roman" w:cs="Times New Roman"/>
          <w:sz w:val="24"/>
          <w:szCs w:val="24"/>
        </w:rPr>
        <w:t xml:space="preserve">, </w:t>
      </w:r>
      <w:r w:rsidRPr="008C2481">
        <w:rPr>
          <w:rFonts w:ascii="Times New Roman" w:hAnsi="Times New Roman" w:cs="Times New Roman"/>
          <w:i/>
          <w:iCs/>
          <w:sz w:val="24"/>
          <w:szCs w:val="24"/>
        </w:rPr>
        <w:t>18</w:t>
      </w:r>
      <w:r w:rsidRPr="008C2481">
        <w:rPr>
          <w:rFonts w:ascii="Times New Roman" w:hAnsi="Times New Roman" w:cs="Times New Roman"/>
          <w:sz w:val="24"/>
          <w:szCs w:val="24"/>
        </w:rPr>
        <w:t>(1), pp.32-42.)</w:t>
      </w:r>
    </w:p>
    <w:p w:rsidR="00E2375E" w:rsidRDefault="00E2375E" w:rsidP="00E2375E">
      <w:pPr>
        <w:rPr>
          <w:rFonts w:ascii="Times New Roman" w:eastAsia="Times New Roman" w:hAnsi="Times New Roman" w:cs="Times New Roman"/>
          <w:sz w:val="24"/>
          <w:szCs w:val="24"/>
          <w:lang w:eastAsia="en-GB"/>
        </w:rPr>
      </w:pPr>
      <w:r w:rsidRPr="00A8146E">
        <w:rPr>
          <w:rFonts w:ascii="Times New Roman" w:hAnsi="Times New Roman" w:cs="Times New Roman"/>
          <w:sz w:val="24"/>
          <w:szCs w:val="24"/>
        </w:rPr>
        <w:t xml:space="preserve"> </w:t>
      </w:r>
      <w:r>
        <w:rPr>
          <w:rFonts w:ascii="Times New Roman" w:hAnsi="Times New Roman" w:cs="Times New Roman"/>
          <w:sz w:val="24"/>
          <w:szCs w:val="24"/>
        </w:rPr>
        <w:t xml:space="preserve">The authors argue that knowledge is retained and learning more grounded in the culture and the context that it was born from. Furthermore, in support of this discussion, </w:t>
      </w:r>
      <w:proofErr w:type="spellStart"/>
      <w:r>
        <w:rPr>
          <w:rFonts w:ascii="Times New Roman" w:hAnsi="Times New Roman" w:cs="Times New Roman"/>
          <w:sz w:val="24"/>
          <w:szCs w:val="24"/>
        </w:rPr>
        <w:t>Vygotsky’s</w:t>
      </w:r>
      <w:proofErr w:type="spellEnd"/>
      <w:r>
        <w:rPr>
          <w:rFonts w:ascii="Times New Roman" w:hAnsi="Times New Roman" w:cs="Times New Roman"/>
          <w:sz w:val="24"/>
          <w:szCs w:val="24"/>
        </w:rPr>
        <w:t xml:space="preserve"> constructivism theories use the zone of proximal development as an effective measure of good learning</w:t>
      </w:r>
      <w:r w:rsidRPr="00801B2D">
        <w:rPr>
          <w:rFonts w:ascii="Times New Roman" w:hAnsi="Times New Roman" w:cs="Times New Roman"/>
          <w:sz w:val="24"/>
          <w:szCs w:val="24"/>
        </w:rPr>
        <w:t xml:space="preserve">. </w:t>
      </w:r>
      <w:proofErr w:type="gramStart"/>
      <w:r>
        <w:rPr>
          <w:rFonts w:ascii="Times New Roman" w:hAnsi="Times New Roman" w:cs="Times New Roman"/>
          <w:sz w:val="24"/>
          <w:szCs w:val="24"/>
        </w:rPr>
        <w:t>(</w:t>
      </w:r>
      <w:r w:rsidRPr="00F92431">
        <w:rPr>
          <w:rFonts w:ascii="Times New Roman" w:eastAsia="Times New Roman" w:hAnsi="Times New Roman" w:cs="Times New Roman"/>
          <w:sz w:val="24"/>
          <w:szCs w:val="24"/>
          <w:lang w:eastAsia="en-GB"/>
        </w:rPr>
        <w:t xml:space="preserve">David, L., </w:t>
      </w:r>
      <w:r>
        <w:rPr>
          <w:rFonts w:ascii="Times New Roman" w:eastAsia="Times New Roman" w:hAnsi="Times New Roman" w:cs="Times New Roman"/>
          <w:sz w:val="24"/>
          <w:szCs w:val="24"/>
          <w:lang w:eastAsia="en-GB"/>
        </w:rPr>
        <w:t>(</w:t>
      </w:r>
      <w:r w:rsidRPr="00F92431">
        <w:rPr>
          <w:rFonts w:ascii="Times New Roman" w:eastAsia="Times New Roman" w:hAnsi="Times New Roman" w:cs="Times New Roman"/>
          <w:sz w:val="24"/>
          <w:szCs w:val="24"/>
          <w:lang w:eastAsia="en-GB"/>
        </w:rPr>
        <w:t>2014</w:t>
      </w:r>
      <w:r>
        <w:rPr>
          <w:rFonts w:ascii="Times New Roman" w:eastAsia="Times New Roman" w:hAnsi="Times New Roman" w:cs="Times New Roman"/>
          <w:sz w:val="24"/>
          <w:szCs w:val="24"/>
          <w:lang w:eastAsia="en-GB"/>
        </w:rPr>
        <w:t>), ‘</w:t>
      </w:r>
      <w:r w:rsidRPr="00F92431">
        <w:rPr>
          <w:rFonts w:ascii="Times New Roman" w:eastAsia="Times New Roman" w:hAnsi="Times New Roman" w:cs="Times New Roman"/>
          <w:sz w:val="24"/>
          <w:szCs w:val="24"/>
          <w:lang w:eastAsia="en-GB"/>
        </w:rPr>
        <w:t>Social development theory</w:t>
      </w:r>
      <w:r>
        <w:rPr>
          <w:rFonts w:ascii="Times New Roman" w:eastAsia="Times New Roman" w:hAnsi="Times New Roman" w:cs="Times New Roman"/>
          <w:sz w:val="24"/>
          <w:szCs w:val="24"/>
          <w:lang w:eastAsia="en-GB"/>
        </w:rPr>
        <w:t>’</w:t>
      </w:r>
      <w:r w:rsidRPr="00F92431">
        <w:rPr>
          <w:rFonts w:ascii="Times New Roman" w:eastAsia="Times New Roman" w:hAnsi="Times New Roman" w:cs="Times New Roman"/>
          <w:sz w:val="24"/>
          <w:szCs w:val="24"/>
          <w:lang w:eastAsia="en-GB"/>
        </w:rPr>
        <w:t xml:space="preserve"> (Vygotsky).</w:t>
      </w:r>
      <w:proofErr w:type="gramEnd"/>
      <w:r w:rsidRPr="00F92431">
        <w:rPr>
          <w:rFonts w:ascii="Times New Roman" w:eastAsia="Times New Roman" w:hAnsi="Times New Roman" w:cs="Times New Roman"/>
          <w:sz w:val="24"/>
          <w:szCs w:val="24"/>
          <w:lang w:eastAsia="en-GB"/>
        </w:rPr>
        <w:t xml:space="preserve"> </w:t>
      </w:r>
      <w:r w:rsidRPr="00F92431">
        <w:rPr>
          <w:rFonts w:ascii="Times New Roman" w:eastAsia="Times New Roman" w:hAnsi="Times New Roman" w:cs="Times New Roman"/>
          <w:i/>
          <w:iCs/>
          <w:sz w:val="24"/>
          <w:szCs w:val="24"/>
          <w:lang w:eastAsia="en-GB"/>
        </w:rPr>
        <w:t>Learning Theories, July</w:t>
      </w:r>
      <w:r w:rsidRPr="00F92431">
        <w:rPr>
          <w:rFonts w:ascii="Times New Roman" w:eastAsia="Times New Roman" w:hAnsi="Times New Roman" w:cs="Times New Roman"/>
          <w:sz w:val="24"/>
          <w:szCs w:val="24"/>
          <w:lang w:eastAsia="en-GB"/>
        </w:rPr>
        <w:t xml:space="preserve">, </w:t>
      </w:r>
      <w:r w:rsidRPr="00F92431">
        <w:rPr>
          <w:rFonts w:ascii="Times New Roman" w:eastAsia="Times New Roman" w:hAnsi="Times New Roman" w:cs="Times New Roman"/>
          <w:i/>
          <w:iCs/>
          <w:sz w:val="24"/>
          <w:szCs w:val="24"/>
          <w:lang w:eastAsia="en-GB"/>
        </w:rPr>
        <w:t>23</w:t>
      </w:r>
      <w:r>
        <w:rPr>
          <w:rFonts w:ascii="Times New Roman" w:eastAsia="Times New Roman" w:hAnsi="Times New Roman" w:cs="Times New Roman"/>
          <w:i/>
          <w:iCs/>
          <w:sz w:val="24"/>
          <w:szCs w:val="24"/>
          <w:lang w:eastAsia="en-GB"/>
        </w:rPr>
        <w:t>)</w:t>
      </w:r>
      <w:r w:rsidRPr="00F92431">
        <w:rPr>
          <w:rFonts w:ascii="Times New Roman" w:eastAsia="Times New Roman" w:hAnsi="Times New Roman" w:cs="Times New Roman"/>
          <w:sz w:val="24"/>
          <w:szCs w:val="24"/>
          <w:lang w:eastAsia="en-GB"/>
        </w:rPr>
        <w:t>.</w:t>
      </w:r>
    </w:p>
    <w:p w:rsidR="00E2375E" w:rsidRDefault="00E2375E" w:rsidP="00E2375E">
      <w:pPr>
        <w:spacing w:after="0" w:line="240" w:lineRule="auto"/>
        <w:rPr>
          <w:rFonts w:ascii="Times New Roman" w:hAnsi="Times New Roman" w:cs="Times New Roman"/>
          <w:sz w:val="24"/>
          <w:szCs w:val="24"/>
        </w:rPr>
      </w:pPr>
      <w:r w:rsidRPr="00801B2D">
        <w:rPr>
          <w:rFonts w:ascii="Times New Roman" w:hAnsi="Times New Roman" w:cs="Times New Roman"/>
          <w:sz w:val="24"/>
          <w:szCs w:val="24"/>
        </w:rPr>
        <w:t>He explained his research through studies that human tasks that occurred in cultural environments were difficult to understand in the absence of these settings, hence concluding that cognitive development was progressive through the intervention of culture. (</w:t>
      </w:r>
      <w:proofErr w:type="spellStart"/>
      <w:r w:rsidRPr="00801B2D">
        <w:rPr>
          <w:rFonts w:ascii="Times New Roman" w:hAnsi="Times New Roman" w:cs="Times New Roman"/>
          <w:sz w:val="24"/>
          <w:szCs w:val="24"/>
        </w:rPr>
        <w:t>Woolfolk</w:t>
      </w:r>
      <w:proofErr w:type="spellEnd"/>
      <w:r w:rsidRPr="00801B2D">
        <w:rPr>
          <w:rFonts w:ascii="Times New Roman" w:hAnsi="Times New Roman" w:cs="Times New Roman"/>
          <w:sz w:val="24"/>
          <w:szCs w:val="24"/>
        </w:rPr>
        <w:t xml:space="preserve">, Anita. </w:t>
      </w:r>
      <w:proofErr w:type="gramStart"/>
      <w:r w:rsidRPr="00801B2D">
        <w:rPr>
          <w:rFonts w:ascii="Times New Roman" w:hAnsi="Times New Roman" w:cs="Times New Roman"/>
          <w:sz w:val="24"/>
          <w:szCs w:val="24"/>
        </w:rPr>
        <w:t>(2004). Educational Psychology.</w:t>
      </w:r>
      <w:proofErr w:type="gramEnd"/>
      <w:r w:rsidRPr="00801B2D">
        <w:rPr>
          <w:rFonts w:ascii="Times New Roman" w:hAnsi="Times New Roman" w:cs="Times New Roman"/>
          <w:sz w:val="24"/>
          <w:szCs w:val="24"/>
        </w:rPr>
        <w:t xml:space="preserve"> (9th </w:t>
      </w:r>
      <w:proofErr w:type="spellStart"/>
      <w:proofErr w:type="gramStart"/>
      <w:r w:rsidRPr="00801B2D">
        <w:rPr>
          <w:rFonts w:ascii="Times New Roman" w:hAnsi="Times New Roman" w:cs="Times New Roman"/>
          <w:sz w:val="24"/>
          <w:szCs w:val="24"/>
        </w:rPr>
        <w:t>ed</w:t>
      </w:r>
      <w:proofErr w:type="spellEnd"/>
      <w:proofErr w:type="gramEnd"/>
      <w:r w:rsidRPr="00801B2D">
        <w:rPr>
          <w:rFonts w:ascii="Times New Roman" w:hAnsi="Times New Roman" w:cs="Times New Roman"/>
          <w:sz w:val="24"/>
          <w:szCs w:val="24"/>
        </w:rPr>
        <w:t xml:space="preserve">). Boston: </w:t>
      </w:r>
      <w:proofErr w:type="spellStart"/>
      <w:r w:rsidRPr="00801B2D">
        <w:rPr>
          <w:rFonts w:ascii="Times New Roman" w:hAnsi="Times New Roman" w:cs="Times New Roman"/>
          <w:sz w:val="24"/>
          <w:szCs w:val="24"/>
        </w:rPr>
        <w:t>Allyn</w:t>
      </w:r>
      <w:proofErr w:type="spellEnd"/>
      <w:r w:rsidRPr="00801B2D">
        <w:rPr>
          <w:rFonts w:ascii="Times New Roman" w:hAnsi="Times New Roman" w:cs="Times New Roman"/>
          <w:sz w:val="24"/>
          <w:szCs w:val="24"/>
        </w:rPr>
        <w:t xml:space="preserve"> and Bacon.).</w:t>
      </w:r>
      <w:r>
        <w:rPr>
          <w:rFonts w:ascii="Times New Roman" w:hAnsi="Times New Roman" w:cs="Times New Roman"/>
          <w:sz w:val="24"/>
          <w:szCs w:val="24"/>
        </w:rPr>
        <w:t xml:space="preserve"> I</w:t>
      </w:r>
      <w:r w:rsidRPr="00801B2D">
        <w:rPr>
          <w:rFonts w:ascii="Times New Roman" w:hAnsi="Times New Roman" w:cs="Times New Roman"/>
          <w:sz w:val="24"/>
          <w:szCs w:val="24"/>
        </w:rPr>
        <w:t xml:space="preserve"> decided to apply this theoretical approach to my cultural connection attempts to successful learning</w:t>
      </w:r>
      <w:r>
        <w:rPr>
          <w:rFonts w:ascii="Times New Roman" w:hAnsi="Times New Roman" w:cs="Times New Roman"/>
          <w:sz w:val="24"/>
          <w:szCs w:val="24"/>
        </w:rPr>
        <w:t xml:space="preserve">. I would argue that possibly the only </w:t>
      </w:r>
      <w:proofErr w:type="gramStart"/>
      <w:r>
        <w:rPr>
          <w:rFonts w:ascii="Times New Roman" w:hAnsi="Times New Roman" w:cs="Times New Roman"/>
          <w:sz w:val="24"/>
          <w:szCs w:val="24"/>
        </w:rPr>
        <w:t xml:space="preserve">drawback with </w:t>
      </w:r>
      <w:proofErr w:type="spellStart"/>
      <w:r>
        <w:rPr>
          <w:rFonts w:ascii="Times New Roman" w:hAnsi="Times New Roman" w:cs="Times New Roman"/>
          <w:sz w:val="24"/>
          <w:szCs w:val="24"/>
        </w:rPr>
        <w:t>Vygotsky’s</w:t>
      </w:r>
      <w:proofErr w:type="spellEnd"/>
      <w:r>
        <w:rPr>
          <w:rFonts w:ascii="Times New Roman" w:hAnsi="Times New Roman" w:cs="Times New Roman"/>
          <w:sz w:val="24"/>
          <w:szCs w:val="24"/>
        </w:rPr>
        <w:t xml:space="preserve"> theories are</w:t>
      </w:r>
      <w:proofErr w:type="gramEnd"/>
      <w:r>
        <w:rPr>
          <w:rFonts w:ascii="Times New Roman" w:hAnsi="Times New Roman" w:cs="Times New Roman"/>
          <w:sz w:val="24"/>
          <w:szCs w:val="24"/>
        </w:rPr>
        <w:t xml:space="preserve"> the requirements for time and situations to provide that learning environment</w:t>
      </w:r>
      <w:r w:rsidRPr="008C2481">
        <w:rPr>
          <w:rFonts w:ascii="Times New Roman" w:hAnsi="Times New Roman" w:cs="Times New Roman"/>
          <w:sz w:val="24"/>
          <w:szCs w:val="24"/>
        </w:rPr>
        <w:t xml:space="preserve"> (</w:t>
      </w:r>
      <w:proofErr w:type="spellStart"/>
      <w:r w:rsidRPr="008C2481">
        <w:rPr>
          <w:rFonts w:ascii="Times New Roman" w:hAnsi="Times New Roman" w:cs="Times New Roman"/>
          <w:sz w:val="24"/>
          <w:szCs w:val="24"/>
        </w:rPr>
        <w:t>Vyotsky</w:t>
      </w:r>
      <w:proofErr w:type="spellEnd"/>
      <w:r w:rsidRPr="008C2481">
        <w:rPr>
          <w:rFonts w:ascii="Times New Roman" w:hAnsi="Times New Roman" w:cs="Times New Roman"/>
          <w:sz w:val="24"/>
          <w:szCs w:val="24"/>
        </w:rPr>
        <w:t xml:space="preserve">, (November 2013), </w:t>
      </w:r>
      <w:r w:rsidRPr="008C2481">
        <w:rPr>
          <w:rFonts w:ascii="Times New Roman" w:hAnsi="Times New Roman" w:cs="Times New Roman"/>
          <w:i/>
          <w:sz w:val="24"/>
          <w:szCs w:val="24"/>
        </w:rPr>
        <w:t xml:space="preserve">The Effects Of </w:t>
      </w:r>
      <w:proofErr w:type="spellStart"/>
      <w:r w:rsidRPr="008C2481">
        <w:rPr>
          <w:rFonts w:ascii="Times New Roman" w:hAnsi="Times New Roman" w:cs="Times New Roman"/>
          <w:i/>
          <w:sz w:val="24"/>
          <w:szCs w:val="24"/>
        </w:rPr>
        <w:t>Vygotskys</w:t>
      </w:r>
      <w:proofErr w:type="spellEnd"/>
      <w:r w:rsidRPr="008C2481">
        <w:rPr>
          <w:rFonts w:ascii="Times New Roman" w:hAnsi="Times New Roman" w:cs="Times New Roman"/>
          <w:i/>
          <w:sz w:val="24"/>
          <w:szCs w:val="24"/>
        </w:rPr>
        <w:t xml:space="preserve"> Theory Education Essay, </w:t>
      </w:r>
      <w:r w:rsidRPr="008C2481">
        <w:rPr>
          <w:rFonts w:ascii="Times New Roman" w:hAnsi="Times New Roman" w:cs="Times New Roman"/>
          <w:sz w:val="24"/>
          <w:szCs w:val="24"/>
        </w:rPr>
        <w:t xml:space="preserve">Available at: </w:t>
      </w:r>
      <w:hyperlink r:id="rId4" w:history="1">
        <w:r w:rsidRPr="0010179F">
          <w:rPr>
            <w:rStyle w:val="Hyperlink"/>
            <w:rFonts w:ascii="Times New Roman" w:hAnsi="Times New Roman" w:cs="Times New Roman"/>
            <w:sz w:val="24"/>
            <w:szCs w:val="24"/>
          </w:rPr>
          <w:t>https://www.ukessays.com/essays/education/the-effects-of-vygotskys-theory-education-essay.php?vref=1</w:t>
        </w:r>
      </w:hyperlink>
      <w:r>
        <w:rPr>
          <w:rFonts w:ascii="Times New Roman" w:hAnsi="Times New Roman" w:cs="Times New Roman"/>
          <w:sz w:val="24"/>
          <w:szCs w:val="24"/>
        </w:rPr>
        <w:t xml:space="preserve"> </w:t>
      </w:r>
      <w:r w:rsidRPr="008C2481">
        <w:rPr>
          <w:rFonts w:ascii="Times New Roman" w:hAnsi="Times New Roman" w:cs="Times New Roman"/>
          <w:sz w:val="24"/>
          <w:szCs w:val="24"/>
        </w:rPr>
        <w:t xml:space="preserve"> (Accessed 2 November 2018).</w:t>
      </w:r>
    </w:p>
    <w:p w:rsidR="00E2375E" w:rsidRDefault="00E2375E" w:rsidP="00E2375E">
      <w:pPr>
        <w:spacing w:after="0" w:line="240" w:lineRule="auto"/>
      </w:pPr>
      <w:r>
        <w:rPr>
          <w:rFonts w:ascii="Times New Roman" w:hAnsi="Times New Roman" w:cs="Times New Roman"/>
          <w:sz w:val="24"/>
          <w:szCs w:val="24"/>
        </w:rPr>
        <w:t xml:space="preserve">I would argue that possibly the only drawback, if any, with </w:t>
      </w:r>
      <w:proofErr w:type="spellStart"/>
      <w:r>
        <w:rPr>
          <w:rFonts w:ascii="Times New Roman" w:hAnsi="Times New Roman" w:cs="Times New Roman"/>
          <w:sz w:val="24"/>
          <w:szCs w:val="24"/>
        </w:rPr>
        <w:t>Vygotsky’s</w:t>
      </w:r>
      <w:proofErr w:type="spellEnd"/>
      <w:r>
        <w:rPr>
          <w:rFonts w:ascii="Times New Roman" w:hAnsi="Times New Roman" w:cs="Times New Roman"/>
          <w:sz w:val="24"/>
          <w:szCs w:val="24"/>
        </w:rPr>
        <w:t xml:space="preserve"> theories, are the requirements for time and situations to provide that learning experience. </w:t>
      </w:r>
      <w:r>
        <w:t xml:space="preserve"> </w:t>
      </w:r>
    </w:p>
    <w:p w:rsidR="00E2375E" w:rsidRDefault="00E2375E" w:rsidP="00E2375E">
      <w:pPr>
        <w:spacing w:after="0" w:line="240" w:lineRule="auto"/>
      </w:pPr>
    </w:p>
    <w:p w:rsidR="00E2375E" w:rsidRDefault="00E2375E" w:rsidP="00E2375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Jean Piaget had a somewhat contrasting idea on learning development and his theories appeared to categorise levels of learning. In my opinion, such views don’t always work. There are exceptions to any rule, and every child is different so should not be restricted to stages of development.  Traditional teaching methods will often assume that knowledge can be conceptually linked without the need for cultural connections. However, in summary, I am in support of the constructivist method of learning and accumulation of knowledge in this way. The inclusion of Curriculum Cymreig into my lessons offers the ideal opportunity to apply this cultural interaction to promote learning.</w:t>
      </w:r>
    </w:p>
    <w:p w:rsidR="00E2375E" w:rsidRDefault="00E2375E" w:rsidP="00E2375E">
      <w:pPr>
        <w:spacing w:after="0" w:line="240" w:lineRule="auto"/>
        <w:rPr>
          <w:rFonts w:ascii="Times New Roman" w:hAnsi="Times New Roman" w:cs="Times New Roman"/>
          <w:sz w:val="24"/>
          <w:szCs w:val="24"/>
        </w:rPr>
      </w:pPr>
    </w:p>
    <w:p w:rsidR="00E2375E" w:rsidRDefault="00E2375E" w:rsidP="00E2375E">
      <w:pPr>
        <w:spacing w:after="0" w:line="240" w:lineRule="auto"/>
        <w:rPr>
          <w:rFonts w:ascii="Times New Roman" w:hAnsi="Times New Roman" w:cs="Times New Roman"/>
          <w:sz w:val="24"/>
          <w:szCs w:val="24"/>
        </w:rPr>
      </w:pPr>
      <w:r>
        <w:rPr>
          <w:rFonts w:ascii="Times New Roman" w:hAnsi="Times New Roman" w:cs="Times New Roman"/>
          <w:sz w:val="24"/>
          <w:szCs w:val="24"/>
        </w:rPr>
        <w:t>I have incorporated a sequential series of lessons in my scheme of work which follow a logical path of progression through science. In doing this, I considered three main factors. I wanted my objectives to be attainable and meet the National Curriculum requirements. I also wanted a logical sequence of topics but also realised that differentiation may cause a re-adjustment of subject selection. For example, easier topics may need to be studied first prior to extended writing tasks. Learner levels of literacy and comprehension need to be established and taken into consideration when assigning attainable reading comprehension and writing skills. In a similar way, time allocation, is a significant factor that needs addressing. Time is a tricky variable however it can be roughly factored in with allowances considered for individual learner development, refresher sessions needed etc. Overall, I believe that a topic covered well with successful learning is a better approach than skimming over all topics in the syllabus thus resulting in a limited range of learning on all topics.</w:t>
      </w:r>
    </w:p>
    <w:p w:rsidR="00E2375E" w:rsidRDefault="00E2375E" w:rsidP="00E2375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E2375E" w:rsidRPr="00D863A0" w:rsidRDefault="00E2375E" w:rsidP="00E2375E">
      <w:pPr>
        <w:spacing w:after="0" w:line="240" w:lineRule="auto"/>
        <w:rPr>
          <w:rFonts w:ascii="Times New Roman" w:eastAsia="Times New Roman" w:hAnsi="Times New Roman" w:cs="Times New Roman"/>
          <w:sz w:val="24"/>
          <w:szCs w:val="24"/>
          <w:lang w:eastAsia="en-GB"/>
        </w:rPr>
      </w:pPr>
      <w:r>
        <w:rPr>
          <w:rFonts w:ascii="Times New Roman" w:hAnsi="Times New Roman" w:cs="Times New Roman"/>
          <w:sz w:val="24"/>
          <w:szCs w:val="24"/>
        </w:rPr>
        <w:t>With reference to my microteaching lesson and my approach to differentiation, I realised that any first lesson, with a new class, without any pre-defined seating plan will challenge me to quickly determine any individual needs of the learners. Subsequent lessons with classroom discussions, and marking homework and class work will offer useful feedback for me to assess learner abilities and requirements for more suitable tasks but retaining the aim to challenge all learners. I used an open question slide as my ‘starter’ to my micro teaching lesson. In this way, I could gauge the level of attainment of the learners and adjust the lesson content that I was delivering so that it would be either more challenging or less stretching. This has been described as ‘the anchor effect’ (</w:t>
      </w:r>
      <w:r w:rsidRPr="00D863A0">
        <w:rPr>
          <w:rFonts w:ascii="Times New Roman" w:eastAsia="Times New Roman" w:hAnsi="Times New Roman" w:cs="Times New Roman"/>
          <w:sz w:val="24"/>
          <w:szCs w:val="24"/>
          <w:lang w:eastAsia="en-GB"/>
        </w:rPr>
        <w:t xml:space="preserve">Allison, S., </w:t>
      </w:r>
      <w:proofErr w:type="spellStart"/>
      <w:r w:rsidRPr="00D863A0">
        <w:rPr>
          <w:rFonts w:ascii="Times New Roman" w:eastAsia="Times New Roman" w:hAnsi="Times New Roman" w:cs="Times New Roman"/>
          <w:sz w:val="24"/>
          <w:szCs w:val="24"/>
          <w:lang w:eastAsia="en-GB"/>
        </w:rPr>
        <w:t>Tharby</w:t>
      </w:r>
      <w:proofErr w:type="spellEnd"/>
      <w:r w:rsidRPr="00D863A0">
        <w:rPr>
          <w:rFonts w:ascii="Times New Roman" w:eastAsia="Times New Roman" w:hAnsi="Times New Roman" w:cs="Times New Roman"/>
          <w:sz w:val="24"/>
          <w:szCs w:val="24"/>
          <w:lang w:eastAsia="en-GB"/>
        </w:rPr>
        <w:t xml:space="preserve">, A. and </w:t>
      </w:r>
      <w:proofErr w:type="spellStart"/>
      <w:r w:rsidRPr="00D863A0">
        <w:rPr>
          <w:rFonts w:ascii="Times New Roman" w:eastAsia="Times New Roman" w:hAnsi="Times New Roman" w:cs="Times New Roman"/>
          <w:sz w:val="24"/>
          <w:szCs w:val="24"/>
          <w:lang w:eastAsia="en-GB"/>
        </w:rPr>
        <w:t>Lemov</w:t>
      </w:r>
      <w:proofErr w:type="spellEnd"/>
      <w:r w:rsidRPr="00D863A0">
        <w:rPr>
          <w:rFonts w:ascii="Times New Roman" w:eastAsia="Times New Roman" w:hAnsi="Times New Roman" w:cs="Times New Roman"/>
          <w:sz w:val="24"/>
          <w:szCs w:val="24"/>
          <w:lang w:eastAsia="en-GB"/>
        </w:rPr>
        <w:t xml:space="preserve">, D., </w:t>
      </w:r>
      <w:r>
        <w:rPr>
          <w:rFonts w:ascii="Times New Roman" w:eastAsia="Times New Roman" w:hAnsi="Times New Roman" w:cs="Times New Roman"/>
          <w:sz w:val="24"/>
          <w:szCs w:val="24"/>
          <w:lang w:eastAsia="en-GB"/>
        </w:rPr>
        <w:t>(</w:t>
      </w:r>
      <w:r w:rsidRPr="00D863A0">
        <w:rPr>
          <w:rFonts w:ascii="Times New Roman" w:eastAsia="Times New Roman" w:hAnsi="Times New Roman" w:cs="Times New Roman"/>
          <w:sz w:val="24"/>
          <w:szCs w:val="24"/>
          <w:lang w:eastAsia="en-GB"/>
        </w:rPr>
        <w:t>2015</w:t>
      </w:r>
      <w:r>
        <w:rPr>
          <w:rFonts w:ascii="Times New Roman" w:eastAsia="Times New Roman" w:hAnsi="Times New Roman" w:cs="Times New Roman"/>
          <w:sz w:val="24"/>
          <w:szCs w:val="24"/>
          <w:lang w:eastAsia="en-GB"/>
        </w:rPr>
        <w:t xml:space="preserve">), </w:t>
      </w:r>
      <w:proofErr w:type="gramStart"/>
      <w:r w:rsidRPr="00D863A0">
        <w:rPr>
          <w:rFonts w:ascii="Times New Roman" w:eastAsia="Times New Roman" w:hAnsi="Times New Roman" w:cs="Times New Roman"/>
          <w:i/>
          <w:iCs/>
          <w:sz w:val="24"/>
          <w:szCs w:val="24"/>
          <w:lang w:eastAsia="en-GB"/>
        </w:rPr>
        <w:t>Making</w:t>
      </w:r>
      <w:proofErr w:type="gramEnd"/>
      <w:r w:rsidRPr="00D863A0">
        <w:rPr>
          <w:rFonts w:ascii="Times New Roman" w:eastAsia="Times New Roman" w:hAnsi="Times New Roman" w:cs="Times New Roman"/>
          <w:i/>
          <w:iCs/>
          <w:sz w:val="24"/>
          <w:szCs w:val="24"/>
          <w:lang w:eastAsia="en-GB"/>
        </w:rPr>
        <w:t xml:space="preserve"> Every Lesson Count: Six principles to support great teaching and learning</w:t>
      </w:r>
      <w:r>
        <w:rPr>
          <w:rFonts w:ascii="Times New Roman" w:eastAsia="Times New Roman" w:hAnsi="Times New Roman" w:cs="Times New Roman"/>
          <w:sz w:val="24"/>
          <w:szCs w:val="24"/>
          <w:lang w:eastAsia="en-GB"/>
        </w:rPr>
        <w:t xml:space="preserve">. </w:t>
      </w:r>
      <w:proofErr w:type="gramStart"/>
      <w:r>
        <w:rPr>
          <w:rFonts w:ascii="Times New Roman" w:eastAsia="Times New Roman" w:hAnsi="Times New Roman" w:cs="Times New Roman"/>
          <w:sz w:val="24"/>
          <w:szCs w:val="24"/>
          <w:lang w:eastAsia="en-GB"/>
        </w:rPr>
        <w:t>Crown House Publishing.)</w:t>
      </w:r>
      <w:proofErr w:type="gramEnd"/>
      <w:r>
        <w:rPr>
          <w:rFonts w:ascii="Times New Roman" w:eastAsia="Times New Roman" w:hAnsi="Times New Roman" w:cs="Times New Roman"/>
          <w:sz w:val="24"/>
          <w:szCs w:val="24"/>
          <w:lang w:eastAsia="en-GB"/>
        </w:rPr>
        <w:t xml:space="preserve"> The authors concluded that by asking questions such as ‘write down five things you know about...’ The answers received will allow the teacher to set the bar to be slightly above the comfort zone for learning whilst still having attainable targets.</w:t>
      </w:r>
    </w:p>
    <w:p w:rsidR="00E2375E" w:rsidRDefault="00E2375E" w:rsidP="00E2375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E2375E" w:rsidRDefault="00E2375E" w:rsidP="00E2375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my first lesson of my scheme of work and my microteaching lesson, my aim was to visually demonstrate the behaviour of solids, liquids and gases. I did so with a physical activity involving some of the learners and myself. We tightly linked arms and attempted to walk in different directions to illustrate the rigidity of solids with our restricted movements. Likewise, with our loosened grip we were able to demonstrate the movement of particles over each other, as a liquid would behave. </w:t>
      </w:r>
      <w:proofErr w:type="gramStart"/>
      <w:r>
        <w:rPr>
          <w:rFonts w:ascii="Times New Roman" w:hAnsi="Times New Roman" w:cs="Times New Roman"/>
          <w:sz w:val="24"/>
          <w:szCs w:val="24"/>
        </w:rPr>
        <w:t>The gaseous state being self explanatory when we released our physical contact.</w:t>
      </w:r>
      <w:proofErr w:type="gramEnd"/>
      <w:r>
        <w:rPr>
          <w:rFonts w:ascii="Times New Roman" w:hAnsi="Times New Roman" w:cs="Times New Roman"/>
          <w:sz w:val="24"/>
          <w:szCs w:val="24"/>
        </w:rPr>
        <w:t xml:space="preserve"> My intentions were to use visual learning theories (John Hattie, </w:t>
      </w:r>
      <w:r w:rsidRPr="009E6020">
        <w:rPr>
          <w:rFonts w:ascii="Times New Roman" w:hAnsi="Times New Roman" w:cs="Times New Roman"/>
          <w:i/>
          <w:sz w:val="24"/>
          <w:szCs w:val="24"/>
        </w:rPr>
        <w:t>Visual Learning for Teachers: Maximising Impact on Learning</w:t>
      </w:r>
      <w:r>
        <w:rPr>
          <w:rFonts w:ascii="Times New Roman" w:hAnsi="Times New Roman" w:cs="Times New Roman"/>
          <w:i/>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Routledge</w:t>
      </w:r>
      <w:proofErr w:type="spellEnd"/>
      <w:r>
        <w:rPr>
          <w:rFonts w:ascii="Times New Roman" w:hAnsi="Times New Roman" w:cs="Times New Roman"/>
          <w:sz w:val="24"/>
          <w:szCs w:val="24"/>
        </w:rPr>
        <w:t>, 2012), who’s ideas were to make the learning experience clearly visible to the learner and the teacher. In summary, by encouraging learners to be their own teachers and teachers also learning from the pupils, higher success results were obtained. I attempted to make the learning more visible literally through the group activity in my lesson. I feel that it was an effective approach in the classroom and one that I will use and modify again in similarly related topics.</w:t>
      </w:r>
    </w:p>
    <w:p w:rsidR="00E2375E" w:rsidRDefault="00E2375E" w:rsidP="00E2375E">
      <w:pPr>
        <w:rPr>
          <w:rFonts w:ascii="Times New Roman" w:hAnsi="Times New Roman" w:cs="Times New Roman"/>
          <w:sz w:val="24"/>
          <w:szCs w:val="24"/>
        </w:rPr>
      </w:pPr>
      <w:r>
        <w:rPr>
          <w:rFonts w:ascii="Times New Roman" w:hAnsi="Times New Roman" w:cs="Times New Roman"/>
          <w:sz w:val="24"/>
          <w:szCs w:val="24"/>
        </w:rPr>
        <w:lastRenderedPageBreak/>
        <w:t>Further research in this area</w:t>
      </w:r>
      <w:r w:rsidRPr="00EB7CE0">
        <w:rPr>
          <w:rFonts w:ascii="Times New Roman" w:hAnsi="Times New Roman" w:cs="Times New Roman"/>
          <w:sz w:val="24"/>
          <w:szCs w:val="24"/>
        </w:rPr>
        <w:t>, (</w:t>
      </w:r>
      <w:r w:rsidRPr="00EB7CE0">
        <w:rPr>
          <w:rStyle w:val="authors"/>
          <w:rFonts w:ascii="Times New Roman" w:hAnsi="Times New Roman" w:cs="Times New Roman"/>
          <w:sz w:val="24"/>
          <w:szCs w:val="24"/>
        </w:rPr>
        <w:t xml:space="preserve">Robert J. Alban Metcalfe, Suzanne Abbott, Paul Bray, Joan </w:t>
      </w:r>
      <w:proofErr w:type="spellStart"/>
      <w:r w:rsidRPr="00EB7CE0">
        <w:rPr>
          <w:rStyle w:val="authors"/>
          <w:rFonts w:ascii="Times New Roman" w:hAnsi="Times New Roman" w:cs="Times New Roman"/>
          <w:sz w:val="24"/>
          <w:szCs w:val="24"/>
        </w:rPr>
        <w:t>Exley</w:t>
      </w:r>
      <w:proofErr w:type="spellEnd"/>
      <w:r w:rsidRPr="00EB7CE0">
        <w:rPr>
          <w:rStyle w:val="authors"/>
          <w:rFonts w:ascii="Times New Roman" w:hAnsi="Times New Roman" w:cs="Times New Roman"/>
          <w:sz w:val="24"/>
          <w:szCs w:val="24"/>
        </w:rPr>
        <w:t xml:space="preserve"> &amp; David </w:t>
      </w:r>
      <w:proofErr w:type="spellStart"/>
      <w:r w:rsidRPr="00EB7CE0">
        <w:rPr>
          <w:rStyle w:val="authors"/>
          <w:rFonts w:ascii="Times New Roman" w:hAnsi="Times New Roman" w:cs="Times New Roman"/>
          <w:sz w:val="24"/>
          <w:szCs w:val="24"/>
        </w:rPr>
        <w:t>Wisnia</w:t>
      </w:r>
      <w:proofErr w:type="spellEnd"/>
      <w:r w:rsidRPr="00EB7CE0">
        <w:rPr>
          <w:rFonts w:ascii="Times New Roman" w:hAnsi="Times New Roman" w:cs="Times New Roman"/>
          <w:sz w:val="24"/>
          <w:szCs w:val="24"/>
        </w:rPr>
        <w:t xml:space="preserve"> </w:t>
      </w:r>
      <w:r w:rsidRPr="00EB7CE0">
        <w:rPr>
          <w:rStyle w:val="date"/>
          <w:rFonts w:ascii="Times New Roman" w:hAnsi="Times New Roman" w:cs="Times New Roman"/>
          <w:sz w:val="24"/>
          <w:szCs w:val="24"/>
        </w:rPr>
        <w:t>(1984)</w:t>
      </w:r>
      <w:r w:rsidRPr="00EB7CE0">
        <w:rPr>
          <w:rFonts w:ascii="Times New Roman" w:hAnsi="Times New Roman" w:cs="Times New Roman"/>
          <w:sz w:val="24"/>
          <w:szCs w:val="24"/>
        </w:rPr>
        <w:t xml:space="preserve"> </w:t>
      </w:r>
      <w:r>
        <w:rPr>
          <w:rFonts w:ascii="Times New Roman" w:hAnsi="Times New Roman" w:cs="Times New Roman"/>
          <w:sz w:val="24"/>
          <w:szCs w:val="24"/>
        </w:rPr>
        <w:t>‘</w:t>
      </w:r>
      <w:r w:rsidRPr="00EB7CE0">
        <w:rPr>
          <w:rStyle w:val="arttitle"/>
          <w:rFonts w:ascii="Times New Roman" w:hAnsi="Times New Roman" w:cs="Times New Roman"/>
          <w:sz w:val="24"/>
          <w:szCs w:val="24"/>
        </w:rPr>
        <w:t>Teaching Science Through Drama: an empirical investigation</w:t>
      </w:r>
      <w:r>
        <w:rPr>
          <w:rStyle w:val="arttitle"/>
          <w:rFonts w:ascii="Times New Roman" w:hAnsi="Times New Roman" w:cs="Times New Roman"/>
          <w:sz w:val="24"/>
          <w:szCs w:val="24"/>
        </w:rPr>
        <w:t>’</w:t>
      </w:r>
      <w:r w:rsidRPr="00EB7CE0">
        <w:rPr>
          <w:rStyle w:val="arttitle"/>
          <w:rFonts w:ascii="Times New Roman" w:hAnsi="Times New Roman" w:cs="Times New Roman"/>
          <w:sz w:val="24"/>
          <w:szCs w:val="24"/>
        </w:rPr>
        <w:t>,</w:t>
      </w:r>
      <w:r w:rsidRPr="00EB7CE0">
        <w:rPr>
          <w:rFonts w:ascii="Times New Roman" w:hAnsi="Times New Roman" w:cs="Times New Roman"/>
          <w:sz w:val="24"/>
          <w:szCs w:val="24"/>
        </w:rPr>
        <w:t xml:space="preserve"> </w:t>
      </w:r>
      <w:r w:rsidRPr="00EB7CE0">
        <w:rPr>
          <w:rStyle w:val="serialtitle"/>
          <w:rFonts w:ascii="Times New Roman" w:hAnsi="Times New Roman" w:cs="Times New Roman"/>
          <w:i/>
          <w:sz w:val="24"/>
          <w:szCs w:val="24"/>
        </w:rPr>
        <w:t>Research in Science &amp; Technological Education</w:t>
      </w:r>
      <w:r w:rsidRPr="00EB7CE0">
        <w:rPr>
          <w:rStyle w:val="serialtitle"/>
          <w:rFonts w:ascii="Times New Roman" w:hAnsi="Times New Roman" w:cs="Times New Roman"/>
          <w:sz w:val="24"/>
          <w:szCs w:val="24"/>
        </w:rPr>
        <w:t>,</w:t>
      </w:r>
      <w:r w:rsidRPr="00EB7CE0">
        <w:rPr>
          <w:rFonts w:ascii="Times New Roman" w:hAnsi="Times New Roman" w:cs="Times New Roman"/>
          <w:sz w:val="24"/>
          <w:szCs w:val="24"/>
        </w:rPr>
        <w:t xml:space="preserve"> </w:t>
      </w:r>
      <w:r w:rsidRPr="00EB7CE0">
        <w:rPr>
          <w:rStyle w:val="volumeissue"/>
          <w:rFonts w:ascii="Times New Roman" w:hAnsi="Times New Roman" w:cs="Times New Roman"/>
          <w:sz w:val="24"/>
          <w:szCs w:val="24"/>
        </w:rPr>
        <w:t>2:1,</w:t>
      </w:r>
      <w:r w:rsidRPr="00EB7CE0">
        <w:rPr>
          <w:rFonts w:ascii="Times New Roman" w:hAnsi="Times New Roman" w:cs="Times New Roman"/>
          <w:sz w:val="24"/>
          <w:szCs w:val="24"/>
        </w:rPr>
        <w:t xml:space="preserve"> </w:t>
      </w:r>
      <w:r w:rsidRPr="00EB7CE0">
        <w:rPr>
          <w:rStyle w:val="pagerange"/>
          <w:rFonts w:ascii="Times New Roman" w:hAnsi="Times New Roman" w:cs="Times New Roman"/>
          <w:sz w:val="24"/>
          <w:szCs w:val="24"/>
        </w:rPr>
        <w:t>77-81</w:t>
      </w:r>
      <w:r>
        <w:rPr>
          <w:rStyle w:val="pagerange"/>
          <w:rFonts w:ascii="Times New Roman" w:hAnsi="Times New Roman" w:cs="Times New Roman"/>
          <w:sz w:val="24"/>
          <w:szCs w:val="24"/>
        </w:rPr>
        <w:t xml:space="preserve">)), </w:t>
      </w:r>
      <w:r>
        <w:rPr>
          <w:rFonts w:ascii="Times New Roman" w:hAnsi="Times New Roman" w:cs="Times New Roman"/>
          <w:sz w:val="24"/>
          <w:szCs w:val="24"/>
        </w:rPr>
        <w:t>also put forward ideas of ‘meaningful’ learning achieved through practical drama in the classroom.</w:t>
      </w:r>
    </w:p>
    <w:p w:rsidR="00E2375E" w:rsidRDefault="00E2375E" w:rsidP="00E2375E">
      <w:pPr>
        <w:rPr>
          <w:rFonts w:ascii="Times New Roman" w:eastAsia="Times New Roman" w:hAnsi="Times New Roman" w:cs="Times New Roman"/>
          <w:sz w:val="24"/>
          <w:szCs w:val="24"/>
          <w:lang w:eastAsia="en-GB"/>
        </w:rPr>
      </w:pPr>
      <w:r>
        <w:rPr>
          <w:rFonts w:ascii="Times New Roman" w:hAnsi="Times New Roman" w:cs="Times New Roman"/>
          <w:sz w:val="24"/>
          <w:szCs w:val="24"/>
        </w:rPr>
        <w:t xml:space="preserve">As my microteaching lesson was aimed at a key stage 3, year 7 pupil audience, I used an introductory slide (slide 9) for ‘Science is </w:t>
      </w:r>
      <w:proofErr w:type="gramStart"/>
      <w:r>
        <w:rPr>
          <w:rFonts w:ascii="Times New Roman" w:hAnsi="Times New Roman" w:cs="Times New Roman"/>
          <w:sz w:val="24"/>
          <w:szCs w:val="24"/>
        </w:rPr>
        <w:t>Everywhere</w:t>
      </w:r>
      <w:proofErr w:type="gramEnd"/>
      <w:r>
        <w:rPr>
          <w:rFonts w:ascii="Times New Roman" w:hAnsi="Times New Roman" w:cs="Times New Roman"/>
          <w:sz w:val="24"/>
          <w:szCs w:val="24"/>
        </w:rPr>
        <w:t>’ which would appeal to their interests. For example, a picture of rainbow, a car, a camp fire (with the verbal suggestion of toasting marsh mallows), a steaming mug (suggesting it was hot chocolate), was my aim to connect with the pupils and to illustrate how science, literally is everywhere. It was effective in my teaching and was confirmed through feedback that I received. By asking pupils to complete a ‘one thing that I have learnt today’ note at the end of the lesson, was definitely a worthwhile exercise for the learners as well as myself. It confounded my understanding of how useful any feedback can be, be it critical or approving. In fact, with this informal formative type of assessment, the evidence gathered can be used to shape the teaching to reflect the needs of the lesson. (</w:t>
      </w:r>
      <w:r w:rsidRPr="00CB134C">
        <w:rPr>
          <w:rFonts w:ascii="Times New Roman" w:eastAsia="Times New Roman" w:hAnsi="Times New Roman" w:cs="Times New Roman"/>
          <w:sz w:val="24"/>
          <w:szCs w:val="24"/>
          <w:lang w:eastAsia="en-GB"/>
        </w:rPr>
        <w:t xml:space="preserve">Black, P. and </w:t>
      </w:r>
      <w:proofErr w:type="spellStart"/>
      <w:r w:rsidRPr="00CB134C">
        <w:rPr>
          <w:rFonts w:ascii="Times New Roman" w:eastAsia="Times New Roman" w:hAnsi="Times New Roman" w:cs="Times New Roman"/>
          <w:sz w:val="24"/>
          <w:szCs w:val="24"/>
          <w:lang w:eastAsia="en-GB"/>
        </w:rPr>
        <w:t>Wiliam</w:t>
      </w:r>
      <w:proofErr w:type="spellEnd"/>
      <w:r w:rsidRPr="00CB134C">
        <w:rPr>
          <w:rFonts w:ascii="Times New Roman" w:eastAsia="Times New Roman" w:hAnsi="Times New Roman" w:cs="Times New Roman"/>
          <w:sz w:val="24"/>
          <w:szCs w:val="24"/>
          <w:lang w:eastAsia="en-GB"/>
        </w:rPr>
        <w:t xml:space="preserve">, D., 2005. </w:t>
      </w:r>
      <w:r w:rsidRPr="00CB134C">
        <w:rPr>
          <w:rFonts w:ascii="Times New Roman" w:eastAsia="Times New Roman" w:hAnsi="Times New Roman" w:cs="Times New Roman"/>
          <w:i/>
          <w:iCs/>
          <w:sz w:val="24"/>
          <w:szCs w:val="24"/>
          <w:lang w:eastAsia="en-GB"/>
        </w:rPr>
        <w:t>Inside the black box: Raising standards through classroom assessment</w:t>
      </w:r>
      <w:r>
        <w:rPr>
          <w:rFonts w:ascii="Times New Roman" w:eastAsia="Times New Roman" w:hAnsi="Times New Roman" w:cs="Times New Roman"/>
          <w:sz w:val="24"/>
          <w:szCs w:val="24"/>
          <w:lang w:eastAsia="en-GB"/>
        </w:rPr>
        <w:t xml:space="preserve">. </w:t>
      </w:r>
      <w:proofErr w:type="gramStart"/>
      <w:r>
        <w:rPr>
          <w:rFonts w:ascii="Times New Roman" w:eastAsia="Times New Roman" w:hAnsi="Times New Roman" w:cs="Times New Roman"/>
          <w:sz w:val="24"/>
          <w:szCs w:val="24"/>
          <w:lang w:eastAsia="en-GB"/>
        </w:rPr>
        <w:t>Granada Learning).</w:t>
      </w:r>
      <w:proofErr w:type="gramEnd"/>
    </w:p>
    <w:p w:rsidR="00E2375E" w:rsidRDefault="00E2375E" w:rsidP="00E2375E">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national curriculum requirements are to use literacy, numeracy and digital competence skills in learning. Fortunately, the study of science, almost always includes the applications of all four. For example, my scheme of work (lesson 2), involves a practical which requires collecting and recording data. The data is then presented in a graph. Following any practical, a writing task is required to report the apparatus/setup, method and conclusion. In summary, all my lessons have included numeracy and literacy tasks in terms of work sheets, quizzes, data collection, analysis and representation. Digital competence cannot always be drawn in to all lessons; however I have introduced some ideas for further research. For example, lesson 3 requires successful completion of a word search to reveal a hidden message that can be researched online. This was an optional study area, aimed at pupils who would welcome further learning.</w:t>
      </w:r>
    </w:p>
    <w:p w:rsidR="00E2375E" w:rsidRDefault="00E2375E" w:rsidP="00E2375E">
      <w:pPr>
        <w:rPr>
          <w:rFonts w:ascii="Times New Roman" w:hAnsi="Times New Roman" w:cs="Times New Roman"/>
          <w:sz w:val="24"/>
          <w:szCs w:val="24"/>
        </w:rPr>
      </w:pPr>
      <w:r>
        <w:rPr>
          <w:rFonts w:ascii="Times New Roman" w:eastAsia="Times New Roman" w:hAnsi="Times New Roman" w:cs="Times New Roman"/>
          <w:sz w:val="24"/>
          <w:szCs w:val="24"/>
          <w:lang w:eastAsia="en-GB"/>
        </w:rPr>
        <w:t xml:space="preserve">In conclusion, one of the most valuable teaching experiences for me through my micro teaching, has been the use of my practical demonstration involving the learners to become involved in the experience of learning. I fully appreciated the engagement from the learners, and from the feedback that I received afterwards, the lesson was received well and successful comprehension had taken place. I certainly will apply this approach </w:t>
      </w:r>
      <w:r>
        <w:rPr>
          <w:rFonts w:ascii="Times New Roman" w:hAnsi="Times New Roman" w:cs="Times New Roman"/>
          <w:sz w:val="24"/>
          <w:szCs w:val="24"/>
        </w:rPr>
        <w:t xml:space="preserve">(John Hattie, </w:t>
      </w:r>
      <w:r w:rsidRPr="009E6020">
        <w:rPr>
          <w:rFonts w:ascii="Times New Roman" w:hAnsi="Times New Roman" w:cs="Times New Roman"/>
          <w:i/>
          <w:sz w:val="24"/>
          <w:szCs w:val="24"/>
        </w:rPr>
        <w:t>Visual Learning for Teachers: Maximising Impact on Learning</w:t>
      </w:r>
      <w:r>
        <w:rPr>
          <w:rFonts w:ascii="Times New Roman" w:hAnsi="Times New Roman" w:cs="Times New Roman"/>
          <w:i/>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Routledge</w:t>
      </w:r>
      <w:proofErr w:type="spellEnd"/>
      <w:r>
        <w:rPr>
          <w:rFonts w:ascii="Times New Roman" w:hAnsi="Times New Roman" w:cs="Times New Roman"/>
          <w:sz w:val="24"/>
          <w:szCs w:val="24"/>
        </w:rPr>
        <w:t xml:space="preserve">, 2012) in my future teaching career with some adjustments. </w:t>
      </w: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 evaluate my first teaching experience through my micro teaching lesson was initially a little uncomfortable to watch. Naturally, nobody wishes to hear their own voice played back to them, let alone the additional visual content. However, having conquered my fears, I watched and analysed my performance, with a family audience present, I hasten to add!</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My initial thoughts were that I needed to slow down. I should have spoken slower, clearer and with more purpose and command in my tone. I am confident however, that with practice and less stage fright, that this will improve.</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 introduced myself as Miss Paradice and stated our learning objectives of the lesson. I delivered my lesson with an upbeat, welcome greeting in Welsh in accordance with curriculum Cymreig. With a good start and opening to my lesson, my intention was to catch the attention and interest of the learners. Similarly, as in greeting pupils at the classroom door with a ‘Bore </w:t>
      </w:r>
      <w:proofErr w:type="spellStart"/>
      <w:r>
        <w:rPr>
          <w:rFonts w:ascii="Times New Roman" w:eastAsia="Times New Roman" w:hAnsi="Times New Roman" w:cs="Times New Roman"/>
          <w:sz w:val="24"/>
          <w:szCs w:val="24"/>
          <w:lang w:eastAsia="en-GB"/>
        </w:rPr>
        <w:t>Da</w:t>
      </w:r>
      <w:proofErr w:type="spellEnd"/>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Pawb</w:t>
      </w:r>
      <w:proofErr w:type="spellEnd"/>
      <w:r>
        <w:rPr>
          <w:rFonts w:ascii="Times New Roman" w:eastAsia="Times New Roman" w:hAnsi="Times New Roman" w:cs="Times New Roman"/>
          <w:sz w:val="24"/>
          <w:szCs w:val="24"/>
          <w:lang w:eastAsia="en-GB"/>
        </w:rPr>
        <w:t>!’ or comparable phrase which serves to make the beginning of a lesson more of a statement and personalises the teacher’s connection with each pupil.</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Pr="00072E91"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With regards to the manner that I stated my lesson objectives, I would now re-address this in a different way. The objectives of a lesson need to be clear, definite, with purpose and with a predicted outcome. A good lesson is a journey that starts with a question, ends with a conclusion and has some eventful scenarios in the middle. Objectives need to be well defined and understood by all learners. In my micro teaching lesson, although they were clear, I would have liked to have made them more specific. For example, using Blooms model, I would have stated my objectives as, ‘We are learning about...</w:t>
      </w:r>
      <w:r w:rsidRPr="00617ECD">
        <w:rPr>
          <w:rFonts w:ascii="Times New Roman" w:eastAsia="Times New Roman" w:hAnsi="Times New Roman" w:cs="Times New Roman"/>
          <w:i/>
          <w:sz w:val="24"/>
          <w:szCs w:val="24"/>
          <w:lang w:eastAsia="en-GB"/>
        </w:rPr>
        <w:t>Atoms and Particles</w:t>
      </w:r>
      <w:r>
        <w:rPr>
          <w:rFonts w:ascii="Times New Roman" w:eastAsia="Times New Roman" w:hAnsi="Times New Roman" w:cs="Times New Roman"/>
          <w:i/>
          <w:sz w:val="24"/>
          <w:szCs w:val="24"/>
          <w:lang w:eastAsia="en-GB"/>
        </w:rPr>
        <w:t>’, ‘</w:t>
      </w:r>
      <w:r>
        <w:rPr>
          <w:rFonts w:ascii="Times New Roman" w:eastAsia="Times New Roman" w:hAnsi="Times New Roman" w:cs="Times New Roman"/>
          <w:sz w:val="24"/>
          <w:szCs w:val="24"/>
          <w:lang w:eastAsia="en-GB"/>
        </w:rPr>
        <w:t>So that we can describe...</w:t>
      </w:r>
      <w:r w:rsidRPr="00617ECD">
        <w:rPr>
          <w:rFonts w:ascii="Times New Roman" w:eastAsia="Times New Roman" w:hAnsi="Times New Roman" w:cs="Times New Roman"/>
          <w:i/>
          <w:sz w:val="24"/>
          <w:szCs w:val="24"/>
          <w:lang w:eastAsia="en-GB"/>
        </w:rPr>
        <w:t>what makes up an atom</w:t>
      </w:r>
      <w:r>
        <w:rPr>
          <w:rFonts w:ascii="Times New Roman" w:eastAsia="Times New Roman" w:hAnsi="Times New Roman" w:cs="Times New Roman"/>
          <w:i/>
          <w:sz w:val="24"/>
          <w:szCs w:val="24"/>
          <w:lang w:eastAsia="en-GB"/>
        </w:rPr>
        <w:t>’,</w:t>
      </w:r>
      <w:r w:rsidRPr="00617ECD">
        <w:rPr>
          <w:rFonts w:ascii="Times New Roman" w:eastAsia="Times New Roman" w:hAnsi="Times New Roman" w:cs="Times New Roman"/>
          <w:sz w:val="24"/>
          <w:szCs w:val="24"/>
          <w:lang w:eastAsia="en-GB"/>
        </w:rPr>
        <w:t xml:space="preserve"> ‘So that we can explain</w:t>
      </w:r>
      <w:r>
        <w:rPr>
          <w:rFonts w:ascii="Times New Roman" w:eastAsia="Times New Roman" w:hAnsi="Times New Roman" w:cs="Times New Roman"/>
          <w:sz w:val="24"/>
          <w:szCs w:val="24"/>
          <w:lang w:eastAsia="en-GB"/>
        </w:rPr>
        <w:t>...</w:t>
      </w:r>
      <w:r>
        <w:rPr>
          <w:rFonts w:ascii="Times New Roman" w:eastAsia="Times New Roman" w:hAnsi="Times New Roman" w:cs="Times New Roman"/>
          <w:i/>
          <w:sz w:val="24"/>
          <w:szCs w:val="24"/>
          <w:lang w:eastAsia="en-GB"/>
        </w:rPr>
        <w:t xml:space="preserve"> the properties of solids, liquids and gases’,’ </w:t>
      </w:r>
      <w:r w:rsidRPr="00617ECD">
        <w:rPr>
          <w:rFonts w:ascii="Times New Roman" w:eastAsia="Times New Roman" w:hAnsi="Times New Roman" w:cs="Times New Roman"/>
          <w:sz w:val="24"/>
          <w:szCs w:val="24"/>
          <w:lang w:eastAsia="en-GB"/>
        </w:rPr>
        <w:t>So that we can</w:t>
      </w:r>
      <w:r>
        <w:rPr>
          <w:rFonts w:ascii="Times New Roman" w:eastAsia="Times New Roman" w:hAnsi="Times New Roman" w:cs="Times New Roman"/>
          <w:i/>
          <w:sz w:val="24"/>
          <w:szCs w:val="24"/>
          <w:lang w:eastAsia="en-GB"/>
        </w:rPr>
        <w:t>...create a physical representation of the Particle Model in the classroom’.</w:t>
      </w:r>
      <w:r>
        <w:rPr>
          <w:rFonts w:ascii="Times New Roman" w:eastAsia="Times New Roman" w:hAnsi="Times New Roman" w:cs="Times New Roman"/>
          <w:sz w:val="24"/>
          <w:szCs w:val="24"/>
          <w:lang w:eastAsia="en-GB"/>
        </w:rPr>
        <w:t xml:space="preserve"> This has been made even clearer to me, by the need to address a range of learners in the classroom and considering the differentiation required. The same goal applies to all learners; however the learning experience will be different for some and the results may differ accordingly. With my micro teaching lesson, if my objectives had been more structured in this way, as a teacher, I would have felt more confident in myself, to own the lesson and give it more direction.</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delivery of my lesson was the introduction of the slide for ‘Atoms and Molecules’ with the Welsh translation below. I intended to use my slides as visual stimulation. I wanted to engage the learners to think of science in a global arena and to link it to scientific elements all around us in and everyday life. As my lesson was directed to key stage 3 learners, I used pictures that young learners would be able to relate to and link these ideas to their understanding of life science. For example, the ‘steaming’ mug of hot chocolate, the ‘combustion; process in a car are all examples of everyday scientific occurrences. Having introduced the ideas, I asked for suggestions to be made on post it notes as to what their thoughts were when thinking of ‘science’. The notes indicated that most all learners thought of the literal science applications shown in terms of firework displays, and Bunsen burner setups in a laboratory. I took this information as my starting point to explore further. I would say that this was my own attempt of differentiation in the class. One of the QTS standards required to be a teacher is to apply the appropriate challenging learning task to all the learners in their classes.</w:t>
      </w:r>
      <w:r w:rsidRPr="00353490">
        <w:rPr>
          <w:rFonts w:ascii="Times New Roman" w:hAnsi="Times New Roman" w:cs="Times New Roman"/>
          <w:color w:val="000000"/>
          <w:sz w:val="24"/>
          <w:szCs w:val="24"/>
        </w:rPr>
        <w:t xml:space="preserve"> So, in this instance, I used the information that was</w:t>
      </w:r>
      <w:r>
        <w:rPr>
          <w:rFonts w:ascii="Times New Roman" w:hAnsi="Times New Roman" w:cs="Times New Roman"/>
          <w:color w:val="000000"/>
          <w:sz w:val="24"/>
          <w:szCs w:val="24"/>
        </w:rPr>
        <w:t xml:space="preserve"> </w:t>
      </w:r>
      <w:r w:rsidRPr="00353490">
        <w:rPr>
          <w:rFonts w:ascii="Times New Roman" w:hAnsi="Times New Roman" w:cs="Times New Roman"/>
          <w:color w:val="000000"/>
          <w:sz w:val="24"/>
          <w:szCs w:val="24"/>
        </w:rPr>
        <w:t>made available to me to set my marker for mak</w:t>
      </w:r>
      <w:r>
        <w:rPr>
          <w:rFonts w:ascii="Times New Roman" w:hAnsi="Times New Roman" w:cs="Times New Roman"/>
          <w:color w:val="000000"/>
          <w:sz w:val="24"/>
          <w:szCs w:val="24"/>
        </w:rPr>
        <w:t xml:space="preserve">ing </w:t>
      </w:r>
      <w:r w:rsidRPr="00353490">
        <w:rPr>
          <w:rFonts w:ascii="Times New Roman" w:hAnsi="Times New Roman" w:cs="Times New Roman"/>
          <w:color w:val="000000"/>
          <w:sz w:val="24"/>
          <w:szCs w:val="24"/>
        </w:rPr>
        <w:t>the learning challenging, slightly out of the comfort zone and yet still attainable to all learners.</w:t>
      </w:r>
      <w:r>
        <w:rPr>
          <w:rFonts w:ascii="Times New Roman" w:hAnsi="Times New Roman" w:cs="Times New Roman"/>
          <w:color w:val="000000"/>
          <w:sz w:val="24"/>
          <w:szCs w:val="24"/>
        </w:rPr>
        <w:t xml:space="preserve"> I have since been in a teaching environment where the need for further work for more able and willing students was quite clear, and without such resources and insight, the lesson would have been a non-eventful learning experience for those individuals concerned. </w:t>
      </w:r>
      <w:r>
        <w:rPr>
          <w:rFonts w:ascii="Times New Roman" w:eastAsia="Times New Roman" w:hAnsi="Times New Roman" w:cs="Times New Roman"/>
          <w:sz w:val="24"/>
          <w:szCs w:val="24"/>
          <w:lang w:eastAsia="en-GB"/>
        </w:rPr>
        <w:t xml:space="preserve">I have begun to appreciate even more the requirement as a teacher to ‘know their classes’. To know individual learners strengths and weaknesses does take time, and it is a relationship that develops through trust, cooperation and mutual respect. This is another QTS standard that I recognise the value of. When such a relationship is forged, and when approached correctly, the learning and teaching experience becomes so much more effective. A positive effect from this is that behaviour management in the classroom can be addressed before it becomes an issue. </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Having reviewed my ‘starter’ in this first lesson, to approach it differently, I would have explored the suggestions made further. I would have asked, ‘what does a Bunsen burner do?’ ‘What do we do in the home to heat up anything in the kitchen?’ ‘Can you see how they both play a part in the same scientific process?’ These open questions would have pushed the learners to explore further ideas, giving them a vision of the bigger picture and understanding of my lesson. The feedback I received also reflected the need for me to have delivered more questions.   </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terms of my main activity, I was pleasantly surprised and encouraged with the results from involving 2 learners to engage with myself in a role play. I used a demonstration of linked armed bodies attempting to walk in different directions to show the molecular, rigid form of a solid. Similarly, with a loosened grip to show how liquid molecules would behave. Whilst still in this contained state, the movement was easier, showing how the molecules could move past each other. Finally, the gaseous state was easily proven by the total release of all physical contact showing how gas molecules can move freely within their environment. In summary to this point, I certainly would use the role play activity again in further lessons with additions. For example I may use a similar process to demonstrate the chemical combination of mixtures, the formation of co-valet bonds etc. In fact, in one of my most recent teaching experiences, I demonstrated with a large class how a Mexican wave can demonstrate the behaviour of a transverse wave. Equally, longitudinal waves were demonstrated in a similar manner, (a line of pupils who tapped each other’s shoulders and moved forward). I am a great supporter of visual learning and interactive demonstrations and to see the proof of the learning gained from this personally, further </w:t>
      </w:r>
      <w:proofErr w:type="gramStart"/>
      <w:r>
        <w:rPr>
          <w:rFonts w:ascii="Times New Roman" w:eastAsia="Times New Roman" w:hAnsi="Times New Roman" w:cs="Times New Roman"/>
          <w:sz w:val="24"/>
          <w:szCs w:val="24"/>
          <w:lang w:eastAsia="en-GB"/>
        </w:rPr>
        <w:t>establishes</w:t>
      </w:r>
      <w:proofErr w:type="gramEnd"/>
      <w:r>
        <w:rPr>
          <w:rFonts w:ascii="Times New Roman" w:eastAsia="Times New Roman" w:hAnsi="Times New Roman" w:cs="Times New Roman"/>
          <w:sz w:val="24"/>
          <w:szCs w:val="24"/>
          <w:lang w:eastAsia="en-GB"/>
        </w:rPr>
        <w:t xml:space="preserve"> this form of teaching and learning as a successful one.</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 have since learnt that following any classroom activity which requires some physical engagement of pupils, may take some careful planning to regroup and ‘bring the class back’. In my microteaching lesson, this was not an issue, however in a typical classroom environment; a grounding task afterwards would often help to return the classroom back to ‘a ready to learn’ state.</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My slides for the next part of my lesson were bright, animated and engaging to the learners. I illustrated atomic properties and a considerable amount of information. However, to approach this differently and to break up any monotony, I would have changed the medium of my presentation to playing a short video for example. I am aware that speaking for longer than necessary may cause disinterest and the essence of the lesson can be lost in words. So the input of creativity and alternative teaching techniques would be advantageous.  This is also one of the QTS standards that require the structure of lessons and sequences of work to be interesting and motivating to learners requiring the teacher to use engaging teaching methods.</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criticism I would make with my lesson, is that the planning of the times for my starter, activity and plenary should have been catalogued more specifically. A further QTS standard requires organised teaching and learning. I feel that despite the time allocated for the micro teaching lesson, I could have made better use of the time by planning my activity times more effectively. I could have certainly allowed myself more time to present my ideas and confirm understanding by effective questioning. In addition, I have since learnt to welcome and encourage periods of silence in the classroom when learners are on task. My instant reaction however to a period of silence was a need to fill the empty void with further explanation or clarification. I have since learnt that this poses as a distraction to the learners and hinders their working progress. Quiet time is needed to process information and carry out the task. </w:t>
      </w:r>
      <w:r>
        <w:rPr>
          <w:rFonts w:ascii="Times New Roman" w:eastAsia="Times New Roman" w:hAnsi="Times New Roman" w:cs="Times New Roman"/>
          <w:sz w:val="24"/>
          <w:szCs w:val="24"/>
          <w:lang w:eastAsia="en-GB"/>
        </w:rPr>
        <w:lastRenderedPageBreak/>
        <w:t>Again, this is a teaching quality that ‘I’ must learn to use and include in my time management in planning my lessons. I have since experienced situations in the classroom, where my lesson has over run my plan due to extended time required on tasks, or similar situations that arose. In this case, I was unable to complete a plenary, so used this for the purpose of a recap or starter for the next lesson. Equally, I have underestimated a lesson that progressed rather quickly. So, in this case, I used back up resources of questions to ensure the learners were not disengaged. In summary, my experience in all of these situations has shown me that no single lesson can have a predicted outcome. However, by good lesson planning and considering all possible interventions that may occur, then the impact of any disruption may be minimised or even masked by effective teaching skills.</w:t>
      </w: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p w:rsidR="00E2375E" w:rsidRDefault="00E2375E" w:rsidP="00E2375E">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My plenary was a quick quiz which consisted of true or false answers to check understanding. The feedback that I received indicated that although the quiz was a useful confirmation of knowledge, it could have consisted of more questions. Again, this is a reminder to me to always have a bank or resource of questions/activities for extended class tasks and willing learners. Also, I should think of varied activities in a single lesson. Worksheets can be repetitive and disengaging. A mixture of varied sources of information offers a fresh look at a topic but aiming for the same successful learning.</w:t>
      </w:r>
    </w:p>
    <w:p w:rsidR="00E2375E" w:rsidRDefault="00E2375E" w:rsidP="00E2375E">
      <w:pPr>
        <w:spacing w:after="0" w:line="240" w:lineRule="auto"/>
        <w:rPr>
          <w:rFonts w:ascii="Times New Roman" w:eastAsia="Times New Roman" w:hAnsi="Times New Roman" w:cs="Times New Roman"/>
          <w:sz w:val="24"/>
          <w:szCs w:val="24"/>
          <w:lang w:eastAsia="en-GB"/>
        </w:rPr>
      </w:pPr>
    </w:p>
    <w:p w:rsidR="00E2375E" w:rsidRDefault="00E2375E" w:rsidP="00E2375E">
      <w:pPr>
        <w:spacing w:after="0" w:line="240" w:lineRule="auto"/>
      </w:pPr>
      <w:r>
        <w:rPr>
          <w:rFonts w:ascii="Times New Roman" w:eastAsia="Times New Roman" w:hAnsi="Times New Roman" w:cs="Times New Roman"/>
          <w:sz w:val="24"/>
          <w:szCs w:val="24"/>
          <w:lang w:eastAsia="en-GB"/>
        </w:rPr>
        <w:t>At the very end of my lesson, I asked if anybody had any questions. No questions were posed to me, so I presented some interesting, random, yet chemistry related facts to the group. I had created some feedback request notes to ask learners to state one thing that they had learnt in my lesson. Interesting for me to note, was that most learners stated that they had learnt the interesting fact that I had just relayed. This made me wonder if the fact was ‘that’ interesting to be remembered, or was it just because it was one of the last statements I had made. Whatever the reason, it had produced a desired learning effect. I have started to use this approach towards the end of my teaching experience lessons currently, especially after packing equipment away and waiting for the bell to ring. It seems that learners engage with the notion that the ‘official learning’ has ended, however; ironically, additional information is retained at this packing up stage more readily. Whilst reviewing the finer details of closing a lesson, I have found the use of feedback sheets given to learners as a mini formative assessment of the lesson to be very useful. Initially, my sheets asked the learner to state one thing that they learnt in my lesson (as in my micro teaching lesson). I now use this method in my current teaching environment for two reasons. One allows me to evaluate the learners’ understanding of the lesson, and the second is for to me to determine if my teaching methods worked and the lesson went well, or what I may need to readdress. I have since refined my sheets to add in ‘I need more help with..’, ‘I understand but need more practise with..’, ‘I would like to learn more about...’ Despite using this as an informal formative assessment, which may not always include accurate information, it still offers itself as a supplemental feedback tool. For me personally, it gives me some confidence in knowing that I’m getting some things right, whilst also knowing what I need to improve upon.</w:t>
      </w:r>
    </w:p>
    <w:p w:rsidR="00AA78D2" w:rsidRDefault="00AA78D2"/>
    <w:p w:rsidR="00E2375E" w:rsidRDefault="00E2375E"/>
    <w:sectPr w:rsidR="00E2375E" w:rsidSect="00AA78D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2375E"/>
    <w:rsid w:val="00AA78D2"/>
    <w:rsid w:val="00E237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7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75E"/>
    <w:rPr>
      <w:color w:val="0000FF"/>
      <w:u w:val="single"/>
    </w:rPr>
  </w:style>
  <w:style w:type="character" w:customStyle="1" w:styleId="authors">
    <w:name w:val="authors"/>
    <w:basedOn w:val="DefaultParagraphFont"/>
    <w:rsid w:val="00E2375E"/>
  </w:style>
  <w:style w:type="character" w:customStyle="1" w:styleId="date">
    <w:name w:val="date"/>
    <w:basedOn w:val="DefaultParagraphFont"/>
    <w:rsid w:val="00E2375E"/>
  </w:style>
  <w:style w:type="character" w:customStyle="1" w:styleId="arttitle">
    <w:name w:val="art_title"/>
    <w:basedOn w:val="DefaultParagraphFont"/>
    <w:rsid w:val="00E2375E"/>
  </w:style>
  <w:style w:type="character" w:customStyle="1" w:styleId="serialtitle">
    <w:name w:val="serial_title"/>
    <w:basedOn w:val="DefaultParagraphFont"/>
    <w:rsid w:val="00E2375E"/>
  </w:style>
  <w:style w:type="character" w:customStyle="1" w:styleId="volumeissue">
    <w:name w:val="volume_issue"/>
    <w:basedOn w:val="DefaultParagraphFont"/>
    <w:rsid w:val="00E2375E"/>
  </w:style>
  <w:style w:type="character" w:customStyle="1" w:styleId="pagerange">
    <w:name w:val="page_range"/>
    <w:basedOn w:val="DefaultParagraphFont"/>
    <w:rsid w:val="00E2375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ukessays.com/essays/education/the-effects-of-vygotskys-theory-education-essay.php?v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3413</Words>
  <Characters>19456</Characters>
  <Application>Microsoft Office Word</Application>
  <DocSecurity>0</DocSecurity>
  <Lines>162</Lines>
  <Paragraphs>45</Paragraphs>
  <ScaleCrop>false</ScaleCrop>
  <Company>Deftones</Company>
  <LinksUpToDate>false</LinksUpToDate>
  <CharactersWithSpaces>22824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2018-11-18T01:40:00Z</dcterms:created>
  <dcterms:modified xsi:type="dcterms:W3CDTF">2018-11-18T01:42:00Z</dcterms:modified>
</cp:coreProperties>
</file>