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A1EE18" w14:textId="77777777" w:rsidR="009A5530" w:rsidRDefault="009A5530" w:rsidP="009A5530">
      <w:pPr>
        <w:jc w:val="center"/>
        <w:rPr>
          <w:b/>
          <w:bCs/>
          <w:sz w:val="36"/>
          <w:szCs w:val="36"/>
        </w:rPr>
      </w:pPr>
    </w:p>
    <w:p w14:paraId="5E37CBB5" w14:textId="77777777" w:rsidR="009A5530" w:rsidRDefault="009A5530" w:rsidP="009A5530">
      <w:pPr>
        <w:jc w:val="center"/>
        <w:rPr>
          <w:b/>
          <w:bCs/>
          <w:sz w:val="36"/>
          <w:szCs w:val="36"/>
        </w:rPr>
      </w:pPr>
    </w:p>
    <w:p w14:paraId="1D8ED96A" w14:textId="77777777" w:rsidR="009A5530" w:rsidRDefault="009A5530" w:rsidP="009A5530">
      <w:pPr>
        <w:jc w:val="center"/>
        <w:rPr>
          <w:b/>
          <w:bCs/>
          <w:sz w:val="36"/>
          <w:szCs w:val="36"/>
        </w:rPr>
      </w:pPr>
    </w:p>
    <w:p w14:paraId="0C377840" w14:textId="77777777" w:rsidR="009A5530" w:rsidRPr="00F26FA5" w:rsidRDefault="009A5530" w:rsidP="009A5530">
      <w:pPr>
        <w:jc w:val="center"/>
        <w:rPr>
          <w:rFonts w:ascii="Arial" w:hAnsi="Arial" w:cs="Arial"/>
          <w:b/>
          <w:bCs/>
          <w:sz w:val="32"/>
          <w:szCs w:val="32"/>
        </w:rPr>
      </w:pPr>
      <w:r w:rsidRPr="00F26FA5">
        <w:rPr>
          <w:rFonts w:ascii="Arial" w:hAnsi="Arial" w:cs="Arial"/>
          <w:b/>
          <w:bCs/>
          <w:sz w:val="32"/>
          <w:szCs w:val="32"/>
        </w:rPr>
        <w:t>BMIH6007 International Meetings Management for the Hotel Industry</w:t>
      </w:r>
    </w:p>
    <w:p w14:paraId="470CE054" w14:textId="0A50B3E6" w:rsidR="009A5530" w:rsidRPr="00F26FA5" w:rsidRDefault="009A5530" w:rsidP="009A5530">
      <w:pPr>
        <w:jc w:val="center"/>
        <w:rPr>
          <w:rFonts w:ascii="Arial" w:hAnsi="Arial" w:cs="Arial"/>
          <w:b/>
          <w:bCs/>
          <w:sz w:val="32"/>
          <w:szCs w:val="32"/>
        </w:rPr>
      </w:pPr>
      <w:r w:rsidRPr="00F26FA5">
        <w:rPr>
          <w:rFonts w:ascii="Arial" w:hAnsi="Arial" w:cs="Arial"/>
          <w:b/>
          <w:bCs/>
          <w:sz w:val="32"/>
          <w:szCs w:val="32"/>
        </w:rPr>
        <w:t>Student ID:</w:t>
      </w:r>
      <w:r w:rsidR="00F26FA5" w:rsidRPr="00F26FA5">
        <w:rPr>
          <w:rFonts w:ascii="Arial" w:hAnsi="Arial" w:cs="Arial"/>
          <w:b/>
          <w:bCs/>
          <w:sz w:val="32"/>
          <w:szCs w:val="32"/>
        </w:rPr>
        <w:t xml:space="preserve"> 2125248</w:t>
      </w:r>
    </w:p>
    <w:p w14:paraId="5406CF61" w14:textId="5B6E7C17" w:rsidR="009A5530" w:rsidRPr="00F26FA5" w:rsidRDefault="009A5530" w:rsidP="009A5530">
      <w:pPr>
        <w:jc w:val="center"/>
        <w:rPr>
          <w:rFonts w:ascii="Arial" w:hAnsi="Arial" w:cs="Arial"/>
          <w:b/>
          <w:bCs/>
          <w:sz w:val="32"/>
          <w:szCs w:val="32"/>
        </w:rPr>
      </w:pPr>
      <w:r w:rsidRPr="00F26FA5">
        <w:rPr>
          <w:rFonts w:ascii="Arial" w:hAnsi="Arial" w:cs="Arial"/>
          <w:b/>
          <w:bCs/>
          <w:sz w:val="32"/>
          <w:szCs w:val="32"/>
        </w:rPr>
        <w:t>Student Name:</w:t>
      </w:r>
      <w:r w:rsidR="00F26FA5" w:rsidRPr="00F26FA5">
        <w:rPr>
          <w:rFonts w:ascii="Arial" w:hAnsi="Arial" w:cs="Arial"/>
          <w:b/>
          <w:bCs/>
          <w:sz w:val="32"/>
          <w:szCs w:val="32"/>
        </w:rPr>
        <w:t xml:space="preserve"> Marius-Ionut Hurmuzache</w:t>
      </w:r>
    </w:p>
    <w:p w14:paraId="7E0199A2" w14:textId="379F57DE" w:rsidR="003953E1" w:rsidRDefault="003953E1">
      <w:pPr>
        <w:spacing w:line="259" w:lineRule="auto"/>
        <w:jc w:val="left"/>
        <w:rPr>
          <w:b/>
          <w:bCs/>
          <w:sz w:val="36"/>
          <w:szCs w:val="36"/>
        </w:rPr>
      </w:pPr>
    </w:p>
    <w:p w14:paraId="44A1B386" w14:textId="16425FAD" w:rsidR="003953E1" w:rsidRDefault="003953E1" w:rsidP="009A5530">
      <w:pPr>
        <w:jc w:val="center"/>
        <w:rPr>
          <w:b/>
          <w:bCs/>
          <w:sz w:val="36"/>
          <w:szCs w:val="36"/>
        </w:rPr>
      </w:pPr>
      <w:r w:rsidRPr="003953E1">
        <w:rPr>
          <w:b/>
          <w:bCs/>
          <w:noProof/>
          <w:sz w:val="36"/>
          <w:szCs w:val="36"/>
        </w:rPr>
        <w:drawing>
          <wp:inline distT="0" distB="0" distL="0" distR="0" wp14:anchorId="0B5D3F0D" wp14:editId="50EBD0FD">
            <wp:extent cx="5731510" cy="3224530"/>
            <wp:effectExtent l="0" t="0" r="2540" b="0"/>
            <wp:docPr id="371049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049248" name=""/>
                    <pic:cNvPicPr/>
                  </pic:nvPicPr>
                  <pic:blipFill>
                    <a:blip r:embed="rId7"/>
                    <a:stretch>
                      <a:fillRect/>
                    </a:stretch>
                  </pic:blipFill>
                  <pic:spPr>
                    <a:xfrm>
                      <a:off x="0" y="0"/>
                      <a:ext cx="5731510" cy="3224530"/>
                    </a:xfrm>
                    <a:prstGeom prst="rect">
                      <a:avLst/>
                    </a:prstGeom>
                  </pic:spPr>
                </pic:pic>
              </a:graphicData>
            </a:graphic>
          </wp:inline>
        </w:drawing>
      </w:r>
    </w:p>
    <w:p w14:paraId="56BBA480" w14:textId="1528ECD8" w:rsidR="003953E1" w:rsidRDefault="003953E1" w:rsidP="009A5530">
      <w:pPr>
        <w:jc w:val="center"/>
        <w:rPr>
          <w:b/>
          <w:bCs/>
          <w:sz w:val="36"/>
          <w:szCs w:val="36"/>
        </w:rPr>
      </w:pPr>
      <w:r w:rsidRPr="003953E1">
        <w:rPr>
          <w:b/>
          <w:bCs/>
          <w:noProof/>
          <w:sz w:val="36"/>
          <w:szCs w:val="36"/>
        </w:rPr>
        <w:lastRenderedPageBreak/>
        <w:drawing>
          <wp:inline distT="0" distB="0" distL="0" distR="0" wp14:anchorId="5E12D3DD" wp14:editId="716D457E">
            <wp:extent cx="5731510" cy="3201035"/>
            <wp:effectExtent l="0" t="0" r="2540" b="0"/>
            <wp:docPr id="19015907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590784" name=""/>
                    <pic:cNvPicPr/>
                  </pic:nvPicPr>
                  <pic:blipFill>
                    <a:blip r:embed="rId8"/>
                    <a:stretch>
                      <a:fillRect/>
                    </a:stretch>
                  </pic:blipFill>
                  <pic:spPr>
                    <a:xfrm>
                      <a:off x="0" y="0"/>
                      <a:ext cx="5731510" cy="3201035"/>
                    </a:xfrm>
                    <a:prstGeom prst="rect">
                      <a:avLst/>
                    </a:prstGeom>
                  </pic:spPr>
                </pic:pic>
              </a:graphicData>
            </a:graphic>
          </wp:inline>
        </w:drawing>
      </w:r>
    </w:p>
    <w:p w14:paraId="244EA66A" w14:textId="77777777" w:rsidR="009A5530" w:rsidRDefault="009A5530" w:rsidP="009A5530">
      <w:pPr>
        <w:spacing w:line="259" w:lineRule="auto"/>
        <w:jc w:val="left"/>
        <w:rPr>
          <w:b/>
          <w:bCs/>
          <w:sz w:val="36"/>
          <w:szCs w:val="36"/>
        </w:rPr>
      </w:pPr>
      <w:r>
        <w:rPr>
          <w:b/>
          <w:bCs/>
          <w:sz w:val="36"/>
          <w:szCs w:val="36"/>
        </w:rPr>
        <w:br w:type="page"/>
      </w:r>
    </w:p>
    <w:p w14:paraId="7852F2BE" w14:textId="77777777" w:rsidR="009A5530" w:rsidRDefault="009A5530" w:rsidP="00F26FA5">
      <w:pPr>
        <w:pStyle w:val="Heading1"/>
      </w:pPr>
      <w:r>
        <w:lastRenderedPageBreak/>
        <w:t>Introduction</w:t>
      </w:r>
    </w:p>
    <w:p w14:paraId="5B46F903" w14:textId="6ABB4D9D" w:rsidR="009A5530" w:rsidRDefault="0008383A" w:rsidP="009A5530">
      <w:pPr>
        <w:rPr>
          <w:lang w:val="en-IN"/>
        </w:rPr>
      </w:pPr>
      <w:r w:rsidRPr="0008383A">
        <w:rPr>
          <w:noProof/>
        </w:rPr>
        <w:drawing>
          <wp:inline distT="0" distB="0" distL="0" distR="0" wp14:anchorId="2E9D6317" wp14:editId="593B48F5">
            <wp:extent cx="5731510" cy="3210560"/>
            <wp:effectExtent l="0" t="0" r="2540" b="8890"/>
            <wp:docPr id="494596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596996" name=""/>
                    <pic:cNvPicPr/>
                  </pic:nvPicPr>
                  <pic:blipFill>
                    <a:blip r:embed="rId9"/>
                    <a:stretch>
                      <a:fillRect/>
                    </a:stretch>
                  </pic:blipFill>
                  <pic:spPr>
                    <a:xfrm>
                      <a:off x="0" y="0"/>
                      <a:ext cx="5731510" cy="3210560"/>
                    </a:xfrm>
                    <a:prstGeom prst="rect">
                      <a:avLst/>
                    </a:prstGeom>
                  </pic:spPr>
                </pic:pic>
              </a:graphicData>
            </a:graphic>
          </wp:inline>
        </w:drawing>
      </w:r>
      <w:r w:rsidR="009A5530" w:rsidRPr="00F26FA5">
        <w:rPr>
          <w:rFonts w:ascii="Arial" w:hAnsi="Arial" w:cs="Arial"/>
        </w:rPr>
        <w:t>This introduction offers a comprehensive view of the next event seen from three crucial components like Market Factors Analysis, Operational Considerations and Financial Planning. An in-depth analysis of these elements will investigate different aspects of viability of the event, logistics associated with it, and ways to generate revenue. An analysis of these components will guide organisers on the development of a working plan to make the Technology and Innovation within the Hospitality Sector event a success</w:t>
      </w:r>
      <w:r w:rsidR="009A5530">
        <w:t>.</w:t>
      </w:r>
    </w:p>
    <w:p w14:paraId="4CCBE213" w14:textId="77777777" w:rsidR="009A5530" w:rsidRPr="00BD7643" w:rsidRDefault="009A5530" w:rsidP="009A5530">
      <w:pPr>
        <w:rPr>
          <w:lang w:val="en-IN"/>
        </w:rPr>
      </w:pPr>
    </w:p>
    <w:p w14:paraId="486FE28B" w14:textId="77777777" w:rsidR="00DC5F83" w:rsidRDefault="00DC5F83">
      <w:pPr>
        <w:spacing w:line="259" w:lineRule="auto"/>
        <w:jc w:val="left"/>
        <w:rPr>
          <w:lang w:val="en-IN"/>
        </w:rPr>
      </w:pPr>
      <w:r>
        <w:rPr>
          <w:lang w:val="en-IN"/>
        </w:rPr>
        <w:br w:type="page"/>
      </w:r>
    </w:p>
    <w:p w14:paraId="0752D9B9" w14:textId="77777777" w:rsidR="00DC5F83" w:rsidRDefault="00DC5F83" w:rsidP="00F26FA5">
      <w:pPr>
        <w:pStyle w:val="Heading1"/>
      </w:pPr>
      <w:r>
        <w:lastRenderedPageBreak/>
        <w:t>Overview of the topic</w:t>
      </w:r>
    </w:p>
    <w:p w14:paraId="3107A484" w14:textId="1CA3C1FD" w:rsidR="00DC5F83" w:rsidRDefault="0008383A" w:rsidP="00DC5F83">
      <w:pPr>
        <w:rPr>
          <w:lang w:val="en-IN"/>
        </w:rPr>
      </w:pPr>
      <w:r w:rsidRPr="0008383A">
        <w:rPr>
          <w:noProof/>
        </w:rPr>
        <w:drawing>
          <wp:inline distT="0" distB="0" distL="0" distR="0" wp14:anchorId="5155BF08" wp14:editId="66237766">
            <wp:extent cx="5731510" cy="3223895"/>
            <wp:effectExtent l="0" t="0" r="2540" b="0"/>
            <wp:docPr id="873690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690464" name=""/>
                    <pic:cNvPicPr/>
                  </pic:nvPicPr>
                  <pic:blipFill>
                    <a:blip r:embed="rId10"/>
                    <a:stretch>
                      <a:fillRect/>
                    </a:stretch>
                  </pic:blipFill>
                  <pic:spPr>
                    <a:xfrm>
                      <a:off x="0" y="0"/>
                      <a:ext cx="5731510" cy="3223895"/>
                    </a:xfrm>
                    <a:prstGeom prst="rect">
                      <a:avLst/>
                    </a:prstGeom>
                  </pic:spPr>
                </pic:pic>
              </a:graphicData>
            </a:graphic>
          </wp:inline>
        </w:drawing>
      </w:r>
      <w:r w:rsidR="00DC5F83" w:rsidRPr="00F26FA5">
        <w:rPr>
          <w:rFonts w:ascii="Arial" w:hAnsi="Arial" w:cs="Arial"/>
          <w:color w:val="000000" w:themeColor="text1"/>
        </w:rPr>
        <w:t>Exhibition events themed “Technology and Innovation within the Hospitality Sector” focus on the use of advanced technology to promote various aspects of the hospitality industry. These events seek to examine innovations that are shaping the guest experience, running efficient and sustainable hotels and reshaping market strategies in the industry. The theme brings together thousands of industry professionals, technology teachers and academic stakeholders to exhibit new technological solutions and start meaningful conversations on various topics. This theme seeks to highlight the growing role of technology in the sector in increasing public service and guest satisfaction and overall competition. It also allows visitors to take tours and attend sessions to understand emerging trends, best practices, and future investment opportunities</w:t>
      </w:r>
      <w:r w:rsidR="00DC5F83" w:rsidRPr="00A80C0B">
        <w:rPr>
          <w:color w:val="FF0000"/>
        </w:rPr>
        <w:t>.</w:t>
      </w:r>
    </w:p>
    <w:p w14:paraId="44ACC1A7" w14:textId="475CA698" w:rsidR="009A5530" w:rsidRDefault="009A5530" w:rsidP="009A5530">
      <w:pPr>
        <w:spacing w:line="259" w:lineRule="auto"/>
        <w:jc w:val="left"/>
        <w:rPr>
          <w:lang w:val="en-IN"/>
        </w:rPr>
      </w:pPr>
      <w:r>
        <w:rPr>
          <w:lang w:val="en-IN"/>
        </w:rPr>
        <w:br w:type="page"/>
      </w:r>
    </w:p>
    <w:p w14:paraId="328DF9D6" w14:textId="77777777" w:rsidR="009A5530" w:rsidRDefault="009A5530" w:rsidP="00F26FA5">
      <w:pPr>
        <w:pStyle w:val="Heading1"/>
      </w:pPr>
      <w:r w:rsidRPr="008857AA">
        <w:lastRenderedPageBreak/>
        <w:t>Market Factors Analysis for Event</w:t>
      </w:r>
    </w:p>
    <w:p w14:paraId="63B65AD3" w14:textId="6836D919" w:rsidR="009A5530" w:rsidRPr="00F26FA5" w:rsidRDefault="003953E1" w:rsidP="009A5530">
      <w:pPr>
        <w:rPr>
          <w:rFonts w:ascii="Arial" w:hAnsi="Arial" w:cs="Arial"/>
          <w:b/>
          <w:bCs/>
          <w:lang w:val="en-IN"/>
        </w:rPr>
      </w:pPr>
      <w:r w:rsidRPr="003953E1">
        <w:rPr>
          <w:b/>
          <w:bCs/>
          <w:noProof/>
          <w:lang w:val="en-IN"/>
        </w:rPr>
        <w:drawing>
          <wp:inline distT="0" distB="0" distL="0" distR="0" wp14:anchorId="1B338C58" wp14:editId="5D20902E">
            <wp:extent cx="5731510" cy="3216910"/>
            <wp:effectExtent l="0" t="0" r="2540" b="2540"/>
            <wp:docPr id="18408309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830920" name=""/>
                    <pic:cNvPicPr/>
                  </pic:nvPicPr>
                  <pic:blipFill>
                    <a:blip r:embed="rId11"/>
                    <a:stretch>
                      <a:fillRect/>
                    </a:stretch>
                  </pic:blipFill>
                  <pic:spPr>
                    <a:xfrm>
                      <a:off x="0" y="0"/>
                      <a:ext cx="5731510" cy="3216910"/>
                    </a:xfrm>
                    <a:prstGeom prst="rect">
                      <a:avLst/>
                    </a:prstGeom>
                  </pic:spPr>
                </pic:pic>
              </a:graphicData>
            </a:graphic>
          </wp:inline>
        </w:drawing>
      </w:r>
      <w:r w:rsidR="009A5530" w:rsidRPr="00F26FA5">
        <w:rPr>
          <w:rFonts w:ascii="Arial" w:hAnsi="Arial" w:cs="Arial"/>
          <w:b/>
          <w:bCs/>
          <w:lang w:val="en-IN"/>
        </w:rPr>
        <w:t>Target Market</w:t>
      </w:r>
    </w:p>
    <w:p w14:paraId="65C72FCF" w14:textId="77777777" w:rsidR="009A5530" w:rsidRDefault="009A5530" w:rsidP="009A5530">
      <w:r w:rsidRPr="00F26FA5">
        <w:rPr>
          <w:rFonts w:ascii="Arial" w:hAnsi="Arial" w:cs="Arial"/>
        </w:rPr>
        <w:t>The primary target market for the “Technology and Innovation within the Hospitality Sector” event encompasses various stakeholders in the hospitality and technology fields. These include businesspeople in the hospitality industry hoteliers, restaurant managers, and event organizers looking to improve their operations and service provision through technology. Others include tech enthusiasts, among them software and hardware developers, engineers, and entrepreneurs both looking to showcase their innovations or learn about new solutions developed for the hospitality industry (</w:t>
      </w:r>
      <w:proofErr w:type="spellStart"/>
      <w:r w:rsidRPr="00F26FA5">
        <w:rPr>
          <w:rFonts w:ascii="Arial" w:hAnsi="Arial" w:cs="Arial"/>
          <w:shd w:val="clear" w:color="auto" w:fill="FFFFFF"/>
        </w:rPr>
        <w:t>Filimonau</w:t>
      </w:r>
      <w:proofErr w:type="spellEnd"/>
      <w:r w:rsidRPr="00F26FA5">
        <w:rPr>
          <w:rFonts w:ascii="Arial" w:hAnsi="Arial" w:cs="Arial"/>
          <w:shd w:val="clear" w:color="auto" w:fill="FFFFFF"/>
        </w:rPr>
        <w:t xml:space="preserve"> and Naumova, 2020)</w:t>
      </w:r>
      <w:r w:rsidRPr="00F26FA5">
        <w:rPr>
          <w:rFonts w:ascii="Arial" w:hAnsi="Arial" w:cs="Arial"/>
        </w:rPr>
        <w:t>. Finally, this group also includes academic researchers and students majoring in hospitality management or technology who need to be up to date with the latest sector trends</w:t>
      </w:r>
      <w:r>
        <w:t>.</w:t>
      </w:r>
    </w:p>
    <w:p w14:paraId="25820C44" w14:textId="77777777" w:rsidR="009A5530" w:rsidRPr="00F26FA5" w:rsidRDefault="009A5530" w:rsidP="009A5530">
      <w:pPr>
        <w:rPr>
          <w:rFonts w:ascii="Arial" w:hAnsi="Arial" w:cs="Arial"/>
          <w:b/>
          <w:bCs/>
        </w:rPr>
      </w:pPr>
      <w:r w:rsidRPr="00F26FA5">
        <w:rPr>
          <w:rFonts w:ascii="Arial" w:hAnsi="Arial" w:cs="Arial"/>
          <w:b/>
          <w:bCs/>
        </w:rPr>
        <w:t>Demand</w:t>
      </w:r>
    </w:p>
    <w:p w14:paraId="091D4E0B" w14:textId="77777777" w:rsidR="009A5530" w:rsidRDefault="009A5530" w:rsidP="009A5530">
      <w:r w:rsidRPr="00F26FA5">
        <w:rPr>
          <w:rFonts w:ascii="Arial" w:hAnsi="Arial" w:cs="Arial"/>
        </w:rPr>
        <w:t xml:space="preserve">The “Technology and Innovation within the Hospitality Sector” event would have the highest demand. With the rapidly changing landscape of the entire hospitality industry </w:t>
      </w:r>
      <w:r w:rsidRPr="00F26FA5">
        <w:rPr>
          <w:rFonts w:ascii="Arial" w:hAnsi="Arial" w:cs="Arial"/>
        </w:rPr>
        <w:lastRenderedPageBreak/>
        <w:t>due to digitalization, there is a significant opportunity gap in terms of professional capabilities to understand the modern-day technologies and apply them in the field (</w:t>
      </w:r>
      <w:r w:rsidRPr="00F26FA5">
        <w:rPr>
          <w:rFonts w:ascii="Arial" w:hAnsi="Arial" w:cs="Arial"/>
          <w:shd w:val="clear" w:color="auto" w:fill="FFFFFF"/>
        </w:rPr>
        <w:t>González-González and García-Almeida, 2021)</w:t>
      </w:r>
      <w:r w:rsidRPr="00F26FA5">
        <w:rPr>
          <w:rFonts w:ascii="Arial" w:hAnsi="Arial" w:cs="Arial"/>
        </w:rPr>
        <w:t>. Due to the general industry’s recognition of the need to incorporate innovative technologies to remain competitive alongside evolving customer needs, there is a big demand for the event that will help expand networking and generate insightful ideas</w:t>
      </w:r>
      <w:r>
        <w:t>.</w:t>
      </w:r>
    </w:p>
    <w:p w14:paraId="4447BE75" w14:textId="77777777" w:rsidR="009A5530" w:rsidRPr="00F26FA5" w:rsidRDefault="009A5530" w:rsidP="009A5530">
      <w:pPr>
        <w:rPr>
          <w:rFonts w:ascii="Arial" w:hAnsi="Arial" w:cs="Arial"/>
          <w:b/>
          <w:bCs/>
        </w:rPr>
      </w:pPr>
      <w:r w:rsidRPr="00F26FA5">
        <w:rPr>
          <w:rFonts w:ascii="Arial" w:hAnsi="Arial" w:cs="Arial"/>
          <w:b/>
          <w:bCs/>
        </w:rPr>
        <w:t>Supply and competition</w:t>
      </w:r>
    </w:p>
    <w:p w14:paraId="0F626CC4" w14:textId="77777777" w:rsidR="009A5530" w:rsidRPr="00F26FA5" w:rsidRDefault="009A5530" w:rsidP="009A5530">
      <w:pPr>
        <w:rPr>
          <w:rFonts w:ascii="Arial" w:hAnsi="Arial" w:cs="Arial"/>
        </w:rPr>
      </w:pPr>
      <w:r w:rsidRPr="00F26FA5">
        <w:rPr>
          <w:rFonts w:ascii="Arial" w:hAnsi="Arial" w:cs="Arial"/>
        </w:rPr>
        <w:t>Even though there might be other events that cover technology or hospitality independently, the number of available events focused on the intersection of these two spheres is likely to be lower (</w:t>
      </w:r>
      <w:proofErr w:type="spellStart"/>
      <w:r w:rsidRPr="00F26FA5">
        <w:rPr>
          <w:rFonts w:ascii="Arial" w:hAnsi="Arial" w:cs="Arial"/>
          <w:shd w:val="clear" w:color="auto" w:fill="FFFFFF"/>
        </w:rPr>
        <w:t>Pateli</w:t>
      </w:r>
      <w:proofErr w:type="spellEnd"/>
      <w:r w:rsidRPr="00F26FA5">
        <w:rPr>
          <w:rFonts w:ascii="Arial" w:hAnsi="Arial" w:cs="Arial"/>
          <w:shd w:val="clear" w:color="auto" w:fill="FFFFFF"/>
        </w:rPr>
        <w:t xml:space="preserve"> </w:t>
      </w:r>
      <w:r w:rsidRPr="00F26FA5">
        <w:rPr>
          <w:rFonts w:ascii="Arial" w:hAnsi="Arial" w:cs="Arial"/>
          <w:i/>
          <w:iCs/>
          <w:shd w:val="clear" w:color="auto" w:fill="FFFFFF"/>
        </w:rPr>
        <w:t>et al.,</w:t>
      </w:r>
      <w:r w:rsidRPr="00F26FA5">
        <w:rPr>
          <w:rFonts w:ascii="Arial" w:hAnsi="Arial" w:cs="Arial"/>
          <w:shd w:val="clear" w:color="auto" w:fill="FFFFFF"/>
        </w:rPr>
        <w:t xml:space="preserve"> 2020)</w:t>
      </w:r>
      <w:r w:rsidRPr="00F26FA5">
        <w:rPr>
          <w:rFonts w:ascii="Arial" w:hAnsi="Arial" w:cs="Arial"/>
        </w:rPr>
        <w:t>. Thus, potential indirect competitors could be technology events in general, hospitality exhibitions, or institutions that have technology-oriented training programs. Still, whereas the former lack specialization, the latter are not cantered around the integration of technology with hospitality. Therefore, “Technology and Innovation in the Hospitality Sector” have a competitive advantage due to providing specific insights, relevant solutions, and networking opportunities that address the needs of the hospitality industry.</w:t>
      </w:r>
    </w:p>
    <w:p w14:paraId="4DF36203" w14:textId="77777777" w:rsidR="009A5530" w:rsidRDefault="009A5530" w:rsidP="009A5530">
      <w:pPr>
        <w:spacing w:line="259" w:lineRule="auto"/>
        <w:jc w:val="left"/>
      </w:pPr>
      <w:r>
        <w:br w:type="page"/>
      </w:r>
    </w:p>
    <w:p w14:paraId="0D03D985" w14:textId="77777777" w:rsidR="009A5530" w:rsidRPr="00F26FA5" w:rsidRDefault="009A5530" w:rsidP="00F26FA5">
      <w:pPr>
        <w:pStyle w:val="Heading1"/>
      </w:pPr>
      <w:r w:rsidRPr="00F26FA5">
        <w:lastRenderedPageBreak/>
        <w:t>Operational factors for the event</w:t>
      </w:r>
    </w:p>
    <w:p w14:paraId="54B701F4" w14:textId="31BE0E92" w:rsidR="009A5530" w:rsidRPr="00F26FA5" w:rsidRDefault="003953E1" w:rsidP="009A5530">
      <w:pPr>
        <w:rPr>
          <w:rFonts w:ascii="Arial" w:hAnsi="Arial" w:cs="Arial"/>
        </w:rPr>
      </w:pPr>
      <w:r w:rsidRPr="003953E1">
        <w:rPr>
          <w:b/>
          <w:bCs/>
          <w:i/>
          <w:iCs/>
          <w:noProof/>
        </w:rPr>
        <w:drawing>
          <wp:inline distT="0" distB="0" distL="0" distR="0" wp14:anchorId="6341BB72" wp14:editId="610CA1BA">
            <wp:extent cx="5731510" cy="3227705"/>
            <wp:effectExtent l="0" t="0" r="2540" b="0"/>
            <wp:docPr id="14222108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210855" name=""/>
                    <pic:cNvPicPr/>
                  </pic:nvPicPr>
                  <pic:blipFill>
                    <a:blip r:embed="rId12"/>
                    <a:stretch>
                      <a:fillRect/>
                    </a:stretch>
                  </pic:blipFill>
                  <pic:spPr>
                    <a:xfrm>
                      <a:off x="0" y="0"/>
                      <a:ext cx="5731510" cy="3227705"/>
                    </a:xfrm>
                    <a:prstGeom prst="rect">
                      <a:avLst/>
                    </a:prstGeom>
                  </pic:spPr>
                </pic:pic>
              </a:graphicData>
            </a:graphic>
          </wp:inline>
        </w:drawing>
      </w:r>
      <w:r w:rsidR="009A5530" w:rsidRPr="00F26FA5">
        <w:rPr>
          <w:rFonts w:ascii="Arial" w:hAnsi="Arial" w:cs="Arial"/>
          <w:b/>
          <w:bCs/>
          <w:i/>
          <w:iCs/>
        </w:rPr>
        <w:t>Venue selection:</w:t>
      </w:r>
      <w:r w:rsidR="009A5530" w:rsidRPr="00F26FA5">
        <w:rPr>
          <w:rFonts w:ascii="Arial" w:hAnsi="Arial" w:cs="Arial"/>
        </w:rPr>
        <w:t xml:space="preserve"> A venue such as would be ideal for hosting the UK event “Technology and Innovation with the Hospitality Sector.” In the case of the UK event, it would be best to choose a centrally located venue with enough space to host the event and accommodate any equipment and attendees (</w:t>
      </w:r>
      <w:r w:rsidR="009A5530" w:rsidRPr="00F26FA5">
        <w:rPr>
          <w:rFonts w:ascii="Arial" w:hAnsi="Arial" w:cs="Arial"/>
          <w:shd w:val="clear" w:color="auto" w:fill="FFFFFF"/>
        </w:rPr>
        <w:t xml:space="preserve">Karatepe </w:t>
      </w:r>
      <w:r w:rsidR="009A5530" w:rsidRPr="00F26FA5">
        <w:rPr>
          <w:rFonts w:ascii="Arial" w:hAnsi="Arial" w:cs="Arial"/>
          <w:i/>
          <w:iCs/>
          <w:shd w:val="clear" w:color="auto" w:fill="FFFFFF"/>
        </w:rPr>
        <w:t>et al.,</w:t>
      </w:r>
      <w:r w:rsidR="009A5530" w:rsidRPr="00F26FA5">
        <w:rPr>
          <w:rFonts w:ascii="Arial" w:hAnsi="Arial" w:cs="Arial"/>
          <w:shd w:val="clear" w:color="auto" w:fill="FFFFFF"/>
        </w:rPr>
        <w:t xml:space="preserve"> 2021)</w:t>
      </w:r>
      <w:r w:rsidR="009A5530" w:rsidRPr="00F26FA5">
        <w:rPr>
          <w:rFonts w:ascii="Arial" w:hAnsi="Arial" w:cs="Arial"/>
        </w:rPr>
        <w:t xml:space="preserve">. For example, in London, the Business Design Centre offers various conference event spaces with different capacities. Many of these spaces have modern technology setups making them suitable for holding a technology-based conference and exhibitions. </w:t>
      </w:r>
    </w:p>
    <w:p w14:paraId="0BD2BF17" w14:textId="77777777" w:rsidR="009A5530" w:rsidRPr="00F26FA5" w:rsidRDefault="009A5530" w:rsidP="009A5530">
      <w:pPr>
        <w:rPr>
          <w:rFonts w:ascii="Arial" w:hAnsi="Arial" w:cs="Arial"/>
        </w:rPr>
      </w:pPr>
      <w:r w:rsidRPr="00F26FA5">
        <w:rPr>
          <w:rFonts w:ascii="Arial" w:hAnsi="Arial" w:cs="Arial"/>
          <w:b/>
          <w:bCs/>
          <w:i/>
          <w:iCs/>
        </w:rPr>
        <w:t>Availability and suitability:</w:t>
      </w:r>
      <w:r w:rsidRPr="00F26FA5">
        <w:rPr>
          <w:rFonts w:ascii="Arial" w:hAnsi="Arial" w:cs="Arial"/>
        </w:rPr>
        <w:t xml:space="preserve"> It is important to consider whether the venue is available for hosting the event on the selected date in the UK. This will require early booking and discussions with the venue management regarding the availability of the venue during the selected dates. Suitability with respect to the event will also be cantered on capacity and layout of the available facilities (</w:t>
      </w:r>
      <w:r w:rsidRPr="00F26FA5">
        <w:rPr>
          <w:rFonts w:ascii="Arial" w:hAnsi="Arial" w:cs="Arial"/>
          <w:shd w:val="clear" w:color="auto" w:fill="FFFFFF"/>
        </w:rPr>
        <w:t>McCartney and McCartney, 2020)</w:t>
      </w:r>
      <w:r w:rsidRPr="00F26FA5">
        <w:rPr>
          <w:rFonts w:ascii="Arial" w:hAnsi="Arial" w:cs="Arial"/>
        </w:rPr>
        <w:t xml:space="preserve">. A more in-depth look at the technological infrastructure in the business design centre will </w:t>
      </w:r>
      <w:r w:rsidRPr="00F26FA5">
        <w:rPr>
          <w:rFonts w:ascii="Arial" w:hAnsi="Arial" w:cs="Arial"/>
        </w:rPr>
        <w:lastRenderedPageBreak/>
        <w:t>require a site visit and consultations to the venue management to determine whether it fits the requirements.</w:t>
      </w:r>
    </w:p>
    <w:p w14:paraId="2EF999D7" w14:textId="77777777" w:rsidR="009A5530" w:rsidRPr="00F26FA5" w:rsidRDefault="009A5530" w:rsidP="009A5530">
      <w:pPr>
        <w:rPr>
          <w:rFonts w:ascii="Arial" w:hAnsi="Arial" w:cs="Arial"/>
        </w:rPr>
      </w:pPr>
      <w:r w:rsidRPr="00F26FA5">
        <w:rPr>
          <w:rFonts w:ascii="Arial" w:hAnsi="Arial" w:cs="Arial"/>
          <w:b/>
          <w:bCs/>
          <w:i/>
          <w:iCs/>
        </w:rPr>
        <w:t>Skills Required:</w:t>
      </w:r>
      <w:r w:rsidRPr="00F26FA5">
        <w:rPr>
          <w:rFonts w:ascii="Arial" w:hAnsi="Arial" w:cs="Arial"/>
        </w:rPr>
        <w:t xml:space="preserve"> Event staff organizing the “Technology and Innovation within the Hospitality Sector” event in the UK will require a set of skills to conduct all procedures professionally. Event planning skills are critical to managing all aspects of the event, including logistics, vendor coordination, and problem-solving during the event. Technology integration skills are critical to managing any audiovisual, IT, and other digital devices and websites required to support the event (</w:t>
      </w:r>
      <w:proofErr w:type="spellStart"/>
      <w:r w:rsidRPr="00F26FA5">
        <w:rPr>
          <w:rFonts w:ascii="Arial" w:hAnsi="Arial" w:cs="Arial"/>
          <w:shd w:val="clear" w:color="auto" w:fill="FFFFFF"/>
        </w:rPr>
        <w:t>Ezzaouia</w:t>
      </w:r>
      <w:proofErr w:type="spellEnd"/>
      <w:r w:rsidRPr="00F26FA5">
        <w:rPr>
          <w:rFonts w:ascii="Arial" w:hAnsi="Arial" w:cs="Arial"/>
          <w:shd w:val="clear" w:color="auto" w:fill="FFFFFF"/>
        </w:rPr>
        <w:t xml:space="preserve"> and </w:t>
      </w:r>
      <w:proofErr w:type="spellStart"/>
      <w:r w:rsidRPr="00F26FA5">
        <w:rPr>
          <w:rFonts w:ascii="Arial" w:hAnsi="Arial" w:cs="Arial"/>
          <w:shd w:val="clear" w:color="auto" w:fill="FFFFFF"/>
        </w:rPr>
        <w:t>Bulchand-Gidumal</w:t>
      </w:r>
      <w:proofErr w:type="spellEnd"/>
      <w:r w:rsidRPr="00F26FA5">
        <w:rPr>
          <w:rFonts w:ascii="Arial" w:hAnsi="Arial" w:cs="Arial"/>
          <w:shd w:val="clear" w:color="auto" w:fill="FFFFFF"/>
        </w:rPr>
        <w:t>, 2020)</w:t>
      </w:r>
      <w:r w:rsidRPr="00F26FA5">
        <w:rPr>
          <w:rFonts w:ascii="Arial" w:hAnsi="Arial" w:cs="Arial"/>
        </w:rPr>
        <w:t xml:space="preserve">. Hospitality skills are critical to ensuring vendors can focus on the event and that the consumers feel taken care of and have their demands met during the event. Communication and marketing skills are required to promote the event, engage with consumers, and drive attendance. </w:t>
      </w:r>
    </w:p>
    <w:p w14:paraId="388FA7B2" w14:textId="77777777" w:rsidR="009A5530" w:rsidRPr="00F26FA5" w:rsidRDefault="009A5530" w:rsidP="009A5530">
      <w:pPr>
        <w:rPr>
          <w:rFonts w:ascii="Arial" w:hAnsi="Arial" w:cs="Arial"/>
        </w:rPr>
      </w:pPr>
      <w:r w:rsidRPr="00F26FA5">
        <w:rPr>
          <w:rFonts w:ascii="Arial" w:hAnsi="Arial" w:cs="Arial"/>
          <w:b/>
          <w:bCs/>
          <w:i/>
          <w:iCs/>
        </w:rPr>
        <w:t>Resources Required:</w:t>
      </w:r>
      <w:r w:rsidRPr="00F26FA5">
        <w:rPr>
          <w:rFonts w:ascii="Arial" w:hAnsi="Arial" w:cs="Arial"/>
        </w:rPr>
        <w:t xml:space="preserve"> Catering services should be included to provide food and refreshments during the event. Lighting and sound equipment should also be included to enhance the presentation and provide an engaging environment. Access to a park or other modes of automated transportation should be included, and the capacity to provide flexible seating for different manifestations or consumer bases.</w:t>
      </w:r>
    </w:p>
    <w:p w14:paraId="7A21224A" w14:textId="77777777" w:rsidR="009A5530" w:rsidRPr="00EF2F7C" w:rsidRDefault="009A5530" w:rsidP="009A5530">
      <w:pPr>
        <w:rPr>
          <w:lang w:val="en-IN"/>
        </w:rPr>
      </w:pPr>
    </w:p>
    <w:p w14:paraId="642D6DC9" w14:textId="77777777" w:rsidR="009A5530" w:rsidRDefault="009A5530" w:rsidP="009A5530">
      <w:pPr>
        <w:spacing w:line="259" w:lineRule="auto"/>
        <w:jc w:val="left"/>
        <w:rPr>
          <w:lang w:val="en-IN"/>
        </w:rPr>
      </w:pPr>
      <w:r>
        <w:rPr>
          <w:lang w:val="en-IN"/>
        </w:rPr>
        <w:br w:type="page"/>
      </w:r>
    </w:p>
    <w:p w14:paraId="3DD9B06E" w14:textId="77777777" w:rsidR="009A5530" w:rsidRDefault="009A5530" w:rsidP="00F26FA5">
      <w:pPr>
        <w:pStyle w:val="Heading1"/>
      </w:pPr>
      <w:r w:rsidRPr="00EF2F7C">
        <w:lastRenderedPageBreak/>
        <w:t xml:space="preserve">Financial Planning and Revenue Generation for </w:t>
      </w:r>
      <w:r>
        <w:t>the</w:t>
      </w:r>
      <w:r w:rsidRPr="00EF2F7C">
        <w:t xml:space="preserve"> Event</w:t>
      </w:r>
    </w:p>
    <w:p w14:paraId="027B25DD" w14:textId="3177B03D" w:rsidR="009A5530" w:rsidRPr="00F26FA5" w:rsidRDefault="003953E1" w:rsidP="009A5530">
      <w:pPr>
        <w:rPr>
          <w:rFonts w:ascii="Arial" w:hAnsi="Arial" w:cs="Arial"/>
          <w:b/>
          <w:bCs/>
          <w:lang w:val="en-IN"/>
        </w:rPr>
      </w:pPr>
      <w:r w:rsidRPr="003953E1">
        <w:rPr>
          <w:b/>
          <w:bCs/>
          <w:noProof/>
          <w:lang w:val="en-IN"/>
        </w:rPr>
        <w:drawing>
          <wp:inline distT="0" distB="0" distL="0" distR="0" wp14:anchorId="57B0DEF0" wp14:editId="733F8387">
            <wp:extent cx="5731510" cy="3241675"/>
            <wp:effectExtent l="0" t="0" r="2540" b="0"/>
            <wp:docPr id="1813858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858184" name=""/>
                    <pic:cNvPicPr/>
                  </pic:nvPicPr>
                  <pic:blipFill>
                    <a:blip r:embed="rId13"/>
                    <a:stretch>
                      <a:fillRect/>
                    </a:stretch>
                  </pic:blipFill>
                  <pic:spPr>
                    <a:xfrm>
                      <a:off x="0" y="0"/>
                      <a:ext cx="5731510" cy="3241675"/>
                    </a:xfrm>
                    <a:prstGeom prst="rect">
                      <a:avLst/>
                    </a:prstGeom>
                  </pic:spPr>
                </pic:pic>
              </a:graphicData>
            </a:graphic>
          </wp:inline>
        </w:drawing>
      </w:r>
      <w:r w:rsidR="009A5530" w:rsidRPr="00F26FA5">
        <w:rPr>
          <w:rFonts w:ascii="Arial" w:hAnsi="Arial" w:cs="Arial"/>
          <w:b/>
          <w:bCs/>
          <w:lang w:val="en-IN"/>
        </w:rPr>
        <w:t>Costs and Predicted Revenues</w:t>
      </w:r>
    </w:p>
    <w:p w14:paraId="49682F81" w14:textId="77777777" w:rsidR="009A5530" w:rsidRPr="00F26FA5" w:rsidRDefault="009A5530" w:rsidP="009A5530">
      <w:pPr>
        <w:rPr>
          <w:rFonts w:ascii="Arial" w:hAnsi="Arial" w:cs="Arial"/>
        </w:rPr>
      </w:pPr>
      <w:r w:rsidRPr="00F26FA5">
        <w:rPr>
          <w:rFonts w:ascii="Arial" w:hAnsi="Arial" w:cs="Arial"/>
        </w:rPr>
        <w:t>To guarantee the financial sustainability of the event “Technology and Innovation within the Hospitality Sector” event in the UK, the organizers should develop a detailed breakdown of the costs and expected revenues (</w:t>
      </w:r>
      <w:r w:rsidRPr="00F26FA5">
        <w:rPr>
          <w:rFonts w:ascii="Arial" w:hAnsi="Arial" w:cs="Arial"/>
          <w:shd w:val="clear" w:color="auto" w:fill="FFFFFF"/>
        </w:rPr>
        <w:t xml:space="preserve">Dimitrios </w:t>
      </w:r>
      <w:r w:rsidRPr="00F26FA5">
        <w:rPr>
          <w:rFonts w:ascii="Arial" w:hAnsi="Arial" w:cs="Arial"/>
          <w:i/>
          <w:iCs/>
          <w:shd w:val="clear" w:color="auto" w:fill="FFFFFF"/>
        </w:rPr>
        <w:t>et al.,</w:t>
      </w:r>
      <w:r w:rsidRPr="00F26FA5">
        <w:rPr>
          <w:rFonts w:ascii="Arial" w:hAnsi="Arial" w:cs="Arial"/>
          <w:shd w:val="clear" w:color="auto" w:fill="FFFFFF"/>
        </w:rPr>
        <w:t xml:space="preserve"> 2020)</w:t>
      </w:r>
      <w:r w:rsidRPr="00F26FA5">
        <w:rPr>
          <w:rFonts w:ascii="Arial" w:hAnsi="Arial" w:cs="Arial"/>
        </w:rPr>
        <w:t>. As a result, the income and expenditure table should be prepared, where all the costs and sources of income should be described. The costs include the hiring fee, the rent of equipment, the pay of the staff, marketing and advertising expenses, catering, and other costs. The sources of revenue should be indicated, which may include ticket sales, sponsorships, fees from exhibitors, and potential grants reimbursement.</w:t>
      </w:r>
    </w:p>
    <w:p w14:paraId="3CF345C0" w14:textId="77777777" w:rsidR="009A5530" w:rsidRPr="00F26FA5" w:rsidRDefault="009A5530" w:rsidP="009A5530">
      <w:pPr>
        <w:rPr>
          <w:rFonts w:ascii="Arial" w:hAnsi="Arial" w:cs="Arial"/>
          <w:b/>
          <w:bCs/>
          <w:lang w:val="en-IN"/>
        </w:rPr>
      </w:pPr>
      <w:r w:rsidRPr="00F26FA5">
        <w:rPr>
          <w:rFonts w:ascii="Arial" w:hAnsi="Arial" w:cs="Arial"/>
          <w:b/>
          <w:bCs/>
          <w:lang w:val="en-IN"/>
        </w:rPr>
        <w:t>A hypothetical breakdown of costs and revenues might look as follows:</w:t>
      </w:r>
    </w:p>
    <w:p w14:paraId="002F6747" w14:textId="23BA9E8B" w:rsidR="003953E1" w:rsidRPr="007D2041" w:rsidRDefault="003953E1" w:rsidP="009A5530">
      <w:pPr>
        <w:rPr>
          <w:b/>
          <w:bCs/>
          <w:lang w:val="en-IN"/>
        </w:rPr>
      </w:pPr>
      <w:r w:rsidRPr="003953E1">
        <w:rPr>
          <w:b/>
          <w:bCs/>
          <w:noProof/>
          <w:lang w:val="en-IN"/>
        </w:rPr>
        <w:lastRenderedPageBreak/>
        <w:drawing>
          <wp:inline distT="0" distB="0" distL="0" distR="0" wp14:anchorId="49610E57" wp14:editId="4B413564">
            <wp:extent cx="5731510" cy="3225165"/>
            <wp:effectExtent l="0" t="0" r="2540" b="0"/>
            <wp:docPr id="5497814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781416" name=""/>
                    <pic:cNvPicPr/>
                  </pic:nvPicPr>
                  <pic:blipFill>
                    <a:blip r:embed="rId14"/>
                    <a:stretch>
                      <a:fillRect/>
                    </a:stretch>
                  </pic:blipFill>
                  <pic:spPr>
                    <a:xfrm>
                      <a:off x="0" y="0"/>
                      <a:ext cx="5731510" cy="3225165"/>
                    </a:xfrm>
                    <a:prstGeom prst="rect">
                      <a:avLst/>
                    </a:prstGeom>
                  </pic:spPr>
                </pic:pic>
              </a:graphicData>
            </a:graphic>
          </wp:inline>
        </w:drawing>
      </w:r>
    </w:p>
    <w:p w14:paraId="5BC7B815" w14:textId="77777777" w:rsidR="009A5530" w:rsidRPr="00F26FA5" w:rsidRDefault="009A5530" w:rsidP="009A5530">
      <w:pPr>
        <w:rPr>
          <w:rFonts w:ascii="Arial" w:hAnsi="Arial" w:cs="Arial"/>
          <w:b/>
          <w:bCs/>
          <w:i/>
          <w:iCs/>
          <w:lang w:val="en-IN"/>
        </w:rPr>
      </w:pPr>
      <w:r w:rsidRPr="00F26FA5">
        <w:rPr>
          <w:rFonts w:ascii="Arial" w:hAnsi="Arial" w:cs="Arial"/>
          <w:b/>
          <w:bCs/>
          <w:i/>
          <w:iCs/>
          <w:lang w:val="en-IN"/>
        </w:rPr>
        <w:t>Income</w:t>
      </w:r>
    </w:p>
    <w:p w14:paraId="17EDD599" w14:textId="77777777" w:rsidR="009A5530" w:rsidRPr="00F26FA5" w:rsidRDefault="009A5530" w:rsidP="009A5530">
      <w:pPr>
        <w:rPr>
          <w:rFonts w:ascii="Arial" w:hAnsi="Arial" w:cs="Arial"/>
          <w:lang w:val="en-IN"/>
        </w:rPr>
      </w:pPr>
      <w:r w:rsidRPr="00F26FA5">
        <w:rPr>
          <w:rFonts w:ascii="Arial" w:hAnsi="Arial" w:cs="Arial"/>
          <w:lang w:val="en-IN"/>
        </w:rPr>
        <w:t>Ticket Sales: £25,000</w:t>
      </w:r>
    </w:p>
    <w:p w14:paraId="1A280B80" w14:textId="77777777" w:rsidR="009A5530" w:rsidRPr="00F26FA5" w:rsidRDefault="009A5530" w:rsidP="009A5530">
      <w:pPr>
        <w:rPr>
          <w:rFonts w:ascii="Arial" w:hAnsi="Arial" w:cs="Arial"/>
          <w:lang w:val="en-IN"/>
        </w:rPr>
      </w:pPr>
      <w:r w:rsidRPr="00F26FA5">
        <w:rPr>
          <w:rFonts w:ascii="Arial" w:hAnsi="Arial" w:cs="Arial"/>
          <w:lang w:val="en-IN"/>
        </w:rPr>
        <w:t>Sponsorship Revenue: £15,000</w:t>
      </w:r>
    </w:p>
    <w:p w14:paraId="0D4DFAD4" w14:textId="77777777" w:rsidR="009A5530" w:rsidRPr="00F26FA5" w:rsidRDefault="009A5530" w:rsidP="009A5530">
      <w:pPr>
        <w:rPr>
          <w:rFonts w:ascii="Arial" w:hAnsi="Arial" w:cs="Arial"/>
          <w:lang w:val="en-IN"/>
        </w:rPr>
      </w:pPr>
      <w:r w:rsidRPr="00F26FA5">
        <w:rPr>
          <w:rFonts w:ascii="Arial" w:hAnsi="Arial" w:cs="Arial"/>
          <w:lang w:val="en-IN"/>
        </w:rPr>
        <w:t>Exhibitor Fees: £10,000</w:t>
      </w:r>
    </w:p>
    <w:p w14:paraId="039C5BE1" w14:textId="77777777" w:rsidR="009A5530" w:rsidRPr="00F26FA5" w:rsidRDefault="009A5530" w:rsidP="009A5530">
      <w:pPr>
        <w:rPr>
          <w:rFonts w:ascii="Arial" w:hAnsi="Arial" w:cs="Arial"/>
          <w:lang w:val="en-IN"/>
        </w:rPr>
      </w:pPr>
      <w:r w:rsidRPr="00F26FA5">
        <w:rPr>
          <w:rFonts w:ascii="Arial" w:hAnsi="Arial" w:cs="Arial"/>
          <w:lang w:val="en-IN"/>
        </w:rPr>
        <w:t>Total Income: £50,000</w:t>
      </w:r>
    </w:p>
    <w:p w14:paraId="207D7772" w14:textId="77777777" w:rsidR="009A5530" w:rsidRPr="00F26FA5" w:rsidRDefault="009A5530" w:rsidP="009A5530">
      <w:pPr>
        <w:rPr>
          <w:rFonts w:ascii="Arial" w:hAnsi="Arial" w:cs="Arial"/>
          <w:b/>
          <w:bCs/>
          <w:i/>
          <w:iCs/>
          <w:lang w:val="en-IN"/>
        </w:rPr>
      </w:pPr>
      <w:r w:rsidRPr="00F26FA5">
        <w:rPr>
          <w:rFonts w:ascii="Arial" w:hAnsi="Arial" w:cs="Arial"/>
          <w:b/>
          <w:bCs/>
          <w:i/>
          <w:iCs/>
          <w:lang w:val="en-IN"/>
        </w:rPr>
        <w:t>Expenditure</w:t>
      </w:r>
    </w:p>
    <w:p w14:paraId="085C0671" w14:textId="77777777" w:rsidR="009A5530" w:rsidRPr="00F26FA5" w:rsidRDefault="009A5530" w:rsidP="009A5530">
      <w:pPr>
        <w:rPr>
          <w:rFonts w:ascii="Arial" w:hAnsi="Arial" w:cs="Arial"/>
          <w:lang w:val="en-IN"/>
        </w:rPr>
      </w:pPr>
      <w:r w:rsidRPr="00F26FA5">
        <w:rPr>
          <w:rFonts w:ascii="Arial" w:hAnsi="Arial" w:cs="Arial"/>
          <w:lang w:val="en-IN"/>
        </w:rPr>
        <w:t>Venue Rental: £10,000</w:t>
      </w:r>
    </w:p>
    <w:p w14:paraId="4D6FCF1A" w14:textId="77777777" w:rsidR="009A5530" w:rsidRPr="00F26FA5" w:rsidRDefault="009A5530" w:rsidP="009A5530">
      <w:pPr>
        <w:rPr>
          <w:rFonts w:ascii="Arial" w:hAnsi="Arial" w:cs="Arial"/>
          <w:lang w:val="en-IN"/>
        </w:rPr>
      </w:pPr>
      <w:r w:rsidRPr="00F26FA5">
        <w:rPr>
          <w:rFonts w:ascii="Arial" w:hAnsi="Arial" w:cs="Arial"/>
          <w:lang w:val="en-IN"/>
        </w:rPr>
        <w:t>Equipment Rental: £5,000</w:t>
      </w:r>
    </w:p>
    <w:p w14:paraId="5568FF2C" w14:textId="77777777" w:rsidR="009A5530" w:rsidRPr="00F26FA5" w:rsidRDefault="009A5530" w:rsidP="009A5530">
      <w:pPr>
        <w:rPr>
          <w:rFonts w:ascii="Arial" w:hAnsi="Arial" w:cs="Arial"/>
          <w:lang w:val="en-IN"/>
        </w:rPr>
      </w:pPr>
      <w:r w:rsidRPr="00F26FA5">
        <w:rPr>
          <w:rFonts w:ascii="Arial" w:hAnsi="Arial" w:cs="Arial"/>
          <w:lang w:val="en-IN"/>
        </w:rPr>
        <w:t>Staff Wages: £8,000</w:t>
      </w:r>
    </w:p>
    <w:p w14:paraId="381215F3" w14:textId="77777777" w:rsidR="009A5530" w:rsidRPr="00F26FA5" w:rsidRDefault="009A5530" w:rsidP="009A5530">
      <w:pPr>
        <w:rPr>
          <w:rFonts w:ascii="Arial" w:hAnsi="Arial" w:cs="Arial"/>
          <w:lang w:val="en-IN"/>
        </w:rPr>
      </w:pPr>
      <w:r w:rsidRPr="00F26FA5">
        <w:rPr>
          <w:rFonts w:ascii="Arial" w:hAnsi="Arial" w:cs="Arial"/>
          <w:lang w:val="en-IN"/>
        </w:rPr>
        <w:t>Marketing Expenses: £3,000</w:t>
      </w:r>
    </w:p>
    <w:p w14:paraId="28E0D263" w14:textId="77777777" w:rsidR="009A5530" w:rsidRPr="00F26FA5" w:rsidRDefault="009A5530" w:rsidP="009A5530">
      <w:pPr>
        <w:rPr>
          <w:rFonts w:ascii="Arial" w:hAnsi="Arial" w:cs="Arial"/>
          <w:lang w:val="en-IN"/>
        </w:rPr>
      </w:pPr>
      <w:r w:rsidRPr="00F26FA5">
        <w:rPr>
          <w:rFonts w:ascii="Arial" w:hAnsi="Arial" w:cs="Arial"/>
          <w:lang w:val="en-IN"/>
        </w:rPr>
        <w:t>Catering Services: £6,000</w:t>
      </w:r>
    </w:p>
    <w:p w14:paraId="53F3E1E7" w14:textId="77777777" w:rsidR="009A5530" w:rsidRPr="00F26FA5" w:rsidRDefault="009A5530" w:rsidP="009A5530">
      <w:pPr>
        <w:rPr>
          <w:rFonts w:ascii="Arial" w:hAnsi="Arial" w:cs="Arial"/>
          <w:lang w:val="en-IN"/>
        </w:rPr>
      </w:pPr>
      <w:r w:rsidRPr="00F26FA5">
        <w:rPr>
          <w:rFonts w:ascii="Arial" w:hAnsi="Arial" w:cs="Arial"/>
          <w:lang w:val="en-IN"/>
        </w:rPr>
        <w:t>Miscellaneous Expenses: £3,000</w:t>
      </w:r>
    </w:p>
    <w:p w14:paraId="4E2E2EC3" w14:textId="77777777" w:rsidR="009A5530" w:rsidRPr="00F26FA5" w:rsidRDefault="009A5530" w:rsidP="009A5530">
      <w:pPr>
        <w:rPr>
          <w:rFonts w:ascii="Arial" w:hAnsi="Arial" w:cs="Arial"/>
          <w:lang w:val="en-IN"/>
        </w:rPr>
      </w:pPr>
      <w:r w:rsidRPr="00F26FA5">
        <w:rPr>
          <w:rFonts w:ascii="Arial" w:hAnsi="Arial" w:cs="Arial"/>
          <w:lang w:val="en-IN"/>
        </w:rPr>
        <w:lastRenderedPageBreak/>
        <w:t>Total Expenditure: £35,000</w:t>
      </w:r>
    </w:p>
    <w:p w14:paraId="5CC4D27E" w14:textId="77777777" w:rsidR="009A5530" w:rsidRPr="00F26FA5" w:rsidRDefault="009A5530" w:rsidP="009A5530">
      <w:pPr>
        <w:rPr>
          <w:rFonts w:ascii="Arial" w:hAnsi="Arial" w:cs="Arial"/>
          <w:lang w:val="en-IN"/>
        </w:rPr>
      </w:pPr>
      <w:r w:rsidRPr="00F26FA5">
        <w:rPr>
          <w:rFonts w:ascii="Arial" w:hAnsi="Arial" w:cs="Arial"/>
          <w:lang w:val="en-IN"/>
        </w:rPr>
        <w:t>Net Profit: £50,000 (Income) - £35,000 (Expenditure) = £15,000</w:t>
      </w:r>
    </w:p>
    <w:p w14:paraId="05CC1BF2" w14:textId="77777777" w:rsidR="009A5530" w:rsidRDefault="009A5530" w:rsidP="009A5530">
      <w:pPr>
        <w:rPr>
          <w:b/>
          <w:bCs/>
          <w:lang w:val="en-IN"/>
        </w:rPr>
      </w:pPr>
      <w:r w:rsidRPr="00F26FA5">
        <w:rPr>
          <w:rFonts w:ascii="Arial" w:hAnsi="Arial" w:cs="Arial"/>
          <w:b/>
          <w:bCs/>
          <w:lang w:val="en-IN"/>
        </w:rPr>
        <w:t>Funding Sources</w:t>
      </w:r>
    </w:p>
    <w:p w14:paraId="6381D9D6" w14:textId="34F9C50A" w:rsidR="009A5530" w:rsidRPr="00F26FA5" w:rsidRDefault="003953E1" w:rsidP="009A5530">
      <w:pPr>
        <w:rPr>
          <w:rFonts w:ascii="Arial" w:hAnsi="Arial" w:cs="Arial"/>
          <w:lang w:val="en-IN"/>
        </w:rPr>
      </w:pPr>
      <w:r w:rsidRPr="003953E1">
        <w:rPr>
          <w:noProof/>
        </w:rPr>
        <w:drawing>
          <wp:inline distT="0" distB="0" distL="0" distR="0" wp14:anchorId="6D08D723" wp14:editId="70795D48">
            <wp:extent cx="5731510" cy="3215640"/>
            <wp:effectExtent l="0" t="0" r="2540" b="3810"/>
            <wp:docPr id="9920091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009151" name=""/>
                    <pic:cNvPicPr/>
                  </pic:nvPicPr>
                  <pic:blipFill>
                    <a:blip r:embed="rId15"/>
                    <a:stretch>
                      <a:fillRect/>
                    </a:stretch>
                  </pic:blipFill>
                  <pic:spPr>
                    <a:xfrm>
                      <a:off x="0" y="0"/>
                      <a:ext cx="5731510" cy="3215640"/>
                    </a:xfrm>
                    <a:prstGeom prst="rect">
                      <a:avLst/>
                    </a:prstGeom>
                  </pic:spPr>
                </pic:pic>
              </a:graphicData>
            </a:graphic>
          </wp:inline>
        </w:drawing>
      </w:r>
      <w:r w:rsidR="009A5530" w:rsidRPr="00F26FA5">
        <w:rPr>
          <w:rFonts w:ascii="Arial" w:hAnsi="Arial" w:cs="Arial"/>
        </w:rPr>
        <w:t>The event’s funding can be secured through several avenues, such as: sales:</w:t>
      </w:r>
    </w:p>
    <w:p w14:paraId="078ECDC6" w14:textId="77777777" w:rsidR="009A5530" w:rsidRPr="00F26FA5" w:rsidRDefault="009A5530" w:rsidP="009A5530">
      <w:pPr>
        <w:rPr>
          <w:rFonts w:ascii="Arial" w:hAnsi="Arial" w:cs="Arial"/>
        </w:rPr>
      </w:pPr>
      <w:r w:rsidRPr="00F26FA5">
        <w:rPr>
          <w:rFonts w:ascii="Arial" w:hAnsi="Arial" w:cs="Arial"/>
          <w:b/>
          <w:bCs/>
          <w:i/>
          <w:iCs/>
        </w:rPr>
        <w:t>Ticket sales:</w:t>
      </w:r>
      <w:r w:rsidRPr="00F26FA5">
        <w:rPr>
          <w:rFonts w:ascii="Arial" w:hAnsi="Arial" w:cs="Arial"/>
        </w:rPr>
        <w:t xml:space="preserve"> Selling tickets for delegates to attend the panel as participants or audience could generate a substantial portion of the income if the event availed content and networking benefits to the public guests (</w:t>
      </w:r>
      <w:r w:rsidRPr="00F26FA5">
        <w:rPr>
          <w:rFonts w:ascii="Arial" w:hAnsi="Arial" w:cs="Arial"/>
          <w:shd w:val="clear" w:color="auto" w:fill="FFFFFF"/>
        </w:rPr>
        <w:t xml:space="preserve">Breier </w:t>
      </w:r>
      <w:r w:rsidRPr="00F26FA5">
        <w:rPr>
          <w:rFonts w:ascii="Arial" w:hAnsi="Arial" w:cs="Arial"/>
          <w:i/>
          <w:iCs/>
          <w:shd w:val="clear" w:color="auto" w:fill="FFFFFF"/>
        </w:rPr>
        <w:t>et al.,</w:t>
      </w:r>
      <w:r w:rsidRPr="00F26FA5">
        <w:rPr>
          <w:rFonts w:ascii="Arial" w:hAnsi="Arial" w:cs="Arial"/>
          <w:shd w:val="clear" w:color="auto" w:fill="FFFFFF"/>
        </w:rPr>
        <w:t xml:space="preserve"> 2021)</w:t>
      </w:r>
      <w:r w:rsidRPr="00F26FA5">
        <w:rPr>
          <w:rFonts w:ascii="Arial" w:hAnsi="Arial" w:cs="Arial"/>
        </w:rPr>
        <w:t>.</w:t>
      </w:r>
    </w:p>
    <w:p w14:paraId="0C78CF0B" w14:textId="77777777" w:rsidR="009A5530" w:rsidRPr="00F26FA5" w:rsidRDefault="009A5530" w:rsidP="009A5530">
      <w:pPr>
        <w:rPr>
          <w:rFonts w:ascii="Arial" w:hAnsi="Arial" w:cs="Arial"/>
        </w:rPr>
      </w:pPr>
      <w:r w:rsidRPr="00F26FA5">
        <w:rPr>
          <w:rFonts w:ascii="Arial" w:hAnsi="Arial" w:cs="Arial"/>
          <w:b/>
          <w:bCs/>
          <w:i/>
          <w:iCs/>
        </w:rPr>
        <w:t>Sponsorship:</w:t>
      </w:r>
      <w:r w:rsidRPr="00F26FA5">
        <w:rPr>
          <w:rFonts w:ascii="Arial" w:hAnsi="Arial" w:cs="Arial"/>
        </w:rPr>
        <w:t xml:space="preserve"> Signing sponsorship agreements with industry players would bring in financiers in exchange for branding and access to the audience during the conference.</w:t>
      </w:r>
    </w:p>
    <w:p w14:paraId="11AB8F9F" w14:textId="77777777" w:rsidR="009A5530" w:rsidRPr="00F26FA5" w:rsidRDefault="009A5530" w:rsidP="009A5530">
      <w:pPr>
        <w:rPr>
          <w:rFonts w:ascii="Arial" w:hAnsi="Arial" w:cs="Arial"/>
        </w:rPr>
      </w:pPr>
      <w:r w:rsidRPr="00F26FA5">
        <w:rPr>
          <w:rFonts w:ascii="Arial" w:hAnsi="Arial" w:cs="Arial"/>
          <w:b/>
          <w:bCs/>
          <w:i/>
          <w:iCs/>
        </w:rPr>
        <w:t>Exhibitor fees:</w:t>
      </w:r>
      <w:r w:rsidRPr="00F26FA5">
        <w:rPr>
          <w:rFonts w:ascii="Arial" w:hAnsi="Arial" w:cs="Arial"/>
        </w:rPr>
        <w:t xml:space="preserve"> Exhibit companies can reserve spaces and be charged participation fees to increase the amount of overall event funding and make the occasion eventful. Funding (</w:t>
      </w:r>
      <w:r w:rsidRPr="00F26FA5">
        <w:rPr>
          <w:rFonts w:ascii="Arial" w:hAnsi="Arial" w:cs="Arial"/>
          <w:shd w:val="clear" w:color="auto" w:fill="FFFFFF"/>
        </w:rPr>
        <w:t xml:space="preserve">Reis </w:t>
      </w:r>
      <w:r w:rsidRPr="00F26FA5">
        <w:rPr>
          <w:rFonts w:ascii="Arial" w:hAnsi="Arial" w:cs="Arial"/>
          <w:i/>
          <w:iCs/>
          <w:shd w:val="clear" w:color="auto" w:fill="FFFFFF"/>
        </w:rPr>
        <w:t xml:space="preserve">et al., </w:t>
      </w:r>
      <w:r w:rsidRPr="00F26FA5">
        <w:rPr>
          <w:rFonts w:ascii="Arial" w:hAnsi="Arial" w:cs="Arial"/>
          <w:shd w:val="clear" w:color="auto" w:fill="FFFFFF"/>
        </w:rPr>
        <w:t>2020)</w:t>
      </w:r>
      <w:r w:rsidRPr="00F26FA5">
        <w:rPr>
          <w:rFonts w:ascii="Arial" w:hAnsi="Arial" w:cs="Arial"/>
        </w:rPr>
        <w:t>.</w:t>
      </w:r>
    </w:p>
    <w:p w14:paraId="7DB18A32" w14:textId="77777777" w:rsidR="009A5530" w:rsidRPr="00F26FA5" w:rsidRDefault="009A5530" w:rsidP="009A5530">
      <w:pPr>
        <w:rPr>
          <w:rFonts w:ascii="Arial" w:hAnsi="Arial" w:cs="Arial"/>
        </w:rPr>
      </w:pPr>
      <w:r w:rsidRPr="00F26FA5">
        <w:rPr>
          <w:rFonts w:ascii="Arial" w:hAnsi="Arial" w:cs="Arial"/>
          <w:b/>
          <w:bCs/>
          <w:i/>
          <w:iCs/>
        </w:rPr>
        <w:lastRenderedPageBreak/>
        <w:t>Grants or Subsidies:</w:t>
      </w:r>
      <w:r w:rsidRPr="00F26FA5">
        <w:rPr>
          <w:rFonts w:ascii="Arial" w:hAnsi="Arial" w:cs="Arial"/>
        </w:rPr>
        <w:t xml:space="preserve"> Organizers could solicit grants or financial support from government agencies, university departments, or professional bodies to reduce the expense of hosting the event.</w:t>
      </w:r>
    </w:p>
    <w:p w14:paraId="1F0F8C4A" w14:textId="77777777" w:rsidR="009A5530" w:rsidRDefault="009A5530" w:rsidP="009A5530">
      <w:pPr>
        <w:spacing w:line="259" w:lineRule="auto"/>
        <w:jc w:val="left"/>
        <w:rPr>
          <w:lang w:val="en-IN"/>
        </w:rPr>
      </w:pPr>
      <w:r>
        <w:rPr>
          <w:lang w:val="en-IN"/>
        </w:rPr>
        <w:br w:type="page"/>
      </w:r>
    </w:p>
    <w:p w14:paraId="3285AA8E" w14:textId="77777777" w:rsidR="009A5530" w:rsidRDefault="009A5530" w:rsidP="00F26FA5">
      <w:pPr>
        <w:pStyle w:val="Heading1"/>
      </w:pPr>
      <w:r>
        <w:lastRenderedPageBreak/>
        <w:t>Conclusion</w:t>
      </w:r>
    </w:p>
    <w:p w14:paraId="320F4079" w14:textId="2A5851A6" w:rsidR="009A5530" w:rsidRDefault="003953E1" w:rsidP="009A5530">
      <w:r w:rsidRPr="003953E1">
        <w:rPr>
          <w:noProof/>
        </w:rPr>
        <w:drawing>
          <wp:inline distT="0" distB="0" distL="0" distR="0" wp14:anchorId="19411DDB" wp14:editId="2E7FB505">
            <wp:extent cx="5731510" cy="3238500"/>
            <wp:effectExtent l="0" t="0" r="2540" b="0"/>
            <wp:docPr id="424595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59585" name=""/>
                    <pic:cNvPicPr/>
                  </pic:nvPicPr>
                  <pic:blipFill>
                    <a:blip r:embed="rId16"/>
                    <a:stretch>
                      <a:fillRect/>
                    </a:stretch>
                  </pic:blipFill>
                  <pic:spPr>
                    <a:xfrm>
                      <a:off x="0" y="0"/>
                      <a:ext cx="5731510" cy="3238500"/>
                    </a:xfrm>
                    <a:prstGeom prst="rect">
                      <a:avLst/>
                    </a:prstGeom>
                  </pic:spPr>
                </pic:pic>
              </a:graphicData>
            </a:graphic>
          </wp:inline>
        </w:drawing>
      </w:r>
      <w:r w:rsidR="009A5530" w:rsidRPr="00F26FA5">
        <w:rPr>
          <w:rFonts w:ascii="Arial" w:hAnsi="Arial" w:cs="Arial"/>
        </w:rPr>
        <w:t>The examination of market factors, operational logistics, as well as the financial planning clearly indicate the feasibility and strategic impact of the Technology and Innovation within the Hospitality Sector. This focus allows identifying critical points where the organizers should be prepared for challenges, make the most of available resources and possibilities. Having a solid comprehension of this contention, the future event appears to be very promising and offer valuable knowledge, networking and the increase of technology adoption in the industry</w:t>
      </w:r>
      <w:r w:rsidR="009A5530">
        <w:t>.</w:t>
      </w:r>
    </w:p>
    <w:p w14:paraId="0E292AF1" w14:textId="77777777" w:rsidR="009A5530" w:rsidRDefault="009A5530" w:rsidP="009A5530">
      <w:pPr>
        <w:spacing w:line="259" w:lineRule="auto"/>
        <w:jc w:val="left"/>
      </w:pPr>
      <w:r>
        <w:br w:type="page"/>
      </w:r>
    </w:p>
    <w:p w14:paraId="5C610FE1" w14:textId="77777777" w:rsidR="009A5530" w:rsidRDefault="009A5530" w:rsidP="00F26FA5">
      <w:pPr>
        <w:pStyle w:val="Heading1"/>
      </w:pPr>
      <w:r>
        <w:lastRenderedPageBreak/>
        <w:t>References</w:t>
      </w:r>
    </w:p>
    <w:p w14:paraId="3A96995A" w14:textId="25B0CE4F" w:rsidR="003953E1" w:rsidRPr="003953E1" w:rsidRDefault="003953E1" w:rsidP="003953E1">
      <w:pPr>
        <w:rPr>
          <w:lang w:val="en-IN"/>
        </w:rPr>
      </w:pPr>
      <w:r w:rsidRPr="003953E1">
        <w:rPr>
          <w:noProof/>
          <w:lang w:val="en-IN"/>
        </w:rPr>
        <w:drawing>
          <wp:inline distT="0" distB="0" distL="0" distR="0" wp14:anchorId="0AE76FB0" wp14:editId="4F1A13D1">
            <wp:extent cx="5731510" cy="3224530"/>
            <wp:effectExtent l="0" t="0" r="2540" b="0"/>
            <wp:docPr id="4362175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217563" name=""/>
                    <pic:cNvPicPr/>
                  </pic:nvPicPr>
                  <pic:blipFill>
                    <a:blip r:embed="rId17"/>
                    <a:stretch>
                      <a:fillRect/>
                    </a:stretch>
                  </pic:blipFill>
                  <pic:spPr>
                    <a:xfrm>
                      <a:off x="0" y="0"/>
                      <a:ext cx="5731510" cy="3224530"/>
                    </a:xfrm>
                    <a:prstGeom prst="rect">
                      <a:avLst/>
                    </a:prstGeom>
                  </pic:spPr>
                </pic:pic>
              </a:graphicData>
            </a:graphic>
          </wp:inline>
        </w:drawing>
      </w:r>
    </w:p>
    <w:p w14:paraId="12AB0AA6" w14:textId="77777777" w:rsidR="009A5530" w:rsidRDefault="009A5530" w:rsidP="009A5530">
      <w:pPr>
        <w:rPr>
          <w:shd w:val="clear" w:color="auto" w:fill="FFFFFF"/>
        </w:rPr>
      </w:pPr>
      <w:r>
        <w:rPr>
          <w:shd w:val="clear" w:color="auto" w:fill="FFFFFF"/>
        </w:rPr>
        <w:t xml:space="preserve">Breier, M., </w:t>
      </w:r>
      <w:proofErr w:type="spellStart"/>
      <w:r>
        <w:rPr>
          <w:shd w:val="clear" w:color="auto" w:fill="FFFFFF"/>
        </w:rPr>
        <w:t>Kallmuenzer</w:t>
      </w:r>
      <w:proofErr w:type="spellEnd"/>
      <w:r>
        <w:rPr>
          <w:shd w:val="clear" w:color="auto" w:fill="FFFFFF"/>
        </w:rPr>
        <w:t>, A., Clauss, T., Gast, J., Kraus, S. and Tiberius, V., (2021). The role of business model innovation in the hospitality industry during the COVID-19 crisis. </w:t>
      </w:r>
      <w:r>
        <w:rPr>
          <w:i/>
          <w:iCs/>
          <w:shd w:val="clear" w:color="auto" w:fill="FFFFFF"/>
        </w:rPr>
        <w:t>International Journal of Hospitality Management</w:t>
      </w:r>
      <w:r>
        <w:rPr>
          <w:shd w:val="clear" w:color="auto" w:fill="FFFFFF"/>
        </w:rPr>
        <w:t>, </w:t>
      </w:r>
      <w:r>
        <w:rPr>
          <w:i/>
          <w:iCs/>
          <w:shd w:val="clear" w:color="auto" w:fill="FFFFFF"/>
        </w:rPr>
        <w:t>92</w:t>
      </w:r>
      <w:r>
        <w:rPr>
          <w:shd w:val="clear" w:color="auto" w:fill="FFFFFF"/>
        </w:rPr>
        <w:t>, p.102723.</w:t>
      </w:r>
    </w:p>
    <w:p w14:paraId="46C448F6" w14:textId="77777777" w:rsidR="009A5530" w:rsidRPr="00053C58" w:rsidRDefault="009A5530" w:rsidP="009A5530">
      <w:pPr>
        <w:rPr>
          <w:lang w:val="en-IN"/>
        </w:rPr>
      </w:pPr>
      <w:r>
        <w:rPr>
          <w:shd w:val="clear" w:color="auto" w:fill="FFFFFF"/>
        </w:rPr>
        <w:t>Dimitrios, B., Christos, P., Ioannis, R. and Vasiliadis, L., (2020). Strategic management in the hotel industry: proposed strategic practices to recover from COVID-19 global crisis. </w:t>
      </w:r>
      <w:r>
        <w:rPr>
          <w:i/>
          <w:iCs/>
          <w:shd w:val="clear" w:color="auto" w:fill="FFFFFF"/>
        </w:rPr>
        <w:t>Academic Journal of Interdisciplinary Studies</w:t>
      </w:r>
      <w:r>
        <w:rPr>
          <w:shd w:val="clear" w:color="auto" w:fill="FFFFFF"/>
        </w:rPr>
        <w:t>, </w:t>
      </w:r>
      <w:r>
        <w:rPr>
          <w:i/>
          <w:iCs/>
          <w:shd w:val="clear" w:color="auto" w:fill="FFFFFF"/>
        </w:rPr>
        <w:t>9</w:t>
      </w:r>
      <w:r>
        <w:rPr>
          <w:shd w:val="clear" w:color="auto" w:fill="FFFFFF"/>
        </w:rPr>
        <w:t>(6), pp.130-130.</w:t>
      </w:r>
    </w:p>
    <w:p w14:paraId="732FEA38" w14:textId="77777777" w:rsidR="009A5530" w:rsidRDefault="009A5530" w:rsidP="009A5530">
      <w:pPr>
        <w:rPr>
          <w:shd w:val="clear" w:color="auto" w:fill="FFFFFF"/>
        </w:rPr>
      </w:pPr>
      <w:proofErr w:type="spellStart"/>
      <w:r>
        <w:rPr>
          <w:shd w:val="clear" w:color="auto" w:fill="FFFFFF"/>
        </w:rPr>
        <w:t>Ezzaouia</w:t>
      </w:r>
      <w:proofErr w:type="spellEnd"/>
      <w:r>
        <w:rPr>
          <w:shd w:val="clear" w:color="auto" w:fill="FFFFFF"/>
        </w:rPr>
        <w:t xml:space="preserve">, I. and </w:t>
      </w:r>
      <w:proofErr w:type="spellStart"/>
      <w:r>
        <w:rPr>
          <w:shd w:val="clear" w:color="auto" w:fill="FFFFFF"/>
        </w:rPr>
        <w:t>Bulchand-Gidumal</w:t>
      </w:r>
      <w:proofErr w:type="spellEnd"/>
      <w:r>
        <w:rPr>
          <w:shd w:val="clear" w:color="auto" w:fill="FFFFFF"/>
        </w:rPr>
        <w:t>, J., (2020). Factors influencing the adoption of information technology in the hotel industry. An analysis in a developing country. </w:t>
      </w:r>
      <w:r>
        <w:rPr>
          <w:i/>
          <w:iCs/>
          <w:shd w:val="clear" w:color="auto" w:fill="FFFFFF"/>
        </w:rPr>
        <w:t>Tourism Management Perspectives</w:t>
      </w:r>
      <w:r>
        <w:rPr>
          <w:shd w:val="clear" w:color="auto" w:fill="FFFFFF"/>
        </w:rPr>
        <w:t>, </w:t>
      </w:r>
      <w:r>
        <w:rPr>
          <w:i/>
          <w:iCs/>
          <w:shd w:val="clear" w:color="auto" w:fill="FFFFFF"/>
        </w:rPr>
        <w:t>34</w:t>
      </w:r>
      <w:r>
        <w:rPr>
          <w:shd w:val="clear" w:color="auto" w:fill="FFFFFF"/>
        </w:rPr>
        <w:t>, p.100675.</w:t>
      </w:r>
    </w:p>
    <w:p w14:paraId="103952EB" w14:textId="77777777" w:rsidR="009A5530" w:rsidRDefault="009A5530" w:rsidP="009A5530">
      <w:pPr>
        <w:rPr>
          <w:shd w:val="clear" w:color="auto" w:fill="FFFFFF"/>
        </w:rPr>
      </w:pPr>
      <w:proofErr w:type="spellStart"/>
      <w:r>
        <w:rPr>
          <w:shd w:val="clear" w:color="auto" w:fill="FFFFFF"/>
        </w:rPr>
        <w:t>Filimonau</w:t>
      </w:r>
      <w:proofErr w:type="spellEnd"/>
      <w:r>
        <w:rPr>
          <w:shd w:val="clear" w:color="auto" w:fill="FFFFFF"/>
        </w:rPr>
        <w:t>, V. and Naumova, E., (2020). The blockchain technology and the scope of its application in hospitality operations. </w:t>
      </w:r>
      <w:r>
        <w:rPr>
          <w:i/>
          <w:iCs/>
          <w:shd w:val="clear" w:color="auto" w:fill="FFFFFF"/>
        </w:rPr>
        <w:t>International Journal of Hospitality Management</w:t>
      </w:r>
      <w:r>
        <w:rPr>
          <w:shd w:val="clear" w:color="auto" w:fill="FFFFFF"/>
        </w:rPr>
        <w:t>, </w:t>
      </w:r>
      <w:r>
        <w:rPr>
          <w:i/>
          <w:iCs/>
          <w:shd w:val="clear" w:color="auto" w:fill="FFFFFF"/>
        </w:rPr>
        <w:t>87</w:t>
      </w:r>
      <w:r>
        <w:rPr>
          <w:shd w:val="clear" w:color="auto" w:fill="FFFFFF"/>
        </w:rPr>
        <w:t>, p.102383.</w:t>
      </w:r>
    </w:p>
    <w:p w14:paraId="022EBC7E" w14:textId="77777777" w:rsidR="009A5530" w:rsidRDefault="009A5530" w:rsidP="009A5530">
      <w:pPr>
        <w:rPr>
          <w:shd w:val="clear" w:color="auto" w:fill="FFFFFF"/>
        </w:rPr>
      </w:pPr>
      <w:r>
        <w:rPr>
          <w:shd w:val="clear" w:color="auto" w:fill="FFFFFF"/>
        </w:rPr>
        <w:lastRenderedPageBreak/>
        <w:t>González-González, T. and García-Almeida, D.J., (2021). Frontline employee-driven innovation through suggestions in hospitality firms: The role of the employee’s creativity, knowledge, and motivation. </w:t>
      </w:r>
      <w:r>
        <w:rPr>
          <w:i/>
          <w:iCs/>
          <w:shd w:val="clear" w:color="auto" w:fill="FFFFFF"/>
        </w:rPr>
        <w:t>International Journal of Hospitality Management</w:t>
      </w:r>
      <w:r>
        <w:rPr>
          <w:shd w:val="clear" w:color="auto" w:fill="FFFFFF"/>
        </w:rPr>
        <w:t>, </w:t>
      </w:r>
      <w:r>
        <w:rPr>
          <w:i/>
          <w:iCs/>
          <w:shd w:val="clear" w:color="auto" w:fill="FFFFFF"/>
        </w:rPr>
        <w:t>94</w:t>
      </w:r>
      <w:r>
        <w:rPr>
          <w:shd w:val="clear" w:color="auto" w:fill="FFFFFF"/>
        </w:rPr>
        <w:t>, p.102877.</w:t>
      </w:r>
    </w:p>
    <w:p w14:paraId="5601ED50" w14:textId="77777777" w:rsidR="009A5530" w:rsidRDefault="009A5530" w:rsidP="009A5530">
      <w:pPr>
        <w:rPr>
          <w:shd w:val="clear" w:color="auto" w:fill="FFFFFF"/>
        </w:rPr>
      </w:pPr>
      <w:r>
        <w:rPr>
          <w:shd w:val="clear" w:color="auto" w:fill="FFFFFF"/>
        </w:rPr>
        <w:t>Hemmington, N. and Neill, L., (2022). Hospitality business longevity under COVID-19: The impact of COVID-19 on New Zealand’s hospitality industry. </w:t>
      </w:r>
      <w:r>
        <w:rPr>
          <w:i/>
          <w:iCs/>
          <w:shd w:val="clear" w:color="auto" w:fill="FFFFFF"/>
        </w:rPr>
        <w:t>Tourism and Hospitality Research</w:t>
      </w:r>
      <w:r>
        <w:rPr>
          <w:shd w:val="clear" w:color="auto" w:fill="FFFFFF"/>
        </w:rPr>
        <w:t>, </w:t>
      </w:r>
      <w:r>
        <w:rPr>
          <w:i/>
          <w:iCs/>
          <w:shd w:val="clear" w:color="auto" w:fill="FFFFFF"/>
        </w:rPr>
        <w:t>22</w:t>
      </w:r>
      <w:r>
        <w:rPr>
          <w:shd w:val="clear" w:color="auto" w:fill="FFFFFF"/>
        </w:rPr>
        <w:t>(1), pp.102-114.</w:t>
      </w:r>
    </w:p>
    <w:p w14:paraId="22F9F11B" w14:textId="77777777" w:rsidR="009A5530" w:rsidRDefault="009A5530" w:rsidP="009A5530">
      <w:pPr>
        <w:rPr>
          <w:shd w:val="clear" w:color="auto" w:fill="FFFFFF"/>
        </w:rPr>
      </w:pPr>
      <w:r>
        <w:rPr>
          <w:shd w:val="clear" w:color="auto" w:fill="FFFFFF"/>
        </w:rPr>
        <w:t xml:space="preserve">Karatepe, O.M., </w:t>
      </w:r>
      <w:proofErr w:type="spellStart"/>
      <w:r>
        <w:rPr>
          <w:shd w:val="clear" w:color="auto" w:fill="FFFFFF"/>
        </w:rPr>
        <w:t>Aboramadan</w:t>
      </w:r>
      <w:proofErr w:type="spellEnd"/>
      <w:r>
        <w:rPr>
          <w:shd w:val="clear" w:color="auto" w:fill="FFFFFF"/>
        </w:rPr>
        <w:t xml:space="preserve">, M. and </w:t>
      </w:r>
      <w:proofErr w:type="spellStart"/>
      <w:r>
        <w:rPr>
          <w:shd w:val="clear" w:color="auto" w:fill="FFFFFF"/>
        </w:rPr>
        <w:t>Dahleez</w:t>
      </w:r>
      <w:proofErr w:type="spellEnd"/>
      <w:r>
        <w:rPr>
          <w:shd w:val="clear" w:color="auto" w:fill="FFFFFF"/>
        </w:rPr>
        <w:t xml:space="preserve">, K.A., (2020). Does climate for creativity mediate the impact of servant leadership on management innovation and innovative </w:t>
      </w:r>
      <w:proofErr w:type="spellStart"/>
      <w:r>
        <w:rPr>
          <w:shd w:val="clear" w:color="auto" w:fill="FFFFFF"/>
        </w:rPr>
        <w:t>behavior</w:t>
      </w:r>
      <w:proofErr w:type="spellEnd"/>
      <w:r>
        <w:rPr>
          <w:shd w:val="clear" w:color="auto" w:fill="FFFFFF"/>
        </w:rPr>
        <w:t xml:space="preserve"> in the hotel </w:t>
      </w:r>
      <w:proofErr w:type="gramStart"/>
      <w:r>
        <w:rPr>
          <w:shd w:val="clear" w:color="auto" w:fill="FFFFFF"/>
        </w:rPr>
        <w:t>industry?.</w:t>
      </w:r>
      <w:proofErr w:type="gramEnd"/>
      <w:r>
        <w:rPr>
          <w:shd w:val="clear" w:color="auto" w:fill="FFFFFF"/>
        </w:rPr>
        <w:t> </w:t>
      </w:r>
      <w:r>
        <w:rPr>
          <w:i/>
          <w:iCs/>
          <w:shd w:val="clear" w:color="auto" w:fill="FFFFFF"/>
        </w:rPr>
        <w:t>International Journal of Contemporary Hospitality Management</w:t>
      </w:r>
      <w:r>
        <w:rPr>
          <w:shd w:val="clear" w:color="auto" w:fill="FFFFFF"/>
        </w:rPr>
        <w:t>, </w:t>
      </w:r>
      <w:r>
        <w:rPr>
          <w:i/>
          <w:iCs/>
          <w:shd w:val="clear" w:color="auto" w:fill="FFFFFF"/>
        </w:rPr>
        <w:t>32</w:t>
      </w:r>
      <w:r>
        <w:rPr>
          <w:shd w:val="clear" w:color="auto" w:fill="FFFFFF"/>
        </w:rPr>
        <w:t>(8), pp.2497-2517.</w:t>
      </w:r>
    </w:p>
    <w:p w14:paraId="69A35785" w14:textId="77777777" w:rsidR="009A5530" w:rsidRDefault="009A5530" w:rsidP="009A5530">
      <w:pPr>
        <w:rPr>
          <w:shd w:val="clear" w:color="auto" w:fill="FFFFFF"/>
        </w:rPr>
      </w:pPr>
      <w:r>
        <w:rPr>
          <w:shd w:val="clear" w:color="auto" w:fill="FFFFFF"/>
        </w:rPr>
        <w:t>McCartney, G. and McCartney, A., (2020). Rise of the machines: towards a conceptual service-robot research framework for the hospitality and tourism industry. </w:t>
      </w:r>
      <w:r>
        <w:rPr>
          <w:i/>
          <w:iCs/>
          <w:shd w:val="clear" w:color="auto" w:fill="FFFFFF"/>
        </w:rPr>
        <w:t>International Journal of Contemporary Hospitality Management</w:t>
      </w:r>
      <w:r>
        <w:rPr>
          <w:shd w:val="clear" w:color="auto" w:fill="FFFFFF"/>
        </w:rPr>
        <w:t>, </w:t>
      </w:r>
      <w:r>
        <w:rPr>
          <w:i/>
          <w:iCs/>
          <w:shd w:val="clear" w:color="auto" w:fill="FFFFFF"/>
        </w:rPr>
        <w:t>32</w:t>
      </w:r>
      <w:r>
        <w:rPr>
          <w:shd w:val="clear" w:color="auto" w:fill="FFFFFF"/>
        </w:rPr>
        <w:t>(12), pp.3835-3851.</w:t>
      </w:r>
    </w:p>
    <w:p w14:paraId="3A618ACB" w14:textId="77777777" w:rsidR="009A5530" w:rsidRDefault="009A5530" w:rsidP="009A5530">
      <w:pPr>
        <w:rPr>
          <w:shd w:val="clear" w:color="auto" w:fill="FFFFFF"/>
        </w:rPr>
      </w:pPr>
      <w:proofErr w:type="spellStart"/>
      <w:r>
        <w:rPr>
          <w:shd w:val="clear" w:color="auto" w:fill="FFFFFF"/>
        </w:rPr>
        <w:t>Pateli</w:t>
      </w:r>
      <w:proofErr w:type="spellEnd"/>
      <w:r>
        <w:rPr>
          <w:shd w:val="clear" w:color="auto" w:fill="FFFFFF"/>
        </w:rPr>
        <w:t>, A., Mylonas, N. and Spyrou, A., (2020). Organizational adoption of social media in the hospitality industry: An integrated approach based on DIT and TOE frameworks. </w:t>
      </w:r>
      <w:r>
        <w:rPr>
          <w:i/>
          <w:iCs/>
          <w:shd w:val="clear" w:color="auto" w:fill="FFFFFF"/>
        </w:rPr>
        <w:t>Sustainability</w:t>
      </w:r>
      <w:r>
        <w:rPr>
          <w:shd w:val="clear" w:color="auto" w:fill="FFFFFF"/>
        </w:rPr>
        <w:t>, </w:t>
      </w:r>
      <w:r>
        <w:rPr>
          <w:i/>
          <w:iCs/>
          <w:shd w:val="clear" w:color="auto" w:fill="FFFFFF"/>
        </w:rPr>
        <w:t>12</w:t>
      </w:r>
      <w:r>
        <w:rPr>
          <w:shd w:val="clear" w:color="auto" w:fill="FFFFFF"/>
        </w:rPr>
        <w:t>(17), p.7132.</w:t>
      </w:r>
    </w:p>
    <w:p w14:paraId="4B1662CA" w14:textId="77777777" w:rsidR="009A5530" w:rsidRDefault="009A5530" w:rsidP="009A5530">
      <w:pPr>
        <w:rPr>
          <w:shd w:val="clear" w:color="auto" w:fill="FFFFFF"/>
        </w:rPr>
      </w:pPr>
      <w:r>
        <w:rPr>
          <w:shd w:val="clear" w:color="auto" w:fill="FFFFFF"/>
        </w:rPr>
        <w:t xml:space="preserve">Reis, J., </w:t>
      </w:r>
      <w:proofErr w:type="spellStart"/>
      <w:r>
        <w:rPr>
          <w:shd w:val="clear" w:color="auto" w:fill="FFFFFF"/>
        </w:rPr>
        <w:t>Melão</w:t>
      </w:r>
      <w:proofErr w:type="spellEnd"/>
      <w:r>
        <w:rPr>
          <w:shd w:val="clear" w:color="auto" w:fill="FFFFFF"/>
        </w:rPr>
        <w:t xml:space="preserve">, N., </w:t>
      </w:r>
      <w:proofErr w:type="spellStart"/>
      <w:r>
        <w:rPr>
          <w:shd w:val="clear" w:color="auto" w:fill="FFFFFF"/>
        </w:rPr>
        <w:t>Salvadorinho</w:t>
      </w:r>
      <w:proofErr w:type="spellEnd"/>
      <w:r>
        <w:rPr>
          <w:shd w:val="clear" w:color="auto" w:fill="FFFFFF"/>
        </w:rPr>
        <w:t>, J., Soares, B. and Rosete, A., (2020). Service robots in the hospitality industry: The case of Henn-</w:t>
      </w:r>
      <w:proofErr w:type="spellStart"/>
      <w:r>
        <w:rPr>
          <w:shd w:val="clear" w:color="auto" w:fill="FFFFFF"/>
        </w:rPr>
        <w:t>na</w:t>
      </w:r>
      <w:proofErr w:type="spellEnd"/>
      <w:r>
        <w:rPr>
          <w:shd w:val="clear" w:color="auto" w:fill="FFFFFF"/>
        </w:rPr>
        <w:t xml:space="preserve"> hotel, Japan. </w:t>
      </w:r>
      <w:r>
        <w:rPr>
          <w:i/>
          <w:iCs/>
          <w:shd w:val="clear" w:color="auto" w:fill="FFFFFF"/>
        </w:rPr>
        <w:t>Technology in Society</w:t>
      </w:r>
      <w:r>
        <w:rPr>
          <w:shd w:val="clear" w:color="auto" w:fill="FFFFFF"/>
        </w:rPr>
        <w:t>, </w:t>
      </w:r>
      <w:r>
        <w:rPr>
          <w:i/>
          <w:iCs/>
          <w:shd w:val="clear" w:color="auto" w:fill="FFFFFF"/>
        </w:rPr>
        <w:t>63</w:t>
      </w:r>
      <w:r>
        <w:rPr>
          <w:shd w:val="clear" w:color="auto" w:fill="FFFFFF"/>
        </w:rPr>
        <w:t>, p.101423.</w:t>
      </w:r>
    </w:p>
    <w:p w14:paraId="34D8BF71" w14:textId="77777777" w:rsidR="009A5530" w:rsidRPr="001E39FA" w:rsidRDefault="009A5530" w:rsidP="009A5530">
      <w:pPr>
        <w:rPr>
          <w:lang w:val="en-IN"/>
        </w:rPr>
      </w:pPr>
    </w:p>
    <w:p w14:paraId="7A3526A4" w14:textId="77777777" w:rsidR="009A5530" w:rsidRPr="00AE7EEA" w:rsidRDefault="009A5530" w:rsidP="009A5530">
      <w:pPr>
        <w:rPr>
          <w:lang w:val="en-IN"/>
        </w:rPr>
      </w:pPr>
    </w:p>
    <w:p w14:paraId="6418648D" w14:textId="77777777" w:rsidR="009A5530" w:rsidRPr="00EF2F7C" w:rsidRDefault="009A5530" w:rsidP="009A5530">
      <w:pPr>
        <w:rPr>
          <w:lang w:val="en-IN"/>
        </w:rPr>
      </w:pPr>
    </w:p>
    <w:p w14:paraId="16D6628C" w14:textId="77777777" w:rsidR="009A5530" w:rsidRPr="00A4572D" w:rsidRDefault="009A5530" w:rsidP="009A5530">
      <w:pPr>
        <w:rPr>
          <w:lang w:val="en-IN"/>
        </w:rPr>
      </w:pPr>
    </w:p>
    <w:p w14:paraId="398F48DC" w14:textId="77777777" w:rsidR="009A5530" w:rsidRPr="00463730" w:rsidRDefault="009A5530" w:rsidP="009A5530">
      <w:pPr>
        <w:rPr>
          <w:lang w:val="en-IN"/>
        </w:rPr>
      </w:pPr>
    </w:p>
    <w:p w14:paraId="48EAFC02" w14:textId="77777777" w:rsidR="009A5530" w:rsidRDefault="009A5530" w:rsidP="009A5530">
      <w:pPr>
        <w:rPr>
          <w:lang w:val="en-IN"/>
        </w:rPr>
      </w:pPr>
    </w:p>
    <w:p w14:paraId="79D2BBA1" w14:textId="77777777" w:rsidR="009A5530" w:rsidRPr="00D6311C" w:rsidRDefault="009A5530" w:rsidP="009A5530">
      <w:pPr>
        <w:rPr>
          <w:b/>
          <w:bCs/>
          <w:lang w:val="en-IN"/>
        </w:rPr>
      </w:pPr>
    </w:p>
    <w:p w14:paraId="5149694D" w14:textId="77777777" w:rsidR="00CD3FD0" w:rsidRDefault="00CD3FD0"/>
    <w:sectPr w:rsidR="00CD3FD0" w:rsidSect="00931CDB">
      <w:headerReference w:type="default" r:id="rId18"/>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44DAF2" w14:textId="77777777" w:rsidR="00931CDB" w:rsidRDefault="00931CDB" w:rsidP="00CC38B3">
      <w:pPr>
        <w:spacing w:after="0" w:line="240" w:lineRule="auto"/>
      </w:pPr>
      <w:r>
        <w:separator/>
      </w:r>
    </w:p>
  </w:endnote>
  <w:endnote w:type="continuationSeparator" w:id="0">
    <w:p w14:paraId="7F4853B3" w14:textId="77777777" w:rsidR="00931CDB" w:rsidRDefault="00931CDB" w:rsidP="00CC38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12606094"/>
      <w:docPartObj>
        <w:docPartGallery w:val="Page Numbers (Bottom of Page)"/>
        <w:docPartUnique/>
      </w:docPartObj>
    </w:sdtPr>
    <w:sdtContent>
      <w:sdt>
        <w:sdtPr>
          <w:id w:val="-1769616900"/>
          <w:docPartObj>
            <w:docPartGallery w:val="Page Numbers (Top of Page)"/>
            <w:docPartUnique/>
          </w:docPartObj>
        </w:sdtPr>
        <w:sdtContent>
          <w:p w14:paraId="5B63C8D6" w14:textId="77777777" w:rsidR="005637E6"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1E1CA39E" w14:textId="77777777" w:rsidR="005637E6" w:rsidRDefault="005637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0E178A" w14:textId="77777777" w:rsidR="00931CDB" w:rsidRDefault="00931CDB" w:rsidP="00CC38B3">
      <w:pPr>
        <w:spacing w:after="0" w:line="240" w:lineRule="auto"/>
      </w:pPr>
      <w:r>
        <w:separator/>
      </w:r>
    </w:p>
  </w:footnote>
  <w:footnote w:type="continuationSeparator" w:id="0">
    <w:p w14:paraId="6D9B73FF" w14:textId="77777777" w:rsidR="00931CDB" w:rsidRDefault="00931CDB" w:rsidP="00CC38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7506B4" w14:textId="19E9C039" w:rsidR="005637E6" w:rsidRDefault="00000000">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0657E8"/>
    <w:multiLevelType w:val="hybridMultilevel"/>
    <w:tmpl w:val="548878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BA51AB3"/>
    <w:multiLevelType w:val="hybridMultilevel"/>
    <w:tmpl w:val="04BCE4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2947034"/>
    <w:multiLevelType w:val="hybridMultilevel"/>
    <w:tmpl w:val="94982E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3FC5F15"/>
    <w:multiLevelType w:val="hybridMultilevel"/>
    <w:tmpl w:val="FAD8D5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CC8527E"/>
    <w:multiLevelType w:val="hybridMultilevel"/>
    <w:tmpl w:val="FB547A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16A5AA3"/>
    <w:multiLevelType w:val="hybridMultilevel"/>
    <w:tmpl w:val="C8642F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790B7BC3"/>
    <w:multiLevelType w:val="hybridMultilevel"/>
    <w:tmpl w:val="512C5D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886064991">
    <w:abstractNumId w:val="3"/>
  </w:num>
  <w:num w:numId="2" w16cid:durableId="1035620101">
    <w:abstractNumId w:val="2"/>
  </w:num>
  <w:num w:numId="3" w16cid:durableId="494221366">
    <w:abstractNumId w:val="1"/>
  </w:num>
  <w:num w:numId="4" w16cid:durableId="1361668001">
    <w:abstractNumId w:val="5"/>
  </w:num>
  <w:num w:numId="5" w16cid:durableId="840699933">
    <w:abstractNumId w:val="4"/>
  </w:num>
  <w:num w:numId="6" w16cid:durableId="323437888">
    <w:abstractNumId w:val="6"/>
  </w:num>
  <w:num w:numId="7" w16cid:durableId="3315724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6D74"/>
    <w:rsid w:val="0008383A"/>
    <w:rsid w:val="00150B4A"/>
    <w:rsid w:val="00291149"/>
    <w:rsid w:val="002B58D1"/>
    <w:rsid w:val="002E7B7C"/>
    <w:rsid w:val="003953E1"/>
    <w:rsid w:val="005637E6"/>
    <w:rsid w:val="00596D74"/>
    <w:rsid w:val="005D4803"/>
    <w:rsid w:val="006212CB"/>
    <w:rsid w:val="00660A9A"/>
    <w:rsid w:val="006B2106"/>
    <w:rsid w:val="00775D14"/>
    <w:rsid w:val="00777107"/>
    <w:rsid w:val="007B199C"/>
    <w:rsid w:val="008622BA"/>
    <w:rsid w:val="008D446F"/>
    <w:rsid w:val="008F06D5"/>
    <w:rsid w:val="009239F8"/>
    <w:rsid w:val="00931CDB"/>
    <w:rsid w:val="009A5530"/>
    <w:rsid w:val="00A80C0B"/>
    <w:rsid w:val="00AA5EB6"/>
    <w:rsid w:val="00B6623B"/>
    <w:rsid w:val="00B94101"/>
    <w:rsid w:val="00CC38B3"/>
    <w:rsid w:val="00CD3FD0"/>
    <w:rsid w:val="00D27C79"/>
    <w:rsid w:val="00DC5F83"/>
    <w:rsid w:val="00EF0267"/>
    <w:rsid w:val="00F26FA5"/>
    <w:rsid w:val="00FD34F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07EEB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5530"/>
    <w:pPr>
      <w:spacing w:line="48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autoRedefine/>
    <w:uiPriority w:val="9"/>
    <w:qFormat/>
    <w:rsid w:val="00F26FA5"/>
    <w:pPr>
      <w:keepNext/>
      <w:keepLines/>
      <w:spacing w:before="240" w:after="0"/>
      <w:outlineLvl w:val="0"/>
    </w:pPr>
    <w:rPr>
      <w:rFonts w:ascii="Arial" w:eastAsiaTheme="majorEastAsia" w:hAnsi="Arial" w:cs="Arial"/>
      <w:b/>
      <w:color w:val="000000" w:themeColor="text1"/>
      <w:kern w:val="2"/>
      <w:sz w:val="28"/>
      <w:szCs w:val="32"/>
      <w:lang w:val="en-IN"/>
      <w14:ligatures w14:val="standardContextual"/>
    </w:rPr>
  </w:style>
  <w:style w:type="paragraph" w:styleId="Heading2">
    <w:name w:val="heading 2"/>
    <w:basedOn w:val="Normal"/>
    <w:next w:val="Normal"/>
    <w:link w:val="Heading2Char"/>
    <w:autoRedefine/>
    <w:rsid w:val="00291149"/>
    <w:pPr>
      <w:keepNext/>
      <w:keepLines/>
      <w:spacing w:before="360" w:after="120"/>
      <w:outlineLvl w:val="1"/>
    </w:pPr>
    <w:rPr>
      <w:rFonts w:cs="Times New Roman"/>
      <w:b/>
      <w:bCs/>
      <w:sz w:val="26"/>
      <w:szCs w:val="24"/>
    </w:rPr>
  </w:style>
  <w:style w:type="paragraph" w:styleId="Heading3">
    <w:name w:val="heading 3"/>
    <w:basedOn w:val="Normal"/>
    <w:next w:val="Normal"/>
    <w:link w:val="Heading3Char"/>
    <w:autoRedefine/>
    <w:uiPriority w:val="9"/>
    <w:unhideWhenUsed/>
    <w:qFormat/>
    <w:rsid w:val="002E7B7C"/>
    <w:pPr>
      <w:keepNext/>
      <w:keepLines/>
      <w:spacing w:before="40" w:after="0"/>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6FA5"/>
    <w:rPr>
      <w:rFonts w:ascii="Arial" w:eastAsiaTheme="majorEastAsia" w:hAnsi="Arial" w:cs="Arial"/>
      <w:b/>
      <w:color w:val="000000" w:themeColor="text1"/>
      <w:sz w:val="28"/>
      <w:szCs w:val="32"/>
    </w:rPr>
  </w:style>
  <w:style w:type="character" w:customStyle="1" w:styleId="Heading2Char">
    <w:name w:val="Heading 2 Char"/>
    <w:basedOn w:val="DefaultParagraphFont"/>
    <w:link w:val="Heading2"/>
    <w:rsid w:val="00291149"/>
    <w:rPr>
      <w:rFonts w:ascii="Times New Roman" w:hAnsi="Times New Roman" w:cs="Times New Roman"/>
      <w:b/>
      <w:bCs/>
      <w:kern w:val="0"/>
      <w:sz w:val="26"/>
      <w:szCs w:val="24"/>
      <w:lang w:val="en-GB"/>
      <w14:ligatures w14:val="none"/>
    </w:rPr>
  </w:style>
  <w:style w:type="character" w:customStyle="1" w:styleId="Heading3Char">
    <w:name w:val="Heading 3 Char"/>
    <w:basedOn w:val="DefaultParagraphFont"/>
    <w:link w:val="Heading3"/>
    <w:uiPriority w:val="9"/>
    <w:rsid w:val="002E7B7C"/>
    <w:rPr>
      <w:rFonts w:ascii="Times New Roman" w:eastAsiaTheme="majorEastAsia" w:hAnsi="Times New Roman" w:cstheme="majorBidi"/>
      <w:i/>
      <w:kern w:val="0"/>
      <w:sz w:val="24"/>
      <w:szCs w:val="24"/>
      <w:u w:val="single"/>
      <w:lang w:val="en-GB"/>
      <w14:ligatures w14:val="none"/>
    </w:rPr>
  </w:style>
  <w:style w:type="paragraph" w:styleId="Header">
    <w:name w:val="header"/>
    <w:basedOn w:val="Normal"/>
    <w:link w:val="HeaderChar"/>
    <w:uiPriority w:val="99"/>
    <w:unhideWhenUsed/>
    <w:rsid w:val="009A55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5530"/>
    <w:rPr>
      <w:rFonts w:ascii="Times New Roman" w:hAnsi="Times New Roman"/>
      <w:kern w:val="0"/>
      <w:sz w:val="24"/>
      <w:lang w:val="en-GB"/>
      <w14:ligatures w14:val="none"/>
    </w:rPr>
  </w:style>
  <w:style w:type="paragraph" w:styleId="Footer">
    <w:name w:val="footer"/>
    <w:basedOn w:val="Normal"/>
    <w:link w:val="FooterChar"/>
    <w:uiPriority w:val="99"/>
    <w:unhideWhenUsed/>
    <w:rsid w:val="009A55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5530"/>
    <w:rPr>
      <w:rFonts w:ascii="Times New Roman" w:hAnsi="Times New Roman"/>
      <w:kern w:val="0"/>
      <w:sz w:val="24"/>
      <w:lang w:val="en-GB"/>
      <w14:ligatures w14:val="none"/>
    </w:rPr>
  </w:style>
  <w:style w:type="paragraph" w:styleId="ListParagraph">
    <w:name w:val="List Paragraph"/>
    <w:basedOn w:val="Normal"/>
    <w:uiPriority w:val="34"/>
    <w:qFormat/>
    <w:rsid w:val="009A553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1665</Words>
  <Characters>9492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2024-04-29T17:00:00Z</dcterms:created>
  <dcterms:modified xsi:type="dcterms:W3CDTF">2024-05-08T14:35:00Z</dcterms:modified>
</cp:coreProperties>
</file>