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sz w:val="26"/>
          <w:szCs w:val="26"/>
        </w:rPr>
      </w:pPr>
      <w:r w:rsidDel="00000000" w:rsidR="00000000" w:rsidRPr="00000000">
        <w:rPr>
          <w:rtl w:val="0"/>
        </w:rPr>
      </w:r>
    </w:p>
    <w:p w:rsidR="00000000" w:rsidDel="00000000" w:rsidP="00000000" w:rsidRDefault="00000000" w:rsidRPr="00000000" w14:paraId="00000012">
      <w:pPr>
        <w:spacing w:line="480" w:lineRule="auto"/>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Hybrid Ring: Minoan Art in Mycenaean Burials and the hybridization of cultures in the Bronze Age.</w:t>
      </w:r>
    </w:p>
    <w:p w:rsidR="00000000" w:rsidDel="00000000" w:rsidP="00000000" w:rsidRDefault="00000000" w:rsidRPr="00000000" w14:paraId="00000013">
      <w:pPr>
        <w:pStyle w:val="Heading1"/>
        <w:keepNext w:val="0"/>
        <w:keepLines w:val="0"/>
        <w:shd w:fill="ffffff" w:val="clear"/>
        <w:spacing w:before="0" w:line="288" w:lineRule="auto"/>
        <w:jc w:val="center"/>
        <w:rPr>
          <w:rFonts w:ascii="Times New Roman" w:cs="Times New Roman" w:eastAsia="Times New Roman" w:hAnsi="Times New Roman"/>
          <w:sz w:val="26"/>
          <w:szCs w:val="26"/>
        </w:rPr>
      </w:pPr>
      <w:bookmarkStart w:colFirst="0" w:colLast="0" w:name="_blrq7sgxlh7o" w:id="0"/>
      <w:bookmarkEnd w:id="0"/>
      <w:r w:rsidDel="00000000" w:rsidR="00000000" w:rsidRPr="00000000">
        <w:rPr>
          <w:rFonts w:ascii="Times New Roman" w:cs="Times New Roman" w:eastAsia="Times New Roman" w:hAnsi="Times New Roman"/>
          <w:sz w:val="26"/>
          <w:szCs w:val="26"/>
          <w:rtl w:val="0"/>
        </w:rPr>
        <w:t xml:space="preserve">HPAH5083 — Entanglements: Exploring Interactions between the Aegean and the Near East</w:t>
      </w:r>
    </w:p>
    <w:p w:rsidR="00000000" w:rsidDel="00000000" w:rsidP="00000000" w:rsidRDefault="00000000" w:rsidRPr="00000000" w14:paraId="00000014">
      <w:pPr>
        <w:spacing w:line="480" w:lineRule="auto"/>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Prof</w:t>
      </w:r>
      <w:r w:rsidDel="00000000" w:rsidR="00000000" w:rsidRPr="00000000">
        <w:rPr>
          <w:rFonts w:ascii="Times New Roman" w:cs="Times New Roman" w:eastAsia="Times New Roman" w:hAnsi="Times New Roman"/>
          <w:sz w:val="26"/>
          <w:szCs w:val="26"/>
          <w:rtl w:val="0"/>
        </w:rPr>
        <w:t xml:space="preserve">. Thomas Humphrey</w:t>
      </w:r>
    </w:p>
    <w:p w:rsidR="00000000" w:rsidDel="00000000" w:rsidP="00000000" w:rsidRDefault="00000000" w:rsidRPr="00000000" w14:paraId="00000015">
      <w:pPr>
        <w:spacing w:line="480" w:lineRule="auto"/>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Letícia Magalhães da Silva Pontes.</w:t>
      </w:r>
    </w:p>
    <w:p w:rsidR="00000000" w:rsidDel="00000000" w:rsidP="00000000" w:rsidRDefault="00000000" w:rsidRPr="00000000" w14:paraId="00000016">
      <w:pPr>
        <w:spacing w:line="480" w:lineRule="auto"/>
        <w:jc w:val="center"/>
        <w:rPr>
          <w:sz w:val="26"/>
          <w:szCs w:val="26"/>
        </w:rPr>
      </w:pPr>
      <w:r w:rsidDel="00000000" w:rsidR="00000000" w:rsidRPr="00000000">
        <w:rPr>
          <w:rFonts w:ascii="Times New Roman" w:cs="Times New Roman" w:eastAsia="Times New Roman" w:hAnsi="Times New Roman"/>
          <w:sz w:val="26"/>
          <w:szCs w:val="26"/>
          <w:rtl w:val="0"/>
        </w:rPr>
        <w:t xml:space="preserve">12/11/2023</w:t>
      </w: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spacing w:line="480" w:lineRule="auto"/>
        <w:rPr/>
      </w:pPr>
      <w:r w:rsidDel="00000000" w:rsidR="00000000" w:rsidRPr="00000000">
        <w:rPr>
          <w:rtl w:val="0"/>
        </w:rPr>
      </w:r>
    </w:p>
    <w:p w:rsidR="00000000" w:rsidDel="00000000" w:rsidP="00000000" w:rsidRDefault="00000000" w:rsidRPr="00000000" w14:paraId="0000002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w:t>
      </w:r>
    </w:p>
    <w:p w:rsidR="00000000" w:rsidDel="00000000" w:rsidP="00000000" w:rsidRDefault="00000000" w:rsidRPr="00000000" w14:paraId="0000002B">
      <w:pPr>
        <w:spacing w:line="480" w:lineRule="auto"/>
        <w:rPr/>
      </w:pPr>
      <w:r w:rsidDel="00000000" w:rsidR="00000000" w:rsidRPr="00000000">
        <w:rPr>
          <w:rtl w:val="0"/>
        </w:rPr>
      </w:r>
    </w:p>
    <w:p w:rsidR="00000000" w:rsidDel="00000000" w:rsidP="00000000" w:rsidRDefault="00000000" w:rsidRPr="00000000" w14:paraId="0000002C">
      <w:pPr>
        <w:spacing w:line="480" w:lineRule="auto"/>
        <w:rPr>
          <w:rFonts w:ascii="Times New Roman" w:cs="Times New Roman" w:eastAsia="Times New Roman" w:hAnsi="Times New Roman"/>
          <w:sz w:val="24"/>
          <w:szCs w:val="24"/>
        </w:rPr>
      </w:pP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    The Golden Rings found in Pylos can be a great example of the hybridization of cultures in the Bronze Age. The excavations initiated in May 2015 by the University of Cincinnati discovered the “Griffin Warrior” burial at the Palace of Nestor in Pylos (Davis and Stoker, 2016, p.627). A male body of around 30 to 35 years old was found surrounded by many artefacts that were produced in Minoan style (Davis and Stoker, 2016, p.627), including the one being analysed in this essay, the Gold Ring with the Female figures flanking a shrine. Arguing the probability of a religious aspect of the Ring; the Art style; and the location where the Ring was found, in this essay, this specific Gold Ring will be analysed by applying the Hybridization theory. It will then be argued that during the Bronze Age, the exchange of goods and culture between civilizations did occur and that societies from this period were as complex as any other period in history.</w:t>
      </w:r>
    </w:p>
    <w:p w:rsidR="00000000" w:rsidDel="00000000" w:rsidP="00000000" w:rsidRDefault="00000000" w:rsidRPr="00000000" w14:paraId="0000002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Gold Ring of Pylos</w:t>
      </w:r>
    </w:p>
    <w:p w:rsidR="00000000" w:rsidDel="00000000" w:rsidP="00000000" w:rsidRDefault="00000000" w:rsidRPr="00000000" w14:paraId="0000002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During the excavation at Pylos, many rings with different images depicted were found, but in this essay, only the one depicting the</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“female figures flanking a shrine”  </w:t>
      </w:r>
      <w:r w:rsidDel="00000000" w:rsidR="00000000" w:rsidRPr="00000000">
        <w:rPr>
          <w:rFonts w:ascii="Times New Roman" w:cs="Times New Roman" w:eastAsia="Times New Roman" w:hAnsi="Times New Roman"/>
          <w:sz w:val="24"/>
          <w:szCs w:val="24"/>
          <w:rtl w:val="0"/>
        </w:rPr>
        <w:t xml:space="preserve">will be analysed. The ring itself is made out of gold in the Minoan style. The lower surface is hollow, and the upper surface is convex, in the centre of the ring there is a band with bivalve cockleshells being held by small golden beads (Davis and Stoker, 2016, p 640). </w:t>
      </w:r>
    </w:p>
    <w:p w:rsidR="00000000" w:rsidDel="00000000" w:rsidP="00000000" w:rsidRDefault="00000000" w:rsidRPr="00000000" w14:paraId="0000003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picture depicted on the ring consists of five women facing the shrine. Davis and Stoker also describe that the figure depicts a scene on the coast where the women are standing on the sand alongside the shrine, with the sea being filled with scallop patterns (2016, 640). Although it’s not possible to be one hundred per cent sure of that, it is a valuable interpretation of the image. It cannot be left aside that the image also portrays a lot of natural elements; the shrine is centred around tall trees with long leaves, resembling palm trees, and it is standing on top of what seems like the trees’ roots and on top of the shrine more plants can be seen. The five women in the figure are clearly wearing skirts that seem to have different designs. The women also have what seems to be small wings coming out of their backs. Their hands are positioned differently from one another. The ones on the right have their hands on their waist and the two on the right have one of their arms close to their mouths mimicking the gesture of calling someone. Davis and Stoker also argue that the women on the ring are “known”, implying that they were found in other artefacts (2016, p. 643). It can be difficult to believe that they were indeed the same women from other figures. Since that cannot be proven due to the lack of faces on most of the women or even any other artefact that can actually be proven that is connected with the Gold ring. The women might represent a status attributed to Minoan women of the time.</w:t>
      </w:r>
    </w:p>
    <w:p w:rsidR="00000000" w:rsidDel="00000000" w:rsidP="00000000" w:rsidRDefault="00000000" w:rsidRPr="00000000" w14:paraId="00000032">
      <w:pPr>
        <w:spacing w:line="480" w:lineRule="auto"/>
        <w:rPr/>
      </w:pPr>
      <w:r w:rsidDel="00000000" w:rsidR="00000000" w:rsidRPr="00000000">
        <w:rPr>
          <w:rFonts w:ascii="Times New Roman" w:cs="Times New Roman" w:eastAsia="Times New Roman" w:hAnsi="Times New Roman"/>
          <w:sz w:val="24"/>
          <w:szCs w:val="24"/>
          <w:rtl w:val="0"/>
        </w:rPr>
        <w:t xml:space="preserve">     It also cannot be forgotten that only two of the five women in the picture have faces, these being one on the right side and the other on the left side. It is believed that the taller woman in the figure might be a Minoan goddess who had decided to join the other women in the ritual (Davis and Stoker, 2016, p 642). During this period the religious belief among the Minoans was known as Ashlar which had the main deity a Goddess figure and other deities (Curry, 2019, p. 28). This might indicate why the archaeologist who found the Ring believed it could be a Goddess figure.</w:t>
      </w:r>
      <w:r w:rsidDel="00000000" w:rsidR="00000000" w:rsidRPr="00000000">
        <w:rPr>
          <w:rtl w:val="0"/>
        </w:rPr>
      </w:r>
    </w:p>
    <w:p w:rsidR="00000000" w:rsidDel="00000000" w:rsidP="00000000" w:rsidRDefault="00000000" w:rsidRPr="00000000" w14:paraId="00000033">
      <w:pPr>
        <w:spacing w:line="480" w:lineRule="auto"/>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2748915" cy="1802932"/>
            <wp:effectExtent b="0" l="0" r="0" t="0"/>
            <wp:wrapTopAndBottom distB="114300" distT="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748915" cy="1802932"/>
                    </a:xfrm>
                    <a:prstGeom prst="rect"/>
                    <a:ln/>
                  </pic:spPr>
                </pic:pic>
              </a:graphicData>
            </a:graphic>
          </wp:anchor>
        </w:drawing>
      </w:r>
    </w:p>
    <w:p w:rsidR="00000000" w:rsidDel="00000000" w:rsidP="00000000" w:rsidRDefault="00000000" w:rsidRPr="00000000" w14:paraId="00000034">
      <w:pPr>
        <w:spacing w:line="480" w:lineRule="auto"/>
        <w:rPr/>
      </w:pPr>
      <w:r w:rsidDel="00000000" w:rsidR="00000000" w:rsidRPr="00000000">
        <w:rPr>
          <w:rtl w:val="0"/>
        </w:rPr>
      </w:r>
    </w:p>
    <w:p w:rsidR="00000000" w:rsidDel="00000000" w:rsidP="00000000" w:rsidRDefault="00000000" w:rsidRPr="00000000" w14:paraId="00000035">
      <w:pPr>
        <w:spacing w:line="48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Figure 1: Gold Ring the Female figures flanking a shrine. (Daley, 2016)</w:t>
      </w:r>
    </w:p>
    <w:p w:rsidR="00000000" w:rsidDel="00000000" w:rsidP="00000000" w:rsidRDefault="00000000" w:rsidRPr="00000000" w14:paraId="00000036">
      <w:pPr>
        <w:spacing w:line="480" w:lineRule="auto"/>
        <w:rPr/>
      </w:pPr>
      <w:r w:rsidDel="00000000" w:rsidR="00000000" w:rsidRPr="00000000">
        <w:rPr>
          <w:rtl w:val="0"/>
        </w:rPr>
      </w:r>
    </w:p>
    <w:p w:rsidR="00000000" w:rsidDel="00000000" w:rsidP="00000000" w:rsidRDefault="00000000" w:rsidRPr="00000000" w14:paraId="00000037">
      <w:pPr>
        <w:spacing w:line="480" w:lineRule="auto"/>
        <w:rPr/>
      </w:pPr>
      <w:r w:rsidDel="00000000" w:rsidR="00000000" w:rsidRPr="00000000">
        <w:rPr>
          <w:rtl w:val="0"/>
        </w:rPr>
      </w:r>
    </w:p>
    <w:p w:rsidR="00000000" w:rsidDel="00000000" w:rsidP="00000000" w:rsidRDefault="00000000" w:rsidRPr="00000000" w14:paraId="0000003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Historical Context</w:t>
      </w:r>
    </w:p>
    <w:p w:rsidR="00000000" w:rsidDel="00000000" w:rsidP="00000000" w:rsidRDefault="00000000" w:rsidRPr="00000000" w14:paraId="0000003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It is believed that the period of the warrior on the Burial where the Ring was found, was around 1500 B.C.. This was a time when the Mycenaeans would, most of the time, build for the most prominent dead, huge beehive-shaped burial structures called Tholoi (Curry, 2019, p.27). The case of the Griffin Warrior was a distinctive one. Due to the location of the burials, many of them were targets of thieves through the years and the Griffin Warrior burial was not only intact, which is something surprising on its own, but it also presented a difference in what was previously found and known about Mycenaean burials (Curry, 2019, p.28).“What’s surprising in the case of the Griffin Warrior is to find a complete example where you know exactly what was deposited with this individual,” (Curry, 2019, p.28). The Mycenaean’s burials would mostly be found with more than one person buried in it. Around 20 people could be found in only one shared grave (Curry, 2019, p.28). </w:t>
      </w:r>
    </w:p>
    <w:p w:rsidR="00000000" w:rsidDel="00000000" w:rsidP="00000000" w:rsidRDefault="00000000" w:rsidRPr="00000000" w14:paraId="0000003B">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Hybridization Theory </w:t>
      </w:r>
    </w:p>
    <w:p w:rsidR="00000000" w:rsidDel="00000000" w:rsidP="00000000" w:rsidRDefault="00000000" w:rsidRPr="00000000" w14:paraId="0000003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Gold Ring found in the Griffin Warrior burial can be a great application of the Hybridization Theory during the Bronze Age. The Hybridization theory might seem to some people a theory that fits better with more “recent” historical periods instead of the Bronze Age. Even though archaeology can be a field where many times only assumptions can be made upon certain artefacts, the concept of hybrid cultures can be found through material culture. “Peoples and cultures are perennially engaged in conversation with other cultures and peoples, and all cultural products – material and social – form parts of such a conversation” (</w:t>
      </w:r>
      <w:r w:rsidDel="00000000" w:rsidR="00000000" w:rsidRPr="00000000">
        <w:rPr>
          <w:rFonts w:ascii="Times New Roman" w:cs="Times New Roman" w:eastAsia="Times New Roman" w:hAnsi="Times New Roman"/>
          <w:sz w:val="24"/>
          <w:szCs w:val="24"/>
          <w:rtl w:val="0"/>
        </w:rPr>
        <w:t xml:space="preserve">Knapp, 2012, p. 32). Hybridization theory can be applied in different ways; as the idea of specific materials being exchanged among societies; and into more complex social patterns and cultural aspects of a nation that have been influenced by another. An example of the exchange of material would be Egypt, which bought silver from other nations in the Near East and produced regional material culture made from that international primary source. An example of influences in cultural aspects would be the object of analysis of this essay, the Gold Ring with Female figures flanking a shrine. The Ring was found in a Mycenaean burial, but the ring itself had the Minoan Art style, and also the fact that many artisans would travel across the Mediterranean and Near East learning new methods and styles (Altaweel, 2018, p.7). These examples showed that the Bronze Age consisted of complex relations among different societies and that they had an influence on one another. These influences being the exchange of primary materials or influence in art style even though they could be significantly distant from one another.</w:t>
      </w:r>
    </w:p>
    <w:p w:rsidR="00000000" w:rsidDel="00000000" w:rsidP="00000000" w:rsidRDefault="00000000" w:rsidRPr="00000000" w14:paraId="0000003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Gold Ring with the Females shows that there was a significant exchange between the Minoan and the Mycenaean up to the point where the Ring and the other rings were valuable enough to be buried with the Griffin Warrior. Although there is no actual proof of that, the fact that the ring was found in the grave and that the grave itself was different from other graves found that belonged to the same society might indicate something. The first idea could be that the person who was buried was of a very high social status within the Mycenaean society. Or it can be argued that maybe the Minoan influence on the Mycenae could have been bigger, reaching its influence over the cultural aspect of death rituals. Maybe there was not a one hundred per cent Minoan influence, but the findings on the grave, might indicate that something was changed in that particular scenario, and it might show a change or the beginning of a change in that society. As cited previously it is believed that the taller Woman figure on the ring might be a Minoan goddess. Nevertheless, if that was indeed the case, what could that tell us about the religious beliefs and influences of the Mycenaean people at the time? Religious syncretism is a strong characteristic of Hybrid cultures, so to what extent was that Ring valuable for the dead and the living? Besides the probable religious aspects of the ring, another important factor to be highlighted is the art style. Minoan art in a Mycenaean grave, a very well-crafted piece of jewellery that was probably not cheap. This might show that the Minoan art was highly praised among the Mycenaeans and that they might have taken some influences onto their art. The presence of such art in the grave can be used as an example of the belief that those cultures were merging cultures.</w:t>
      </w:r>
    </w:p>
    <w:p w:rsidR="00000000" w:rsidDel="00000000" w:rsidP="00000000" w:rsidRDefault="00000000" w:rsidRPr="00000000" w14:paraId="0000004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41">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w:t>
      </w:r>
    </w:p>
    <w:p w:rsidR="00000000" w:rsidDel="00000000" w:rsidP="00000000" w:rsidRDefault="00000000" w:rsidRPr="00000000" w14:paraId="00000043">
      <w:pPr>
        <w:spacing w:line="480" w:lineRule="auto"/>
        <w:rPr>
          <w:sz w:val="24"/>
          <w:szCs w:val="24"/>
        </w:rPr>
      </w:pPr>
      <w:r w:rsidDel="00000000" w:rsidR="00000000" w:rsidRPr="00000000">
        <w:rPr>
          <w:rtl w:val="0"/>
        </w:rPr>
      </w:r>
    </w:p>
    <w:p w:rsidR="00000000" w:rsidDel="00000000" w:rsidP="00000000" w:rsidRDefault="00000000" w:rsidRPr="00000000" w14:paraId="0000004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Gold Ring found in the Grave of the Griffin Warrior was a mark for the archaeological field. The 2015 excavation found not only a distinct Mycenaean Grave but also artefacts produced in the Minoan style. The specific Ring presented in this essay could be used as an example of the exchange of material culture and cultural values among societies during the Bronze Age period. By applying the Hybridization theory it was possible to see that the presence of the Gold Rings in the Mycenaean grave could indicate the cultural exchange between the Mycenaeans and Minoans. Although there was no certainty over this matter, the belief that the tallest Female depicted on the Gold Ring might have been a Minoan Goddess might bring some interesting questions over the matter that could only be interpreted by applying the Hybridization theory. The presence of a foreign Goddess in a Mycenaean grave could indicate signs of religious syncretism between the two societies or at least some influence of the Mycenaeans. Another sign of hybrid cultures might have been the importance that had been put on the Minoan art-style Ring, since it was found, alongside many others, in a grave which could indicate that the objects were valuable.  It also cannot be forgotten that the Griffin Warrior burial was a different one from other Mycenaean burials. Where most of the burials consisted of a shared grave where more than 20 people could be found there, the Griffin Warrior  Burial consisted of only one person. This might indicate two things: that the person that was buried was of very high status within that society or that there was a change in the cultural aspects of death rituals that might be even connected with the Minoan-style objects found in the grave.  Hybridization between cultures is something that has been happening throughout history all over the world. It is quite difficult to believe that that did not happen during the Bronze Age since it is proven that hundreds and hundreds of material culture was exchanged back then. There is no reason to believe that cultural aspects such as language, religion, art and social status were not exchanged as well. Unfortunately, it is hard to find out more about such topics due to the lack of written material. Speculation is very present on this topic such as many other ones in the archaeological field. But it cannot be denied that this archaeological find is crucial to understanding the social relations between the societies in the Aegean Sea and the Near East during the Bronze Age.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Bibliography </w:t>
      </w:r>
    </w:p>
    <w:p w:rsidR="00000000" w:rsidDel="00000000" w:rsidP="00000000" w:rsidRDefault="00000000" w:rsidRPr="00000000" w14:paraId="0000004A">
      <w:pPr>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4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Altaweel, M., &amp; Squitieri, A. (2018). Material culture hybridization. In </w:t>
      </w:r>
      <w:r w:rsidDel="00000000" w:rsidR="00000000" w:rsidRPr="00000000">
        <w:rPr>
          <w:rFonts w:ascii="Times New Roman" w:cs="Times New Roman" w:eastAsia="Times New Roman" w:hAnsi="Times New Roman"/>
          <w:i w:val="1"/>
          <w:sz w:val="24"/>
          <w:szCs w:val="24"/>
          <w:rtl w:val="0"/>
        </w:rPr>
        <w:t xml:space="preserve">Revolutionizing a World: From Small States to Universalism in the Pre-Islamic Near East</w:t>
      </w:r>
      <w:r w:rsidDel="00000000" w:rsidR="00000000" w:rsidRPr="00000000">
        <w:rPr>
          <w:rFonts w:ascii="Times New Roman" w:cs="Times New Roman" w:eastAsia="Times New Roman" w:hAnsi="Times New Roman"/>
          <w:sz w:val="24"/>
          <w:szCs w:val="24"/>
          <w:rtl w:val="0"/>
        </w:rPr>
        <w:t xml:space="preserve"> (pp. 179–198). UCL Press. https://doi.org/10.2307/j.ctt21c4td4.11</w:t>
      </w:r>
    </w:p>
    <w:p w:rsidR="00000000" w:rsidDel="00000000" w:rsidP="00000000" w:rsidRDefault="00000000" w:rsidRPr="00000000" w14:paraId="0000004C">
      <w:pPr>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4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Curry, A. (2019). WORLD OF THE GRIFFIN WARRIOR. </w:t>
      </w:r>
      <w:r w:rsidDel="00000000" w:rsidR="00000000" w:rsidRPr="00000000">
        <w:rPr>
          <w:rFonts w:ascii="Times New Roman" w:cs="Times New Roman" w:eastAsia="Times New Roman" w:hAnsi="Times New Roman"/>
          <w:i w:val="1"/>
          <w:sz w:val="24"/>
          <w:szCs w:val="24"/>
          <w:rtl w:val="0"/>
        </w:rPr>
        <w:t xml:space="preserve">Archaeology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72</w:t>
      </w:r>
      <w:r w:rsidDel="00000000" w:rsidR="00000000" w:rsidRPr="00000000">
        <w:rPr>
          <w:rFonts w:ascii="Times New Roman" w:cs="Times New Roman" w:eastAsia="Times New Roman" w:hAnsi="Times New Roman"/>
          <w:sz w:val="24"/>
          <w:szCs w:val="24"/>
          <w:rtl w:val="0"/>
        </w:rPr>
        <w:t xml:space="preserve">(5), 24–31. https://www.jstor.org/stable/26822963</w:t>
      </w:r>
    </w:p>
    <w:p w:rsidR="00000000" w:rsidDel="00000000" w:rsidP="00000000" w:rsidRDefault="00000000" w:rsidRPr="00000000" w14:paraId="0000004E">
      <w:pPr>
        <w:jc w:val="center"/>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4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Daley, Jason (2016) Gold Rings Found in Warrior’s Tomb Connect Two Ancient Greek Cultures. Available at: </w:t>
      </w:r>
      <w:hyperlink r:id="rId7">
        <w:r w:rsidDel="00000000" w:rsidR="00000000" w:rsidRPr="00000000">
          <w:rPr>
            <w:rFonts w:ascii="Times New Roman" w:cs="Times New Roman" w:eastAsia="Times New Roman" w:hAnsi="Times New Roman"/>
            <w:sz w:val="24"/>
            <w:szCs w:val="24"/>
            <w:rtl w:val="0"/>
          </w:rPr>
          <w:t xml:space="preserve">https://www.smithsonianmag.com</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(Accessed 12 November 2023)</w:t>
      </w:r>
    </w:p>
    <w:p w:rsidR="00000000" w:rsidDel="00000000" w:rsidP="00000000" w:rsidRDefault="00000000" w:rsidRPr="00000000" w14:paraId="0000005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Jack L. Davis, &amp; Sharon R. Stocker. (2016). The Lord of the Gold Rings: The Griffin Warrior of Pylos. </w:t>
      </w:r>
      <w:r w:rsidDel="00000000" w:rsidR="00000000" w:rsidRPr="00000000">
        <w:rPr>
          <w:rFonts w:ascii="Times New Roman" w:cs="Times New Roman" w:eastAsia="Times New Roman" w:hAnsi="Times New Roman"/>
          <w:i w:val="1"/>
          <w:sz w:val="24"/>
          <w:szCs w:val="24"/>
          <w:rtl w:val="0"/>
        </w:rPr>
        <w:t xml:space="preserve">Hesperia: The Journal of the American School of Classical Studies at Athens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85</w:t>
      </w:r>
      <w:r w:rsidDel="00000000" w:rsidR="00000000" w:rsidRPr="00000000">
        <w:rPr>
          <w:rFonts w:ascii="Times New Roman" w:cs="Times New Roman" w:eastAsia="Times New Roman" w:hAnsi="Times New Roman"/>
          <w:sz w:val="24"/>
          <w:szCs w:val="24"/>
          <w:rtl w:val="0"/>
        </w:rPr>
        <w:t xml:space="preserve">(4), 627–655. https://doi.org/10.2972/hesperia.85.4.0627</w:t>
      </w:r>
    </w:p>
    <w:p w:rsidR="00000000" w:rsidDel="00000000" w:rsidP="00000000" w:rsidRDefault="00000000" w:rsidRPr="00000000" w14:paraId="0000005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Knapp, A. B. (2012). Matter of fact: transcultural contacts in the Late Bronze Age Eastern Mediterranean. In J. Maran &amp; P. W. Stockhammer (Eds.), </w:t>
      </w:r>
      <w:r w:rsidDel="00000000" w:rsidR="00000000" w:rsidRPr="00000000">
        <w:rPr>
          <w:rFonts w:ascii="Times New Roman" w:cs="Times New Roman" w:eastAsia="Times New Roman" w:hAnsi="Times New Roman"/>
          <w:i w:val="1"/>
          <w:sz w:val="24"/>
          <w:szCs w:val="24"/>
          <w:rtl w:val="0"/>
        </w:rPr>
        <w:t xml:space="preserve">Materiality and Social Practice: Transformative Capacities of Intercultural Encounters</w:t>
      </w:r>
      <w:r w:rsidDel="00000000" w:rsidR="00000000" w:rsidRPr="00000000">
        <w:rPr>
          <w:rFonts w:ascii="Times New Roman" w:cs="Times New Roman" w:eastAsia="Times New Roman" w:hAnsi="Times New Roman"/>
          <w:sz w:val="24"/>
          <w:szCs w:val="24"/>
          <w:rtl w:val="0"/>
        </w:rPr>
        <w:t xml:space="preserve"> (pp. 32–50). Oxbow Books. https://doi.org/10.2307/j.ctvh1dhvj.7</w:t>
      </w:r>
    </w:p>
    <w:p w:rsidR="00000000" w:rsidDel="00000000" w:rsidP="00000000" w:rsidRDefault="00000000" w:rsidRPr="00000000" w14:paraId="00000054">
      <w:pP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55">
      <w:pPr>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56">
      <w:pPr>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57">
      <w:pPr>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58">
      <w:pPr>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sectPr>
      <w:headerReference r:id="rId8" w:type="default"/>
      <w:headerReference r:id="rId9" w:type="first"/>
      <w:pgSz w:h="16838" w:w="11906" w:orient="portrait"/>
      <w:pgMar w:bottom="1440.0000000000002" w:top="1440.0000000000002" w:left="1440.0000000000002" w:right="1440.0000000000002"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C">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pt_BR"/>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smithsonianmag.com" TargetMode="Externa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