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16A738" w14:textId="634B4FDB" w:rsidR="00E02A55" w:rsidRDefault="00E02A55" w:rsidP="00E02A55">
      <w:pPr>
        <w:spacing w:before="400" w:after="120"/>
        <w:rPr>
          <w:b/>
          <w:bCs/>
          <w:sz w:val="32"/>
          <w:szCs w:val="32"/>
        </w:rPr>
      </w:pPr>
      <w:r>
        <w:rPr>
          <w:b/>
          <w:bCs/>
          <w:noProof/>
          <w:sz w:val="32"/>
          <w:szCs w:val="32"/>
        </w:rPr>
        <w:drawing>
          <wp:inline distT="0" distB="0" distL="0" distR="0" wp14:anchorId="5B437FD0" wp14:editId="540FCD17">
            <wp:extent cx="2476500" cy="1375712"/>
            <wp:effectExtent l="0" t="0" r="0" b="0"/>
            <wp:docPr id="980297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297518" name="Picture 980297518"/>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03166" cy="1390525"/>
                    </a:xfrm>
                    <a:prstGeom prst="rect">
                      <a:avLst/>
                    </a:prstGeom>
                  </pic:spPr>
                </pic:pic>
              </a:graphicData>
            </a:graphic>
          </wp:inline>
        </w:drawing>
      </w:r>
    </w:p>
    <w:p w14:paraId="01B09724" w14:textId="77777777" w:rsidR="00E02A55" w:rsidRDefault="00E02A55">
      <w:pPr>
        <w:spacing w:after="600"/>
        <w:jc w:val="center"/>
        <w:rPr>
          <w:b/>
          <w:bCs/>
          <w:sz w:val="32"/>
          <w:szCs w:val="32"/>
        </w:rPr>
      </w:pPr>
    </w:p>
    <w:p w14:paraId="7DAE1183" w14:textId="77777777" w:rsidR="00E02A55" w:rsidRDefault="00E02A55">
      <w:pPr>
        <w:spacing w:after="600"/>
        <w:jc w:val="center"/>
        <w:rPr>
          <w:b/>
          <w:bCs/>
          <w:sz w:val="32"/>
          <w:szCs w:val="32"/>
        </w:rPr>
      </w:pPr>
    </w:p>
    <w:p w14:paraId="5C8D4FED" w14:textId="6EA2FC18" w:rsidR="004569D0" w:rsidRDefault="00184DA1">
      <w:pPr>
        <w:spacing w:after="600"/>
        <w:jc w:val="center"/>
      </w:pPr>
      <w:r>
        <w:rPr>
          <w:sz w:val="26"/>
          <w:szCs w:val="26"/>
        </w:rPr>
        <w:t>Master of Business Administration</w:t>
      </w:r>
    </w:p>
    <w:p w14:paraId="34402EC2" w14:textId="0D0CA0FD" w:rsidR="004569D0" w:rsidRDefault="00184DA1" w:rsidP="00E02A55">
      <w:pPr>
        <w:pStyle w:val="IntenseQuote"/>
      </w:pPr>
      <w:r>
        <w:t xml:space="preserve">Financial Management </w:t>
      </w:r>
      <w:r w:rsidR="00E02A55">
        <w:t xml:space="preserve"> </w:t>
      </w:r>
    </w:p>
    <w:p w14:paraId="1D4EA564" w14:textId="77777777" w:rsidR="004569D0" w:rsidRDefault="00184DA1" w:rsidP="00E02A55">
      <w:pPr>
        <w:pStyle w:val="IntenseQuote"/>
      </w:pPr>
      <w:r>
        <w:t>Assessment Component: Financial Performance and Management</w:t>
      </w:r>
    </w:p>
    <w:p w14:paraId="6D2BA9CB" w14:textId="77777777" w:rsidR="004569D0" w:rsidRDefault="00184DA1">
      <w:pPr>
        <w:spacing w:after="120"/>
        <w:jc w:val="center"/>
      </w:pPr>
      <w:r>
        <w:rPr>
          <w:b/>
          <w:bCs/>
          <w:i/>
          <w:iCs/>
          <w:sz w:val="26"/>
          <w:szCs w:val="26"/>
        </w:rPr>
        <w:t>Individual Report – InterContinental Hotels Group PLC (IHG)</w:t>
      </w:r>
    </w:p>
    <w:p w14:paraId="6A184F44" w14:textId="77777777" w:rsidR="00E02A55" w:rsidRDefault="00E02A55">
      <w:pPr>
        <w:spacing w:after="100"/>
        <w:jc w:val="center"/>
      </w:pPr>
    </w:p>
    <w:p w14:paraId="105C588A" w14:textId="77777777" w:rsidR="00E02A55" w:rsidRDefault="00E02A55">
      <w:pPr>
        <w:spacing w:after="100"/>
        <w:jc w:val="center"/>
      </w:pPr>
    </w:p>
    <w:p w14:paraId="193A5ACD" w14:textId="77777777" w:rsidR="00E02A55" w:rsidRDefault="00E02A55">
      <w:pPr>
        <w:spacing w:after="100"/>
        <w:jc w:val="center"/>
      </w:pPr>
    </w:p>
    <w:p w14:paraId="78603F50" w14:textId="77777777" w:rsidR="00E02A55" w:rsidRDefault="00E02A55">
      <w:pPr>
        <w:spacing w:after="100"/>
        <w:jc w:val="center"/>
      </w:pPr>
    </w:p>
    <w:p w14:paraId="3A40B44C" w14:textId="77777777" w:rsidR="00E02A55" w:rsidRDefault="00E02A55">
      <w:pPr>
        <w:spacing w:after="100"/>
        <w:jc w:val="center"/>
      </w:pPr>
    </w:p>
    <w:p w14:paraId="59A2EAD6" w14:textId="77777777" w:rsidR="00E02A55" w:rsidRDefault="00E02A55">
      <w:pPr>
        <w:spacing w:after="100"/>
        <w:jc w:val="center"/>
      </w:pPr>
    </w:p>
    <w:p w14:paraId="738187A5" w14:textId="5F51A139" w:rsidR="004569D0" w:rsidRDefault="00184DA1" w:rsidP="00E02A55">
      <w:pPr>
        <w:spacing w:after="100"/>
      </w:pPr>
      <w:r>
        <w:t xml:space="preserve">Student Name: </w:t>
      </w:r>
      <w:r w:rsidR="00E02A55">
        <w:t>Het Patel</w:t>
      </w:r>
    </w:p>
    <w:p w14:paraId="1942E5F2" w14:textId="77777777" w:rsidR="00E02A55" w:rsidRDefault="00184DA1" w:rsidP="00E02A55">
      <w:pPr>
        <w:spacing w:after="100"/>
      </w:pPr>
      <w:r>
        <w:t xml:space="preserve">Student ID: </w:t>
      </w:r>
      <w:r w:rsidR="00E02A55">
        <w:t>2520734</w:t>
      </w:r>
    </w:p>
    <w:p w14:paraId="7B0FD570" w14:textId="057EA45C" w:rsidR="00E02A55" w:rsidRDefault="00E02A55" w:rsidP="00E02A55">
      <w:pPr>
        <w:spacing w:after="100"/>
      </w:pPr>
      <w:r>
        <w:t>Lecturer</w:t>
      </w:r>
      <w:r>
        <w:t xml:space="preserve"> Name</w:t>
      </w:r>
      <w:r>
        <w:t xml:space="preserve">: </w:t>
      </w:r>
      <w:proofErr w:type="spellStart"/>
      <w:r>
        <w:t>Shengfeng</w:t>
      </w:r>
      <w:proofErr w:type="spellEnd"/>
      <w:r>
        <w:t xml:space="preserve"> Mei </w:t>
      </w:r>
    </w:p>
    <w:p w14:paraId="5892E30B" w14:textId="64CB4A3C" w:rsidR="00E02A55" w:rsidRDefault="00E02A55" w:rsidP="00E02A55">
      <w:pPr>
        <w:spacing w:after="100"/>
      </w:pPr>
      <w:r>
        <w:t xml:space="preserve">Module </w:t>
      </w:r>
      <w:proofErr w:type="gramStart"/>
      <w:r>
        <w:t>Code :</w:t>
      </w:r>
      <w:proofErr w:type="gramEnd"/>
      <w:r w:rsidRPr="00E02A55">
        <w:rPr>
          <w:b/>
          <w:bCs/>
          <w:sz w:val="28"/>
          <w:szCs w:val="28"/>
        </w:rPr>
        <w:t xml:space="preserve"> </w:t>
      </w:r>
      <w:r w:rsidRPr="00E02A55">
        <w:rPr>
          <w:sz w:val="28"/>
          <w:szCs w:val="28"/>
        </w:rPr>
        <w:t>LCMB7002</w:t>
      </w:r>
    </w:p>
    <w:p w14:paraId="70E2254B" w14:textId="0CF344AC" w:rsidR="004569D0" w:rsidRDefault="004569D0">
      <w:pPr>
        <w:sectPr w:rsidR="004569D0">
          <w:pgSz w:w="11906" w:h="16838"/>
          <w:pgMar w:top="1440" w:right="1440" w:bottom="1440" w:left="1440" w:header="708" w:footer="708" w:gutter="0"/>
          <w:cols w:space="720"/>
          <w:docGrid w:linePitch="360"/>
        </w:sectPr>
      </w:pPr>
    </w:p>
    <w:p w14:paraId="2EBD9CC4" w14:textId="77777777" w:rsidR="004569D0" w:rsidRDefault="00184DA1">
      <w:pPr>
        <w:spacing w:after="160"/>
      </w:pPr>
      <w:r>
        <w:rPr>
          <w:b/>
          <w:bCs/>
          <w:sz w:val="30"/>
          <w:szCs w:val="30"/>
        </w:rPr>
        <w:lastRenderedPageBreak/>
        <w:t>Table of Contents</w:t>
      </w:r>
    </w:p>
    <w:sdt>
      <w:sdtPr>
        <w:alias w:val="Table of Contents"/>
        <w:id w:val="603933859"/>
      </w:sdtPr>
      <w:sdtEndPr/>
      <w:sdtContent>
        <w:p w14:paraId="3B33E20C" w14:textId="3496BAD3" w:rsidR="00E02A55" w:rsidRDefault="00184DA1">
          <w:pPr>
            <w:pStyle w:val="TOC1"/>
            <w:tabs>
              <w:tab w:val="right" w:leader="dot" w:pos="9016"/>
            </w:tabs>
            <w:rPr>
              <w:noProof/>
            </w:rPr>
          </w:pPr>
          <w:r>
            <w:fldChar w:fldCharType="begin"/>
          </w:r>
          <w:r>
            <w:instrText>TOC \h \o "1-2"</w:instrText>
          </w:r>
          <w:r>
            <w:fldChar w:fldCharType="separate"/>
          </w:r>
          <w:hyperlink w:anchor="_Toc237517866" w:history="1">
            <w:r w:rsidR="00E02A55" w:rsidRPr="000129FB">
              <w:rPr>
                <w:rStyle w:val="Hyperlink"/>
                <w:noProof/>
              </w:rPr>
              <w:t>1. Introduction</w:t>
            </w:r>
            <w:r w:rsidR="00E02A55">
              <w:rPr>
                <w:noProof/>
              </w:rPr>
              <w:tab/>
            </w:r>
            <w:r w:rsidR="00E02A55">
              <w:rPr>
                <w:noProof/>
              </w:rPr>
              <w:fldChar w:fldCharType="begin"/>
            </w:r>
            <w:r w:rsidR="00E02A55">
              <w:rPr>
                <w:noProof/>
              </w:rPr>
              <w:instrText xml:space="preserve"> PAGEREF _Toc237517866 \h </w:instrText>
            </w:r>
            <w:r w:rsidR="00E02A55">
              <w:rPr>
                <w:noProof/>
              </w:rPr>
            </w:r>
            <w:r w:rsidR="00E02A55">
              <w:rPr>
                <w:noProof/>
              </w:rPr>
              <w:fldChar w:fldCharType="separate"/>
            </w:r>
            <w:r w:rsidR="000643C2">
              <w:rPr>
                <w:noProof/>
              </w:rPr>
              <w:t>4</w:t>
            </w:r>
            <w:r w:rsidR="00E02A55">
              <w:rPr>
                <w:noProof/>
              </w:rPr>
              <w:fldChar w:fldCharType="end"/>
            </w:r>
          </w:hyperlink>
        </w:p>
        <w:p w14:paraId="5073ADD7" w14:textId="10CEF5BF" w:rsidR="00E02A55" w:rsidRDefault="00E02A55">
          <w:pPr>
            <w:pStyle w:val="TOC1"/>
            <w:tabs>
              <w:tab w:val="right" w:leader="dot" w:pos="9016"/>
            </w:tabs>
            <w:rPr>
              <w:noProof/>
            </w:rPr>
          </w:pPr>
          <w:hyperlink w:anchor="_Toc237517867" w:history="1">
            <w:r w:rsidRPr="000129FB">
              <w:rPr>
                <w:rStyle w:val="Hyperlink"/>
                <w:noProof/>
              </w:rPr>
              <w:t>2. Financial Health Check</w:t>
            </w:r>
            <w:r>
              <w:rPr>
                <w:noProof/>
              </w:rPr>
              <w:tab/>
            </w:r>
            <w:r>
              <w:rPr>
                <w:noProof/>
              </w:rPr>
              <w:fldChar w:fldCharType="begin"/>
            </w:r>
            <w:r>
              <w:rPr>
                <w:noProof/>
              </w:rPr>
              <w:instrText xml:space="preserve"> PAGEREF _Toc237517867 \h </w:instrText>
            </w:r>
            <w:r>
              <w:rPr>
                <w:noProof/>
              </w:rPr>
            </w:r>
            <w:r>
              <w:rPr>
                <w:noProof/>
              </w:rPr>
              <w:fldChar w:fldCharType="separate"/>
            </w:r>
            <w:r w:rsidR="000643C2">
              <w:rPr>
                <w:noProof/>
              </w:rPr>
              <w:t>4</w:t>
            </w:r>
            <w:r>
              <w:rPr>
                <w:noProof/>
              </w:rPr>
              <w:fldChar w:fldCharType="end"/>
            </w:r>
          </w:hyperlink>
        </w:p>
        <w:p w14:paraId="00E0F5E3" w14:textId="6617C74C" w:rsidR="00E02A55" w:rsidRDefault="00E02A55">
          <w:pPr>
            <w:pStyle w:val="TOC2"/>
            <w:tabs>
              <w:tab w:val="right" w:leader="dot" w:pos="9016"/>
            </w:tabs>
            <w:rPr>
              <w:noProof/>
            </w:rPr>
          </w:pPr>
          <w:hyperlink w:anchor="_Toc237517868" w:history="1">
            <w:r w:rsidRPr="000129FB">
              <w:rPr>
                <w:rStyle w:val="Hyperlink"/>
                <w:noProof/>
              </w:rPr>
              <w:t>2.1 Profitability</w:t>
            </w:r>
            <w:r>
              <w:rPr>
                <w:noProof/>
              </w:rPr>
              <w:tab/>
            </w:r>
            <w:r>
              <w:rPr>
                <w:noProof/>
              </w:rPr>
              <w:fldChar w:fldCharType="begin"/>
            </w:r>
            <w:r>
              <w:rPr>
                <w:noProof/>
              </w:rPr>
              <w:instrText xml:space="preserve"> PAGEREF _Toc237517868 \h </w:instrText>
            </w:r>
            <w:r>
              <w:rPr>
                <w:noProof/>
              </w:rPr>
            </w:r>
            <w:r>
              <w:rPr>
                <w:noProof/>
              </w:rPr>
              <w:fldChar w:fldCharType="separate"/>
            </w:r>
            <w:r w:rsidR="000643C2">
              <w:rPr>
                <w:noProof/>
              </w:rPr>
              <w:t>5</w:t>
            </w:r>
            <w:r>
              <w:rPr>
                <w:noProof/>
              </w:rPr>
              <w:fldChar w:fldCharType="end"/>
            </w:r>
          </w:hyperlink>
        </w:p>
        <w:p w14:paraId="5145C4B4" w14:textId="403C3FA6" w:rsidR="00E02A55" w:rsidRDefault="00E02A55">
          <w:pPr>
            <w:pStyle w:val="TOC2"/>
            <w:tabs>
              <w:tab w:val="right" w:leader="dot" w:pos="9016"/>
            </w:tabs>
            <w:rPr>
              <w:noProof/>
            </w:rPr>
          </w:pPr>
          <w:hyperlink w:anchor="_Toc237517869" w:history="1">
            <w:r w:rsidRPr="000129FB">
              <w:rPr>
                <w:rStyle w:val="Hyperlink"/>
                <w:noProof/>
              </w:rPr>
              <w:t>2.2 Liquidity</w:t>
            </w:r>
            <w:r>
              <w:rPr>
                <w:noProof/>
              </w:rPr>
              <w:tab/>
            </w:r>
            <w:r>
              <w:rPr>
                <w:noProof/>
              </w:rPr>
              <w:fldChar w:fldCharType="begin"/>
            </w:r>
            <w:r>
              <w:rPr>
                <w:noProof/>
              </w:rPr>
              <w:instrText xml:space="preserve"> PAGEREF _Toc237517869 \h </w:instrText>
            </w:r>
            <w:r>
              <w:rPr>
                <w:noProof/>
              </w:rPr>
            </w:r>
            <w:r>
              <w:rPr>
                <w:noProof/>
              </w:rPr>
              <w:fldChar w:fldCharType="separate"/>
            </w:r>
            <w:r w:rsidR="000643C2">
              <w:rPr>
                <w:noProof/>
              </w:rPr>
              <w:t>7</w:t>
            </w:r>
            <w:r>
              <w:rPr>
                <w:noProof/>
              </w:rPr>
              <w:fldChar w:fldCharType="end"/>
            </w:r>
          </w:hyperlink>
        </w:p>
        <w:p w14:paraId="7C9812EB" w14:textId="7DEE1232" w:rsidR="00E02A55" w:rsidRDefault="00E02A55">
          <w:pPr>
            <w:pStyle w:val="TOC2"/>
            <w:tabs>
              <w:tab w:val="right" w:leader="dot" w:pos="9016"/>
            </w:tabs>
            <w:rPr>
              <w:noProof/>
            </w:rPr>
          </w:pPr>
          <w:hyperlink w:anchor="_Toc237517870" w:history="1">
            <w:r w:rsidRPr="000129FB">
              <w:rPr>
                <w:rStyle w:val="Hyperlink"/>
                <w:noProof/>
              </w:rPr>
              <w:t>2.3 Efficiency, gearing and investment measures</w:t>
            </w:r>
            <w:r>
              <w:rPr>
                <w:noProof/>
              </w:rPr>
              <w:tab/>
            </w:r>
            <w:r>
              <w:rPr>
                <w:noProof/>
              </w:rPr>
              <w:fldChar w:fldCharType="begin"/>
            </w:r>
            <w:r>
              <w:rPr>
                <w:noProof/>
              </w:rPr>
              <w:instrText xml:space="preserve"> PAGEREF _Toc237517870 \h </w:instrText>
            </w:r>
            <w:r>
              <w:rPr>
                <w:noProof/>
              </w:rPr>
            </w:r>
            <w:r>
              <w:rPr>
                <w:noProof/>
              </w:rPr>
              <w:fldChar w:fldCharType="separate"/>
            </w:r>
            <w:r w:rsidR="000643C2">
              <w:rPr>
                <w:noProof/>
              </w:rPr>
              <w:t>8</w:t>
            </w:r>
            <w:r>
              <w:rPr>
                <w:noProof/>
              </w:rPr>
              <w:fldChar w:fldCharType="end"/>
            </w:r>
          </w:hyperlink>
        </w:p>
        <w:p w14:paraId="711AAB64" w14:textId="0A4674A1" w:rsidR="00E02A55" w:rsidRDefault="00E02A55">
          <w:pPr>
            <w:pStyle w:val="TOC2"/>
            <w:tabs>
              <w:tab w:val="right" w:leader="dot" w:pos="9016"/>
            </w:tabs>
            <w:rPr>
              <w:noProof/>
            </w:rPr>
          </w:pPr>
          <w:hyperlink w:anchor="_Toc237517871" w:history="1">
            <w:r w:rsidRPr="000129FB">
              <w:rPr>
                <w:rStyle w:val="Hyperlink"/>
                <w:noProof/>
              </w:rPr>
              <w:t>2.4 Trends, strengths, threats and benchmarking</w:t>
            </w:r>
            <w:r>
              <w:rPr>
                <w:noProof/>
              </w:rPr>
              <w:tab/>
            </w:r>
            <w:r>
              <w:rPr>
                <w:noProof/>
              </w:rPr>
              <w:fldChar w:fldCharType="begin"/>
            </w:r>
            <w:r>
              <w:rPr>
                <w:noProof/>
              </w:rPr>
              <w:instrText xml:space="preserve"> PAGEREF _Toc237517871 \h </w:instrText>
            </w:r>
            <w:r>
              <w:rPr>
                <w:noProof/>
              </w:rPr>
            </w:r>
            <w:r>
              <w:rPr>
                <w:noProof/>
              </w:rPr>
              <w:fldChar w:fldCharType="separate"/>
            </w:r>
            <w:r w:rsidR="000643C2">
              <w:rPr>
                <w:noProof/>
              </w:rPr>
              <w:t>9</w:t>
            </w:r>
            <w:r>
              <w:rPr>
                <w:noProof/>
              </w:rPr>
              <w:fldChar w:fldCharType="end"/>
            </w:r>
          </w:hyperlink>
        </w:p>
        <w:p w14:paraId="272E1C6E" w14:textId="0DFF45BF" w:rsidR="00E02A55" w:rsidRDefault="00E02A55">
          <w:pPr>
            <w:pStyle w:val="TOC1"/>
            <w:tabs>
              <w:tab w:val="right" w:leader="dot" w:pos="9016"/>
            </w:tabs>
            <w:rPr>
              <w:noProof/>
            </w:rPr>
          </w:pPr>
          <w:hyperlink w:anchor="_Toc237517872" w:history="1">
            <w:r w:rsidRPr="000129FB">
              <w:rPr>
                <w:rStyle w:val="Hyperlink"/>
                <w:noProof/>
              </w:rPr>
              <w:t>3. Working Capital Management Analysis</w:t>
            </w:r>
            <w:r>
              <w:rPr>
                <w:noProof/>
              </w:rPr>
              <w:tab/>
            </w:r>
            <w:r>
              <w:rPr>
                <w:noProof/>
              </w:rPr>
              <w:fldChar w:fldCharType="begin"/>
            </w:r>
            <w:r>
              <w:rPr>
                <w:noProof/>
              </w:rPr>
              <w:instrText xml:space="preserve"> PAGEREF _Toc237517872 \h </w:instrText>
            </w:r>
            <w:r>
              <w:rPr>
                <w:noProof/>
              </w:rPr>
            </w:r>
            <w:r>
              <w:rPr>
                <w:noProof/>
              </w:rPr>
              <w:fldChar w:fldCharType="separate"/>
            </w:r>
            <w:r w:rsidR="000643C2">
              <w:rPr>
                <w:noProof/>
              </w:rPr>
              <w:t>10</w:t>
            </w:r>
            <w:r>
              <w:rPr>
                <w:noProof/>
              </w:rPr>
              <w:fldChar w:fldCharType="end"/>
            </w:r>
          </w:hyperlink>
        </w:p>
        <w:p w14:paraId="2F05809A" w14:textId="081459F9" w:rsidR="00E02A55" w:rsidRDefault="00E02A55">
          <w:pPr>
            <w:pStyle w:val="TOC2"/>
            <w:tabs>
              <w:tab w:val="right" w:leader="dot" w:pos="9016"/>
            </w:tabs>
            <w:rPr>
              <w:noProof/>
            </w:rPr>
          </w:pPr>
          <w:hyperlink w:anchor="_Toc237517873" w:history="1">
            <w:r w:rsidRPr="000129FB">
              <w:rPr>
                <w:rStyle w:val="Hyperlink"/>
                <w:noProof/>
              </w:rPr>
              <w:t>3.1 The cash operating cycle</w:t>
            </w:r>
            <w:r>
              <w:rPr>
                <w:noProof/>
              </w:rPr>
              <w:tab/>
            </w:r>
            <w:r>
              <w:rPr>
                <w:noProof/>
              </w:rPr>
              <w:fldChar w:fldCharType="begin"/>
            </w:r>
            <w:r>
              <w:rPr>
                <w:noProof/>
              </w:rPr>
              <w:instrText xml:space="preserve"> PAGEREF _Toc237517873 \h </w:instrText>
            </w:r>
            <w:r>
              <w:rPr>
                <w:noProof/>
              </w:rPr>
            </w:r>
            <w:r>
              <w:rPr>
                <w:noProof/>
              </w:rPr>
              <w:fldChar w:fldCharType="separate"/>
            </w:r>
            <w:r w:rsidR="000643C2">
              <w:rPr>
                <w:noProof/>
              </w:rPr>
              <w:t>10</w:t>
            </w:r>
            <w:r>
              <w:rPr>
                <w:noProof/>
              </w:rPr>
              <w:fldChar w:fldCharType="end"/>
            </w:r>
          </w:hyperlink>
        </w:p>
        <w:p w14:paraId="01236938" w14:textId="2C37C91D" w:rsidR="00E02A55" w:rsidRDefault="00E02A55">
          <w:pPr>
            <w:pStyle w:val="TOC2"/>
            <w:tabs>
              <w:tab w:val="right" w:leader="dot" w:pos="9016"/>
            </w:tabs>
            <w:rPr>
              <w:noProof/>
            </w:rPr>
          </w:pPr>
          <w:hyperlink w:anchor="_Toc237517874" w:history="1">
            <w:r w:rsidRPr="000129FB">
              <w:rPr>
                <w:rStyle w:val="Hyperlink"/>
                <w:noProof/>
              </w:rPr>
              <w:t>3.2 Improving liquidity through working capital reform</w:t>
            </w:r>
            <w:r>
              <w:rPr>
                <w:noProof/>
              </w:rPr>
              <w:tab/>
            </w:r>
            <w:r>
              <w:rPr>
                <w:noProof/>
              </w:rPr>
              <w:fldChar w:fldCharType="begin"/>
            </w:r>
            <w:r>
              <w:rPr>
                <w:noProof/>
              </w:rPr>
              <w:instrText xml:space="preserve"> PAGEREF _Toc237517874 \h </w:instrText>
            </w:r>
            <w:r>
              <w:rPr>
                <w:noProof/>
              </w:rPr>
            </w:r>
            <w:r>
              <w:rPr>
                <w:noProof/>
              </w:rPr>
              <w:fldChar w:fldCharType="separate"/>
            </w:r>
            <w:r w:rsidR="000643C2">
              <w:rPr>
                <w:noProof/>
              </w:rPr>
              <w:t>11</w:t>
            </w:r>
            <w:r>
              <w:rPr>
                <w:noProof/>
              </w:rPr>
              <w:fldChar w:fldCharType="end"/>
            </w:r>
          </w:hyperlink>
        </w:p>
        <w:p w14:paraId="46883195" w14:textId="56F3495B" w:rsidR="00E02A55" w:rsidRDefault="00E02A55">
          <w:pPr>
            <w:pStyle w:val="TOC2"/>
            <w:tabs>
              <w:tab w:val="right" w:leader="dot" w:pos="9016"/>
            </w:tabs>
            <w:rPr>
              <w:noProof/>
            </w:rPr>
          </w:pPr>
          <w:hyperlink w:anchor="_Toc237517875" w:history="1">
            <w:r w:rsidRPr="000129FB">
              <w:rPr>
                <w:rStyle w:val="Hyperlink"/>
                <w:noProof/>
              </w:rPr>
              <w:t>3.3 Short-term versus long-term financing</w:t>
            </w:r>
            <w:r>
              <w:rPr>
                <w:noProof/>
              </w:rPr>
              <w:tab/>
            </w:r>
            <w:r>
              <w:rPr>
                <w:noProof/>
              </w:rPr>
              <w:fldChar w:fldCharType="begin"/>
            </w:r>
            <w:r>
              <w:rPr>
                <w:noProof/>
              </w:rPr>
              <w:instrText xml:space="preserve"> PAGEREF _Toc237517875 \h </w:instrText>
            </w:r>
            <w:r>
              <w:rPr>
                <w:noProof/>
              </w:rPr>
            </w:r>
            <w:r>
              <w:rPr>
                <w:noProof/>
              </w:rPr>
              <w:fldChar w:fldCharType="separate"/>
            </w:r>
            <w:r w:rsidR="000643C2">
              <w:rPr>
                <w:noProof/>
              </w:rPr>
              <w:t>11</w:t>
            </w:r>
            <w:r>
              <w:rPr>
                <w:noProof/>
              </w:rPr>
              <w:fldChar w:fldCharType="end"/>
            </w:r>
          </w:hyperlink>
        </w:p>
        <w:p w14:paraId="71E2E95C" w14:textId="3B2B25B6" w:rsidR="00E02A55" w:rsidRDefault="00E02A55">
          <w:pPr>
            <w:pStyle w:val="TOC1"/>
            <w:tabs>
              <w:tab w:val="right" w:leader="dot" w:pos="9016"/>
            </w:tabs>
            <w:rPr>
              <w:noProof/>
            </w:rPr>
          </w:pPr>
          <w:hyperlink w:anchor="_Toc237517876" w:history="1">
            <w:r w:rsidRPr="000129FB">
              <w:rPr>
                <w:rStyle w:val="Hyperlink"/>
                <w:noProof/>
              </w:rPr>
              <w:t>4. Strategic Financial Restructuring Plan</w:t>
            </w:r>
            <w:r>
              <w:rPr>
                <w:noProof/>
              </w:rPr>
              <w:tab/>
            </w:r>
            <w:r>
              <w:rPr>
                <w:noProof/>
              </w:rPr>
              <w:fldChar w:fldCharType="begin"/>
            </w:r>
            <w:r>
              <w:rPr>
                <w:noProof/>
              </w:rPr>
              <w:instrText xml:space="preserve"> PAGEREF _Toc237517876 \h </w:instrText>
            </w:r>
            <w:r>
              <w:rPr>
                <w:noProof/>
              </w:rPr>
            </w:r>
            <w:r>
              <w:rPr>
                <w:noProof/>
              </w:rPr>
              <w:fldChar w:fldCharType="separate"/>
            </w:r>
            <w:r w:rsidR="000643C2">
              <w:rPr>
                <w:noProof/>
              </w:rPr>
              <w:t>12</w:t>
            </w:r>
            <w:r>
              <w:rPr>
                <w:noProof/>
              </w:rPr>
              <w:fldChar w:fldCharType="end"/>
            </w:r>
          </w:hyperlink>
        </w:p>
        <w:p w14:paraId="291F579F" w14:textId="550635E7" w:rsidR="00E02A55" w:rsidRDefault="00E02A55">
          <w:pPr>
            <w:pStyle w:val="TOC2"/>
            <w:tabs>
              <w:tab w:val="right" w:leader="dot" w:pos="9016"/>
            </w:tabs>
            <w:rPr>
              <w:noProof/>
            </w:rPr>
          </w:pPr>
          <w:hyperlink w:anchor="_Toc237517877" w:history="1">
            <w:r w:rsidRPr="000129FB">
              <w:rPr>
                <w:rStyle w:val="Hyperlink"/>
                <w:noProof/>
              </w:rPr>
              <w:t>4.1 Restructuring options</w:t>
            </w:r>
            <w:r>
              <w:rPr>
                <w:noProof/>
              </w:rPr>
              <w:tab/>
            </w:r>
            <w:r>
              <w:rPr>
                <w:noProof/>
              </w:rPr>
              <w:fldChar w:fldCharType="begin"/>
            </w:r>
            <w:r>
              <w:rPr>
                <w:noProof/>
              </w:rPr>
              <w:instrText xml:space="preserve"> PAGEREF _Toc237517877 \h </w:instrText>
            </w:r>
            <w:r>
              <w:rPr>
                <w:noProof/>
              </w:rPr>
            </w:r>
            <w:r>
              <w:rPr>
                <w:noProof/>
              </w:rPr>
              <w:fldChar w:fldCharType="separate"/>
            </w:r>
            <w:r w:rsidR="000643C2">
              <w:rPr>
                <w:noProof/>
              </w:rPr>
              <w:t>12</w:t>
            </w:r>
            <w:r>
              <w:rPr>
                <w:noProof/>
              </w:rPr>
              <w:fldChar w:fldCharType="end"/>
            </w:r>
          </w:hyperlink>
        </w:p>
        <w:p w14:paraId="32714980" w14:textId="6A99B606" w:rsidR="00E02A55" w:rsidRDefault="00E02A55">
          <w:pPr>
            <w:pStyle w:val="TOC2"/>
            <w:tabs>
              <w:tab w:val="right" w:leader="dot" w:pos="9016"/>
            </w:tabs>
            <w:rPr>
              <w:noProof/>
            </w:rPr>
          </w:pPr>
          <w:hyperlink w:anchor="_Toc237517878" w:history="1">
            <w:r w:rsidRPr="000129FB">
              <w:rPr>
                <w:rStyle w:val="Hyperlink"/>
                <w:noProof/>
              </w:rPr>
              <w:t>4.2 Impact on shareholder value, debt and flexibility</w:t>
            </w:r>
            <w:r>
              <w:rPr>
                <w:noProof/>
              </w:rPr>
              <w:tab/>
            </w:r>
            <w:r>
              <w:rPr>
                <w:noProof/>
              </w:rPr>
              <w:fldChar w:fldCharType="begin"/>
            </w:r>
            <w:r>
              <w:rPr>
                <w:noProof/>
              </w:rPr>
              <w:instrText xml:space="preserve"> PAGEREF _Toc237517878 \h </w:instrText>
            </w:r>
            <w:r>
              <w:rPr>
                <w:noProof/>
              </w:rPr>
            </w:r>
            <w:r>
              <w:rPr>
                <w:noProof/>
              </w:rPr>
              <w:fldChar w:fldCharType="separate"/>
            </w:r>
            <w:r w:rsidR="000643C2">
              <w:rPr>
                <w:noProof/>
              </w:rPr>
              <w:t>12</w:t>
            </w:r>
            <w:r>
              <w:rPr>
                <w:noProof/>
              </w:rPr>
              <w:fldChar w:fldCharType="end"/>
            </w:r>
          </w:hyperlink>
        </w:p>
        <w:p w14:paraId="3F1D8C11" w14:textId="72944C3C" w:rsidR="00E02A55" w:rsidRDefault="00E02A55">
          <w:pPr>
            <w:pStyle w:val="TOC2"/>
            <w:tabs>
              <w:tab w:val="right" w:leader="dot" w:pos="9016"/>
            </w:tabs>
            <w:rPr>
              <w:noProof/>
            </w:rPr>
          </w:pPr>
          <w:hyperlink w:anchor="_Toc237517879" w:history="1">
            <w:r w:rsidRPr="000129FB">
              <w:rPr>
                <w:rStyle w:val="Hyperlink"/>
                <w:noProof/>
              </w:rPr>
              <w:t>4.3 A staged restructuring plan</w:t>
            </w:r>
            <w:r>
              <w:rPr>
                <w:noProof/>
              </w:rPr>
              <w:tab/>
            </w:r>
            <w:r>
              <w:rPr>
                <w:noProof/>
              </w:rPr>
              <w:fldChar w:fldCharType="begin"/>
            </w:r>
            <w:r>
              <w:rPr>
                <w:noProof/>
              </w:rPr>
              <w:instrText xml:space="preserve"> PAGEREF _Toc237517879 \h </w:instrText>
            </w:r>
            <w:r>
              <w:rPr>
                <w:noProof/>
              </w:rPr>
            </w:r>
            <w:r>
              <w:rPr>
                <w:noProof/>
              </w:rPr>
              <w:fldChar w:fldCharType="separate"/>
            </w:r>
            <w:r w:rsidR="000643C2">
              <w:rPr>
                <w:noProof/>
              </w:rPr>
              <w:t>13</w:t>
            </w:r>
            <w:r>
              <w:rPr>
                <w:noProof/>
              </w:rPr>
              <w:fldChar w:fldCharType="end"/>
            </w:r>
          </w:hyperlink>
        </w:p>
        <w:p w14:paraId="6B933679" w14:textId="5A3BBB56" w:rsidR="00E02A55" w:rsidRDefault="00E02A55">
          <w:pPr>
            <w:pStyle w:val="TOC2"/>
            <w:tabs>
              <w:tab w:val="right" w:leader="dot" w:pos="9016"/>
            </w:tabs>
            <w:rPr>
              <w:noProof/>
            </w:rPr>
          </w:pPr>
          <w:hyperlink w:anchor="_Toc237517880" w:history="1">
            <w:r w:rsidRPr="000129FB">
              <w:rPr>
                <w:rStyle w:val="Hyperlink"/>
                <w:noProof/>
              </w:rPr>
              <w:t>4.4 International and ethical considerations</w:t>
            </w:r>
            <w:r>
              <w:rPr>
                <w:noProof/>
              </w:rPr>
              <w:tab/>
            </w:r>
            <w:r>
              <w:rPr>
                <w:noProof/>
              </w:rPr>
              <w:fldChar w:fldCharType="begin"/>
            </w:r>
            <w:r>
              <w:rPr>
                <w:noProof/>
              </w:rPr>
              <w:instrText xml:space="preserve"> PAGEREF _Toc237517880 \h </w:instrText>
            </w:r>
            <w:r>
              <w:rPr>
                <w:noProof/>
              </w:rPr>
            </w:r>
            <w:r>
              <w:rPr>
                <w:noProof/>
              </w:rPr>
              <w:fldChar w:fldCharType="separate"/>
            </w:r>
            <w:r w:rsidR="000643C2">
              <w:rPr>
                <w:noProof/>
              </w:rPr>
              <w:t>14</w:t>
            </w:r>
            <w:r>
              <w:rPr>
                <w:noProof/>
              </w:rPr>
              <w:fldChar w:fldCharType="end"/>
            </w:r>
          </w:hyperlink>
        </w:p>
        <w:p w14:paraId="099DB90B" w14:textId="4023E87F" w:rsidR="00E02A55" w:rsidRDefault="00E02A55">
          <w:pPr>
            <w:pStyle w:val="TOC1"/>
            <w:tabs>
              <w:tab w:val="right" w:leader="dot" w:pos="9016"/>
            </w:tabs>
            <w:rPr>
              <w:noProof/>
            </w:rPr>
          </w:pPr>
          <w:hyperlink w:anchor="_Toc237517881" w:history="1">
            <w:r w:rsidRPr="000129FB">
              <w:rPr>
                <w:rStyle w:val="Hyperlink"/>
                <w:noProof/>
              </w:rPr>
              <w:t>5. Investment Appraisal and Capital Budgeting</w:t>
            </w:r>
            <w:r>
              <w:rPr>
                <w:noProof/>
              </w:rPr>
              <w:tab/>
            </w:r>
            <w:r>
              <w:rPr>
                <w:noProof/>
              </w:rPr>
              <w:fldChar w:fldCharType="begin"/>
            </w:r>
            <w:r>
              <w:rPr>
                <w:noProof/>
              </w:rPr>
              <w:instrText xml:space="preserve"> PAGEREF _Toc237517881 \h </w:instrText>
            </w:r>
            <w:r>
              <w:rPr>
                <w:noProof/>
              </w:rPr>
            </w:r>
            <w:r>
              <w:rPr>
                <w:noProof/>
              </w:rPr>
              <w:fldChar w:fldCharType="separate"/>
            </w:r>
            <w:r w:rsidR="000643C2">
              <w:rPr>
                <w:noProof/>
              </w:rPr>
              <w:t>15</w:t>
            </w:r>
            <w:r>
              <w:rPr>
                <w:noProof/>
              </w:rPr>
              <w:fldChar w:fldCharType="end"/>
            </w:r>
          </w:hyperlink>
        </w:p>
        <w:p w14:paraId="02D0A2DB" w14:textId="2461B321" w:rsidR="00E02A55" w:rsidRDefault="00E02A55">
          <w:pPr>
            <w:pStyle w:val="TOC2"/>
            <w:tabs>
              <w:tab w:val="right" w:leader="dot" w:pos="9016"/>
            </w:tabs>
            <w:rPr>
              <w:noProof/>
            </w:rPr>
          </w:pPr>
          <w:hyperlink w:anchor="_Toc237517882" w:history="1">
            <w:r w:rsidRPr="000129FB">
              <w:rPr>
                <w:rStyle w:val="Hyperlink"/>
                <w:noProof/>
              </w:rPr>
              <w:t>5.1 Interpretation of the techniques</w:t>
            </w:r>
            <w:r>
              <w:rPr>
                <w:noProof/>
              </w:rPr>
              <w:tab/>
            </w:r>
            <w:r>
              <w:rPr>
                <w:noProof/>
              </w:rPr>
              <w:fldChar w:fldCharType="begin"/>
            </w:r>
            <w:r>
              <w:rPr>
                <w:noProof/>
              </w:rPr>
              <w:instrText xml:space="preserve"> PAGEREF _Toc237517882 \h </w:instrText>
            </w:r>
            <w:r>
              <w:rPr>
                <w:noProof/>
              </w:rPr>
            </w:r>
            <w:r>
              <w:rPr>
                <w:noProof/>
              </w:rPr>
              <w:fldChar w:fldCharType="separate"/>
            </w:r>
            <w:r w:rsidR="000643C2">
              <w:rPr>
                <w:noProof/>
              </w:rPr>
              <w:t>15</w:t>
            </w:r>
            <w:r>
              <w:rPr>
                <w:noProof/>
              </w:rPr>
              <w:fldChar w:fldCharType="end"/>
            </w:r>
          </w:hyperlink>
        </w:p>
        <w:p w14:paraId="19046674" w14:textId="4F4F327A" w:rsidR="00E02A55" w:rsidRDefault="00E02A55">
          <w:pPr>
            <w:pStyle w:val="TOC2"/>
            <w:tabs>
              <w:tab w:val="right" w:leader="dot" w:pos="9016"/>
            </w:tabs>
            <w:rPr>
              <w:noProof/>
            </w:rPr>
          </w:pPr>
          <w:hyperlink w:anchor="_Toc237517883" w:history="1">
            <w:r w:rsidRPr="000129FB">
              <w:rPr>
                <w:rStyle w:val="Hyperlink"/>
                <w:noProof/>
              </w:rPr>
              <w:t>5.2 Recommendation</w:t>
            </w:r>
            <w:r>
              <w:rPr>
                <w:noProof/>
              </w:rPr>
              <w:tab/>
            </w:r>
            <w:r>
              <w:rPr>
                <w:noProof/>
              </w:rPr>
              <w:fldChar w:fldCharType="begin"/>
            </w:r>
            <w:r>
              <w:rPr>
                <w:noProof/>
              </w:rPr>
              <w:instrText xml:space="preserve"> PAGEREF _Toc237517883 \h </w:instrText>
            </w:r>
            <w:r>
              <w:rPr>
                <w:noProof/>
              </w:rPr>
            </w:r>
            <w:r>
              <w:rPr>
                <w:noProof/>
              </w:rPr>
              <w:fldChar w:fldCharType="separate"/>
            </w:r>
            <w:r w:rsidR="000643C2">
              <w:rPr>
                <w:noProof/>
              </w:rPr>
              <w:t>16</w:t>
            </w:r>
            <w:r>
              <w:rPr>
                <w:noProof/>
              </w:rPr>
              <w:fldChar w:fldCharType="end"/>
            </w:r>
          </w:hyperlink>
        </w:p>
        <w:p w14:paraId="58DB4124" w14:textId="21835BAE" w:rsidR="00E02A55" w:rsidRDefault="00E02A55">
          <w:pPr>
            <w:pStyle w:val="TOC2"/>
            <w:tabs>
              <w:tab w:val="right" w:leader="dot" w:pos="9016"/>
            </w:tabs>
            <w:rPr>
              <w:noProof/>
            </w:rPr>
          </w:pPr>
          <w:hyperlink w:anchor="_Toc237517884" w:history="1">
            <w:r w:rsidRPr="000129FB">
              <w:rPr>
                <w:rStyle w:val="Hyperlink"/>
                <w:noProof/>
              </w:rPr>
              <w:t>5.3 Capital rationing</w:t>
            </w:r>
            <w:r>
              <w:rPr>
                <w:noProof/>
              </w:rPr>
              <w:tab/>
            </w:r>
            <w:r>
              <w:rPr>
                <w:noProof/>
              </w:rPr>
              <w:fldChar w:fldCharType="begin"/>
            </w:r>
            <w:r>
              <w:rPr>
                <w:noProof/>
              </w:rPr>
              <w:instrText xml:space="preserve"> PAGEREF _Toc237517884 \h </w:instrText>
            </w:r>
            <w:r>
              <w:rPr>
                <w:noProof/>
              </w:rPr>
            </w:r>
            <w:r>
              <w:rPr>
                <w:noProof/>
              </w:rPr>
              <w:fldChar w:fldCharType="separate"/>
            </w:r>
            <w:r w:rsidR="000643C2">
              <w:rPr>
                <w:noProof/>
              </w:rPr>
              <w:t>17</w:t>
            </w:r>
            <w:r>
              <w:rPr>
                <w:noProof/>
              </w:rPr>
              <w:fldChar w:fldCharType="end"/>
            </w:r>
          </w:hyperlink>
        </w:p>
        <w:p w14:paraId="6E5EDA1E" w14:textId="68CD344A" w:rsidR="00E02A55" w:rsidRDefault="00E02A55">
          <w:pPr>
            <w:pStyle w:val="TOC1"/>
            <w:tabs>
              <w:tab w:val="right" w:leader="dot" w:pos="9016"/>
            </w:tabs>
            <w:rPr>
              <w:noProof/>
            </w:rPr>
          </w:pPr>
          <w:hyperlink w:anchor="_Toc237517885" w:history="1">
            <w:r w:rsidRPr="000129FB">
              <w:rPr>
                <w:rStyle w:val="Hyperlink"/>
                <w:noProof/>
              </w:rPr>
              <w:t>6. Critical Reflection on the Use of Artificial Intelligence</w:t>
            </w:r>
            <w:r>
              <w:rPr>
                <w:noProof/>
              </w:rPr>
              <w:tab/>
            </w:r>
            <w:r>
              <w:rPr>
                <w:noProof/>
              </w:rPr>
              <w:fldChar w:fldCharType="begin"/>
            </w:r>
            <w:r>
              <w:rPr>
                <w:noProof/>
              </w:rPr>
              <w:instrText xml:space="preserve"> PAGEREF _Toc237517885 \h </w:instrText>
            </w:r>
            <w:r>
              <w:rPr>
                <w:noProof/>
              </w:rPr>
            </w:r>
            <w:r>
              <w:rPr>
                <w:noProof/>
              </w:rPr>
              <w:fldChar w:fldCharType="separate"/>
            </w:r>
            <w:r w:rsidR="000643C2">
              <w:rPr>
                <w:noProof/>
              </w:rPr>
              <w:t>18</w:t>
            </w:r>
            <w:r>
              <w:rPr>
                <w:noProof/>
              </w:rPr>
              <w:fldChar w:fldCharType="end"/>
            </w:r>
          </w:hyperlink>
        </w:p>
        <w:p w14:paraId="47E29B26" w14:textId="1732D568" w:rsidR="00E02A55" w:rsidRDefault="00E02A55">
          <w:pPr>
            <w:pStyle w:val="TOC1"/>
            <w:tabs>
              <w:tab w:val="right" w:leader="dot" w:pos="9016"/>
            </w:tabs>
            <w:rPr>
              <w:noProof/>
            </w:rPr>
          </w:pPr>
          <w:hyperlink w:anchor="_Toc237517886" w:history="1">
            <w:r w:rsidRPr="000129FB">
              <w:rPr>
                <w:rStyle w:val="Hyperlink"/>
                <w:noProof/>
              </w:rPr>
              <w:t>7. Conclusion</w:t>
            </w:r>
            <w:r>
              <w:rPr>
                <w:noProof/>
              </w:rPr>
              <w:tab/>
            </w:r>
            <w:r>
              <w:rPr>
                <w:noProof/>
              </w:rPr>
              <w:fldChar w:fldCharType="begin"/>
            </w:r>
            <w:r>
              <w:rPr>
                <w:noProof/>
              </w:rPr>
              <w:instrText xml:space="preserve"> PAGEREF _Toc237517886 \h </w:instrText>
            </w:r>
            <w:r>
              <w:rPr>
                <w:noProof/>
              </w:rPr>
            </w:r>
            <w:r>
              <w:rPr>
                <w:noProof/>
              </w:rPr>
              <w:fldChar w:fldCharType="separate"/>
            </w:r>
            <w:r w:rsidR="000643C2">
              <w:rPr>
                <w:noProof/>
              </w:rPr>
              <w:t>19</w:t>
            </w:r>
            <w:r>
              <w:rPr>
                <w:noProof/>
              </w:rPr>
              <w:fldChar w:fldCharType="end"/>
            </w:r>
          </w:hyperlink>
        </w:p>
        <w:p w14:paraId="5B66CA28" w14:textId="4F5DA328" w:rsidR="00E02A55" w:rsidRDefault="00E02A55">
          <w:pPr>
            <w:pStyle w:val="TOC1"/>
            <w:tabs>
              <w:tab w:val="right" w:leader="dot" w:pos="9016"/>
            </w:tabs>
            <w:rPr>
              <w:noProof/>
            </w:rPr>
          </w:pPr>
          <w:hyperlink w:anchor="_Toc237517887" w:history="1">
            <w:r w:rsidRPr="000129FB">
              <w:rPr>
                <w:rStyle w:val="Hyperlink"/>
                <w:noProof/>
              </w:rPr>
              <w:t>References</w:t>
            </w:r>
            <w:r>
              <w:rPr>
                <w:noProof/>
              </w:rPr>
              <w:tab/>
            </w:r>
            <w:r>
              <w:rPr>
                <w:noProof/>
              </w:rPr>
              <w:fldChar w:fldCharType="begin"/>
            </w:r>
            <w:r>
              <w:rPr>
                <w:noProof/>
              </w:rPr>
              <w:instrText xml:space="preserve"> PAGEREF _Toc237517887 \h </w:instrText>
            </w:r>
            <w:r>
              <w:rPr>
                <w:noProof/>
              </w:rPr>
            </w:r>
            <w:r>
              <w:rPr>
                <w:noProof/>
              </w:rPr>
              <w:fldChar w:fldCharType="separate"/>
            </w:r>
            <w:r w:rsidR="000643C2">
              <w:rPr>
                <w:noProof/>
              </w:rPr>
              <w:t>21</w:t>
            </w:r>
            <w:r>
              <w:rPr>
                <w:noProof/>
              </w:rPr>
              <w:fldChar w:fldCharType="end"/>
            </w:r>
          </w:hyperlink>
        </w:p>
        <w:p w14:paraId="11665A11" w14:textId="4F073CD8" w:rsidR="00E02A55" w:rsidRDefault="00E02A55">
          <w:pPr>
            <w:pStyle w:val="TOC1"/>
            <w:tabs>
              <w:tab w:val="right" w:leader="dot" w:pos="9016"/>
            </w:tabs>
            <w:rPr>
              <w:noProof/>
            </w:rPr>
          </w:pPr>
          <w:hyperlink w:anchor="_Toc237517888" w:history="1">
            <w:r w:rsidRPr="000129FB">
              <w:rPr>
                <w:rStyle w:val="Hyperlink"/>
                <w:noProof/>
              </w:rPr>
              <w:t>Appendices</w:t>
            </w:r>
            <w:r>
              <w:rPr>
                <w:noProof/>
              </w:rPr>
              <w:tab/>
            </w:r>
            <w:r>
              <w:rPr>
                <w:noProof/>
              </w:rPr>
              <w:fldChar w:fldCharType="begin"/>
            </w:r>
            <w:r>
              <w:rPr>
                <w:noProof/>
              </w:rPr>
              <w:instrText xml:space="preserve"> PAGEREF _Toc237517888 \h </w:instrText>
            </w:r>
            <w:r>
              <w:rPr>
                <w:noProof/>
              </w:rPr>
            </w:r>
            <w:r>
              <w:rPr>
                <w:noProof/>
              </w:rPr>
              <w:fldChar w:fldCharType="separate"/>
            </w:r>
            <w:r w:rsidR="000643C2">
              <w:rPr>
                <w:noProof/>
              </w:rPr>
              <w:t>24</w:t>
            </w:r>
            <w:r>
              <w:rPr>
                <w:noProof/>
              </w:rPr>
              <w:fldChar w:fldCharType="end"/>
            </w:r>
          </w:hyperlink>
        </w:p>
        <w:p w14:paraId="1E9A097B" w14:textId="57ADC96F" w:rsidR="00E02A55" w:rsidRDefault="00E02A55">
          <w:pPr>
            <w:pStyle w:val="TOC2"/>
            <w:tabs>
              <w:tab w:val="right" w:leader="dot" w:pos="9016"/>
            </w:tabs>
            <w:rPr>
              <w:noProof/>
            </w:rPr>
          </w:pPr>
          <w:hyperlink w:anchor="_Toc237517889" w:history="1">
            <w:r w:rsidRPr="000129FB">
              <w:rPr>
                <w:rStyle w:val="Hyperlink"/>
                <w:noProof/>
              </w:rPr>
              <w:t>Appendix A: Ratio calculations</w:t>
            </w:r>
            <w:r>
              <w:rPr>
                <w:noProof/>
              </w:rPr>
              <w:tab/>
            </w:r>
            <w:r>
              <w:rPr>
                <w:noProof/>
              </w:rPr>
              <w:fldChar w:fldCharType="begin"/>
            </w:r>
            <w:r>
              <w:rPr>
                <w:noProof/>
              </w:rPr>
              <w:instrText xml:space="preserve"> PAGEREF _Toc237517889 \h </w:instrText>
            </w:r>
            <w:r>
              <w:rPr>
                <w:noProof/>
              </w:rPr>
            </w:r>
            <w:r>
              <w:rPr>
                <w:noProof/>
              </w:rPr>
              <w:fldChar w:fldCharType="separate"/>
            </w:r>
            <w:r w:rsidR="000643C2">
              <w:rPr>
                <w:noProof/>
              </w:rPr>
              <w:t>24</w:t>
            </w:r>
            <w:r>
              <w:rPr>
                <w:noProof/>
              </w:rPr>
              <w:fldChar w:fldCharType="end"/>
            </w:r>
          </w:hyperlink>
        </w:p>
        <w:p w14:paraId="166A7C38" w14:textId="701A64A9" w:rsidR="00E02A55" w:rsidRDefault="00E02A55">
          <w:pPr>
            <w:pStyle w:val="TOC2"/>
            <w:tabs>
              <w:tab w:val="right" w:leader="dot" w:pos="9016"/>
            </w:tabs>
            <w:rPr>
              <w:noProof/>
            </w:rPr>
          </w:pPr>
          <w:hyperlink w:anchor="_Toc237517890" w:history="1">
            <w:r w:rsidRPr="000129FB">
              <w:rPr>
                <w:rStyle w:val="Hyperlink"/>
                <w:noProof/>
              </w:rPr>
              <w:t>Appendix B: Investment appraisal calculations</w:t>
            </w:r>
            <w:r>
              <w:rPr>
                <w:noProof/>
              </w:rPr>
              <w:tab/>
            </w:r>
            <w:r>
              <w:rPr>
                <w:noProof/>
              </w:rPr>
              <w:fldChar w:fldCharType="begin"/>
            </w:r>
            <w:r>
              <w:rPr>
                <w:noProof/>
              </w:rPr>
              <w:instrText xml:space="preserve"> PAGEREF _Toc237517890 \h </w:instrText>
            </w:r>
            <w:r>
              <w:rPr>
                <w:noProof/>
              </w:rPr>
            </w:r>
            <w:r>
              <w:rPr>
                <w:noProof/>
              </w:rPr>
              <w:fldChar w:fldCharType="separate"/>
            </w:r>
            <w:r w:rsidR="000643C2">
              <w:rPr>
                <w:noProof/>
              </w:rPr>
              <w:t>24</w:t>
            </w:r>
            <w:r>
              <w:rPr>
                <w:noProof/>
              </w:rPr>
              <w:fldChar w:fldCharType="end"/>
            </w:r>
          </w:hyperlink>
        </w:p>
        <w:p w14:paraId="0E2C1D3B" w14:textId="446190BE" w:rsidR="00E02A55" w:rsidRDefault="00E02A55">
          <w:pPr>
            <w:pStyle w:val="TOC2"/>
            <w:tabs>
              <w:tab w:val="right" w:leader="dot" w:pos="9016"/>
            </w:tabs>
            <w:rPr>
              <w:noProof/>
            </w:rPr>
          </w:pPr>
          <w:hyperlink w:anchor="_Toc237517891" w:history="1">
            <w:r w:rsidRPr="000129FB">
              <w:rPr>
                <w:rStyle w:val="Hyperlink"/>
                <w:noProof/>
              </w:rPr>
              <w:t>Appendix C: Note on data and figures</w:t>
            </w:r>
            <w:r>
              <w:rPr>
                <w:noProof/>
              </w:rPr>
              <w:tab/>
            </w:r>
            <w:r>
              <w:rPr>
                <w:noProof/>
              </w:rPr>
              <w:fldChar w:fldCharType="begin"/>
            </w:r>
            <w:r>
              <w:rPr>
                <w:noProof/>
              </w:rPr>
              <w:instrText xml:space="preserve"> PAGEREF _Toc237517891 \h </w:instrText>
            </w:r>
            <w:r>
              <w:rPr>
                <w:noProof/>
              </w:rPr>
            </w:r>
            <w:r>
              <w:rPr>
                <w:noProof/>
              </w:rPr>
              <w:fldChar w:fldCharType="separate"/>
            </w:r>
            <w:r w:rsidR="000643C2">
              <w:rPr>
                <w:noProof/>
              </w:rPr>
              <w:t>25</w:t>
            </w:r>
            <w:r>
              <w:rPr>
                <w:noProof/>
              </w:rPr>
              <w:fldChar w:fldCharType="end"/>
            </w:r>
          </w:hyperlink>
        </w:p>
        <w:p w14:paraId="4D6A0C57" w14:textId="77777777" w:rsidR="004569D0" w:rsidRDefault="00184DA1">
          <w:r>
            <w:lastRenderedPageBreak/>
            <w:fldChar w:fldCharType="end"/>
          </w:r>
        </w:p>
      </w:sdtContent>
    </w:sdt>
    <w:p w14:paraId="78685060" w14:textId="77777777" w:rsidR="004569D0" w:rsidRDefault="00184DA1">
      <w:pPr>
        <w:spacing w:before="240" w:after="160"/>
      </w:pPr>
      <w:r>
        <w:rPr>
          <w:b/>
          <w:bCs/>
          <w:sz w:val="30"/>
          <w:szCs w:val="30"/>
        </w:rPr>
        <w:t>List of Tables</w:t>
      </w:r>
    </w:p>
    <w:p w14:paraId="54E06CDB" w14:textId="77777777" w:rsidR="004569D0" w:rsidRDefault="00184DA1">
      <w:pPr>
        <w:spacing w:after="40"/>
        <w:jc w:val="both"/>
      </w:pPr>
      <w:r>
        <w:t>Table 1. IHG selected financial data, 2021–2025.</w:t>
      </w:r>
    </w:p>
    <w:p w14:paraId="40BD02AC" w14:textId="77777777" w:rsidR="004569D0" w:rsidRDefault="00184DA1">
      <w:pPr>
        <w:spacing w:after="40"/>
        <w:jc w:val="both"/>
      </w:pPr>
      <w:r>
        <w:t>Table 2. IHG key financial ratios, 2021–2025.</w:t>
      </w:r>
    </w:p>
    <w:p w14:paraId="2E1C56A7" w14:textId="77777777" w:rsidR="004569D0" w:rsidRDefault="00184DA1">
      <w:pPr>
        <w:spacing w:after="40"/>
        <w:jc w:val="both"/>
      </w:pPr>
      <w:r>
        <w:t>Table 3. Liquidity benchmarking against asset-light hotel peers.</w:t>
      </w:r>
    </w:p>
    <w:p w14:paraId="10351A2A" w14:textId="77777777" w:rsidR="004569D0" w:rsidRDefault="00184DA1">
      <w:pPr>
        <w:spacing w:after="40"/>
        <w:jc w:val="both"/>
      </w:pPr>
      <w:r>
        <w:t>Table 4. Cash operating cycle components, 2023–2025.</w:t>
      </w:r>
    </w:p>
    <w:p w14:paraId="60397A66" w14:textId="77777777" w:rsidR="004569D0" w:rsidRDefault="00184DA1">
      <w:pPr>
        <w:spacing w:after="40"/>
        <w:jc w:val="both"/>
      </w:pPr>
      <w:r>
        <w:t>Table 5. Indicative staged financial restructuring plan.</w:t>
      </w:r>
    </w:p>
    <w:p w14:paraId="18197D4A" w14:textId="77777777" w:rsidR="004569D0" w:rsidRDefault="00184DA1">
      <w:pPr>
        <w:spacing w:after="40"/>
        <w:jc w:val="both"/>
      </w:pPr>
      <w:r>
        <w:t>Table 6. Investment appraisal results for Projects A, B and C.</w:t>
      </w:r>
    </w:p>
    <w:p w14:paraId="24E83861" w14:textId="77777777" w:rsidR="004569D0" w:rsidRDefault="00184DA1">
      <w:pPr>
        <w:spacing w:after="40"/>
        <w:jc w:val="both"/>
      </w:pPr>
      <w:r>
        <w:t>Table 7. Capital rationing: feasible two-project combinations.</w:t>
      </w:r>
    </w:p>
    <w:p w14:paraId="7BC7B96D" w14:textId="77777777" w:rsidR="004569D0" w:rsidRDefault="00184DA1">
      <w:pPr>
        <w:spacing w:after="40"/>
        <w:jc w:val="both"/>
      </w:pPr>
      <w:r>
        <w:t>Table 8. Project C sensitivity to discount rate and cash flows.</w:t>
      </w:r>
    </w:p>
    <w:p w14:paraId="382182C9" w14:textId="77777777" w:rsidR="004569D0" w:rsidRDefault="00184DA1">
      <w:pPr>
        <w:spacing w:after="40"/>
        <w:jc w:val="both"/>
      </w:pPr>
      <w:r>
        <w:t>Table 9. International and ethical risks with mitigations.</w:t>
      </w:r>
    </w:p>
    <w:p w14:paraId="78A319FB" w14:textId="77777777" w:rsidR="004569D0" w:rsidRDefault="00184DA1">
      <w:pPr>
        <w:spacing w:before="240" w:after="160"/>
      </w:pPr>
      <w:r>
        <w:rPr>
          <w:b/>
          <w:bCs/>
          <w:sz w:val="30"/>
          <w:szCs w:val="30"/>
        </w:rPr>
        <w:t>List of Figures</w:t>
      </w:r>
    </w:p>
    <w:p w14:paraId="24289E88" w14:textId="77777777" w:rsidR="004569D0" w:rsidRDefault="00184DA1">
      <w:pPr>
        <w:spacing w:after="40"/>
        <w:jc w:val="both"/>
      </w:pPr>
      <w:r>
        <w:t>Figure 1. IHG revenue and operating profit trend, 2021–2025.</w:t>
      </w:r>
    </w:p>
    <w:p w14:paraId="4556940F" w14:textId="77777777" w:rsidR="004569D0" w:rsidRDefault="00184DA1">
      <w:pPr>
        <w:spacing w:after="40"/>
        <w:jc w:val="both"/>
      </w:pPr>
      <w:r>
        <w:t>Figure 2. IHG profitability margins, 2021–2025.</w:t>
      </w:r>
    </w:p>
    <w:p w14:paraId="257AD652" w14:textId="77777777" w:rsidR="004569D0" w:rsidRDefault="00184DA1">
      <w:r>
        <w:br w:type="page"/>
      </w:r>
    </w:p>
    <w:p w14:paraId="747CDD94" w14:textId="77777777" w:rsidR="004569D0" w:rsidRDefault="004569D0">
      <w:pPr>
        <w:sectPr w:rsidR="004569D0">
          <w:pgSz w:w="11906" w:h="16838"/>
          <w:pgMar w:top="1440" w:right="1440" w:bottom="1440" w:left="1440" w:header="708" w:footer="708" w:gutter="0"/>
          <w:cols w:space="720"/>
          <w:docGrid w:linePitch="360"/>
        </w:sectPr>
      </w:pPr>
    </w:p>
    <w:p w14:paraId="754D7624" w14:textId="77777777" w:rsidR="004569D0" w:rsidRDefault="00184DA1">
      <w:pPr>
        <w:pStyle w:val="Heading1"/>
      </w:pPr>
      <w:bookmarkStart w:id="0" w:name="_Toc237517866"/>
      <w:r>
        <w:lastRenderedPageBreak/>
        <w:t>1. Introduction</w:t>
      </w:r>
      <w:bookmarkEnd w:id="0"/>
    </w:p>
    <w:p w14:paraId="37BA3B30" w14:textId="77777777" w:rsidR="004569D0" w:rsidRDefault="00184DA1">
      <w:pPr>
        <w:spacing w:after="160"/>
        <w:jc w:val="both"/>
      </w:pPr>
      <w:r>
        <w:t>This report is prepared from the perspective of the Chief Financial Officer of InterContinental Hotels Group PLC (IHG), one of the world's largest hotel companies, operating a family of more than twenty brands across over one hundred countries under a predominantly asset-light, fee-based model (IHG, 2026). Its purpose is to evaluate IHG's financial performance over the five years to 31 December 2025, to diagnose the principal financial issues facing the business, and to propose a coherent financial strategy</w:t>
      </w:r>
      <w:r>
        <w:t xml:space="preserve"> that is viable, globally scalable and ethically defensible. The report also appraises three competing investment projects in order to inform near-term capital allocation.</w:t>
      </w:r>
    </w:p>
    <w:p w14:paraId="7E7D80DE" w14:textId="77777777" w:rsidR="004569D0" w:rsidRDefault="00184DA1">
      <w:pPr>
        <w:spacing w:after="160"/>
        <w:jc w:val="both"/>
      </w:pPr>
      <w:r>
        <w:t>The scope covers five areas. First, a financial health check interprets IHG's income statement, statement of financial position and cash flow statement, supported by ratio analysis and industry benchmarking. Second, working capital management is examined through the cash operating cycle and financing choices. Third, a strategic restructuring plan considers divestiture, merger and equity options alongside international and ethical dimensions. Fourth, an investment appraisal applies payback, accounting rate o</w:t>
      </w:r>
      <w:r>
        <w:t>f return, net present value, profitability index and internal rate of return to three projects, followed by a capital rationing decision. Finally, a critical reflection considers the use of artificial intelligence in preparing the report. Throughout, the emphasis is on evaluation rather than description, drawing on academic and professional evidence to justify each judgement.</w:t>
      </w:r>
    </w:p>
    <w:p w14:paraId="2FC5BC16" w14:textId="77777777" w:rsidR="004569D0" w:rsidRDefault="00184DA1">
      <w:pPr>
        <w:pStyle w:val="Heading1"/>
      </w:pPr>
      <w:bookmarkStart w:id="1" w:name="_Toc237517867"/>
      <w:r>
        <w:t>2. Financial Health Check</w:t>
      </w:r>
      <w:bookmarkEnd w:id="1"/>
    </w:p>
    <w:p w14:paraId="4FCD6026" w14:textId="77777777" w:rsidR="004569D0" w:rsidRDefault="00184DA1">
      <w:pPr>
        <w:spacing w:after="160"/>
        <w:jc w:val="both"/>
      </w:pPr>
      <w:r>
        <w:t>This section evaluates IHG's financial performance across the six ratio categories required of a comprehensive analysis, namely profitability, liquidity, efficiency, gearing, investment and cash flow, before drawing together the trends, strengths and threats and benchmarking the group against its sector. Ratio analysis is a diagnostic rather than a conclusive tool: it identifies questions rather than answering them, and its value depends on interpreting each measure against the firm's business model, its tr</w:t>
      </w:r>
      <w:r>
        <w:t xml:space="preserve">end over time and an appropriate benchmark (Robinson, 2020). This principle proves decisive for IHG, whose asset-light structure makes several conventional ratios behave in ways that would mislead an analyst applying manufacturing-based rules of </w:t>
      </w:r>
      <w:r>
        <w:lastRenderedPageBreak/>
        <w:t>thumb. IHG's headline performance improved markedly over the review period as global travel recovered from the pandemic. Table 1 summarises the key figures drawn from the group's published results.</w:t>
      </w:r>
    </w:p>
    <w:p w14:paraId="14EE6893" w14:textId="77777777" w:rsidR="004569D0" w:rsidRDefault="00184DA1">
      <w:pPr>
        <w:spacing w:before="60" w:after="160" w:line="240" w:lineRule="auto"/>
      </w:pPr>
      <w:r>
        <w:rPr>
          <w:i/>
          <w:iCs/>
          <w:sz w:val="20"/>
          <w:szCs w:val="20"/>
        </w:rPr>
        <w:t>Table 1. IHG selected financial data, 2021–2025 (</w:t>
      </w:r>
      <w:proofErr w:type="spellStart"/>
      <w:r>
        <w:rPr>
          <w:i/>
          <w:iCs/>
          <w:sz w:val="20"/>
          <w:szCs w:val="20"/>
        </w:rPr>
        <w:t>US$m</w:t>
      </w:r>
      <w:proofErr w:type="spellEnd"/>
      <w:r>
        <w:rPr>
          <w:i/>
          <w:iCs/>
          <w:sz w:val="20"/>
          <w:szCs w:val="20"/>
        </w:rPr>
        <w:t>). Source: compiled from IHG full-year results and audited Group financial statements (IHG, 2023; 2024; 2025; 2026). Revenue, operating profit and profit for the year are IFRS reported figures; net debt and adjusted EBITDA are the group's defined non-GAAP measures; total equity is the reported net-liabilities position (equity deficit).</w:t>
      </w:r>
    </w:p>
    <w:tbl>
      <w:tblPr>
        <w:tblW w:w="8000" w:type="dxa"/>
        <w:tblBorders>
          <w:top w:val="single" w:sz="2" w:space="0" w:color="7F7F7F"/>
          <w:left w:val="single" w:sz="2" w:space="0" w:color="7F7F7F"/>
          <w:bottom w:val="single" w:sz="2" w:space="0" w:color="7F7F7F"/>
          <w:right w:val="single" w:sz="2" w:space="0" w:color="7F7F7F"/>
          <w:insideH w:val="single" w:sz="1" w:space="0" w:color="BFBFBF"/>
          <w:insideV w:val="single" w:sz="1" w:space="0" w:color="BFBFBF"/>
        </w:tblBorders>
        <w:tblCellMar>
          <w:left w:w="10" w:type="dxa"/>
          <w:right w:w="10" w:type="dxa"/>
        </w:tblCellMar>
        <w:tblLook w:val="0000" w:firstRow="0" w:lastRow="0" w:firstColumn="0" w:lastColumn="0" w:noHBand="0" w:noVBand="0"/>
      </w:tblPr>
      <w:tblGrid>
        <w:gridCol w:w="2100"/>
        <w:gridCol w:w="1180"/>
        <w:gridCol w:w="1180"/>
        <w:gridCol w:w="1180"/>
        <w:gridCol w:w="1180"/>
        <w:gridCol w:w="1180"/>
      </w:tblGrid>
      <w:tr w:rsidR="004569D0" w14:paraId="3B410EE0" w14:textId="77777777">
        <w:tblPrEx>
          <w:tblCellMar>
            <w:top w:w="0" w:type="dxa"/>
            <w:bottom w:w="0" w:type="dxa"/>
          </w:tblCellMar>
        </w:tblPrEx>
        <w:trPr>
          <w:tblHeader/>
        </w:trPr>
        <w:tc>
          <w:tcPr>
            <w:tcW w:w="2100" w:type="dxa"/>
            <w:shd w:val="clear" w:color="auto" w:fill="1F3864"/>
            <w:tcMar>
              <w:top w:w="40" w:type="dxa"/>
              <w:left w:w="80" w:type="dxa"/>
              <w:bottom w:w="40" w:type="dxa"/>
              <w:right w:w="80" w:type="dxa"/>
            </w:tcMar>
          </w:tcPr>
          <w:p w14:paraId="192E8FEB" w14:textId="77777777" w:rsidR="004569D0" w:rsidRDefault="00184DA1">
            <w:pPr>
              <w:spacing w:line="240" w:lineRule="auto"/>
            </w:pPr>
            <w:proofErr w:type="spellStart"/>
            <w:r>
              <w:rPr>
                <w:b/>
                <w:bCs/>
                <w:color w:val="FFFFFF"/>
                <w:sz w:val="20"/>
                <w:szCs w:val="20"/>
              </w:rPr>
              <w:t>US$m</w:t>
            </w:r>
            <w:proofErr w:type="spellEnd"/>
          </w:p>
        </w:tc>
        <w:tc>
          <w:tcPr>
            <w:tcW w:w="1180" w:type="dxa"/>
            <w:shd w:val="clear" w:color="auto" w:fill="1F3864"/>
            <w:tcMar>
              <w:top w:w="40" w:type="dxa"/>
              <w:left w:w="80" w:type="dxa"/>
              <w:bottom w:w="40" w:type="dxa"/>
              <w:right w:w="80" w:type="dxa"/>
            </w:tcMar>
          </w:tcPr>
          <w:p w14:paraId="2A53ECE9" w14:textId="77777777" w:rsidR="004569D0" w:rsidRDefault="00184DA1">
            <w:pPr>
              <w:spacing w:line="240" w:lineRule="auto"/>
              <w:jc w:val="center"/>
            </w:pPr>
            <w:r>
              <w:rPr>
                <w:b/>
                <w:bCs/>
                <w:color w:val="FFFFFF"/>
                <w:sz w:val="20"/>
                <w:szCs w:val="20"/>
              </w:rPr>
              <w:t>2021</w:t>
            </w:r>
          </w:p>
        </w:tc>
        <w:tc>
          <w:tcPr>
            <w:tcW w:w="1180" w:type="dxa"/>
            <w:shd w:val="clear" w:color="auto" w:fill="1F3864"/>
            <w:tcMar>
              <w:top w:w="40" w:type="dxa"/>
              <w:left w:w="80" w:type="dxa"/>
              <w:bottom w:w="40" w:type="dxa"/>
              <w:right w:w="80" w:type="dxa"/>
            </w:tcMar>
          </w:tcPr>
          <w:p w14:paraId="70B46582" w14:textId="77777777" w:rsidR="004569D0" w:rsidRDefault="00184DA1">
            <w:pPr>
              <w:spacing w:line="240" w:lineRule="auto"/>
              <w:jc w:val="center"/>
            </w:pPr>
            <w:r>
              <w:rPr>
                <w:b/>
                <w:bCs/>
                <w:color w:val="FFFFFF"/>
                <w:sz w:val="20"/>
                <w:szCs w:val="20"/>
              </w:rPr>
              <w:t>2022</w:t>
            </w:r>
          </w:p>
        </w:tc>
        <w:tc>
          <w:tcPr>
            <w:tcW w:w="1180" w:type="dxa"/>
            <w:shd w:val="clear" w:color="auto" w:fill="1F3864"/>
            <w:tcMar>
              <w:top w:w="40" w:type="dxa"/>
              <w:left w:w="80" w:type="dxa"/>
              <w:bottom w:w="40" w:type="dxa"/>
              <w:right w:w="80" w:type="dxa"/>
            </w:tcMar>
          </w:tcPr>
          <w:p w14:paraId="53A71546" w14:textId="77777777" w:rsidR="004569D0" w:rsidRDefault="00184DA1">
            <w:pPr>
              <w:spacing w:line="240" w:lineRule="auto"/>
              <w:jc w:val="center"/>
            </w:pPr>
            <w:r>
              <w:rPr>
                <w:b/>
                <w:bCs/>
                <w:color w:val="FFFFFF"/>
                <w:sz w:val="20"/>
                <w:szCs w:val="20"/>
              </w:rPr>
              <w:t>2023</w:t>
            </w:r>
          </w:p>
        </w:tc>
        <w:tc>
          <w:tcPr>
            <w:tcW w:w="1180" w:type="dxa"/>
            <w:shd w:val="clear" w:color="auto" w:fill="1F3864"/>
            <w:tcMar>
              <w:top w:w="40" w:type="dxa"/>
              <w:left w:w="80" w:type="dxa"/>
              <w:bottom w:w="40" w:type="dxa"/>
              <w:right w:w="80" w:type="dxa"/>
            </w:tcMar>
          </w:tcPr>
          <w:p w14:paraId="4BE811BE" w14:textId="77777777" w:rsidR="004569D0" w:rsidRDefault="00184DA1">
            <w:pPr>
              <w:spacing w:line="240" w:lineRule="auto"/>
              <w:jc w:val="center"/>
            </w:pPr>
            <w:r>
              <w:rPr>
                <w:b/>
                <w:bCs/>
                <w:color w:val="FFFFFF"/>
                <w:sz w:val="20"/>
                <w:szCs w:val="20"/>
              </w:rPr>
              <w:t>2024</w:t>
            </w:r>
          </w:p>
        </w:tc>
        <w:tc>
          <w:tcPr>
            <w:tcW w:w="1180" w:type="dxa"/>
            <w:shd w:val="clear" w:color="auto" w:fill="1F3864"/>
            <w:tcMar>
              <w:top w:w="40" w:type="dxa"/>
              <w:left w:w="80" w:type="dxa"/>
              <w:bottom w:w="40" w:type="dxa"/>
              <w:right w:w="80" w:type="dxa"/>
            </w:tcMar>
          </w:tcPr>
          <w:p w14:paraId="20FD94C5" w14:textId="77777777" w:rsidR="004569D0" w:rsidRDefault="00184DA1">
            <w:pPr>
              <w:spacing w:line="240" w:lineRule="auto"/>
              <w:jc w:val="center"/>
            </w:pPr>
            <w:r>
              <w:rPr>
                <w:b/>
                <w:bCs/>
                <w:color w:val="FFFFFF"/>
                <w:sz w:val="20"/>
                <w:szCs w:val="20"/>
              </w:rPr>
              <w:t>2025</w:t>
            </w:r>
          </w:p>
        </w:tc>
      </w:tr>
      <w:tr w:rsidR="004569D0" w14:paraId="556E1801" w14:textId="77777777">
        <w:tblPrEx>
          <w:tblCellMar>
            <w:top w:w="0" w:type="dxa"/>
            <w:bottom w:w="0" w:type="dxa"/>
          </w:tblCellMar>
        </w:tblPrEx>
        <w:tc>
          <w:tcPr>
            <w:tcW w:w="2100" w:type="dxa"/>
            <w:tcMar>
              <w:top w:w="40" w:type="dxa"/>
              <w:left w:w="80" w:type="dxa"/>
              <w:bottom w:w="40" w:type="dxa"/>
              <w:right w:w="80" w:type="dxa"/>
            </w:tcMar>
          </w:tcPr>
          <w:p w14:paraId="49E481E3" w14:textId="77777777" w:rsidR="004569D0" w:rsidRDefault="00184DA1">
            <w:pPr>
              <w:spacing w:line="240" w:lineRule="auto"/>
            </w:pPr>
            <w:r>
              <w:rPr>
                <w:b/>
                <w:bCs/>
                <w:color w:val="000000"/>
                <w:sz w:val="20"/>
                <w:szCs w:val="20"/>
              </w:rPr>
              <w:t>Total revenue (IFRS)</w:t>
            </w:r>
          </w:p>
        </w:tc>
        <w:tc>
          <w:tcPr>
            <w:tcW w:w="1180" w:type="dxa"/>
            <w:tcMar>
              <w:top w:w="40" w:type="dxa"/>
              <w:left w:w="80" w:type="dxa"/>
              <w:bottom w:w="40" w:type="dxa"/>
              <w:right w:w="80" w:type="dxa"/>
            </w:tcMar>
          </w:tcPr>
          <w:p w14:paraId="5E57CB7D" w14:textId="77777777" w:rsidR="004569D0" w:rsidRDefault="00184DA1">
            <w:pPr>
              <w:spacing w:line="240" w:lineRule="auto"/>
              <w:jc w:val="center"/>
            </w:pPr>
            <w:r>
              <w:rPr>
                <w:color w:val="000000"/>
                <w:sz w:val="20"/>
                <w:szCs w:val="20"/>
              </w:rPr>
              <w:t>2,907</w:t>
            </w:r>
          </w:p>
        </w:tc>
        <w:tc>
          <w:tcPr>
            <w:tcW w:w="1180" w:type="dxa"/>
            <w:tcMar>
              <w:top w:w="40" w:type="dxa"/>
              <w:left w:w="80" w:type="dxa"/>
              <w:bottom w:w="40" w:type="dxa"/>
              <w:right w:w="80" w:type="dxa"/>
            </w:tcMar>
          </w:tcPr>
          <w:p w14:paraId="69265512" w14:textId="77777777" w:rsidR="004569D0" w:rsidRDefault="00184DA1">
            <w:pPr>
              <w:spacing w:line="240" w:lineRule="auto"/>
              <w:jc w:val="center"/>
            </w:pPr>
            <w:r>
              <w:rPr>
                <w:color w:val="000000"/>
                <w:sz w:val="20"/>
                <w:szCs w:val="20"/>
              </w:rPr>
              <w:t>3,892</w:t>
            </w:r>
          </w:p>
        </w:tc>
        <w:tc>
          <w:tcPr>
            <w:tcW w:w="1180" w:type="dxa"/>
            <w:tcMar>
              <w:top w:w="40" w:type="dxa"/>
              <w:left w:w="80" w:type="dxa"/>
              <w:bottom w:w="40" w:type="dxa"/>
              <w:right w:w="80" w:type="dxa"/>
            </w:tcMar>
          </w:tcPr>
          <w:p w14:paraId="7E9A8B7F" w14:textId="77777777" w:rsidR="004569D0" w:rsidRDefault="00184DA1">
            <w:pPr>
              <w:spacing w:line="240" w:lineRule="auto"/>
              <w:jc w:val="center"/>
            </w:pPr>
            <w:r>
              <w:rPr>
                <w:color w:val="000000"/>
                <w:sz w:val="20"/>
                <w:szCs w:val="20"/>
              </w:rPr>
              <w:t>4,624</w:t>
            </w:r>
          </w:p>
        </w:tc>
        <w:tc>
          <w:tcPr>
            <w:tcW w:w="1180" w:type="dxa"/>
            <w:tcMar>
              <w:top w:w="40" w:type="dxa"/>
              <w:left w:w="80" w:type="dxa"/>
              <w:bottom w:w="40" w:type="dxa"/>
              <w:right w:w="80" w:type="dxa"/>
            </w:tcMar>
          </w:tcPr>
          <w:p w14:paraId="09E67FED" w14:textId="77777777" w:rsidR="004569D0" w:rsidRDefault="00184DA1">
            <w:pPr>
              <w:spacing w:line="240" w:lineRule="auto"/>
              <w:jc w:val="center"/>
            </w:pPr>
            <w:r>
              <w:rPr>
                <w:color w:val="000000"/>
                <w:sz w:val="20"/>
                <w:szCs w:val="20"/>
              </w:rPr>
              <w:t>4,923</w:t>
            </w:r>
          </w:p>
        </w:tc>
        <w:tc>
          <w:tcPr>
            <w:tcW w:w="1180" w:type="dxa"/>
            <w:tcMar>
              <w:top w:w="40" w:type="dxa"/>
              <w:left w:w="80" w:type="dxa"/>
              <w:bottom w:w="40" w:type="dxa"/>
              <w:right w:w="80" w:type="dxa"/>
            </w:tcMar>
          </w:tcPr>
          <w:p w14:paraId="6AC65314" w14:textId="77777777" w:rsidR="004569D0" w:rsidRDefault="00184DA1">
            <w:pPr>
              <w:spacing w:line="240" w:lineRule="auto"/>
              <w:jc w:val="center"/>
            </w:pPr>
            <w:r>
              <w:rPr>
                <w:color w:val="000000"/>
                <w:sz w:val="20"/>
                <w:szCs w:val="20"/>
              </w:rPr>
              <w:t>5,189</w:t>
            </w:r>
          </w:p>
        </w:tc>
      </w:tr>
      <w:tr w:rsidR="004569D0" w14:paraId="3A724524" w14:textId="77777777">
        <w:tblPrEx>
          <w:tblCellMar>
            <w:top w:w="0" w:type="dxa"/>
            <w:bottom w:w="0" w:type="dxa"/>
          </w:tblCellMar>
        </w:tblPrEx>
        <w:tc>
          <w:tcPr>
            <w:tcW w:w="2100" w:type="dxa"/>
            <w:shd w:val="clear" w:color="auto" w:fill="D9E1F2"/>
            <w:tcMar>
              <w:top w:w="40" w:type="dxa"/>
              <w:left w:w="80" w:type="dxa"/>
              <w:bottom w:w="40" w:type="dxa"/>
              <w:right w:w="80" w:type="dxa"/>
            </w:tcMar>
          </w:tcPr>
          <w:p w14:paraId="7B9BD45F" w14:textId="77777777" w:rsidR="004569D0" w:rsidRDefault="00184DA1">
            <w:pPr>
              <w:spacing w:line="240" w:lineRule="auto"/>
            </w:pPr>
            <w:r>
              <w:rPr>
                <w:b/>
                <w:bCs/>
                <w:color w:val="000000"/>
                <w:sz w:val="20"/>
                <w:szCs w:val="20"/>
              </w:rPr>
              <w:t>Operating profit (IFRS)</w:t>
            </w:r>
          </w:p>
        </w:tc>
        <w:tc>
          <w:tcPr>
            <w:tcW w:w="1180" w:type="dxa"/>
            <w:shd w:val="clear" w:color="auto" w:fill="D9E1F2"/>
            <w:tcMar>
              <w:top w:w="40" w:type="dxa"/>
              <w:left w:w="80" w:type="dxa"/>
              <w:bottom w:w="40" w:type="dxa"/>
              <w:right w:w="80" w:type="dxa"/>
            </w:tcMar>
          </w:tcPr>
          <w:p w14:paraId="242F43F0" w14:textId="77777777" w:rsidR="004569D0" w:rsidRDefault="00184DA1">
            <w:pPr>
              <w:spacing w:line="240" w:lineRule="auto"/>
              <w:jc w:val="center"/>
            </w:pPr>
            <w:r>
              <w:rPr>
                <w:color w:val="000000"/>
                <w:sz w:val="20"/>
                <w:szCs w:val="20"/>
              </w:rPr>
              <w:t>494</w:t>
            </w:r>
          </w:p>
        </w:tc>
        <w:tc>
          <w:tcPr>
            <w:tcW w:w="1180" w:type="dxa"/>
            <w:shd w:val="clear" w:color="auto" w:fill="D9E1F2"/>
            <w:tcMar>
              <w:top w:w="40" w:type="dxa"/>
              <w:left w:w="80" w:type="dxa"/>
              <w:bottom w:w="40" w:type="dxa"/>
              <w:right w:w="80" w:type="dxa"/>
            </w:tcMar>
          </w:tcPr>
          <w:p w14:paraId="444E18BE" w14:textId="77777777" w:rsidR="004569D0" w:rsidRDefault="00184DA1">
            <w:pPr>
              <w:spacing w:line="240" w:lineRule="auto"/>
              <w:jc w:val="center"/>
            </w:pPr>
            <w:r>
              <w:rPr>
                <w:color w:val="000000"/>
                <w:sz w:val="20"/>
                <w:szCs w:val="20"/>
              </w:rPr>
              <w:t>628</w:t>
            </w:r>
          </w:p>
        </w:tc>
        <w:tc>
          <w:tcPr>
            <w:tcW w:w="1180" w:type="dxa"/>
            <w:shd w:val="clear" w:color="auto" w:fill="D9E1F2"/>
            <w:tcMar>
              <w:top w:w="40" w:type="dxa"/>
              <w:left w:w="80" w:type="dxa"/>
              <w:bottom w:w="40" w:type="dxa"/>
              <w:right w:w="80" w:type="dxa"/>
            </w:tcMar>
          </w:tcPr>
          <w:p w14:paraId="0318009A" w14:textId="77777777" w:rsidR="004569D0" w:rsidRDefault="00184DA1">
            <w:pPr>
              <w:spacing w:line="240" w:lineRule="auto"/>
              <w:jc w:val="center"/>
            </w:pPr>
            <w:r>
              <w:rPr>
                <w:color w:val="000000"/>
                <w:sz w:val="20"/>
                <w:szCs w:val="20"/>
              </w:rPr>
              <w:t>1,066</w:t>
            </w:r>
          </w:p>
        </w:tc>
        <w:tc>
          <w:tcPr>
            <w:tcW w:w="1180" w:type="dxa"/>
            <w:shd w:val="clear" w:color="auto" w:fill="D9E1F2"/>
            <w:tcMar>
              <w:top w:w="40" w:type="dxa"/>
              <w:left w:w="80" w:type="dxa"/>
              <w:bottom w:w="40" w:type="dxa"/>
              <w:right w:w="80" w:type="dxa"/>
            </w:tcMar>
          </w:tcPr>
          <w:p w14:paraId="4ADBC3AD" w14:textId="77777777" w:rsidR="004569D0" w:rsidRDefault="00184DA1">
            <w:pPr>
              <w:spacing w:line="240" w:lineRule="auto"/>
              <w:jc w:val="center"/>
            </w:pPr>
            <w:r>
              <w:rPr>
                <w:color w:val="000000"/>
                <w:sz w:val="20"/>
                <w:szCs w:val="20"/>
              </w:rPr>
              <w:t>1,041</w:t>
            </w:r>
          </w:p>
        </w:tc>
        <w:tc>
          <w:tcPr>
            <w:tcW w:w="1180" w:type="dxa"/>
            <w:shd w:val="clear" w:color="auto" w:fill="D9E1F2"/>
            <w:tcMar>
              <w:top w:w="40" w:type="dxa"/>
              <w:left w:w="80" w:type="dxa"/>
              <w:bottom w:w="40" w:type="dxa"/>
              <w:right w:w="80" w:type="dxa"/>
            </w:tcMar>
          </w:tcPr>
          <w:p w14:paraId="6BEE925F" w14:textId="77777777" w:rsidR="004569D0" w:rsidRDefault="00184DA1">
            <w:pPr>
              <w:spacing w:line="240" w:lineRule="auto"/>
              <w:jc w:val="center"/>
            </w:pPr>
            <w:r>
              <w:rPr>
                <w:color w:val="000000"/>
                <w:sz w:val="20"/>
                <w:szCs w:val="20"/>
              </w:rPr>
              <w:t>1,198</w:t>
            </w:r>
          </w:p>
        </w:tc>
      </w:tr>
      <w:tr w:rsidR="004569D0" w14:paraId="6182C457" w14:textId="77777777">
        <w:tblPrEx>
          <w:tblCellMar>
            <w:top w:w="0" w:type="dxa"/>
            <w:bottom w:w="0" w:type="dxa"/>
          </w:tblCellMar>
        </w:tblPrEx>
        <w:tc>
          <w:tcPr>
            <w:tcW w:w="2100" w:type="dxa"/>
            <w:tcMar>
              <w:top w:w="40" w:type="dxa"/>
              <w:left w:w="80" w:type="dxa"/>
              <w:bottom w:w="40" w:type="dxa"/>
              <w:right w:w="80" w:type="dxa"/>
            </w:tcMar>
          </w:tcPr>
          <w:p w14:paraId="4CD34F04" w14:textId="77777777" w:rsidR="004569D0" w:rsidRDefault="00184DA1">
            <w:pPr>
              <w:spacing w:line="240" w:lineRule="auto"/>
            </w:pPr>
            <w:r>
              <w:rPr>
                <w:b/>
                <w:bCs/>
                <w:color w:val="000000"/>
                <w:sz w:val="20"/>
                <w:szCs w:val="20"/>
              </w:rPr>
              <w:t>Profit for the year</w:t>
            </w:r>
          </w:p>
        </w:tc>
        <w:tc>
          <w:tcPr>
            <w:tcW w:w="1180" w:type="dxa"/>
            <w:tcMar>
              <w:top w:w="40" w:type="dxa"/>
              <w:left w:w="80" w:type="dxa"/>
              <w:bottom w:w="40" w:type="dxa"/>
              <w:right w:w="80" w:type="dxa"/>
            </w:tcMar>
          </w:tcPr>
          <w:p w14:paraId="618B3D98" w14:textId="77777777" w:rsidR="004569D0" w:rsidRDefault="00184DA1">
            <w:pPr>
              <w:spacing w:line="240" w:lineRule="auto"/>
              <w:jc w:val="center"/>
            </w:pPr>
            <w:r>
              <w:rPr>
                <w:color w:val="000000"/>
                <w:sz w:val="20"/>
                <w:szCs w:val="20"/>
              </w:rPr>
              <w:t>265</w:t>
            </w:r>
          </w:p>
        </w:tc>
        <w:tc>
          <w:tcPr>
            <w:tcW w:w="1180" w:type="dxa"/>
            <w:tcMar>
              <w:top w:w="40" w:type="dxa"/>
              <w:left w:w="80" w:type="dxa"/>
              <w:bottom w:w="40" w:type="dxa"/>
              <w:right w:w="80" w:type="dxa"/>
            </w:tcMar>
          </w:tcPr>
          <w:p w14:paraId="35C6D4B3" w14:textId="77777777" w:rsidR="004569D0" w:rsidRDefault="00184DA1">
            <w:pPr>
              <w:spacing w:line="240" w:lineRule="auto"/>
              <w:jc w:val="center"/>
            </w:pPr>
            <w:r>
              <w:rPr>
                <w:color w:val="000000"/>
                <w:sz w:val="20"/>
                <w:szCs w:val="20"/>
              </w:rPr>
              <w:t>376</w:t>
            </w:r>
          </w:p>
        </w:tc>
        <w:tc>
          <w:tcPr>
            <w:tcW w:w="1180" w:type="dxa"/>
            <w:tcMar>
              <w:top w:w="40" w:type="dxa"/>
              <w:left w:w="80" w:type="dxa"/>
              <w:bottom w:w="40" w:type="dxa"/>
              <w:right w:w="80" w:type="dxa"/>
            </w:tcMar>
          </w:tcPr>
          <w:p w14:paraId="27DAA0C2" w14:textId="77777777" w:rsidR="004569D0" w:rsidRDefault="00184DA1">
            <w:pPr>
              <w:spacing w:line="240" w:lineRule="auto"/>
              <w:jc w:val="center"/>
            </w:pPr>
            <w:r>
              <w:rPr>
                <w:color w:val="000000"/>
                <w:sz w:val="20"/>
                <w:szCs w:val="20"/>
              </w:rPr>
              <w:t>750</w:t>
            </w:r>
          </w:p>
        </w:tc>
        <w:tc>
          <w:tcPr>
            <w:tcW w:w="1180" w:type="dxa"/>
            <w:tcMar>
              <w:top w:w="40" w:type="dxa"/>
              <w:left w:w="80" w:type="dxa"/>
              <w:bottom w:w="40" w:type="dxa"/>
              <w:right w:w="80" w:type="dxa"/>
            </w:tcMar>
          </w:tcPr>
          <w:p w14:paraId="09560221" w14:textId="77777777" w:rsidR="004569D0" w:rsidRDefault="00184DA1">
            <w:pPr>
              <w:spacing w:line="240" w:lineRule="auto"/>
              <w:jc w:val="center"/>
            </w:pPr>
            <w:r>
              <w:rPr>
                <w:color w:val="000000"/>
                <w:sz w:val="20"/>
                <w:szCs w:val="20"/>
              </w:rPr>
              <w:t>628</w:t>
            </w:r>
          </w:p>
        </w:tc>
        <w:tc>
          <w:tcPr>
            <w:tcW w:w="1180" w:type="dxa"/>
            <w:tcMar>
              <w:top w:w="40" w:type="dxa"/>
              <w:left w:w="80" w:type="dxa"/>
              <w:bottom w:w="40" w:type="dxa"/>
              <w:right w:w="80" w:type="dxa"/>
            </w:tcMar>
          </w:tcPr>
          <w:p w14:paraId="439C62B0" w14:textId="77777777" w:rsidR="004569D0" w:rsidRDefault="00184DA1">
            <w:pPr>
              <w:spacing w:line="240" w:lineRule="auto"/>
              <w:jc w:val="center"/>
            </w:pPr>
            <w:r>
              <w:rPr>
                <w:color w:val="000000"/>
                <w:sz w:val="20"/>
                <w:szCs w:val="20"/>
              </w:rPr>
              <w:t>759</w:t>
            </w:r>
          </w:p>
        </w:tc>
      </w:tr>
      <w:tr w:rsidR="004569D0" w14:paraId="1B89A6F1" w14:textId="77777777">
        <w:tblPrEx>
          <w:tblCellMar>
            <w:top w:w="0" w:type="dxa"/>
            <w:bottom w:w="0" w:type="dxa"/>
          </w:tblCellMar>
        </w:tblPrEx>
        <w:tc>
          <w:tcPr>
            <w:tcW w:w="2100" w:type="dxa"/>
            <w:shd w:val="clear" w:color="auto" w:fill="D9E1F2"/>
            <w:tcMar>
              <w:top w:w="40" w:type="dxa"/>
              <w:left w:w="80" w:type="dxa"/>
              <w:bottom w:w="40" w:type="dxa"/>
              <w:right w:w="80" w:type="dxa"/>
            </w:tcMar>
          </w:tcPr>
          <w:p w14:paraId="70B3259A" w14:textId="77777777" w:rsidR="004569D0" w:rsidRDefault="00184DA1">
            <w:pPr>
              <w:spacing w:line="240" w:lineRule="auto"/>
            </w:pPr>
            <w:r>
              <w:rPr>
                <w:b/>
                <w:bCs/>
                <w:color w:val="000000"/>
                <w:sz w:val="20"/>
                <w:szCs w:val="20"/>
              </w:rPr>
              <w:t>Net cash from operations</w:t>
            </w:r>
          </w:p>
        </w:tc>
        <w:tc>
          <w:tcPr>
            <w:tcW w:w="1180" w:type="dxa"/>
            <w:shd w:val="clear" w:color="auto" w:fill="D9E1F2"/>
            <w:tcMar>
              <w:top w:w="40" w:type="dxa"/>
              <w:left w:w="80" w:type="dxa"/>
              <w:bottom w:w="40" w:type="dxa"/>
              <w:right w:w="80" w:type="dxa"/>
            </w:tcMar>
          </w:tcPr>
          <w:p w14:paraId="23B689A5" w14:textId="77777777" w:rsidR="004569D0" w:rsidRDefault="00184DA1">
            <w:pPr>
              <w:spacing w:line="240" w:lineRule="auto"/>
              <w:jc w:val="center"/>
            </w:pPr>
            <w:r>
              <w:rPr>
                <w:color w:val="000000"/>
                <w:sz w:val="20"/>
                <w:szCs w:val="20"/>
              </w:rPr>
              <w:t>636</w:t>
            </w:r>
          </w:p>
        </w:tc>
        <w:tc>
          <w:tcPr>
            <w:tcW w:w="1180" w:type="dxa"/>
            <w:shd w:val="clear" w:color="auto" w:fill="D9E1F2"/>
            <w:tcMar>
              <w:top w:w="40" w:type="dxa"/>
              <w:left w:w="80" w:type="dxa"/>
              <w:bottom w:w="40" w:type="dxa"/>
              <w:right w:w="80" w:type="dxa"/>
            </w:tcMar>
          </w:tcPr>
          <w:p w14:paraId="2CCB4CCB" w14:textId="77777777" w:rsidR="004569D0" w:rsidRDefault="00184DA1">
            <w:pPr>
              <w:spacing w:line="240" w:lineRule="auto"/>
              <w:jc w:val="center"/>
            </w:pPr>
            <w:r>
              <w:rPr>
                <w:color w:val="000000"/>
                <w:sz w:val="20"/>
                <w:szCs w:val="20"/>
              </w:rPr>
              <w:t>961</w:t>
            </w:r>
          </w:p>
        </w:tc>
        <w:tc>
          <w:tcPr>
            <w:tcW w:w="1180" w:type="dxa"/>
            <w:shd w:val="clear" w:color="auto" w:fill="D9E1F2"/>
            <w:tcMar>
              <w:top w:w="40" w:type="dxa"/>
              <w:left w:w="80" w:type="dxa"/>
              <w:bottom w:w="40" w:type="dxa"/>
              <w:right w:w="80" w:type="dxa"/>
            </w:tcMar>
          </w:tcPr>
          <w:p w14:paraId="0E4DD706" w14:textId="77777777" w:rsidR="004569D0" w:rsidRDefault="00184DA1">
            <w:pPr>
              <w:spacing w:line="240" w:lineRule="auto"/>
              <w:jc w:val="center"/>
            </w:pPr>
            <w:r>
              <w:rPr>
                <w:color w:val="000000"/>
                <w:sz w:val="20"/>
                <w:szCs w:val="20"/>
              </w:rPr>
              <w:t>893</w:t>
            </w:r>
          </w:p>
        </w:tc>
        <w:tc>
          <w:tcPr>
            <w:tcW w:w="1180" w:type="dxa"/>
            <w:shd w:val="clear" w:color="auto" w:fill="D9E1F2"/>
            <w:tcMar>
              <w:top w:w="40" w:type="dxa"/>
              <w:left w:w="80" w:type="dxa"/>
              <w:bottom w:w="40" w:type="dxa"/>
              <w:right w:w="80" w:type="dxa"/>
            </w:tcMar>
          </w:tcPr>
          <w:p w14:paraId="5B3EBB66" w14:textId="77777777" w:rsidR="004569D0" w:rsidRDefault="00184DA1">
            <w:pPr>
              <w:spacing w:line="240" w:lineRule="auto"/>
              <w:jc w:val="center"/>
            </w:pPr>
            <w:r>
              <w:rPr>
                <w:color w:val="000000"/>
                <w:sz w:val="20"/>
                <w:szCs w:val="20"/>
              </w:rPr>
              <w:t>724</w:t>
            </w:r>
          </w:p>
        </w:tc>
        <w:tc>
          <w:tcPr>
            <w:tcW w:w="1180" w:type="dxa"/>
            <w:shd w:val="clear" w:color="auto" w:fill="D9E1F2"/>
            <w:tcMar>
              <w:top w:w="40" w:type="dxa"/>
              <w:left w:w="80" w:type="dxa"/>
              <w:bottom w:w="40" w:type="dxa"/>
              <w:right w:w="80" w:type="dxa"/>
            </w:tcMar>
          </w:tcPr>
          <w:p w14:paraId="10A81711" w14:textId="77777777" w:rsidR="004569D0" w:rsidRDefault="00184DA1">
            <w:pPr>
              <w:spacing w:line="240" w:lineRule="auto"/>
              <w:jc w:val="center"/>
            </w:pPr>
            <w:r>
              <w:rPr>
                <w:color w:val="000000"/>
                <w:sz w:val="20"/>
                <w:szCs w:val="20"/>
              </w:rPr>
              <w:t>898</w:t>
            </w:r>
          </w:p>
        </w:tc>
      </w:tr>
      <w:tr w:rsidR="004569D0" w14:paraId="3B7E2D7F" w14:textId="77777777">
        <w:tblPrEx>
          <w:tblCellMar>
            <w:top w:w="0" w:type="dxa"/>
            <w:bottom w:w="0" w:type="dxa"/>
          </w:tblCellMar>
        </w:tblPrEx>
        <w:tc>
          <w:tcPr>
            <w:tcW w:w="2100" w:type="dxa"/>
            <w:tcMar>
              <w:top w:w="40" w:type="dxa"/>
              <w:left w:w="80" w:type="dxa"/>
              <w:bottom w:w="40" w:type="dxa"/>
              <w:right w:w="80" w:type="dxa"/>
            </w:tcMar>
          </w:tcPr>
          <w:p w14:paraId="0AD63522" w14:textId="77777777" w:rsidR="004569D0" w:rsidRDefault="00184DA1">
            <w:pPr>
              <w:spacing w:line="240" w:lineRule="auto"/>
            </w:pPr>
            <w:r>
              <w:rPr>
                <w:b/>
                <w:bCs/>
                <w:color w:val="000000"/>
                <w:sz w:val="20"/>
                <w:szCs w:val="20"/>
              </w:rPr>
              <w:t>Adjusted EBITDA</w:t>
            </w:r>
          </w:p>
        </w:tc>
        <w:tc>
          <w:tcPr>
            <w:tcW w:w="1180" w:type="dxa"/>
            <w:tcMar>
              <w:top w:w="40" w:type="dxa"/>
              <w:left w:w="80" w:type="dxa"/>
              <w:bottom w:w="40" w:type="dxa"/>
              <w:right w:w="80" w:type="dxa"/>
            </w:tcMar>
          </w:tcPr>
          <w:p w14:paraId="56C11B10" w14:textId="77777777" w:rsidR="004569D0" w:rsidRDefault="00184DA1">
            <w:pPr>
              <w:spacing w:line="240" w:lineRule="auto"/>
              <w:jc w:val="center"/>
            </w:pPr>
            <w:r>
              <w:rPr>
                <w:color w:val="000000"/>
                <w:sz w:val="20"/>
                <w:szCs w:val="20"/>
              </w:rPr>
              <w:t>632</w:t>
            </w:r>
          </w:p>
        </w:tc>
        <w:tc>
          <w:tcPr>
            <w:tcW w:w="1180" w:type="dxa"/>
            <w:tcMar>
              <w:top w:w="40" w:type="dxa"/>
              <w:left w:w="80" w:type="dxa"/>
              <w:bottom w:w="40" w:type="dxa"/>
              <w:right w:w="80" w:type="dxa"/>
            </w:tcMar>
          </w:tcPr>
          <w:p w14:paraId="49381A1E" w14:textId="77777777" w:rsidR="004569D0" w:rsidRDefault="00184DA1">
            <w:pPr>
              <w:spacing w:line="240" w:lineRule="auto"/>
              <w:jc w:val="center"/>
            </w:pPr>
            <w:r>
              <w:rPr>
                <w:color w:val="000000"/>
                <w:sz w:val="20"/>
                <w:szCs w:val="20"/>
              </w:rPr>
              <w:t>896</w:t>
            </w:r>
          </w:p>
        </w:tc>
        <w:tc>
          <w:tcPr>
            <w:tcW w:w="1180" w:type="dxa"/>
            <w:tcMar>
              <w:top w:w="40" w:type="dxa"/>
              <w:left w:w="80" w:type="dxa"/>
              <w:bottom w:w="40" w:type="dxa"/>
              <w:right w:w="80" w:type="dxa"/>
            </w:tcMar>
          </w:tcPr>
          <w:p w14:paraId="084EBA8F" w14:textId="77777777" w:rsidR="004569D0" w:rsidRDefault="00184DA1">
            <w:pPr>
              <w:spacing w:line="240" w:lineRule="auto"/>
              <w:jc w:val="center"/>
            </w:pPr>
            <w:r>
              <w:rPr>
                <w:color w:val="000000"/>
                <w:sz w:val="20"/>
                <w:szCs w:val="20"/>
              </w:rPr>
              <w:t>1,086</w:t>
            </w:r>
          </w:p>
        </w:tc>
        <w:tc>
          <w:tcPr>
            <w:tcW w:w="1180" w:type="dxa"/>
            <w:tcMar>
              <w:top w:w="40" w:type="dxa"/>
              <w:left w:w="80" w:type="dxa"/>
              <w:bottom w:w="40" w:type="dxa"/>
              <w:right w:w="80" w:type="dxa"/>
            </w:tcMar>
          </w:tcPr>
          <w:p w14:paraId="4F57A244" w14:textId="77777777" w:rsidR="004569D0" w:rsidRDefault="00184DA1">
            <w:pPr>
              <w:spacing w:line="240" w:lineRule="auto"/>
              <w:jc w:val="center"/>
            </w:pPr>
            <w:r>
              <w:rPr>
                <w:color w:val="000000"/>
                <w:sz w:val="20"/>
                <w:szCs w:val="20"/>
              </w:rPr>
              <w:t>1,189</w:t>
            </w:r>
          </w:p>
        </w:tc>
        <w:tc>
          <w:tcPr>
            <w:tcW w:w="1180" w:type="dxa"/>
            <w:tcMar>
              <w:top w:w="40" w:type="dxa"/>
              <w:left w:w="80" w:type="dxa"/>
              <w:bottom w:w="40" w:type="dxa"/>
              <w:right w:w="80" w:type="dxa"/>
            </w:tcMar>
          </w:tcPr>
          <w:p w14:paraId="6FF8EBE2" w14:textId="77777777" w:rsidR="004569D0" w:rsidRDefault="00184DA1">
            <w:pPr>
              <w:spacing w:line="240" w:lineRule="auto"/>
              <w:jc w:val="center"/>
            </w:pPr>
            <w:r>
              <w:rPr>
                <w:color w:val="000000"/>
                <w:sz w:val="20"/>
                <w:szCs w:val="20"/>
              </w:rPr>
              <w:t>1,332</w:t>
            </w:r>
          </w:p>
        </w:tc>
      </w:tr>
      <w:tr w:rsidR="004569D0" w14:paraId="048C6EC5" w14:textId="77777777">
        <w:tblPrEx>
          <w:tblCellMar>
            <w:top w:w="0" w:type="dxa"/>
            <w:bottom w:w="0" w:type="dxa"/>
          </w:tblCellMar>
        </w:tblPrEx>
        <w:tc>
          <w:tcPr>
            <w:tcW w:w="2100" w:type="dxa"/>
            <w:shd w:val="clear" w:color="auto" w:fill="D9E1F2"/>
            <w:tcMar>
              <w:top w:w="40" w:type="dxa"/>
              <w:left w:w="80" w:type="dxa"/>
              <w:bottom w:w="40" w:type="dxa"/>
              <w:right w:w="80" w:type="dxa"/>
            </w:tcMar>
          </w:tcPr>
          <w:p w14:paraId="72A4264B" w14:textId="77777777" w:rsidR="004569D0" w:rsidRDefault="00184DA1">
            <w:pPr>
              <w:spacing w:line="240" w:lineRule="auto"/>
            </w:pPr>
            <w:r>
              <w:rPr>
                <w:b/>
                <w:bCs/>
                <w:color w:val="000000"/>
                <w:sz w:val="20"/>
                <w:szCs w:val="20"/>
              </w:rPr>
              <w:t>Total assets</w:t>
            </w:r>
          </w:p>
        </w:tc>
        <w:tc>
          <w:tcPr>
            <w:tcW w:w="1180" w:type="dxa"/>
            <w:shd w:val="clear" w:color="auto" w:fill="D9E1F2"/>
            <w:tcMar>
              <w:top w:w="40" w:type="dxa"/>
              <w:left w:w="80" w:type="dxa"/>
              <w:bottom w:w="40" w:type="dxa"/>
              <w:right w:w="80" w:type="dxa"/>
            </w:tcMar>
          </w:tcPr>
          <w:p w14:paraId="1E5DFE30" w14:textId="77777777" w:rsidR="004569D0" w:rsidRDefault="00184DA1">
            <w:pPr>
              <w:spacing w:line="240" w:lineRule="auto"/>
              <w:jc w:val="center"/>
            </w:pPr>
            <w:r>
              <w:rPr>
                <w:color w:val="000000"/>
                <w:sz w:val="20"/>
                <w:szCs w:val="20"/>
              </w:rPr>
              <w:t>4,716</w:t>
            </w:r>
          </w:p>
        </w:tc>
        <w:tc>
          <w:tcPr>
            <w:tcW w:w="1180" w:type="dxa"/>
            <w:shd w:val="clear" w:color="auto" w:fill="D9E1F2"/>
            <w:tcMar>
              <w:top w:w="40" w:type="dxa"/>
              <w:left w:w="80" w:type="dxa"/>
              <w:bottom w:w="40" w:type="dxa"/>
              <w:right w:w="80" w:type="dxa"/>
            </w:tcMar>
          </w:tcPr>
          <w:p w14:paraId="16ED437E" w14:textId="77777777" w:rsidR="004569D0" w:rsidRDefault="00184DA1">
            <w:pPr>
              <w:spacing w:line="240" w:lineRule="auto"/>
              <w:jc w:val="center"/>
            </w:pPr>
            <w:r>
              <w:rPr>
                <w:color w:val="000000"/>
                <w:sz w:val="20"/>
                <w:szCs w:val="20"/>
              </w:rPr>
              <w:t>4,216</w:t>
            </w:r>
          </w:p>
        </w:tc>
        <w:tc>
          <w:tcPr>
            <w:tcW w:w="1180" w:type="dxa"/>
            <w:shd w:val="clear" w:color="auto" w:fill="D9E1F2"/>
            <w:tcMar>
              <w:top w:w="40" w:type="dxa"/>
              <w:left w:w="80" w:type="dxa"/>
              <w:bottom w:w="40" w:type="dxa"/>
              <w:right w:w="80" w:type="dxa"/>
            </w:tcMar>
          </w:tcPr>
          <w:p w14:paraId="2742FA43" w14:textId="77777777" w:rsidR="004569D0" w:rsidRDefault="00184DA1">
            <w:pPr>
              <w:spacing w:line="240" w:lineRule="auto"/>
              <w:jc w:val="center"/>
            </w:pPr>
            <w:r>
              <w:rPr>
                <w:color w:val="000000"/>
                <w:sz w:val="20"/>
                <w:szCs w:val="20"/>
              </w:rPr>
              <w:t>4,813</w:t>
            </w:r>
          </w:p>
        </w:tc>
        <w:tc>
          <w:tcPr>
            <w:tcW w:w="1180" w:type="dxa"/>
            <w:shd w:val="clear" w:color="auto" w:fill="D9E1F2"/>
            <w:tcMar>
              <w:top w:w="40" w:type="dxa"/>
              <w:left w:w="80" w:type="dxa"/>
              <w:bottom w:w="40" w:type="dxa"/>
              <w:right w:w="80" w:type="dxa"/>
            </w:tcMar>
          </w:tcPr>
          <w:p w14:paraId="4F87ACBD" w14:textId="77777777" w:rsidR="004569D0" w:rsidRDefault="00184DA1">
            <w:pPr>
              <w:spacing w:line="240" w:lineRule="auto"/>
              <w:jc w:val="center"/>
            </w:pPr>
            <w:r>
              <w:rPr>
                <w:color w:val="000000"/>
                <w:sz w:val="20"/>
                <w:szCs w:val="20"/>
              </w:rPr>
              <w:t>4,748</w:t>
            </w:r>
          </w:p>
        </w:tc>
        <w:tc>
          <w:tcPr>
            <w:tcW w:w="1180" w:type="dxa"/>
            <w:shd w:val="clear" w:color="auto" w:fill="D9E1F2"/>
            <w:tcMar>
              <w:top w:w="40" w:type="dxa"/>
              <w:left w:w="80" w:type="dxa"/>
              <w:bottom w:w="40" w:type="dxa"/>
              <w:right w:w="80" w:type="dxa"/>
            </w:tcMar>
          </w:tcPr>
          <w:p w14:paraId="22FAA4AE" w14:textId="77777777" w:rsidR="004569D0" w:rsidRDefault="00184DA1">
            <w:pPr>
              <w:spacing w:line="240" w:lineRule="auto"/>
              <w:jc w:val="center"/>
            </w:pPr>
            <w:r>
              <w:rPr>
                <w:color w:val="000000"/>
                <w:sz w:val="20"/>
                <w:szCs w:val="20"/>
              </w:rPr>
              <w:t>5,345</w:t>
            </w:r>
          </w:p>
        </w:tc>
      </w:tr>
      <w:tr w:rsidR="004569D0" w14:paraId="25DEB4FA" w14:textId="77777777">
        <w:tblPrEx>
          <w:tblCellMar>
            <w:top w:w="0" w:type="dxa"/>
            <w:bottom w:w="0" w:type="dxa"/>
          </w:tblCellMar>
        </w:tblPrEx>
        <w:tc>
          <w:tcPr>
            <w:tcW w:w="2100" w:type="dxa"/>
            <w:tcMar>
              <w:top w:w="40" w:type="dxa"/>
              <w:left w:w="80" w:type="dxa"/>
              <w:bottom w:w="40" w:type="dxa"/>
              <w:right w:w="80" w:type="dxa"/>
            </w:tcMar>
          </w:tcPr>
          <w:p w14:paraId="1A8240F4" w14:textId="77777777" w:rsidR="004569D0" w:rsidRDefault="00184DA1">
            <w:pPr>
              <w:spacing w:line="240" w:lineRule="auto"/>
            </w:pPr>
            <w:r>
              <w:rPr>
                <w:b/>
                <w:bCs/>
                <w:color w:val="000000"/>
                <w:sz w:val="20"/>
                <w:szCs w:val="20"/>
              </w:rPr>
              <w:t>Net debt</w:t>
            </w:r>
          </w:p>
        </w:tc>
        <w:tc>
          <w:tcPr>
            <w:tcW w:w="1180" w:type="dxa"/>
            <w:tcMar>
              <w:top w:w="40" w:type="dxa"/>
              <w:left w:w="80" w:type="dxa"/>
              <w:bottom w:w="40" w:type="dxa"/>
              <w:right w:w="80" w:type="dxa"/>
            </w:tcMar>
          </w:tcPr>
          <w:p w14:paraId="12028BC3" w14:textId="77777777" w:rsidR="004569D0" w:rsidRDefault="00184DA1">
            <w:pPr>
              <w:spacing w:line="240" w:lineRule="auto"/>
              <w:jc w:val="center"/>
            </w:pPr>
            <w:r>
              <w:rPr>
                <w:color w:val="000000"/>
                <w:sz w:val="20"/>
                <w:szCs w:val="20"/>
              </w:rPr>
              <w:t>1,881</w:t>
            </w:r>
          </w:p>
        </w:tc>
        <w:tc>
          <w:tcPr>
            <w:tcW w:w="1180" w:type="dxa"/>
            <w:tcMar>
              <w:top w:w="40" w:type="dxa"/>
              <w:left w:w="80" w:type="dxa"/>
              <w:bottom w:w="40" w:type="dxa"/>
              <w:right w:w="80" w:type="dxa"/>
            </w:tcMar>
          </w:tcPr>
          <w:p w14:paraId="06B87762" w14:textId="77777777" w:rsidR="004569D0" w:rsidRDefault="00184DA1">
            <w:pPr>
              <w:spacing w:line="240" w:lineRule="auto"/>
              <w:jc w:val="center"/>
            </w:pPr>
            <w:r>
              <w:rPr>
                <w:color w:val="000000"/>
                <w:sz w:val="20"/>
                <w:szCs w:val="20"/>
              </w:rPr>
              <w:t>1,851</w:t>
            </w:r>
          </w:p>
        </w:tc>
        <w:tc>
          <w:tcPr>
            <w:tcW w:w="1180" w:type="dxa"/>
            <w:tcMar>
              <w:top w:w="40" w:type="dxa"/>
              <w:left w:w="80" w:type="dxa"/>
              <w:bottom w:w="40" w:type="dxa"/>
              <w:right w:w="80" w:type="dxa"/>
            </w:tcMar>
          </w:tcPr>
          <w:p w14:paraId="6DC89F46" w14:textId="77777777" w:rsidR="004569D0" w:rsidRDefault="00184DA1">
            <w:pPr>
              <w:spacing w:line="240" w:lineRule="auto"/>
              <w:jc w:val="center"/>
            </w:pPr>
            <w:r>
              <w:rPr>
                <w:color w:val="000000"/>
                <w:sz w:val="20"/>
                <w:szCs w:val="20"/>
              </w:rPr>
              <w:t>2,270</w:t>
            </w:r>
          </w:p>
        </w:tc>
        <w:tc>
          <w:tcPr>
            <w:tcW w:w="1180" w:type="dxa"/>
            <w:tcMar>
              <w:top w:w="40" w:type="dxa"/>
              <w:left w:w="80" w:type="dxa"/>
              <w:bottom w:w="40" w:type="dxa"/>
              <w:right w:w="80" w:type="dxa"/>
            </w:tcMar>
          </w:tcPr>
          <w:p w14:paraId="449334DE" w14:textId="77777777" w:rsidR="004569D0" w:rsidRDefault="00184DA1">
            <w:pPr>
              <w:spacing w:line="240" w:lineRule="auto"/>
              <w:jc w:val="center"/>
            </w:pPr>
            <w:r>
              <w:rPr>
                <w:color w:val="000000"/>
                <w:sz w:val="20"/>
                <w:szCs w:val="20"/>
              </w:rPr>
              <w:t>2,782</w:t>
            </w:r>
          </w:p>
        </w:tc>
        <w:tc>
          <w:tcPr>
            <w:tcW w:w="1180" w:type="dxa"/>
            <w:tcMar>
              <w:top w:w="40" w:type="dxa"/>
              <w:left w:w="80" w:type="dxa"/>
              <w:bottom w:w="40" w:type="dxa"/>
              <w:right w:w="80" w:type="dxa"/>
            </w:tcMar>
          </w:tcPr>
          <w:p w14:paraId="5E600CFA" w14:textId="77777777" w:rsidR="004569D0" w:rsidRDefault="00184DA1">
            <w:pPr>
              <w:spacing w:line="240" w:lineRule="auto"/>
              <w:jc w:val="center"/>
            </w:pPr>
            <w:r>
              <w:rPr>
                <w:color w:val="000000"/>
                <w:sz w:val="20"/>
                <w:szCs w:val="20"/>
              </w:rPr>
              <w:t>3,333</w:t>
            </w:r>
          </w:p>
        </w:tc>
      </w:tr>
      <w:tr w:rsidR="004569D0" w14:paraId="1DC878BC" w14:textId="77777777">
        <w:tblPrEx>
          <w:tblCellMar>
            <w:top w:w="0" w:type="dxa"/>
            <w:bottom w:w="0" w:type="dxa"/>
          </w:tblCellMar>
        </w:tblPrEx>
        <w:tc>
          <w:tcPr>
            <w:tcW w:w="2100" w:type="dxa"/>
            <w:shd w:val="clear" w:color="auto" w:fill="D9E1F2"/>
            <w:tcMar>
              <w:top w:w="40" w:type="dxa"/>
              <w:left w:w="80" w:type="dxa"/>
              <w:bottom w:w="40" w:type="dxa"/>
              <w:right w:w="80" w:type="dxa"/>
            </w:tcMar>
          </w:tcPr>
          <w:p w14:paraId="6BD1B2B5" w14:textId="77777777" w:rsidR="004569D0" w:rsidRDefault="00184DA1">
            <w:pPr>
              <w:spacing w:line="240" w:lineRule="auto"/>
            </w:pPr>
            <w:r>
              <w:rPr>
                <w:b/>
                <w:bCs/>
                <w:color w:val="000000"/>
                <w:sz w:val="20"/>
                <w:szCs w:val="20"/>
              </w:rPr>
              <w:t>Total equity (deficit)</w:t>
            </w:r>
          </w:p>
        </w:tc>
        <w:tc>
          <w:tcPr>
            <w:tcW w:w="1180" w:type="dxa"/>
            <w:shd w:val="clear" w:color="auto" w:fill="D9E1F2"/>
            <w:tcMar>
              <w:top w:w="40" w:type="dxa"/>
              <w:left w:w="80" w:type="dxa"/>
              <w:bottom w:w="40" w:type="dxa"/>
              <w:right w:w="80" w:type="dxa"/>
            </w:tcMar>
          </w:tcPr>
          <w:p w14:paraId="66C1CC6D" w14:textId="77777777" w:rsidR="004569D0" w:rsidRDefault="00184DA1">
            <w:pPr>
              <w:spacing w:line="240" w:lineRule="auto"/>
              <w:jc w:val="center"/>
            </w:pPr>
            <w:r>
              <w:rPr>
                <w:color w:val="000000"/>
                <w:sz w:val="20"/>
                <w:szCs w:val="20"/>
              </w:rPr>
              <w:t>(1,474)</w:t>
            </w:r>
          </w:p>
        </w:tc>
        <w:tc>
          <w:tcPr>
            <w:tcW w:w="1180" w:type="dxa"/>
            <w:shd w:val="clear" w:color="auto" w:fill="D9E1F2"/>
            <w:tcMar>
              <w:top w:w="40" w:type="dxa"/>
              <w:left w:w="80" w:type="dxa"/>
              <w:bottom w:w="40" w:type="dxa"/>
              <w:right w:w="80" w:type="dxa"/>
            </w:tcMar>
          </w:tcPr>
          <w:p w14:paraId="33CC6969" w14:textId="77777777" w:rsidR="004569D0" w:rsidRDefault="00184DA1">
            <w:pPr>
              <w:spacing w:line="240" w:lineRule="auto"/>
              <w:jc w:val="center"/>
            </w:pPr>
            <w:r>
              <w:rPr>
                <w:color w:val="000000"/>
                <w:sz w:val="20"/>
                <w:szCs w:val="20"/>
              </w:rPr>
              <w:t>(1,608)</w:t>
            </w:r>
          </w:p>
        </w:tc>
        <w:tc>
          <w:tcPr>
            <w:tcW w:w="1180" w:type="dxa"/>
            <w:shd w:val="clear" w:color="auto" w:fill="D9E1F2"/>
            <w:tcMar>
              <w:top w:w="40" w:type="dxa"/>
              <w:left w:w="80" w:type="dxa"/>
              <w:bottom w:w="40" w:type="dxa"/>
              <w:right w:w="80" w:type="dxa"/>
            </w:tcMar>
          </w:tcPr>
          <w:p w14:paraId="43F4A5A1" w14:textId="77777777" w:rsidR="004569D0" w:rsidRDefault="00184DA1">
            <w:pPr>
              <w:spacing w:line="240" w:lineRule="auto"/>
              <w:jc w:val="center"/>
            </w:pPr>
            <w:r>
              <w:rPr>
                <w:color w:val="000000"/>
                <w:sz w:val="20"/>
                <w:szCs w:val="20"/>
              </w:rPr>
              <w:t>(1,946)</w:t>
            </w:r>
          </w:p>
        </w:tc>
        <w:tc>
          <w:tcPr>
            <w:tcW w:w="1180" w:type="dxa"/>
            <w:shd w:val="clear" w:color="auto" w:fill="D9E1F2"/>
            <w:tcMar>
              <w:top w:w="40" w:type="dxa"/>
              <w:left w:w="80" w:type="dxa"/>
              <w:bottom w:w="40" w:type="dxa"/>
              <w:right w:w="80" w:type="dxa"/>
            </w:tcMar>
          </w:tcPr>
          <w:p w14:paraId="1B82EC14" w14:textId="77777777" w:rsidR="004569D0" w:rsidRDefault="00184DA1">
            <w:pPr>
              <w:spacing w:line="240" w:lineRule="auto"/>
              <w:jc w:val="center"/>
            </w:pPr>
            <w:r>
              <w:rPr>
                <w:color w:val="000000"/>
                <w:sz w:val="20"/>
                <w:szCs w:val="20"/>
              </w:rPr>
              <w:t>(2,308)</w:t>
            </w:r>
          </w:p>
        </w:tc>
        <w:tc>
          <w:tcPr>
            <w:tcW w:w="1180" w:type="dxa"/>
            <w:shd w:val="clear" w:color="auto" w:fill="D9E1F2"/>
            <w:tcMar>
              <w:top w:w="40" w:type="dxa"/>
              <w:left w:w="80" w:type="dxa"/>
              <w:bottom w:w="40" w:type="dxa"/>
              <w:right w:w="80" w:type="dxa"/>
            </w:tcMar>
          </w:tcPr>
          <w:p w14:paraId="08A785E6" w14:textId="77777777" w:rsidR="004569D0" w:rsidRDefault="00184DA1">
            <w:pPr>
              <w:spacing w:line="240" w:lineRule="auto"/>
              <w:jc w:val="center"/>
            </w:pPr>
            <w:r>
              <w:rPr>
                <w:color w:val="000000"/>
                <w:sz w:val="20"/>
                <w:szCs w:val="20"/>
              </w:rPr>
              <w:t>(2,736)</w:t>
            </w:r>
          </w:p>
        </w:tc>
      </w:tr>
    </w:tbl>
    <w:p w14:paraId="2ECC9645" w14:textId="77777777" w:rsidR="004569D0" w:rsidRDefault="00184DA1">
      <w:pPr>
        <w:pStyle w:val="Heading2"/>
      </w:pPr>
      <w:bookmarkStart w:id="2" w:name="_Toc237517868"/>
      <w:r>
        <w:t>2.1 Profitability</w:t>
      </w:r>
      <w:bookmarkEnd w:id="2"/>
    </w:p>
    <w:p w14:paraId="79ADA3F6" w14:textId="77777777" w:rsidR="004569D0" w:rsidRDefault="00184DA1">
      <w:pPr>
        <w:spacing w:after="160"/>
        <w:jc w:val="both"/>
      </w:pPr>
      <w:r>
        <w:t>Revenue grew every year, rising from US$2,907m in 2021 to US$5,189m in 2025, an increase of roughly 78% across the period. Operating profit more than doubled over the same window, and the operating margin strengthened from about 17.0% in 2021 to 23.1% in 2025 (see Table 2). This margin expansion reflects the operating leverage inherent in a fee-based model, in which incremental franchise and management revenue carries very low marginal cost; IHG reported a fee margin of 64.8% in 2025 (IHG, 2026). The dip in</w:t>
      </w:r>
      <w:r>
        <w:t xml:space="preserve"> reported net margin in 2024, to 12.8% from 16.2% in 2023, is largely explained by a planned System Fund reduction and higher adjusted interest expense rather than by deteriorating trading (IHG, 2025), illustrating why headline profit figures should be read alongside the underlying commentary rather than in isolation.</w:t>
      </w:r>
    </w:p>
    <w:p w14:paraId="15781ED6" w14:textId="77777777" w:rsidR="004569D0" w:rsidRDefault="00184DA1">
      <w:pPr>
        <w:spacing w:after="160"/>
        <w:jc w:val="both"/>
      </w:pPr>
      <w:r>
        <w:t>Return on assets, calculated on average total assets, improved from around 5.4% in 2021 to roughly 13–17% in 2023–2025. However, conventional return on equity is not meaningful for IHG because the group reports negative shareholder equity, a point developed under gearing below. This is a clear illustration of the wider principle that ratios must be interpreted in context rather than mechanically, since a single distorted denominator can render a familiar metric misleading (Robinson, 2020).</w:t>
      </w:r>
    </w:p>
    <w:p w14:paraId="3C43C4FE" w14:textId="77777777" w:rsidR="004569D0" w:rsidRDefault="00184DA1">
      <w:pPr>
        <w:spacing w:after="160"/>
        <w:jc w:val="both"/>
      </w:pPr>
      <w:r>
        <w:lastRenderedPageBreak/>
        <w:t>A closer reading of the trend reveals that the quality, and not merely the quantity, of profit improved. Between 2021 and 2023 the recovery was driven principally by volume, as suppressed pandemic demand returned and revenue per available room climbed back towards and then beyond 2019 levels (IHG, 2023). From 2023 onwards, by contrast, growth depended more on rate and margin discipline than on volume, mirroring the wider sector shift from rate power to operational precision documented across the industry, w</w:t>
      </w:r>
      <w:r>
        <w:t xml:space="preserve">here profit protection came from cost control rather than topline expansion (CBRE, 2025; PwC, 2026). For a fee-based operator this is significant, because fee income is more resilient than owned-hotel income in a downturn; it insulates IHG from the demand softness that most </w:t>
      </w:r>
      <w:proofErr w:type="gramStart"/>
      <w:r>
        <w:t>affects</w:t>
      </w:r>
      <w:proofErr w:type="gramEnd"/>
      <w:r>
        <w:t xml:space="preserve"> asset-heavy peers. The comparison with the sector therefore flatters IHG's model, but it also concentrates risk, since the group's earnings ultimately depend on the trading health of the franchisees who pay those fees. A prolonge</w:t>
      </w:r>
      <w:r>
        <w:t>d squeeze on franchisee profitability would eventually feed through to IHG's own revenue, a second-order exposure that headline margins alone do not reveal.</w:t>
      </w:r>
    </w:p>
    <w:p w14:paraId="0EE92888" w14:textId="77777777" w:rsidR="004569D0" w:rsidRDefault="00184DA1">
      <w:pPr>
        <w:spacing w:before="60" w:after="160" w:line="240" w:lineRule="auto"/>
      </w:pPr>
      <w:r>
        <w:rPr>
          <w:i/>
          <w:iCs/>
          <w:sz w:val="20"/>
          <w:szCs w:val="20"/>
        </w:rPr>
        <w:t>Table 2. IHG key financial ratios by category, 2021–2025. Source: author's calculations from Table 1 and the audited Group statement of financial position; formulas and source balances in Appendix A. Return on assets and asset turnover use average opening and closing total assets; current and quick ratios use disclosed total current assets and current liabilities.</w:t>
      </w:r>
    </w:p>
    <w:tbl>
      <w:tblPr>
        <w:tblW w:w="7980" w:type="dxa"/>
        <w:tblBorders>
          <w:top w:val="single" w:sz="2" w:space="0" w:color="7F7F7F"/>
          <w:left w:val="single" w:sz="2" w:space="0" w:color="7F7F7F"/>
          <w:bottom w:val="single" w:sz="2" w:space="0" w:color="7F7F7F"/>
          <w:right w:val="single" w:sz="2" w:space="0" w:color="7F7F7F"/>
          <w:insideH w:val="single" w:sz="1" w:space="0" w:color="BFBFBF"/>
          <w:insideV w:val="single" w:sz="1" w:space="0" w:color="BFBFBF"/>
        </w:tblBorders>
        <w:tblCellMar>
          <w:left w:w="10" w:type="dxa"/>
          <w:right w:w="10" w:type="dxa"/>
        </w:tblCellMar>
        <w:tblLook w:val="0000" w:firstRow="0" w:lastRow="0" w:firstColumn="0" w:lastColumn="0" w:noHBand="0" w:noVBand="0"/>
      </w:tblPr>
      <w:tblGrid>
        <w:gridCol w:w="2400"/>
        <w:gridCol w:w="1116"/>
        <w:gridCol w:w="1116"/>
        <w:gridCol w:w="1116"/>
        <w:gridCol w:w="1116"/>
        <w:gridCol w:w="1116"/>
      </w:tblGrid>
      <w:tr w:rsidR="004569D0" w14:paraId="785D7D18" w14:textId="77777777">
        <w:tblPrEx>
          <w:tblCellMar>
            <w:top w:w="0" w:type="dxa"/>
            <w:bottom w:w="0" w:type="dxa"/>
          </w:tblCellMar>
        </w:tblPrEx>
        <w:trPr>
          <w:tblHeader/>
        </w:trPr>
        <w:tc>
          <w:tcPr>
            <w:tcW w:w="2400" w:type="dxa"/>
            <w:shd w:val="clear" w:color="auto" w:fill="1F3864"/>
            <w:tcMar>
              <w:top w:w="40" w:type="dxa"/>
              <w:left w:w="80" w:type="dxa"/>
              <w:bottom w:w="40" w:type="dxa"/>
              <w:right w:w="80" w:type="dxa"/>
            </w:tcMar>
          </w:tcPr>
          <w:p w14:paraId="21C49E3C" w14:textId="77777777" w:rsidR="004569D0" w:rsidRDefault="00184DA1">
            <w:pPr>
              <w:spacing w:line="240" w:lineRule="auto"/>
            </w:pPr>
            <w:r>
              <w:rPr>
                <w:b/>
                <w:bCs/>
                <w:color w:val="FFFFFF"/>
                <w:sz w:val="20"/>
                <w:szCs w:val="20"/>
              </w:rPr>
              <w:t>Ratio</w:t>
            </w:r>
          </w:p>
        </w:tc>
        <w:tc>
          <w:tcPr>
            <w:tcW w:w="1116" w:type="dxa"/>
            <w:shd w:val="clear" w:color="auto" w:fill="1F3864"/>
            <w:tcMar>
              <w:top w:w="40" w:type="dxa"/>
              <w:left w:w="80" w:type="dxa"/>
              <w:bottom w:w="40" w:type="dxa"/>
              <w:right w:w="80" w:type="dxa"/>
            </w:tcMar>
          </w:tcPr>
          <w:p w14:paraId="0EF71973" w14:textId="77777777" w:rsidR="004569D0" w:rsidRDefault="00184DA1">
            <w:pPr>
              <w:spacing w:line="240" w:lineRule="auto"/>
              <w:jc w:val="center"/>
            </w:pPr>
            <w:r>
              <w:rPr>
                <w:b/>
                <w:bCs/>
                <w:color w:val="FFFFFF"/>
                <w:sz w:val="20"/>
                <w:szCs w:val="20"/>
              </w:rPr>
              <w:t>2021</w:t>
            </w:r>
          </w:p>
        </w:tc>
        <w:tc>
          <w:tcPr>
            <w:tcW w:w="1116" w:type="dxa"/>
            <w:shd w:val="clear" w:color="auto" w:fill="1F3864"/>
            <w:tcMar>
              <w:top w:w="40" w:type="dxa"/>
              <w:left w:w="80" w:type="dxa"/>
              <w:bottom w:w="40" w:type="dxa"/>
              <w:right w:w="80" w:type="dxa"/>
            </w:tcMar>
          </w:tcPr>
          <w:p w14:paraId="3898065A" w14:textId="77777777" w:rsidR="004569D0" w:rsidRDefault="00184DA1">
            <w:pPr>
              <w:spacing w:line="240" w:lineRule="auto"/>
              <w:jc w:val="center"/>
            </w:pPr>
            <w:r>
              <w:rPr>
                <w:b/>
                <w:bCs/>
                <w:color w:val="FFFFFF"/>
                <w:sz w:val="20"/>
                <w:szCs w:val="20"/>
              </w:rPr>
              <w:t>2022</w:t>
            </w:r>
          </w:p>
        </w:tc>
        <w:tc>
          <w:tcPr>
            <w:tcW w:w="1116" w:type="dxa"/>
            <w:shd w:val="clear" w:color="auto" w:fill="1F3864"/>
            <w:tcMar>
              <w:top w:w="40" w:type="dxa"/>
              <w:left w:w="80" w:type="dxa"/>
              <w:bottom w:w="40" w:type="dxa"/>
              <w:right w:w="80" w:type="dxa"/>
            </w:tcMar>
          </w:tcPr>
          <w:p w14:paraId="3B387FAA" w14:textId="77777777" w:rsidR="004569D0" w:rsidRDefault="00184DA1">
            <w:pPr>
              <w:spacing w:line="240" w:lineRule="auto"/>
              <w:jc w:val="center"/>
            </w:pPr>
            <w:r>
              <w:rPr>
                <w:b/>
                <w:bCs/>
                <w:color w:val="FFFFFF"/>
                <w:sz w:val="20"/>
                <w:szCs w:val="20"/>
              </w:rPr>
              <w:t>2023</w:t>
            </w:r>
          </w:p>
        </w:tc>
        <w:tc>
          <w:tcPr>
            <w:tcW w:w="1116" w:type="dxa"/>
            <w:shd w:val="clear" w:color="auto" w:fill="1F3864"/>
            <w:tcMar>
              <w:top w:w="40" w:type="dxa"/>
              <w:left w:w="80" w:type="dxa"/>
              <w:bottom w:w="40" w:type="dxa"/>
              <w:right w:w="80" w:type="dxa"/>
            </w:tcMar>
          </w:tcPr>
          <w:p w14:paraId="018675DA" w14:textId="77777777" w:rsidR="004569D0" w:rsidRDefault="00184DA1">
            <w:pPr>
              <w:spacing w:line="240" w:lineRule="auto"/>
              <w:jc w:val="center"/>
            </w:pPr>
            <w:r>
              <w:rPr>
                <w:b/>
                <w:bCs/>
                <w:color w:val="FFFFFF"/>
                <w:sz w:val="20"/>
                <w:szCs w:val="20"/>
              </w:rPr>
              <w:t>2024</w:t>
            </w:r>
          </w:p>
        </w:tc>
        <w:tc>
          <w:tcPr>
            <w:tcW w:w="1116" w:type="dxa"/>
            <w:shd w:val="clear" w:color="auto" w:fill="1F3864"/>
            <w:tcMar>
              <w:top w:w="40" w:type="dxa"/>
              <w:left w:w="80" w:type="dxa"/>
              <w:bottom w:w="40" w:type="dxa"/>
              <w:right w:w="80" w:type="dxa"/>
            </w:tcMar>
          </w:tcPr>
          <w:p w14:paraId="1E63DE8D" w14:textId="77777777" w:rsidR="004569D0" w:rsidRDefault="00184DA1">
            <w:pPr>
              <w:spacing w:line="240" w:lineRule="auto"/>
              <w:jc w:val="center"/>
            </w:pPr>
            <w:r>
              <w:rPr>
                <w:b/>
                <w:bCs/>
                <w:color w:val="FFFFFF"/>
                <w:sz w:val="20"/>
                <w:szCs w:val="20"/>
              </w:rPr>
              <w:t>2025</w:t>
            </w:r>
          </w:p>
        </w:tc>
      </w:tr>
      <w:tr w:rsidR="004569D0" w14:paraId="6A1271CA" w14:textId="77777777">
        <w:tblPrEx>
          <w:tblCellMar>
            <w:top w:w="0" w:type="dxa"/>
            <w:bottom w:w="0" w:type="dxa"/>
          </w:tblCellMar>
        </w:tblPrEx>
        <w:tc>
          <w:tcPr>
            <w:tcW w:w="2400" w:type="dxa"/>
            <w:tcMar>
              <w:top w:w="40" w:type="dxa"/>
              <w:left w:w="80" w:type="dxa"/>
              <w:bottom w:w="40" w:type="dxa"/>
              <w:right w:w="80" w:type="dxa"/>
            </w:tcMar>
          </w:tcPr>
          <w:p w14:paraId="3594FE10" w14:textId="77777777" w:rsidR="004569D0" w:rsidRDefault="00184DA1">
            <w:pPr>
              <w:spacing w:line="240" w:lineRule="auto"/>
            </w:pPr>
            <w:r>
              <w:rPr>
                <w:b/>
                <w:bCs/>
                <w:color w:val="000000"/>
                <w:sz w:val="20"/>
                <w:szCs w:val="20"/>
              </w:rPr>
              <w:t>Profitability</w:t>
            </w:r>
          </w:p>
        </w:tc>
        <w:tc>
          <w:tcPr>
            <w:tcW w:w="1116" w:type="dxa"/>
            <w:tcMar>
              <w:top w:w="40" w:type="dxa"/>
              <w:left w:w="80" w:type="dxa"/>
              <w:bottom w:w="40" w:type="dxa"/>
              <w:right w:w="80" w:type="dxa"/>
            </w:tcMar>
          </w:tcPr>
          <w:p w14:paraId="2FE3831B" w14:textId="77777777" w:rsidR="004569D0" w:rsidRDefault="004569D0">
            <w:pPr>
              <w:spacing w:line="240" w:lineRule="auto"/>
              <w:jc w:val="center"/>
            </w:pPr>
          </w:p>
        </w:tc>
        <w:tc>
          <w:tcPr>
            <w:tcW w:w="1116" w:type="dxa"/>
            <w:tcMar>
              <w:top w:w="40" w:type="dxa"/>
              <w:left w:w="80" w:type="dxa"/>
              <w:bottom w:w="40" w:type="dxa"/>
              <w:right w:w="80" w:type="dxa"/>
            </w:tcMar>
          </w:tcPr>
          <w:p w14:paraId="46296DBD" w14:textId="77777777" w:rsidR="004569D0" w:rsidRDefault="004569D0">
            <w:pPr>
              <w:spacing w:line="240" w:lineRule="auto"/>
              <w:jc w:val="center"/>
            </w:pPr>
          </w:p>
        </w:tc>
        <w:tc>
          <w:tcPr>
            <w:tcW w:w="1116" w:type="dxa"/>
            <w:tcMar>
              <w:top w:w="40" w:type="dxa"/>
              <w:left w:w="80" w:type="dxa"/>
              <w:bottom w:w="40" w:type="dxa"/>
              <w:right w:w="80" w:type="dxa"/>
            </w:tcMar>
          </w:tcPr>
          <w:p w14:paraId="3E63B7B6" w14:textId="77777777" w:rsidR="004569D0" w:rsidRDefault="004569D0">
            <w:pPr>
              <w:spacing w:line="240" w:lineRule="auto"/>
              <w:jc w:val="center"/>
            </w:pPr>
          </w:p>
        </w:tc>
        <w:tc>
          <w:tcPr>
            <w:tcW w:w="1116" w:type="dxa"/>
            <w:tcMar>
              <w:top w:w="40" w:type="dxa"/>
              <w:left w:w="80" w:type="dxa"/>
              <w:bottom w:w="40" w:type="dxa"/>
              <w:right w:w="80" w:type="dxa"/>
            </w:tcMar>
          </w:tcPr>
          <w:p w14:paraId="128BA8F9" w14:textId="77777777" w:rsidR="004569D0" w:rsidRDefault="004569D0">
            <w:pPr>
              <w:spacing w:line="240" w:lineRule="auto"/>
              <w:jc w:val="center"/>
            </w:pPr>
          </w:p>
        </w:tc>
        <w:tc>
          <w:tcPr>
            <w:tcW w:w="1116" w:type="dxa"/>
            <w:tcMar>
              <w:top w:w="40" w:type="dxa"/>
              <w:left w:w="80" w:type="dxa"/>
              <w:bottom w:w="40" w:type="dxa"/>
              <w:right w:w="80" w:type="dxa"/>
            </w:tcMar>
          </w:tcPr>
          <w:p w14:paraId="12DE027F" w14:textId="77777777" w:rsidR="004569D0" w:rsidRDefault="004569D0">
            <w:pPr>
              <w:spacing w:line="240" w:lineRule="auto"/>
              <w:jc w:val="center"/>
            </w:pPr>
          </w:p>
        </w:tc>
      </w:tr>
      <w:tr w:rsidR="004569D0" w14:paraId="3F1FD335" w14:textId="77777777">
        <w:tblPrEx>
          <w:tblCellMar>
            <w:top w:w="0" w:type="dxa"/>
            <w:bottom w:w="0" w:type="dxa"/>
          </w:tblCellMar>
        </w:tblPrEx>
        <w:tc>
          <w:tcPr>
            <w:tcW w:w="2400" w:type="dxa"/>
            <w:shd w:val="clear" w:color="auto" w:fill="D9E1F2"/>
            <w:tcMar>
              <w:top w:w="40" w:type="dxa"/>
              <w:left w:w="80" w:type="dxa"/>
              <w:bottom w:w="40" w:type="dxa"/>
              <w:right w:w="80" w:type="dxa"/>
            </w:tcMar>
          </w:tcPr>
          <w:p w14:paraId="60A4404D" w14:textId="77777777" w:rsidR="004569D0" w:rsidRDefault="00184DA1">
            <w:pPr>
              <w:spacing w:line="240" w:lineRule="auto"/>
            </w:pPr>
            <w:r>
              <w:rPr>
                <w:b/>
                <w:bCs/>
                <w:color w:val="000000"/>
                <w:sz w:val="20"/>
                <w:szCs w:val="20"/>
              </w:rPr>
              <w:t xml:space="preserve">  Operating margin</w:t>
            </w:r>
          </w:p>
        </w:tc>
        <w:tc>
          <w:tcPr>
            <w:tcW w:w="1116" w:type="dxa"/>
            <w:shd w:val="clear" w:color="auto" w:fill="D9E1F2"/>
            <w:tcMar>
              <w:top w:w="40" w:type="dxa"/>
              <w:left w:w="80" w:type="dxa"/>
              <w:bottom w:w="40" w:type="dxa"/>
              <w:right w:w="80" w:type="dxa"/>
            </w:tcMar>
          </w:tcPr>
          <w:p w14:paraId="1843B5B9" w14:textId="77777777" w:rsidR="004569D0" w:rsidRDefault="00184DA1">
            <w:pPr>
              <w:spacing w:line="240" w:lineRule="auto"/>
              <w:jc w:val="center"/>
            </w:pPr>
            <w:r>
              <w:rPr>
                <w:color w:val="000000"/>
                <w:sz w:val="20"/>
                <w:szCs w:val="20"/>
              </w:rPr>
              <w:t>17.0%</w:t>
            </w:r>
          </w:p>
        </w:tc>
        <w:tc>
          <w:tcPr>
            <w:tcW w:w="1116" w:type="dxa"/>
            <w:shd w:val="clear" w:color="auto" w:fill="D9E1F2"/>
            <w:tcMar>
              <w:top w:w="40" w:type="dxa"/>
              <w:left w:w="80" w:type="dxa"/>
              <w:bottom w:w="40" w:type="dxa"/>
              <w:right w:w="80" w:type="dxa"/>
            </w:tcMar>
          </w:tcPr>
          <w:p w14:paraId="789F3553" w14:textId="77777777" w:rsidR="004569D0" w:rsidRDefault="00184DA1">
            <w:pPr>
              <w:spacing w:line="240" w:lineRule="auto"/>
              <w:jc w:val="center"/>
            </w:pPr>
            <w:r>
              <w:rPr>
                <w:color w:val="000000"/>
                <w:sz w:val="20"/>
                <w:szCs w:val="20"/>
              </w:rPr>
              <w:t>16.1%</w:t>
            </w:r>
          </w:p>
        </w:tc>
        <w:tc>
          <w:tcPr>
            <w:tcW w:w="1116" w:type="dxa"/>
            <w:shd w:val="clear" w:color="auto" w:fill="D9E1F2"/>
            <w:tcMar>
              <w:top w:w="40" w:type="dxa"/>
              <w:left w:w="80" w:type="dxa"/>
              <w:bottom w:w="40" w:type="dxa"/>
              <w:right w:w="80" w:type="dxa"/>
            </w:tcMar>
          </w:tcPr>
          <w:p w14:paraId="0ECD970F" w14:textId="77777777" w:rsidR="004569D0" w:rsidRDefault="00184DA1">
            <w:pPr>
              <w:spacing w:line="240" w:lineRule="auto"/>
              <w:jc w:val="center"/>
            </w:pPr>
            <w:r>
              <w:rPr>
                <w:color w:val="000000"/>
                <w:sz w:val="20"/>
                <w:szCs w:val="20"/>
              </w:rPr>
              <w:t>23.1%</w:t>
            </w:r>
          </w:p>
        </w:tc>
        <w:tc>
          <w:tcPr>
            <w:tcW w:w="1116" w:type="dxa"/>
            <w:shd w:val="clear" w:color="auto" w:fill="D9E1F2"/>
            <w:tcMar>
              <w:top w:w="40" w:type="dxa"/>
              <w:left w:w="80" w:type="dxa"/>
              <w:bottom w:w="40" w:type="dxa"/>
              <w:right w:w="80" w:type="dxa"/>
            </w:tcMar>
          </w:tcPr>
          <w:p w14:paraId="0028CF21" w14:textId="77777777" w:rsidR="004569D0" w:rsidRDefault="00184DA1">
            <w:pPr>
              <w:spacing w:line="240" w:lineRule="auto"/>
              <w:jc w:val="center"/>
            </w:pPr>
            <w:r>
              <w:rPr>
                <w:color w:val="000000"/>
                <w:sz w:val="20"/>
                <w:szCs w:val="20"/>
              </w:rPr>
              <w:t>21.1%</w:t>
            </w:r>
          </w:p>
        </w:tc>
        <w:tc>
          <w:tcPr>
            <w:tcW w:w="1116" w:type="dxa"/>
            <w:shd w:val="clear" w:color="auto" w:fill="D9E1F2"/>
            <w:tcMar>
              <w:top w:w="40" w:type="dxa"/>
              <w:left w:w="80" w:type="dxa"/>
              <w:bottom w:w="40" w:type="dxa"/>
              <w:right w:w="80" w:type="dxa"/>
            </w:tcMar>
          </w:tcPr>
          <w:p w14:paraId="389ECCB3" w14:textId="77777777" w:rsidR="004569D0" w:rsidRDefault="00184DA1">
            <w:pPr>
              <w:spacing w:line="240" w:lineRule="auto"/>
              <w:jc w:val="center"/>
            </w:pPr>
            <w:r>
              <w:rPr>
                <w:color w:val="000000"/>
                <w:sz w:val="20"/>
                <w:szCs w:val="20"/>
              </w:rPr>
              <w:t>23.1%</w:t>
            </w:r>
          </w:p>
        </w:tc>
      </w:tr>
      <w:tr w:rsidR="004569D0" w14:paraId="198B7EAA" w14:textId="77777777">
        <w:tblPrEx>
          <w:tblCellMar>
            <w:top w:w="0" w:type="dxa"/>
            <w:bottom w:w="0" w:type="dxa"/>
          </w:tblCellMar>
        </w:tblPrEx>
        <w:tc>
          <w:tcPr>
            <w:tcW w:w="2400" w:type="dxa"/>
            <w:tcMar>
              <w:top w:w="40" w:type="dxa"/>
              <w:left w:w="80" w:type="dxa"/>
              <w:bottom w:w="40" w:type="dxa"/>
              <w:right w:w="80" w:type="dxa"/>
            </w:tcMar>
          </w:tcPr>
          <w:p w14:paraId="42F67ADC" w14:textId="77777777" w:rsidR="004569D0" w:rsidRDefault="00184DA1">
            <w:pPr>
              <w:spacing w:line="240" w:lineRule="auto"/>
            </w:pPr>
            <w:r>
              <w:rPr>
                <w:b/>
                <w:bCs/>
                <w:color w:val="000000"/>
                <w:sz w:val="20"/>
                <w:szCs w:val="20"/>
              </w:rPr>
              <w:t xml:space="preserve">  Net profit margin</w:t>
            </w:r>
          </w:p>
        </w:tc>
        <w:tc>
          <w:tcPr>
            <w:tcW w:w="1116" w:type="dxa"/>
            <w:tcMar>
              <w:top w:w="40" w:type="dxa"/>
              <w:left w:w="80" w:type="dxa"/>
              <w:bottom w:w="40" w:type="dxa"/>
              <w:right w:w="80" w:type="dxa"/>
            </w:tcMar>
          </w:tcPr>
          <w:p w14:paraId="04D42543" w14:textId="77777777" w:rsidR="004569D0" w:rsidRDefault="00184DA1">
            <w:pPr>
              <w:spacing w:line="240" w:lineRule="auto"/>
              <w:jc w:val="center"/>
            </w:pPr>
            <w:r>
              <w:rPr>
                <w:color w:val="000000"/>
                <w:sz w:val="20"/>
                <w:szCs w:val="20"/>
              </w:rPr>
              <w:t>9.1%</w:t>
            </w:r>
          </w:p>
        </w:tc>
        <w:tc>
          <w:tcPr>
            <w:tcW w:w="1116" w:type="dxa"/>
            <w:tcMar>
              <w:top w:w="40" w:type="dxa"/>
              <w:left w:w="80" w:type="dxa"/>
              <w:bottom w:w="40" w:type="dxa"/>
              <w:right w:w="80" w:type="dxa"/>
            </w:tcMar>
          </w:tcPr>
          <w:p w14:paraId="59A63EED" w14:textId="77777777" w:rsidR="004569D0" w:rsidRDefault="00184DA1">
            <w:pPr>
              <w:spacing w:line="240" w:lineRule="auto"/>
              <w:jc w:val="center"/>
            </w:pPr>
            <w:r>
              <w:rPr>
                <w:color w:val="000000"/>
                <w:sz w:val="20"/>
                <w:szCs w:val="20"/>
              </w:rPr>
              <w:t>9.7%</w:t>
            </w:r>
          </w:p>
        </w:tc>
        <w:tc>
          <w:tcPr>
            <w:tcW w:w="1116" w:type="dxa"/>
            <w:tcMar>
              <w:top w:w="40" w:type="dxa"/>
              <w:left w:w="80" w:type="dxa"/>
              <w:bottom w:w="40" w:type="dxa"/>
              <w:right w:w="80" w:type="dxa"/>
            </w:tcMar>
          </w:tcPr>
          <w:p w14:paraId="59C8DDCB" w14:textId="77777777" w:rsidR="004569D0" w:rsidRDefault="00184DA1">
            <w:pPr>
              <w:spacing w:line="240" w:lineRule="auto"/>
              <w:jc w:val="center"/>
            </w:pPr>
            <w:r>
              <w:rPr>
                <w:color w:val="000000"/>
                <w:sz w:val="20"/>
                <w:szCs w:val="20"/>
              </w:rPr>
              <w:t>16.2%</w:t>
            </w:r>
          </w:p>
        </w:tc>
        <w:tc>
          <w:tcPr>
            <w:tcW w:w="1116" w:type="dxa"/>
            <w:tcMar>
              <w:top w:w="40" w:type="dxa"/>
              <w:left w:w="80" w:type="dxa"/>
              <w:bottom w:w="40" w:type="dxa"/>
              <w:right w:w="80" w:type="dxa"/>
            </w:tcMar>
          </w:tcPr>
          <w:p w14:paraId="09F18A78" w14:textId="77777777" w:rsidR="004569D0" w:rsidRDefault="00184DA1">
            <w:pPr>
              <w:spacing w:line="240" w:lineRule="auto"/>
              <w:jc w:val="center"/>
            </w:pPr>
            <w:r>
              <w:rPr>
                <w:color w:val="000000"/>
                <w:sz w:val="20"/>
                <w:szCs w:val="20"/>
              </w:rPr>
              <w:t>12.8%</w:t>
            </w:r>
          </w:p>
        </w:tc>
        <w:tc>
          <w:tcPr>
            <w:tcW w:w="1116" w:type="dxa"/>
            <w:tcMar>
              <w:top w:w="40" w:type="dxa"/>
              <w:left w:w="80" w:type="dxa"/>
              <w:bottom w:w="40" w:type="dxa"/>
              <w:right w:w="80" w:type="dxa"/>
            </w:tcMar>
          </w:tcPr>
          <w:p w14:paraId="1259C948" w14:textId="77777777" w:rsidR="004569D0" w:rsidRDefault="00184DA1">
            <w:pPr>
              <w:spacing w:line="240" w:lineRule="auto"/>
              <w:jc w:val="center"/>
            </w:pPr>
            <w:r>
              <w:rPr>
                <w:color w:val="000000"/>
                <w:sz w:val="20"/>
                <w:szCs w:val="20"/>
              </w:rPr>
              <w:t>14.6%</w:t>
            </w:r>
          </w:p>
        </w:tc>
      </w:tr>
      <w:tr w:rsidR="004569D0" w14:paraId="387315C5" w14:textId="77777777">
        <w:tblPrEx>
          <w:tblCellMar>
            <w:top w:w="0" w:type="dxa"/>
            <w:bottom w:w="0" w:type="dxa"/>
          </w:tblCellMar>
        </w:tblPrEx>
        <w:tc>
          <w:tcPr>
            <w:tcW w:w="2400" w:type="dxa"/>
            <w:shd w:val="clear" w:color="auto" w:fill="D9E1F2"/>
            <w:tcMar>
              <w:top w:w="40" w:type="dxa"/>
              <w:left w:w="80" w:type="dxa"/>
              <w:bottom w:w="40" w:type="dxa"/>
              <w:right w:w="80" w:type="dxa"/>
            </w:tcMar>
          </w:tcPr>
          <w:p w14:paraId="1786F961" w14:textId="77777777" w:rsidR="004569D0" w:rsidRDefault="00184DA1">
            <w:pPr>
              <w:spacing w:line="240" w:lineRule="auto"/>
            </w:pPr>
            <w:r>
              <w:rPr>
                <w:b/>
                <w:bCs/>
                <w:color w:val="000000"/>
                <w:sz w:val="20"/>
                <w:szCs w:val="20"/>
              </w:rPr>
              <w:t xml:space="preserve">  Return on assets (</w:t>
            </w:r>
            <w:proofErr w:type="spellStart"/>
            <w:r>
              <w:rPr>
                <w:b/>
                <w:bCs/>
                <w:color w:val="000000"/>
                <w:sz w:val="20"/>
                <w:szCs w:val="20"/>
              </w:rPr>
              <w:t>avg</w:t>
            </w:r>
            <w:proofErr w:type="spellEnd"/>
            <w:r>
              <w:rPr>
                <w:b/>
                <w:bCs/>
                <w:color w:val="000000"/>
                <w:sz w:val="20"/>
                <w:szCs w:val="20"/>
              </w:rPr>
              <w:t>)</w:t>
            </w:r>
          </w:p>
        </w:tc>
        <w:tc>
          <w:tcPr>
            <w:tcW w:w="1116" w:type="dxa"/>
            <w:shd w:val="clear" w:color="auto" w:fill="D9E1F2"/>
            <w:tcMar>
              <w:top w:w="40" w:type="dxa"/>
              <w:left w:w="80" w:type="dxa"/>
              <w:bottom w:w="40" w:type="dxa"/>
              <w:right w:w="80" w:type="dxa"/>
            </w:tcMar>
          </w:tcPr>
          <w:p w14:paraId="3019CBDE" w14:textId="77777777" w:rsidR="004569D0" w:rsidRDefault="00184DA1">
            <w:pPr>
              <w:spacing w:line="240" w:lineRule="auto"/>
              <w:jc w:val="center"/>
            </w:pPr>
            <w:r>
              <w:rPr>
                <w:color w:val="000000"/>
                <w:sz w:val="20"/>
                <w:szCs w:val="20"/>
              </w:rPr>
              <w:t>5.4%</w:t>
            </w:r>
          </w:p>
        </w:tc>
        <w:tc>
          <w:tcPr>
            <w:tcW w:w="1116" w:type="dxa"/>
            <w:shd w:val="clear" w:color="auto" w:fill="D9E1F2"/>
            <w:tcMar>
              <w:top w:w="40" w:type="dxa"/>
              <w:left w:w="80" w:type="dxa"/>
              <w:bottom w:w="40" w:type="dxa"/>
              <w:right w:w="80" w:type="dxa"/>
            </w:tcMar>
          </w:tcPr>
          <w:p w14:paraId="68AEBE04" w14:textId="77777777" w:rsidR="004569D0" w:rsidRDefault="00184DA1">
            <w:pPr>
              <w:spacing w:line="240" w:lineRule="auto"/>
              <w:jc w:val="center"/>
            </w:pPr>
            <w:r>
              <w:rPr>
                <w:color w:val="000000"/>
                <w:sz w:val="20"/>
                <w:szCs w:val="20"/>
              </w:rPr>
              <w:t>8.4%</w:t>
            </w:r>
          </w:p>
        </w:tc>
        <w:tc>
          <w:tcPr>
            <w:tcW w:w="1116" w:type="dxa"/>
            <w:shd w:val="clear" w:color="auto" w:fill="D9E1F2"/>
            <w:tcMar>
              <w:top w:w="40" w:type="dxa"/>
              <w:left w:w="80" w:type="dxa"/>
              <w:bottom w:w="40" w:type="dxa"/>
              <w:right w:w="80" w:type="dxa"/>
            </w:tcMar>
          </w:tcPr>
          <w:p w14:paraId="12BC8C67" w14:textId="77777777" w:rsidR="004569D0" w:rsidRDefault="00184DA1">
            <w:pPr>
              <w:spacing w:line="240" w:lineRule="auto"/>
              <w:jc w:val="center"/>
            </w:pPr>
            <w:r>
              <w:rPr>
                <w:color w:val="000000"/>
                <w:sz w:val="20"/>
                <w:szCs w:val="20"/>
              </w:rPr>
              <w:t>16.6%</w:t>
            </w:r>
          </w:p>
        </w:tc>
        <w:tc>
          <w:tcPr>
            <w:tcW w:w="1116" w:type="dxa"/>
            <w:shd w:val="clear" w:color="auto" w:fill="D9E1F2"/>
            <w:tcMar>
              <w:top w:w="40" w:type="dxa"/>
              <w:left w:w="80" w:type="dxa"/>
              <w:bottom w:w="40" w:type="dxa"/>
              <w:right w:w="80" w:type="dxa"/>
            </w:tcMar>
          </w:tcPr>
          <w:p w14:paraId="666302F0" w14:textId="77777777" w:rsidR="004569D0" w:rsidRDefault="00184DA1">
            <w:pPr>
              <w:spacing w:line="240" w:lineRule="auto"/>
              <w:jc w:val="center"/>
            </w:pPr>
            <w:r>
              <w:rPr>
                <w:color w:val="000000"/>
                <w:sz w:val="20"/>
                <w:szCs w:val="20"/>
              </w:rPr>
              <w:t>13.1%</w:t>
            </w:r>
          </w:p>
        </w:tc>
        <w:tc>
          <w:tcPr>
            <w:tcW w:w="1116" w:type="dxa"/>
            <w:shd w:val="clear" w:color="auto" w:fill="D9E1F2"/>
            <w:tcMar>
              <w:top w:w="40" w:type="dxa"/>
              <w:left w:w="80" w:type="dxa"/>
              <w:bottom w:w="40" w:type="dxa"/>
              <w:right w:w="80" w:type="dxa"/>
            </w:tcMar>
          </w:tcPr>
          <w:p w14:paraId="7F74A1E0" w14:textId="77777777" w:rsidR="004569D0" w:rsidRDefault="00184DA1">
            <w:pPr>
              <w:spacing w:line="240" w:lineRule="auto"/>
              <w:jc w:val="center"/>
            </w:pPr>
            <w:r>
              <w:rPr>
                <w:color w:val="000000"/>
                <w:sz w:val="20"/>
                <w:szCs w:val="20"/>
              </w:rPr>
              <w:t>15.0%</w:t>
            </w:r>
          </w:p>
        </w:tc>
      </w:tr>
      <w:tr w:rsidR="004569D0" w14:paraId="1BD88431" w14:textId="77777777">
        <w:tblPrEx>
          <w:tblCellMar>
            <w:top w:w="0" w:type="dxa"/>
            <w:bottom w:w="0" w:type="dxa"/>
          </w:tblCellMar>
        </w:tblPrEx>
        <w:tc>
          <w:tcPr>
            <w:tcW w:w="2400" w:type="dxa"/>
            <w:tcMar>
              <w:top w:w="40" w:type="dxa"/>
              <w:left w:w="80" w:type="dxa"/>
              <w:bottom w:w="40" w:type="dxa"/>
              <w:right w:w="80" w:type="dxa"/>
            </w:tcMar>
          </w:tcPr>
          <w:p w14:paraId="32170919" w14:textId="77777777" w:rsidR="004569D0" w:rsidRDefault="00184DA1">
            <w:pPr>
              <w:spacing w:line="240" w:lineRule="auto"/>
            </w:pPr>
            <w:r>
              <w:rPr>
                <w:b/>
                <w:bCs/>
                <w:color w:val="000000"/>
                <w:sz w:val="20"/>
                <w:szCs w:val="20"/>
              </w:rPr>
              <w:t>Liquidity</w:t>
            </w:r>
          </w:p>
        </w:tc>
        <w:tc>
          <w:tcPr>
            <w:tcW w:w="1116" w:type="dxa"/>
            <w:tcMar>
              <w:top w:w="40" w:type="dxa"/>
              <w:left w:w="80" w:type="dxa"/>
              <w:bottom w:w="40" w:type="dxa"/>
              <w:right w:w="80" w:type="dxa"/>
            </w:tcMar>
          </w:tcPr>
          <w:p w14:paraId="38C4D874" w14:textId="77777777" w:rsidR="004569D0" w:rsidRDefault="004569D0">
            <w:pPr>
              <w:spacing w:line="240" w:lineRule="auto"/>
              <w:jc w:val="center"/>
            </w:pPr>
          </w:p>
        </w:tc>
        <w:tc>
          <w:tcPr>
            <w:tcW w:w="1116" w:type="dxa"/>
            <w:tcMar>
              <w:top w:w="40" w:type="dxa"/>
              <w:left w:w="80" w:type="dxa"/>
              <w:bottom w:w="40" w:type="dxa"/>
              <w:right w:w="80" w:type="dxa"/>
            </w:tcMar>
          </w:tcPr>
          <w:p w14:paraId="72B0A1D8" w14:textId="77777777" w:rsidR="004569D0" w:rsidRDefault="004569D0">
            <w:pPr>
              <w:spacing w:line="240" w:lineRule="auto"/>
              <w:jc w:val="center"/>
            </w:pPr>
          </w:p>
        </w:tc>
        <w:tc>
          <w:tcPr>
            <w:tcW w:w="1116" w:type="dxa"/>
            <w:tcMar>
              <w:top w:w="40" w:type="dxa"/>
              <w:left w:w="80" w:type="dxa"/>
              <w:bottom w:w="40" w:type="dxa"/>
              <w:right w:w="80" w:type="dxa"/>
            </w:tcMar>
          </w:tcPr>
          <w:p w14:paraId="7D3DD526" w14:textId="77777777" w:rsidR="004569D0" w:rsidRDefault="004569D0">
            <w:pPr>
              <w:spacing w:line="240" w:lineRule="auto"/>
              <w:jc w:val="center"/>
            </w:pPr>
          </w:p>
        </w:tc>
        <w:tc>
          <w:tcPr>
            <w:tcW w:w="1116" w:type="dxa"/>
            <w:tcMar>
              <w:top w:w="40" w:type="dxa"/>
              <w:left w:w="80" w:type="dxa"/>
              <w:bottom w:w="40" w:type="dxa"/>
              <w:right w:w="80" w:type="dxa"/>
            </w:tcMar>
          </w:tcPr>
          <w:p w14:paraId="48271268" w14:textId="77777777" w:rsidR="004569D0" w:rsidRDefault="004569D0">
            <w:pPr>
              <w:spacing w:line="240" w:lineRule="auto"/>
              <w:jc w:val="center"/>
            </w:pPr>
          </w:p>
        </w:tc>
        <w:tc>
          <w:tcPr>
            <w:tcW w:w="1116" w:type="dxa"/>
            <w:tcMar>
              <w:top w:w="40" w:type="dxa"/>
              <w:left w:w="80" w:type="dxa"/>
              <w:bottom w:w="40" w:type="dxa"/>
              <w:right w:w="80" w:type="dxa"/>
            </w:tcMar>
          </w:tcPr>
          <w:p w14:paraId="1DFA0683" w14:textId="77777777" w:rsidR="004569D0" w:rsidRDefault="004569D0">
            <w:pPr>
              <w:spacing w:line="240" w:lineRule="auto"/>
              <w:jc w:val="center"/>
            </w:pPr>
          </w:p>
        </w:tc>
      </w:tr>
      <w:tr w:rsidR="004569D0" w14:paraId="1A904EA6" w14:textId="77777777">
        <w:tblPrEx>
          <w:tblCellMar>
            <w:top w:w="0" w:type="dxa"/>
            <w:bottom w:w="0" w:type="dxa"/>
          </w:tblCellMar>
        </w:tblPrEx>
        <w:tc>
          <w:tcPr>
            <w:tcW w:w="2400" w:type="dxa"/>
            <w:shd w:val="clear" w:color="auto" w:fill="D9E1F2"/>
            <w:tcMar>
              <w:top w:w="40" w:type="dxa"/>
              <w:left w:w="80" w:type="dxa"/>
              <w:bottom w:w="40" w:type="dxa"/>
              <w:right w:w="80" w:type="dxa"/>
            </w:tcMar>
          </w:tcPr>
          <w:p w14:paraId="5C5412E8" w14:textId="77777777" w:rsidR="004569D0" w:rsidRDefault="00184DA1">
            <w:pPr>
              <w:spacing w:line="240" w:lineRule="auto"/>
            </w:pPr>
            <w:r>
              <w:rPr>
                <w:b/>
                <w:bCs/>
                <w:color w:val="000000"/>
                <w:sz w:val="20"/>
                <w:szCs w:val="20"/>
              </w:rPr>
              <w:t xml:space="preserve">  Current ratio</w:t>
            </w:r>
          </w:p>
        </w:tc>
        <w:tc>
          <w:tcPr>
            <w:tcW w:w="1116" w:type="dxa"/>
            <w:shd w:val="clear" w:color="auto" w:fill="D9E1F2"/>
            <w:tcMar>
              <w:top w:w="40" w:type="dxa"/>
              <w:left w:w="80" w:type="dxa"/>
              <w:bottom w:w="40" w:type="dxa"/>
              <w:right w:w="80" w:type="dxa"/>
            </w:tcMar>
          </w:tcPr>
          <w:p w14:paraId="20663695" w14:textId="77777777" w:rsidR="004569D0" w:rsidRDefault="00184DA1">
            <w:pPr>
              <w:spacing w:line="240" w:lineRule="auto"/>
              <w:jc w:val="center"/>
            </w:pPr>
            <w:r>
              <w:rPr>
                <w:color w:val="000000"/>
                <w:sz w:val="20"/>
                <w:szCs w:val="20"/>
              </w:rPr>
              <w:t>1.27</w:t>
            </w:r>
          </w:p>
        </w:tc>
        <w:tc>
          <w:tcPr>
            <w:tcW w:w="1116" w:type="dxa"/>
            <w:shd w:val="clear" w:color="auto" w:fill="D9E1F2"/>
            <w:tcMar>
              <w:top w:w="40" w:type="dxa"/>
              <w:left w:w="80" w:type="dxa"/>
              <w:bottom w:w="40" w:type="dxa"/>
              <w:right w:w="80" w:type="dxa"/>
            </w:tcMar>
          </w:tcPr>
          <w:p w14:paraId="0C48C5FA" w14:textId="77777777" w:rsidR="004569D0" w:rsidRDefault="00184DA1">
            <w:pPr>
              <w:spacing w:line="240" w:lineRule="auto"/>
              <w:jc w:val="center"/>
            </w:pPr>
            <w:r>
              <w:rPr>
                <w:color w:val="000000"/>
                <w:sz w:val="20"/>
                <w:szCs w:val="20"/>
              </w:rPr>
              <w:t>1.09</w:t>
            </w:r>
          </w:p>
        </w:tc>
        <w:tc>
          <w:tcPr>
            <w:tcW w:w="1116" w:type="dxa"/>
            <w:shd w:val="clear" w:color="auto" w:fill="D9E1F2"/>
            <w:tcMar>
              <w:top w:w="40" w:type="dxa"/>
              <w:left w:w="80" w:type="dxa"/>
              <w:bottom w:w="40" w:type="dxa"/>
              <w:right w:w="80" w:type="dxa"/>
            </w:tcMar>
          </w:tcPr>
          <w:p w14:paraId="5EDFC51C" w14:textId="77777777" w:rsidR="004569D0" w:rsidRDefault="00184DA1">
            <w:pPr>
              <w:spacing w:line="240" w:lineRule="auto"/>
              <w:jc w:val="center"/>
            </w:pPr>
            <w:r>
              <w:rPr>
                <w:color w:val="000000"/>
                <w:sz w:val="20"/>
                <w:szCs w:val="20"/>
              </w:rPr>
              <w:t>0.97</w:t>
            </w:r>
          </w:p>
        </w:tc>
        <w:tc>
          <w:tcPr>
            <w:tcW w:w="1116" w:type="dxa"/>
            <w:shd w:val="clear" w:color="auto" w:fill="D9E1F2"/>
            <w:tcMar>
              <w:top w:w="40" w:type="dxa"/>
              <w:left w:w="80" w:type="dxa"/>
              <w:bottom w:w="40" w:type="dxa"/>
              <w:right w:w="80" w:type="dxa"/>
            </w:tcMar>
          </w:tcPr>
          <w:p w14:paraId="4999B357" w14:textId="77777777" w:rsidR="004569D0" w:rsidRDefault="00184DA1">
            <w:pPr>
              <w:spacing w:line="240" w:lineRule="auto"/>
              <w:jc w:val="center"/>
            </w:pPr>
            <w:r>
              <w:rPr>
                <w:color w:val="000000"/>
                <w:sz w:val="20"/>
                <w:szCs w:val="20"/>
              </w:rPr>
              <w:t>0.97</w:t>
            </w:r>
          </w:p>
        </w:tc>
        <w:tc>
          <w:tcPr>
            <w:tcW w:w="1116" w:type="dxa"/>
            <w:shd w:val="clear" w:color="auto" w:fill="D9E1F2"/>
            <w:tcMar>
              <w:top w:w="40" w:type="dxa"/>
              <w:left w:w="80" w:type="dxa"/>
              <w:bottom w:w="40" w:type="dxa"/>
              <w:right w:w="80" w:type="dxa"/>
            </w:tcMar>
          </w:tcPr>
          <w:p w14:paraId="2881E739" w14:textId="77777777" w:rsidR="004569D0" w:rsidRDefault="00184DA1">
            <w:pPr>
              <w:spacing w:line="240" w:lineRule="auto"/>
              <w:jc w:val="center"/>
            </w:pPr>
            <w:r>
              <w:rPr>
                <w:color w:val="000000"/>
                <w:sz w:val="20"/>
                <w:szCs w:val="20"/>
              </w:rPr>
              <w:t>0.98</w:t>
            </w:r>
          </w:p>
        </w:tc>
      </w:tr>
      <w:tr w:rsidR="004569D0" w14:paraId="3D96CCD0" w14:textId="77777777">
        <w:tblPrEx>
          <w:tblCellMar>
            <w:top w:w="0" w:type="dxa"/>
            <w:bottom w:w="0" w:type="dxa"/>
          </w:tblCellMar>
        </w:tblPrEx>
        <w:tc>
          <w:tcPr>
            <w:tcW w:w="2400" w:type="dxa"/>
            <w:tcMar>
              <w:top w:w="40" w:type="dxa"/>
              <w:left w:w="80" w:type="dxa"/>
              <w:bottom w:w="40" w:type="dxa"/>
              <w:right w:w="80" w:type="dxa"/>
            </w:tcMar>
          </w:tcPr>
          <w:p w14:paraId="2D260116" w14:textId="77777777" w:rsidR="004569D0" w:rsidRDefault="00184DA1">
            <w:pPr>
              <w:spacing w:line="240" w:lineRule="auto"/>
            </w:pPr>
            <w:r>
              <w:rPr>
                <w:b/>
                <w:bCs/>
                <w:color w:val="000000"/>
                <w:sz w:val="20"/>
                <w:szCs w:val="20"/>
              </w:rPr>
              <w:t xml:space="preserve">  Quick ratio</w:t>
            </w:r>
          </w:p>
        </w:tc>
        <w:tc>
          <w:tcPr>
            <w:tcW w:w="1116" w:type="dxa"/>
            <w:tcMar>
              <w:top w:w="40" w:type="dxa"/>
              <w:left w:w="80" w:type="dxa"/>
              <w:bottom w:w="40" w:type="dxa"/>
              <w:right w:w="80" w:type="dxa"/>
            </w:tcMar>
          </w:tcPr>
          <w:p w14:paraId="2604671C" w14:textId="77777777" w:rsidR="004569D0" w:rsidRDefault="00184DA1">
            <w:pPr>
              <w:spacing w:line="240" w:lineRule="auto"/>
              <w:jc w:val="center"/>
            </w:pPr>
            <w:r>
              <w:rPr>
                <w:color w:val="000000"/>
                <w:sz w:val="20"/>
                <w:szCs w:val="20"/>
              </w:rPr>
              <w:t>1.27</w:t>
            </w:r>
          </w:p>
        </w:tc>
        <w:tc>
          <w:tcPr>
            <w:tcW w:w="1116" w:type="dxa"/>
            <w:tcMar>
              <w:top w:w="40" w:type="dxa"/>
              <w:left w:w="80" w:type="dxa"/>
              <w:bottom w:w="40" w:type="dxa"/>
              <w:right w:w="80" w:type="dxa"/>
            </w:tcMar>
          </w:tcPr>
          <w:p w14:paraId="11F466E8" w14:textId="77777777" w:rsidR="004569D0" w:rsidRDefault="00184DA1">
            <w:pPr>
              <w:spacing w:line="240" w:lineRule="auto"/>
              <w:jc w:val="center"/>
            </w:pPr>
            <w:r>
              <w:rPr>
                <w:color w:val="000000"/>
                <w:sz w:val="20"/>
                <w:szCs w:val="20"/>
              </w:rPr>
              <w:t>1.08</w:t>
            </w:r>
          </w:p>
        </w:tc>
        <w:tc>
          <w:tcPr>
            <w:tcW w:w="1116" w:type="dxa"/>
            <w:tcMar>
              <w:top w:w="40" w:type="dxa"/>
              <w:left w:w="80" w:type="dxa"/>
              <w:bottom w:w="40" w:type="dxa"/>
              <w:right w:w="80" w:type="dxa"/>
            </w:tcMar>
          </w:tcPr>
          <w:p w14:paraId="681C7B91" w14:textId="77777777" w:rsidR="004569D0" w:rsidRDefault="00184DA1">
            <w:pPr>
              <w:spacing w:line="240" w:lineRule="auto"/>
              <w:jc w:val="center"/>
            </w:pPr>
            <w:r>
              <w:rPr>
                <w:color w:val="000000"/>
                <w:sz w:val="20"/>
                <w:szCs w:val="20"/>
              </w:rPr>
              <w:t>0.97</w:t>
            </w:r>
          </w:p>
        </w:tc>
        <w:tc>
          <w:tcPr>
            <w:tcW w:w="1116" w:type="dxa"/>
            <w:tcMar>
              <w:top w:w="40" w:type="dxa"/>
              <w:left w:w="80" w:type="dxa"/>
              <w:bottom w:w="40" w:type="dxa"/>
              <w:right w:w="80" w:type="dxa"/>
            </w:tcMar>
          </w:tcPr>
          <w:p w14:paraId="27BD46BD" w14:textId="77777777" w:rsidR="004569D0" w:rsidRDefault="00184DA1">
            <w:pPr>
              <w:spacing w:line="240" w:lineRule="auto"/>
              <w:jc w:val="center"/>
            </w:pPr>
            <w:r>
              <w:rPr>
                <w:color w:val="000000"/>
                <w:sz w:val="20"/>
                <w:szCs w:val="20"/>
              </w:rPr>
              <w:t>0.97</w:t>
            </w:r>
          </w:p>
        </w:tc>
        <w:tc>
          <w:tcPr>
            <w:tcW w:w="1116" w:type="dxa"/>
            <w:tcMar>
              <w:top w:w="40" w:type="dxa"/>
              <w:left w:w="80" w:type="dxa"/>
              <w:bottom w:w="40" w:type="dxa"/>
              <w:right w:w="80" w:type="dxa"/>
            </w:tcMar>
          </w:tcPr>
          <w:p w14:paraId="234F8B11" w14:textId="77777777" w:rsidR="004569D0" w:rsidRDefault="00184DA1">
            <w:pPr>
              <w:spacing w:line="240" w:lineRule="auto"/>
              <w:jc w:val="center"/>
            </w:pPr>
            <w:r>
              <w:rPr>
                <w:color w:val="000000"/>
                <w:sz w:val="20"/>
                <w:szCs w:val="20"/>
              </w:rPr>
              <w:t>0.97</w:t>
            </w:r>
          </w:p>
        </w:tc>
      </w:tr>
      <w:tr w:rsidR="004569D0" w14:paraId="69360492" w14:textId="77777777">
        <w:tblPrEx>
          <w:tblCellMar>
            <w:top w:w="0" w:type="dxa"/>
            <w:bottom w:w="0" w:type="dxa"/>
          </w:tblCellMar>
        </w:tblPrEx>
        <w:tc>
          <w:tcPr>
            <w:tcW w:w="2400" w:type="dxa"/>
            <w:shd w:val="clear" w:color="auto" w:fill="D9E1F2"/>
            <w:tcMar>
              <w:top w:w="40" w:type="dxa"/>
              <w:left w:w="80" w:type="dxa"/>
              <w:bottom w:w="40" w:type="dxa"/>
              <w:right w:w="80" w:type="dxa"/>
            </w:tcMar>
          </w:tcPr>
          <w:p w14:paraId="5D3C25E5" w14:textId="77777777" w:rsidR="004569D0" w:rsidRDefault="00184DA1">
            <w:pPr>
              <w:spacing w:line="240" w:lineRule="auto"/>
            </w:pPr>
            <w:r>
              <w:rPr>
                <w:b/>
                <w:bCs/>
                <w:color w:val="000000"/>
                <w:sz w:val="20"/>
                <w:szCs w:val="20"/>
              </w:rPr>
              <w:t>Efficiency</w:t>
            </w:r>
          </w:p>
        </w:tc>
        <w:tc>
          <w:tcPr>
            <w:tcW w:w="1116" w:type="dxa"/>
            <w:shd w:val="clear" w:color="auto" w:fill="D9E1F2"/>
            <w:tcMar>
              <w:top w:w="40" w:type="dxa"/>
              <w:left w:w="80" w:type="dxa"/>
              <w:bottom w:w="40" w:type="dxa"/>
              <w:right w:w="80" w:type="dxa"/>
            </w:tcMar>
          </w:tcPr>
          <w:p w14:paraId="6786B654" w14:textId="77777777" w:rsidR="004569D0" w:rsidRDefault="004569D0">
            <w:pPr>
              <w:spacing w:line="240" w:lineRule="auto"/>
              <w:jc w:val="center"/>
            </w:pPr>
          </w:p>
        </w:tc>
        <w:tc>
          <w:tcPr>
            <w:tcW w:w="1116" w:type="dxa"/>
            <w:shd w:val="clear" w:color="auto" w:fill="D9E1F2"/>
            <w:tcMar>
              <w:top w:w="40" w:type="dxa"/>
              <w:left w:w="80" w:type="dxa"/>
              <w:bottom w:w="40" w:type="dxa"/>
              <w:right w:w="80" w:type="dxa"/>
            </w:tcMar>
          </w:tcPr>
          <w:p w14:paraId="360DA330" w14:textId="77777777" w:rsidR="004569D0" w:rsidRDefault="004569D0">
            <w:pPr>
              <w:spacing w:line="240" w:lineRule="auto"/>
              <w:jc w:val="center"/>
            </w:pPr>
          </w:p>
        </w:tc>
        <w:tc>
          <w:tcPr>
            <w:tcW w:w="1116" w:type="dxa"/>
            <w:shd w:val="clear" w:color="auto" w:fill="D9E1F2"/>
            <w:tcMar>
              <w:top w:w="40" w:type="dxa"/>
              <w:left w:w="80" w:type="dxa"/>
              <w:bottom w:w="40" w:type="dxa"/>
              <w:right w:w="80" w:type="dxa"/>
            </w:tcMar>
          </w:tcPr>
          <w:p w14:paraId="443A26C7" w14:textId="77777777" w:rsidR="004569D0" w:rsidRDefault="004569D0">
            <w:pPr>
              <w:spacing w:line="240" w:lineRule="auto"/>
              <w:jc w:val="center"/>
            </w:pPr>
          </w:p>
        </w:tc>
        <w:tc>
          <w:tcPr>
            <w:tcW w:w="1116" w:type="dxa"/>
            <w:shd w:val="clear" w:color="auto" w:fill="D9E1F2"/>
            <w:tcMar>
              <w:top w:w="40" w:type="dxa"/>
              <w:left w:w="80" w:type="dxa"/>
              <w:bottom w:w="40" w:type="dxa"/>
              <w:right w:w="80" w:type="dxa"/>
            </w:tcMar>
          </w:tcPr>
          <w:p w14:paraId="05EE7EEE" w14:textId="77777777" w:rsidR="004569D0" w:rsidRDefault="004569D0">
            <w:pPr>
              <w:spacing w:line="240" w:lineRule="auto"/>
              <w:jc w:val="center"/>
            </w:pPr>
          </w:p>
        </w:tc>
        <w:tc>
          <w:tcPr>
            <w:tcW w:w="1116" w:type="dxa"/>
            <w:shd w:val="clear" w:color="auto" w:fill="D9E1F2"/>
            <w:tcMar>
              <w:top w:w="40" w:type="dxa"/>
              <w:left w:w="80" w:type="dxa"/>
              <w:bottom w:w="40" w:type="dxa"/>
              <w:right w:w="80" w:type="dxa"/>
            </w:tcMar>
          </w:tcPr>
          <w:p w14:paraId="298833C0" w14:textId="77777777" w:rsidR="004569D0" w:rsidRDefault="004569D0">
            <w:pPr>
              <w:spacing w:line="240" w:lineRule="auto"/>
              <w:jc w:val="center"/>
            </w:pPr>
          </w:p>
        </w:tc>
      </w:tr>
      <w:tr w:rsidR="004569D0" w14:paraId="0DFD45B5" w14:textId="77777777">
        <w:tblPrEx>
          <w:tblCellMar>
            <w:top w:w="0" w:type="dxa"/>
            <w:bottom w:w="0" w:type="dxa"/>
          </w:tblCellMar>
        </w:tblPrEx>
        <w:tc>
          <w:tcPr>
            <w:tcW w:w="2400" w:type="dxa"/>
            <w:tcMar>
              <w:top w:w="40" w:type="dxa"/>
              <w:left w:w="80" w:type="dxa"/>
              <w:bottom w:w="40" w:type="dxa"/>
              <w:right w:w="80" w:type="dxa"/>
            </w:tcMar>
          </w:tcPr>
          <w:p w14:paraId="585A3B3D" w14:textId="77777777" w:rsidR="004569D0" w:rsidRDefault="00184DA1">
            <w:pPr>
              <w:spacing w:line="240" w:lineRule="auto"/>
            </w:pPr>
            <w:r>
              <w:rPr>
                <w:b/>
                <w:bCs/>
                <w:color w:val="000000"/>
                <w:sz w:val="20"/>
                <w:szCs w:val="20"/>
              </w:rPr>
              <w:t xml:space="preserve">  Asset turnover (</w:t>
            </w:r>
            <w:proofErr w:type="spellStart"/>
            <w:r>
              <w:rPr>
                <w:b/>
                <w:bCs/>
                <w:color w:val="000000"/>
                <w:sz w:val="20"/>
                <w:szCs w:val="20"/>
              </w:rPr>
              <w:t>avg</w:t>
            </w:r>
            <w:proofErr w:type="spellEnd"/>
            <w:r>
              <w:rPr>
                <w:b/>
                <w:bCs/>
                <w:color w:val="000000"/>
                <w:sz w:val="20"/>
                <w:szCs w:val="20"/>
              </w:rPr>
              <w:t>, x)</w:t>
            </w:r>
          </w:p>
        </w:tc>
        <w:tc>
          <w:tcPr>
            <w:tcW w:w="1116" w:type="dxa"/>
            <w:tcMar>
              <w:top w:w="40" w:type="dxa"/>
              <w:left w:w="80" w:type="dxa"/>
              <w:bottom w:w="40" w:type="dxa"/>
              <w:right w:w="80" w:type="dxa"/>
            </w:tcMar>
          </w:tcPr>
          <w:p w14:paraId="189F8A13" w14:textId="77777777" w:rsidR="004569D0" w:rsidRDefault="00184DA1">
            <w:pPr>
              <w:spacing w:line="240" w:lineRule="auto"/>
              <w:jc w:val="center"/>
            </w:pPr>
            <w:r>
              <w:rPr>
                <w:color w:val="000000"/>
                <w:sz w:val="20"/>
                <w:szCs w:val="20"/>
              </w:rPr>
              <w:t>0.60</w:t>
            </w:r>
          </w:p>
        </w:tc>
        <w:tc>
          <w:tcPr>
            <w:tcW w:w="1116" w:type="dxa"/>
            <w:tcMar>
              <w:top w:w="40" w:type="dxa"/>
              <w:left w:w="80" w:type="dxa"/>
              <w:bottom w:w="40" w:type="dxa"/>
              <w:right w:w="80" w:type="dxa"/>
            </w:tcMar>
          </w:tcPr>
          <w:p w14:paraId="3B80B87E" w14:textId="77777777" w:rsidR="004569D0" w:rsidRDefault="00184DA1">
            <w:pPr>
              <w:spacing w:line="240" w:lineRule="auto"/>
              <w:jc w:val="center"/>
            </w:pPr>
            <w:r>
              <w:rPr>
                <w:color w:val="000000"/>
                <w:sz w:val="20"/>
                <w:szCs w:val="20"/>
              </w:rPr>
              <w:t>0.87</w:t>
            </w:r>
          </w:p>
        </w:tc>
        <w:tc>
          <w:tcPr>
            <w:tcW w:w="1116" w:type="dxa"/>
            <w:tcMar>
              <w:top w:w="40" w:type="dxa"/>
              <w:left w:w="80" w:type="dxa"/>
              <w:bottom w:w="40" w:type="dxa"/>
              <w:right w:w="80" w:type="dxa"/>
            </w:tcMar>
          </w:tcPr>
          <w:p w14:paraId="54329F73" w14:textId="77777777" w:rsidR="004569D0" w:rsidRDefault="00184DA1">
            <w:pPr>
              <w:spacing w:line="240" w:lineRule="auto"/>
              <w:jc w:val="center"/>
            </w:pPr>
            <w:r>
              <w:rPr>
                <w:color w:val="000000"/>
                <w:sz w:val="20"/>
                <w:szCs w:val="20"/>
              </w:rPr>
              <w:t>1.02</w:t>
            </w:r>
          </w:p>
        </w:tc>
        <w:tc>
          <w:tcPr>
            <w:tcW w:w="1116" w:type="dxa"/>
            <w:tcMar>
              <w:top w:w="40" w:type="dxa"/>
              <w:left w:w="80" w:type="dxa"/>
              <w:bottom w:w="40" w:type="dxa"/>
              <w:right w:w="80" w:type="dxa"/>
            </w:tcMar>
          </w:tcPr>
          <w:p w14:paraId="351BEB46" w14:textId="77777777" w:rsidR="004569D0" w:rsidRDefault="00184DA1">
            <w:pPr>
              <w:spacing w:line="240" w:lineRule="auto"/>
              <w:jc w:val="center"/>
            </w:pPr>
            <w:r>
              <w:rPr>
                <w:color w:val="000000"/>
                <w:sz w:val="20"/>
                <w:szCs w:val="20"/>
              </w:rPr>
              <w:t>1.03</w:t>
            </w:r>
          </w:p>
        </w:tc>
        <w:tc>
          <w:tcPr>
            <w:tcW w:w="1116" w:type="dxa"/>
            <w:tcMar>
              <w:top w:w="40" w:type="dxa"/>
              <w:left w:w="80" w:type="dxa"/>
              <w:bottom w:w="40" w:type="dxa"/>
              <w:right w:w="80" w:type="dxa"/>
            </w:tcMar>
          </w:tcPr>
          <w:p w14:paraId="0B1DB6DF" w14:textId="77777777" w:rsidR="004569D0" w:rsidRDefault="00184DA1">
            <w:pPr>
              <w:spacing w:line="240" w:lineRule="auto"/>
              <w:jc w:val="center"/>
            </w:pPr>
            <w:r>
              <w:rPr>
                <w:color w:val="000000"/>
                <w:sz w:val="20"/>
                <w:szCs w:val="20"/>
              </w:rPr>
              <w:t>1.03</w:t>
            </w:r>
          </w:p>
        </w:tc>
      </w:tr>
      <w:tr w:rsidR="004569D0" w14:paraId="7968CC33" w14:textId="77777777">
        <w:tblPrEx>
          <w:tblCellMar>
            <w:top w:w="0" w:type="dxa"/>
            <w:bottom w:w="0" w:type="dxa"/>
          </w:tblCellMar>
        </w:tblPrEx>
        <w:tc>
          <w:tcPr>
            <w:tcW w:w="2400" w:type="dxa"/>
            <w:shd w:val="clear" w:color="auto" w:fill="D9E1F2"/>
            <w:tcMar>
              <w:top w:w="40" w:type="dxa"/>
              <w:left w:w="80" w:type="dxa"/>
              <w:bottom w:w="40" w:type="dxa"/>
              <w:right w:w="80" w:type="dxa"/>
            </w:tcMar>
          </w:tcPr>
          <w:p w14:paraId="4867E92D" w14:textId="77777777" w:rsidR="004569D0" w:rsidRDefault="00184DA1">
            <w:pPr>
              <w:spacing w:line="240" w:lineRule="auto"/>
            </w:pPr>
            <w:r>
              <w:rPr>
                <w:b/>
                <w:bCs/>
                <w:color w:val="000000"/>
                <w:sz w:val="20"/>
                <w:szCs w:val="20"/>
              </w:rPr>
              <w:t>Gearing</w:t>
            </w:r>
          </w:p>
        </w:tc>
        <w:tc>
          <w:tcPr>
            <w:tcW w:w="1116" w:type="dxa"/>
            <w:shd w:val="clear" w:color="auto" w:fill="D9E1F2"/>
            <w:tcMar>
              <w:top w:w="40" w:type="dxa"/>
              <w:left w:w="80" w:type="dxa"/>
              <w:bottom w:w="40" w:type="dxa"/>
              <w:right w:w="80" w:type="dxa"/>
            </w:tcMar>
          </w:tcPr>
          <w:p w14:paraId="55693492" w14:textId="77777777" w:rsidR="004569D0" w:rsidRDefault="004569D0">
            <w:pPr>
              <w:spacing w:line="240" w:lineRule="auto"/>
              <w:jc w:val="center"/>
            </w:pPr>
          </w:p>
        </w:tc>
        <w:tc>
          <w:tcPr>
            <w:tcW w:w="1116" w:type="dxa"/>
            <w:shd w:val="clear" w:color="auto" w:fill="D9E1F2"/>
            <w:tcMar>
              <w:top w:w="40" w:type="dxa"/>
              <w:left w:w="80" w:type="dxa"/>
              <w:bottom w:w="40" w:type="dxa"/>
              <w:right w:w="80" w:type="dxa"/>
            </w:tcMar>
          </w:tcPr>
          <w:p w14:paraId="40129AFB" w14:textId="77777777" w:rsidR="004569D0" w:rsidRDefault="004569D0">
            <w:pPr>
              <w:spacing w:line="240" w:lineRule="auto"/>
              <w:jc w:val="center"/>
            </w:pPr>
          </w:p>
        </w:tc>
        <w:tc>
          <w:tcPr>
            <w:tcW w:w="1116" w:type="dxa"/>
            <w:shd w:val="clear" w:color="auto" w:fill="D9E1F2"/>
            <w:tcMar>
              <w:top w:w="40" w:type="dxa"/>
              <w:left w:w="80" w:type="dxa"/>
              <w:bottom w:w="40" w:type="dxa"/>
              <w:right w:w="80" w:type="dxa"/>
            </w:tcMar>
          </w:tcPr>
          <w:p w14:paraId="24D07623" w14:textId="77777777" w:rsidR="004569D0" w:rsidRDefault="004569D0">
            <w:pPr>
              <w:spacing w:line="240" w:lineRule="auto"/>
              <w:jc w:val="center"/>
            </w:pPr>
          </w:p>
        </w:tc>
        <w:tc>
          <w:tcPr>
            <w:tcW w:w="1116" w:type="dxa"/>
            <w:shd w:val="clear" w:color="auto" w:fill="D9E1F2"/>
            <w:tcMar>
              <w:top w:w="40" w:type="dxa"/>
              <w:left w:w="80" w:type="dxa"/>
              <w:bottom w:w="40" w:type="dxa"/>
              <w:right w:w="80" w:type="dxa"/>
            </w:tcMar>
          </w:tcPr>
          <w:p w14:paraId="6C50E638" w14:textId="77777777" w:rsidR="004569D0" w:rsidRDefault="004569D0">
            <w:pPr>
              <w:spacing w:line="240" w:lineRule="auto"/>
              <w:jc w:val="center"/>
            </w:pPr>
          </w:p>
        </w:tc>
        <w:tc>
          <w:tcPr>
            <w:tcW w:w="1116" w:type="dxa"/>
            <w:shd w:val="clear" w:color="auto" w:fill="D9E1F2"/>
            <w:tcMar>
              <w:top w:w="40" w:type="dxa"/>
              <w:left w:w="80" w:type="dxa"/>
              <w:bottom w:w="40" w:type="dxa"/>
              <w:right w:w="80" w:type="dxa"/>
            </w:tcMar>
          </w:tcPr>
          <w:p w14:paraId="769CD373" w14:textId="77777777" w:rsidR="004569D0" w:rsidRDefault="004569D0">
            <w:pPr>
              <w:spacing w:line="240" w:lineRule="auto"/>
              <w:jc w:val="center"/>
            </w:pPr>
          </w:p>
        </w:tc>
      </w:tr>
      <w:tr w:rsidR="004569D0" w14:paraId="026663BC" w14:textId="77777777">
        <w:tblPrEx>
          <w:tblCellMar>
            <w:top w:w="0" w:type="dxa"/>
            <w:bottom w:w="0" w:type="dxa"/>
          </w:tblCellMar>
        </w:tblPrEx>
        <w:tc>
          <w:tcPr>
            <w:tcW w:w="2400" w:type="dxa"/>
            <w:tcMar>
              <w:top w:w="40" w:type="dxa"/>
              <w:left w:w="80" w:type="dxa"/>
              <w:bottom w:w="40" w:type="dxa"/>
              <w:right w:w="80" w:type="dxa"/>
            </w:tcMar>
          </w:tcPr>
          <w:p w14:paraId="446EB03F" w14:textId="77777777" w:rsidR="004569D0" w:rsidRDefault="00184DA1">
            <w:pPr>
              <w:spacing w:line="240" w:lineRule="auto"/>
            </w:pPr>
            <w:r>
              <w:rPr>
                <w:b/>
                <w:bCs/>
                <w:color w:val="000000"/>
                <w:sz w:val="20"/>
                <w:szCs w:val="20"/>
              </w:rPr>
              <w:t xml:space="preserve">  Net debt / EBITDA (x)</w:t>
            </w:r>
          </w:p>
        </w:tc>
        <w:tc>
          <w:tcPr>
            <w:tcW w:w="1116" w:type="dxa"/>
            <w:tcMar>
              <w:top w:w="40" w:type="dxa"/>
              <w:left w:w="80" w:type="dxa"/>
              <w:bottom w:w="40" w:type="dxa"/>
              <w:right w:w="80" w:type="dxa"/>
            </w:tcMar>
          </w:tcPr>
          <w:p w14:paraId="656C3421" w14:textId="77777777" w:rsidR="004569D0" w:rsidRDefault="00184DA1">
            <w:pPr>
              <w:spacing w:line="240" w:lineRule="auto"/>
              <w:jc w:val="center"/>
            </w:pPr>
            <w:r>
              <w:rPr>
                <w:color w:val="000000"/>
                <w:sz w:val="20"/>
                <w:szCs w:val="20"/>
              </w:rPr>
              <w:t>3.0</w:t>
            </w:r>
          </w:p>
        </w:tc>
        <w:tc>
          <w:tcPr>
            <w:tcW w:w="1116" w:type="dxa"/>
            <w:tcMar>
              <w:top w:w="40" w:type="dxa"/>
              <w:left w:w="80" w:type="dxa"/>
              <w:bottom w:w="40" w:type="dxa"/>
              <w:right w:w="80" w:type="dxa"/>
            </w:tcMar>
          </w:tcPr>
          <w:p w14:paraId="0318CEA0" w14:textId="77777777" w:rsidR="004569D0" w:rsidRDefault="00184DA1">
            <w:pPr>
              <w:spacing w:line="240" w:lineRule="auto"/>
              <w:jc w:val="center"/>
            </w:pPr>
            <w:r>
              <w:rPr>
                <w:color w:val="000000"/>
                <w:sz w:val="20"/>
                <w:szCs w:val="20"/>
              </w:rPr>
              <w:t>2.1</w:t>
            </w:r>
          </w:p>
        </w:tc>
        <w:tc>
          <w:tcPr>
            <w:tcW w:w="1116" w:type="dxa"/>
            <w:tcMar>
              <w:top w:w="40" w:type="dxa"/>
              <w:left w:w="80" w:type="dxa"/>
              <w:bottom w:w="40" w:type="dxa"/>
              <w:right w:w="80" w:type="dxa"/>
            </w:tcMar>
          </w:tcPr>
          <w:p w14:paraId="69BB9488" w14:textId="77777777" w:rsidR="004569D0" w:rsidRDefault="00184DA1">
            <w:pPr>
              <w:spacing w:line="240" w:lineRule="auto"/>
              <w:jc w:val="center"/>
            </w:pPr>
            <w:r>
              <w:rPr>
                <w:color w:val="000000"/>
                <w:sz w:val="20"/>
                <w:szCs w:val="20"/>
              </w:rPr>
              <w:t>2.1</w:t>
            </w:r>
          </w:p>
        </w:tc>
        <w:tc>
          <w:tcPr>
            <w:tcW w:w="1116" w:type="dxa"/>
            <w:tcMar>
              <w:top w:w="40" w:type="dxa"/>
              <w:left w:w="80" w:type="dxa"/>
              <w:bottom w:w="40" w:type="dxa"/>
              <w:right w:w="80" w:type="dxa"/>
            </w:tcMar>
          </w:tcPr>
          <w:p w14:paraId="5C3E1F64" w14:textId="77777777" w:rsidR="004569D0" w:rsidRDefault="00184DA1">
            <w:pPr>
              <w:spacing w:line="240" w:lineRule="auto"/>
              <w:jc w:val="center"/>
            </w:pPr>
            <w:r>
              <w:rPr>
                <w:color w:val="000000"/>
                <w:sz w:val="20"/>
                <w:szCs w:val="20"/>
              </w:rPr>
              <w:t>2.3</w:t>
            </w:r>
          </w:p>
        </w:tc>
        <w:tc>
          <w:tcPr>
            <w:tcW w:w="1116" w:type="dxa"/>
            <w:tcMar>
              <w:top w:w="40" w:type="dxa"/>
              <w:left w:w="80" w:type="dxa"/>
              <w:bottom w:w="40" w:type="dxa"/>
              <w:right w:w="80" w:type="dxa"/>
            </w:tcMar>
          </w:tcPr>
          <w:p w14:paraId="56472514" w14:textId="77777777" w:rsidR="004569D0" w:rsidRDefault="00184DA1">
            <w:pPr>
              <w:spacing w:line="240" w:lineRule="auto"/>
              <w:jc w:val="center"/>
            </w:pPr>
            <w:r>
              <w:rPr>
                <w:color w:val="000000"/>
                <w:sz w:val="20"/>
                <w:szCs w:val="20"/>
              </w:rPr>
              <w:t>2.5</w:t>
            </w:r>
          </w:p>
        </w:tc>
      </w:tr>
      <w:tr w:rsidR="004569D0" w14:paraId="3788C07A" w14:textId="77777777">
        <w:tblPrEx>
          <w:tblCellMar>
            <w:top w:w="0" w:type="dxa"/>
            <w:bottom w:w="0" w:type="dxa"/>
          </w:tblCellMar>
        </w:tblPrEx>
        <w:tc>
          <w:tcPr>
            <w:tcW w:w="2400" w:type="dxa"/>
            <w:shd w:val="clear" w:color="auto" w:fill="D9E1F2"/>
            <w:tcMar>
              <w:top w:w="40" w:type="dxa"/>
              <w:left w:w="80" w:type="dxa"/>
              <w:bottom w:w="40" w:type="dxa"/>
              <w:right w:w="80" w:type="dxa"/>
            </w:tcMar>
          </w:tcPr>
          <w:p w14:paraId="2D0CD341" w14:textId="77777777" w:rsidR="004569D0" w:rsidRDefault="00184DA1">
            <w:pPr>
              <w:spacing w:line="240" w:lineRule="auto"/>
            </w:pPr>
            <w:r>
              <w:rPr>
                <w:b/>
                <w:bCs/>
                <w:color w:val="000000"/>
                <w:sz w:val="20"/>
                <w:szCs w:val="20"/>
              </w:rPr>
              <w:t xml:space="preserve">  Interest cover (x, approx.)</w:t>
            </w:r>
          </w:p>
        </w:tc>
        <w:tc>
          <w:tcPr>
            <w:tcW w:w="1116" w:type="dxa"/>
            <w:shd w:val="clear" w:color="auto" w:fill="D9E1F2"/>
            <w:tcMar>
              <w:top w:w="40" w:type="dxa"/>
              <w:left w:w="80" w:type="dxa"/>
              <w:bottom w:w="40" w:type="dxa"/>
              <w:right w:w="80" w:type="dxa"/>
            </w:tcMar>
          </w:tcPr>
          <w:p w14:paraId="601121AE" w14:textId="77777777" w:rsidR="004569D0" w:rsidRDefault="00184DA1">
            <w:pPr>
              <w:spacing w:line="240" w:lineRule="auto"/>
              <w:jc w:val="center"/>
            </w:pPr>
            <w:r>
              <w:rPr>
                <w:color w:val="000000"/>
                <w:sz w:val="20"/>
                <w:szCs w:val="20"/>
              </w:rPr>
              <w:t>4.7</w:t>
            </w:r>
          </w:p>
        </w:tc>
        <w:tc>
          <w:tcPr>
            <w:tcW w:w="1116" w:type="dxa"/>
            <w:shd w:val="clear" w:color="auto" w:fill="D9E1F2"/>
            <w:tcMar>
              <w:top w:w="40" w:type="dxa"/>
              <w:left w:w="80" w:type="dxa"/>
              <w:bottom w:w="40" w:type="dxa"/>
              <w:right w:w="80" w:type="dxa"/>
            </w:tcMar>
          </w:tcPr>
          <w:p w14:paraId="0C46027B" w14:textId="77777777" w:rsidR="004569D0" w:rsidRDefault="00184DA1">
            <w:pPr>
              <w:spacing w:line="240" w:lineRule="auto"/>
              <w:jc w:val="center"/>
            </w:pPr>
            <w:r>
              <w:rPr>
                <w:color w:val="000000"/>
                <w:sz w:val="20"/>
                <w:szCs w:val="20"/>
              </w:rPr>
              <w:t>8.2</w:t>
            </w:r>
          </w:p>
        </w:tc>
        <w:tc>
          <w:tcPr>
            <w:tcW w:w="1116" w:type="dxa"/>
            <w:shd w:val="clear" w:color="auto" w:fill="D9E1F2"/>
            <w:tcMar>
              <w:top w:w="40" w:type="dxa"/>
              <w:left w:w="80" w:type="dxa"/>
              <w:bottom w:w="40" w:type="dxa"/>
              <w:right w:w="80" w:type="dxa"/>
            </w:tcMar>
          </w:tcPr>
          <w:p w14:paraId="74D9DC3B" w14:textId="77777777" w:rsidR="004569D0" w:rsidRDefault="00184DA1">
            <w:pPr>
              <w:spacing w:line="240" w:lineRule="auto"/>
              <w:jc w:val="center"/>
            </w:pPr>
            <w:r>
              <w:rPr>
                <w:color w:val="000000"/>
                <w:sz w:val="20"/>
                <w:szCs w:val="20"/>
              </w:rPr>
              <w:t>8.1</w:t>
            </w:r>
          </w:p>
        </w:tc>
        <w:tc>
          <w:tcPr>
            <w:tcW w:w="1116" w:type="dxa"/>
            <w:shd w:val="clear" w:color="auto" w:fill="D9E1F2"/>
            <w:tcMar>
              <w:top w:w="40" w:type="dxa"/>
              <w:left w:w="80" w:type="dxa"/>
              <w:bottom w:w="40" w:type="dxa"/>
              <w:right w:w="80" w:type="dxa"/>
            </w:tcMar>
          </w:tcPr>
          <w:p w14:paraId="64E2C26F" w14:textId="77777777" w:rsidR="004569D0" w:rsidRDefault="00184DA1">
            <w:pPr>
              <w:spacing w:line="240" w:lineRule="auto"/>
              <w:jc w:val="center"/>
            </w:pPr>
            <w:r>
              <w:rPr>
                <w:color w:val="000000"/>
                <w:sz w:val="20"/>
                <w:szCs w:val="20"/>
              </w:rPr>
              <w:t>6.3</w:t>
            </w:r>
          </w:p>
        </w:tc>
        <w:tc>
          <w:tcPr>
            <w:tcW w:w="1116" w:type="dxa"/>
            <w:shd w:val="clear" w:color="auto" w:fill="D9E1F2"/>
            <w:tcMar>
              <w:top w:w="40" w:type="dxa"/>
              <w:left w:w="80" w:type="dxa"/>
              <w:bottom w:w="40" w:type="dxa"/>
              <w:right w:w="80" w:type="dxa"/>
            </w:tcMar>
          </w:tcPr>
          <w:p w14:paraId="6A4A1807" w14:textId="77777777" w:rsidR="004569D0" w:rsidRDefault="00184DA1">
            <w:pPr>
              <w:spacing w:line="240" w:lineRule="auto"/>
              <w:jc w:val="center"/>
            </w:pPr>
            <w:r>
              <w:rPr>
                <w:color w:val="000000"/>
                <w:sz w:val="20"/>
                <w:szCs w:val="20"/>
              </w:rPr>
              <w:t>6.0</w:t>
            </w:r>
          </w:p>
        </w:tc>
      </w:tr>
      <w:tr w:rsidR="004569D0" w14:paraId="5CE1C175" w14:textId="77777777">
        <w:tblPrEx>
          <w:tblCellMar>
            <w:top w:w="0" w:type="dxa"/>
            <w:bottom w:w="0" w:type="dxa"/>
          </w:tblCellMar>
        </w:tblPrEx>
        <w:tc>
          <w:tcPr>
            <w:tcW w:w="2400" w:type="dxa"/>
            <w:tcMar>
              <w:top w:w="40" w:type="dxa"/>
              <w:left w:w="80" w:type="dxa"/>
              <w:bottom w:w="40" w:type="dxa"/>
              <w:right w:w="80" w:type="dxa"/>
            </w:tcMar>
          </w:tcPr>
          <w:p w14:paraId="144CCC6F" w14:textId="77777777" w:rsidR="004569D0" w:rsidRDefault="00184DA1">
            <w:pPr>
              <w:spacing w:line="240" w:lineRule="auto"/>
            </w:pPr>
            <w:r>
              <w:rPr>
                <w:b/>
                <w:bCs/>
                <w:color w:val="000000"/>
                <w:sz w:val="20"/>
                <w:szCs w:val="20"/>
              </w:rPr>
              <w:t>Investment &amp; cash flow</w:t>
            </w:r>
          </w:p>
        </w:tc>
        <w:tc>
          <w:tcPr>
            <w:tcW w:w="1116" w:type="dxa"/>
            <w:tcMar>
              <w:top w:w="40" w:type="dxa"/>
              <w:left w:w="80" w:type="dxa"/>
              <w:bottom w:w="40" w:type="dxa"/>
              <w:right w:w="80" w:type="dxa"/>
            </w:tcMar>
          </w:tcPr>
          <w:p w14:paraId="614B7612" w14:textId="77777777" w:rsidR="004569D0" w:rsidRDefault="004569D0">
            <w:pPr>
              <w:spacing w:line="240" w:lineRule="auto"/>
              <w:jc w:val="center"/>
            </w:pPr>
          </w:p>
        </w:tc>
        <w:tc>
          <w:tcPr>
            <w:tcW w:w="1116" w:type="dxa"/>
            <w:tcMar>
              <w:top w:w="40" w:type="dxa"/>
              <w:left w:w="80" w:type="dxa"/>
              <w:bottom w:w="40" w:type="dxa"/>
              <w:right w:w="80" w:type="dxa"/>
            </w:tcMar>
          </w:tcPr>
          <w:p w14:paraId="26FD6FC6" w14:textId="77777777" w:rsidR="004569D0" w:rsidRDefault="004569D0">
            <w:pPr>
              <w:spacing w:line="240" w:lineRule="auto"/>
              <w:jc w:val="center"/>
            </w:pPr>
          </w:p>
        </w:tc>
        <w:tc>
          <w:tcPr>
            <w:tcW w:w="1116" w:type="dxa"/>
            <w:tcMar>
              <w:top w:w="40" w:type="dxa"/>
              <w:left w:w="80" w:type="dxa"/>
              <w:bottom w:w="40" w:type="dxa"/>
              <w:right w:w="80" w:type="dxa"/>
            </w:tcMar>
          </w:tcPr>
          <w:p w14:paraId="63B5D399" w14:textId="77777777" w:rsidR="004569D0" w:rsidRDefault="004569D0">
            <w:pPr>
              <w:spacing w:line="240" w:lineRule="auto"/>
              <w:jc w:val="center"/>
            </w:pPr>
          </w:p>
        </w:tc>
        <w:tc>
          <w:tcPr>
            <w:tcW w:w="1116" w:type="dxa"/>
            <w:tcMar>
              <w:top w:w="40" w:type="dxa"/>
              <w:left w:w="80" w:type="dxa"/>
              <w:bottom w:w="40" w:type="dxa"/>
              <w:right w:w="80" w:type="dxa"/>
            </w:tcMar>
          </w:tcPr>
          <w:p w14:paraId="51837829" w14:textId="77777777" w:rsidR="004569D0" w:rsidRDefault="004569D0">
            <w:pPr>
              <w:spacing w:line="240" w:lineRule="auto"/>
              <w:jc w:val="center"/>
            </w:pPr>
          </w:p>
        </w:tc>
        <w:tc>
          <w:tcPr>
            <w:tcW w:w="1116" w:type="dxa"/>
            <w:tcMar>
              <w:top w:w="40" w:type="dxa"/>
              <w:left w:w="80" w:type="dxa"/>
              <w:bottom w:w="40" w:type="dxa"/>
              <w:right w:w="80" w:type="dxa"/>
            </w:tcMar>
          </w:tcPr>
          <w:p w14:paraId="3BA5A618" w14:textId="77777777" w:rsidR="004569D0" w:rsidRDefault="004569D0">
            <w:pPr>
              <w:spacing w:line="240" w:lineRule="auto"/>
              <w:jc w:val="center"/>
            </w:pPr>
          </w:p>
        </w:tc>
      </w:tr>
      <w:tr w:rsidR="004569D0" w14:paraId="561D3536" w14:textId="77777777">
        <w:tblPrEx>
          <w:tblCellMar>
            <w:top w:w="0" w:type="dxa"/>
            <w:bottom w:w="0" w:type="dxa"/>
          </w:tblCellMar>
        </w:tblPrEx>
        <w:tc>
          <w:tcPr>
            <w:tcW w:w="2400" w:type="dxa"/>
            <w:shd w:val="clear" w:color="auto" w:fill="D9E1F2"/>
            <w:tcMar>
              <w:top w:w="40" w:type="dxa"/>
              <w:left w:w="80" w:type="dxa"/>
              <w:bottom w:w="40" w:type="dxa"/>
              <w:right w:w="80" w:type="dxa"/>
            </w:tcMar>
          </w:tcPr>
          <w:p w14:paraId="5BC77E11" w14:textId="77777777" w:rsidR="004569D0" w:rsidRDefault="00184DA1">
            <w:pPr>
              <w:spacing w:line="240" w:lineRule="auto"/>
            </w:pPr>
            <w:r>
              <w:rPr>
                <w:b/>
                <w:bCs/>
                <w:color w:val="000000"/>
                <w:sz w:val="20"/>
                <w:szCs w:val="20"/>
              </w:rPr>
              <w:t xml:space="preserve">  Dividend per share (¢)</w:t>
            </w:r>
          </w:p>
        </w:tc>
        <w:tc>
          <w:tcPr>
            <w:tcW w:w="1116" w:type="dxa"/>
            <w:shd w:val="clear" w:color="auto" w:fill="D9E1F2"/>
            <w:tcMar>
              <w:top w:w="40" w:type="dxa"/>
              <w:left w:w="80" w:type="dxa"/>
              <w:bottom w:w="40" w:type="dxa"/>
              <w:right w:w="80" w:type="dxa"/>
            </w:tcMar>
          </w:tcPr>
          <w:p w14:paraId="0F3C46D8" w14:textId="77777777" w:rsidR="004569D0" w:rsidRDefault="00184DA1">
            <w:pPr>
              <w:spacing w:line="240" w:lineRule="auto"/>
              <w:jc w:val="center"/>
            </w:pPr>
            <w:r>
              <w:rPr>
                <w:color w:val="000000"/>
                <w:sz w:val="20"/>
                <w:szCs w:val="20"/>
              </w:rPr>
              <w:t>126.0</w:t>
            </w:r>
          </w:p>
        </w:tc>
        <w:tc>
          <w:tcPr>
            <w:tcW w:w="1116" w:type="dxa"/>
            <w:shd w:val="clear" w:color="auto" w:fill="D9E1F2"/>
            <w:tcMar>
              <w:top w:w="40" w:type="dxa"/>
              <w:left w:w="80" w:type="dxa"/>
              <w:bottom w:w="40" w:type="dxa"/>
              <w:right w:w="80" w:type="dxa"/>
            </w:tcMar>
          </w:tcPr>
          <w:p w14:paraId="167678D4" w14:textId="77777777" w:rsidR="004569D0" w:rsidRDefault="00184DA1">
            <w:pPr>
              <w:spacing w:line="240" w:lineRule="auto"/>
              <w:jc w:val="center"/>
            </w:pPr>
            <w:r>
              <w:rPr>
                <w:color w:val="000000"/>
                <w:sz w:val="20"/>
                <w:szCs w:val="20"/>
              </w:rPr>
              <w:t>138.4</w:t>
            </w:r>
          </w:p>
        </w:tc>
        <w:tc>
          <w:tcPr>
            <w:tcW w:w="1116" w:type="dxa"/>
            <w:shd w:val="clear" w:color="auto" w:fill="D9E1F2"/>
            <w:tcMar>
              <w:top w:w="40" w:type="dxa"/>
              <w:left w:w="80" w:type="dxa"/>
              <w:bottom w:w="40" w:type="dxa"/>
              <w:right w:w="80" w:type="dxa"/>
            </w:tcMar>
          </w:tcPr>
          <w:p w14:paraId="5A0624DF" w14:textId="77777777" w:rsidR="004569D0" w:rsidRDefault="00184DA1">
            <w:pPr>
              <w:spacing w:line="240" w:lineRule="auto"/>
              <w:jc w:val="center"/>
            </w:pPr>
            <w:r>
              <w:rPr>
                <w:color w:val="000000"/>
                <w:sz w:val="20"/>
                <w:szCs w:val="20"/>
              </w:rPr>
              <w:t>152.3</w:t>
            </w:r>
          </w:p>
        </w:tc>
        <w:tc>
          <w:tcPr>
            <w:tcW w:w="1116" w:type="dxa"/>
            <w:shd w:val="clear" w:color="auto" w:fill="D9E1F2"/>
            <w:tcMar>
              <w:top w:w="40" w:type="dxa"/>
              <w:left w:w="80" w:type="dxa"/>
              <w:bottom w:w="40" w:type="dxa"/>
              <w:right w:w="80" w:type="dxa"/>
            </w:tcMar>
          </w:tcPr>
          <w:p w14:paraId="38C16045" w14:textId="77777777" w:rsidR="004569D0" w:rsidRDefault="00184DA1">
            <w:pPr>
              <w:spacing w:line="240" w:lineRule="auto"/>
              <w:jc w:val="center"/>
            </w:pPr>
            <w:r>
              <w:rPr>
                <w:color w:val="000000"/>
                <w:sz w:val="20"/>
                <w:szCs w:val="20"/>
              </w:rPr>
              <w:t>167.6</w:t>
            </w:r>
          </w:p>
        </w:tc>
        <w:tc>
          <w:tcPr>
            <w:tcW w:w="1116" w:type="dxa"/>
            <w:shd w:val="clear" w:color="auto" w:fill="D9E1F2"/>
            <w:tcMar>
              <w:top w:w="40" w:type="dxa"/>
              <w:left w:w="80" w:type="dxa"/>
              <w:bottom w:w="40" w:type="dxa"/>
              <w:right w:w="80" w:type="dxa"/>
            </w:tcMar>
          </w:tcPr>
          <w:p w14:paraId="6D970810" w14:textId="77777777" w:rsidR="004569D0" w:rsidRDefault="00184DA1">
            <w:pPr>
              <w:spacing w:line="240" w:lineRule="auto"/>
              <w:jc w:val="center"/>
            </w:pPr>
            <w:r>
              <w:rPr>
                <w:color w:val="000000"/>
                <w:sz w:val="20"/>
                <w:szCs w:val="20"/>
              </w:rPr>
              <w:t>184.5</w:t>
            </w:r>
          </w:p>
        </w:tc>
      </w:tr>
      <w:tr w:rsidR="004569D0" w14:paraId="0E263A31" w14:textId="77777777">
        <w:tblPrEx>
          <w:tblCellMar>
            <w:top w:w="0" w:type="dxa"/>
            <w:bottom w:w="0" w:type="dxa"/>
          </w:tblCellMar>
        </w:tblPrEx>
        <w:tc>
          <w:tcPr>
            <w:tcW w:w="2400" w:type="dxa"/>
            <w:tcMar>
              <w:top w:w="40" w:type="dxa"/>
              <w:left w:w="80" w:type="dxa"/>
              <w:bottom w:w="40" w:type="dxa"/>
              <w:right w:w="80" w:type="dxa"/>
            </w:tcMar>
          </w:tcPr>
          <w:p w14:paraId="398F4BEF" w14:textId="77777777" w:rsidR="004569D0" w:rsidRDefault="00184DA1">
            <w:pPr>
              <w:spacing w:line="240" w:lineRule="auto"/>
            </w:pPr>
            <w:r>
              <w:rPr>
                <w:b/>
                <w:bCs/>
                <w:color w:val="000000"/>
                <w:sz w:val="20"/>
                <w:szCs w:val="20"/>
              </w:rPr>
              <w:t xml:space="preserve">  Op. cash flow / revenue</w:t>
            </w:r>
          </w:p>
        </w:tc>
        <w:tc>
          <w:tcPr>
            <w:tcW w:w="1116" w:type="dxa"/>
            <w:tcMar>
              <w:top w:w="40" w:type="dxa"/>
              <w:left w:w="80" w:type="dxa"/>
              <w:bottom w:w="40" w:type="dxa"/>
              <w:right w:w="80" w:type="dxa"/>
            </w:tcMar>
          </w:tcPr>
          <w:p w14:paraId="4960D834" w14:textId="77777777" w:rsidR="004569D0" w:rsidRDefault="00184DA1">
            <w:pPr>
              <w:spacing w:line="240" w:lineRule="auto"/>
              <w:jc w:val="center"/>
            </w:pPr>
            <w:r>
              <w:rPr>
                <w:color w:val="000000"/>
                <w:sz w:val="20"/>
                <w:szCs w:val="20"/>
              </w:rPr>
              <w:t>21.9%</w:t>
            </w:r>
          </w:p>
        </w:tc>
        <w:tc>
          <w:tcPr>
            <w:tcW w:w="1116" w:type="dxa"/>
            <w:tcMar>
              <w:top w:w="40" w:type="dxa"/>
              <w:left w:w="80" w:type="dxa"/>
              <w:bottom w:w="40" w:type="dxa"/>
              <w:right w:w="80" w:type="dxa"/>
            </w:tcMar>
          </w:tcPr>
          <w:p w14:paraId="23532E91" w14:textId="77777777" w:rsidR="004569D0" w:rsidRDefault="00184DA1">
            <w:pPr>
              <w:spacing w:line="240" w:lineRule="auto"/>
              <w:jc w:val="center"/>
            </w:pPr>
            <w:r>
              <w:rPr>
                <w:color w:val="000000"/>
                <w:sz w:val="20"/>
                <w:szCs w:val="20"/>
              </w:rPr>
              <w:t>24.7%</w:t>
            </w:r>
          </w:p>
        </w:tc>
        <w:tc>
          <w:tcPr>
            <w:tcW w:w="1116" w:type="dxa"/>
            <w:tcMar>
              <w:top w:w="40" w:type="dxa"/>
              <w:left w:w="80" w:type="dxa"/>
              <w:bottom w:w="40" w:type="dxa"/>
              <w:right w:w="80" w:type="dxa"/>
            </w:tcMar>
          </w:tcPr>
          <w:p w14:paraId="492E24D3" w14:textId="77777777" w:rsidR="004569D0" w:rsidRDefault="00184DA1">
            <w:pPr>
              <w:spacing w:line="240" w:lineRule="auto"/>
              <w:jc w:val="center"/>
            </w:pPr>
            <w:r>
              <w:rPr>
                <w:color w:val="000000"/>
                <w:sz w:val="20"/>
                <w:szCs w:val="20"/>
              </w:rPr>
              <w:t>19.3%</w:t>
            </w:r>
          </w:p>
        </w:tc>
        <w:tc>
          <w:tcPr>
            <w:tcW w:w="1116" w:type="dxa"/>
            <w:tcMar>
              <w:top w:w="40" w:type="dxa"/>
              <w:left w:w="80" w:type="dxa"/>
              <w:bottom w:w="40" w:type="dxa"/>
              <w:right w:w="80" w:type="dxa"/>
            </w:tcMar>
          </w:tcPr>
          <w:p w14:paraId="0A479CAE" w14:textId="77777777" w:rsidR="004569D0" w:rsidRDefault="00184DA1">
            <w:pPr>
              <w:spacing w:line="240" w:lineRule="auto"/>
              <w:jc w:val="center"/>
            </w:pPr>
            <w:r>
              <w:rPr>
                <w:color w:val="000000"/>
                <w:sz w:val="20"/>
                <w:szCs w:val="20"/>
              </w:rPr>
              <w:t>14.7%</w:t>
            </w:r>
          </w:p>
        </w:tc>
        <w:tc>
          <w:tcPr>
            <w:tcW w:w="1116" w:type="dxa"/>
            <w:tcMar>
              <w:top w:w="40" w:type="dxa"/>
              <w:left w:w="80" w:type="dxa"/>
              <w:bottom w:w="40" w:type="dxa"/>
              <w:right w:w="80" w:type="dxa"/>
            </w:tcMar>
          </w:tcPr>
          <w:p w14:paraId="78527382" w14:textId="77777777" w:rsidR="004569D0" w:rsidRDefault="00184DA1">
            <w:pPr>
              <w:spacing w:line="240" w:lineRule="auto"/>
              <w:jc w:val="center"/>
            </w:pPr>
            <w:r>
              <w:rPr>
                <w:color w:val="000000"/>
                <w:sz w:val="20"/>
                <w:szCs w:val="20"/>
              </w:rPr>
              <w:t>17.3%</w:t>
            </w:r>
          </w:p>
        </w:tc>
      </w:tr>
    </w:tbl>
    <w:p w14:paraId="6B9315EE" w14:textId="77777777" w:rsidR="004569D0" w:rsidRDefault="00184DA1">
      <w:pPr>
        <w:pStyle w:val="Heading2"/>
      </w:pPr>
      <w:bookmarkStart w:id="3" w:name="_Toc237517869"/>
      <w:r>
        <w:lastRenderedPageBreak/>
        <w:t>2.2 Liquidity</w:t>
      </w:r>
      <w:bookmarkEnd w:id="3"/>
    </w:p>
    <w:p w14:paraId="04BD4B25" w14:textId="77777777" w:rsidR="004569D0" w:rsidRDefault="00184DA1">
      <w:pPr>
        <w:spacing w:after="160"/>
        <w:jc w:val="both"/>
      </w:pPr>
      <w:r>
        <w:t>IHG's liquidity is structurally different from that of an asset-heavy manufacturer, and the corrected five-year picture is one of deliberate deterioration rather than persistent weakness. The current ratio fell steadily from 1.27 in 2021 to around 0.97–0.98 from 2023 onwards (Table 2). The high 2021 figure reflects the large precautionary cash balance the group accumulated during the pandemic (US$1,450m of cash at end-2021); as normal trading resumed, IHG deployed that surplus into share buybacks and divide</w:t>
      </w:r>
      <w:r>
        <w:t xml:space="preserve">nds, drawing the ratio down towards one. This is a strategic choice, not a sign of distress: holding idle cash is costly for a business with dependable operating inflows, so allowing liquidity to normalise while returning capital is rational. In a conventional interpretation a current ratio near one </w:t>
      </w:r>
      <w:proofErr w:type="gramStart"/>
      <w:r>
        <w:t>signals</w:t>
      </w:r>
      <w:proofErr w:type="gramEnd"/>
      <w:r>
        <w:t xml:space="preserve"> adequate but not abundant short-term cover (</w:t>
      </w:r>
      <w:proofErr w:type="spellStart"/>
      <w:r>
        <w:t>Atrill</w:t>
      </w:r>
      <w:proofErr w:type="spellEnd"/>
      <w:r>
        <w:t xml:space="preserve"> and McLaney, 2019); for a franchising and management business that holds negligible inventory (US$4m) and collects fees on regular cycles, it is comfort</w:t>
      </w:r>
      <w:r>
        <w:t>able. Liquidity risk therefore rests less on the current ratio than on refinancing capacity, which the group manages through its net debt to EBITDA target of 2.5–3.0 times and committed backup facilities (IHG, 2026).</w:t>
      </w:r>
    </w:p>
    <w:p w14:paraId="6CF86B55" w14:textId="77777777" w:rsidR="004569D0" w:rsidRDefault="00184DA1">
      <w:pPr>
        <w:spacing w:after="160"/>
        <w:jc w:val="both"/>
      </w:pPr>
      <w:r>
        <w:t>A textbook rule of thumb treats a current ratio near 2.0 as healthy (</w:t>
      </w:r>
      <w:proofErr w:type="spellStart"/>
      <w:r>
        <w:t>Atrill</w:t>
      </w:r>
      <w:proofErr w:type="spellEnd"/>
      <w:r>
        <w:t xml:space="preserve"> and McLaney, 2019), but such benchmarks derive from manufacturing and retail, where inventory and receivables dominate current assets. Applying them uncritically to an asset-light lodging operator would generate a false negative, wrongly flagging IHG as illiquid when its business model deliberately minimises the current assets those benchmarks reward. The formal peer benchmarking that supports this judgement is presented in Table 3 in the following sub-section. The analytically defensible conclusion </w:t>
      </w:r>
      <w:r>
        <w:t>is that IHG's liquidity, having normalised from its pandemic peak to around one, is adequate for its model, and that any assessment relying solely on the current ratio would mislead. This does not eliminate liquidity risk; rather, it relocates it from day-to-day solvency to the refinancing of maturing debt, up to US$3,333m of net debt by 2025.</w:t>
      </w:r>
    </w:p>
    <w:p w14:paraId="113A921E" w14:textId="77777777" w:rsidR="004569D0" w:rsidRDefault="00184DA1">
      <w:pPr>
        <w:spacing w:before="60" w:after="160" w:line="240" w:lineRule="auto"/>
      </w:pPr>
      <w:r>
        <w:rPr>
          <w:i/>
          <w:iCs/>
          <w:sz w:val="20"/>
          <w:szCs w:val="20"/>
        </w:rPr>
        <w:t>Table 3. Liquidity benchmarking against asset-light hotel peers, FY2024. Source: author's calculations from Hilton (2025) and Marriott (2025) Form 10-K filings; IHG from audited accounts (IHG, 2025). Equity deficit is shown for context only and is not a liquidity measure; all three groups report negative book equity as a result of shareholder returns.</w:t>
      </w:r>
    </w:p>
    <w:tbl>
      <w:tblPr>
        <w:tblW w:w="7000" w:type="dxa"/>
        <w:tblBorders>
          <w:top w:val="single" w:sz="2" w:space="0" w:color="7F7F7F"/>
          <w:left w:val="single" w:sz="2" w:space="0" w:color="7F7F7F"/>
          <w:bottom w:val="single" w:sz="2" w:space="0" w:color="7F7F7F"/>
          <w:right w:val="single" w:sz="2" w:space="0" w:color="7F7F7F"/>
          <w:insideH w:val="single" w:sz="1" w:space="0" w:color="BFBFBF"/>
          <w:insideV w:val="single" w:sz="1" w:space="0" w:color="BFBFBF"/>
        </w:tblBorders>
        <w:tblCellMar>
          <w:left w:w="10" w:type="dxa"/>
          <w:right w:w="10" w:type="dxa"/>
        </w:tblCellMar>
        <w:tblLook w:val="0000" w:firstRow="0" w:lastRow="0" w:firstColumn="0" w:lastColumn="0" w:noHBand="0" w:noVBand="0"/>
      </w:tblPr>
      <w:tblGrid>
        <w:gridCol w:w="1657"/>
        <w:gridCol w:w="1552"/>
        <w:gridCol w:w="1863"/>
        <w:gridCol w:w="1928"/>
      </w:tblGrid>
      <w:tr w:rsidR="004569D0" w14:paraId="36A4CCA1" w14:textId="77777777">
        <w:tblPrEx>
          <w:tblCellMar>
            <w:top w:w="0" w:type="dxa"/>
            <w:bottom w:w="0" w:type="dxa"/>
          </w:tblCellMar>
        </w:tblPrEx>
        <w:trPr>
          <w:tblHeader/>
        </w:trPr>
        <w:tc>
          <w:tcPr>
            <w:tcW w:w="1700" w:type="dxa"/>
            <w:shd w:val="clear" w:color="auto" w:fill="1F3864"/>
            <w:tcMar>
              <w:top w:w="40" w:type="dxa"/>
              <w:left w:w="80" w:type="dxa"/>
              <w:bottom w:w="40" w:type="dxa"/>
              <w:right w:w="80" w:type="dxa"/>
            </w:tcMar>
          </w:tcPr>
          <w:p w14:paraId="0F0454A7" w14:textId="77777777" w:rsidR="004569D0" w:rsidRDefault="00184DA1">
            <w:pPr>
              <w:spacing w:line="240" w:lineRule="auto"/>
            </w:pPr>
            <w:r>
              <w:rPr>
                <w:b/>
                <w:bCs/>
                <w:color w:val="FFFFFF"/>
                <w:sz w:val="20"/>
                <w:szCs w:val="20"/>
              </w:rPr>
              <w:t>FY2024</w:t>
            </w:r>
          </w:p>
        </w:tc>
        <w:tc>
          <w:tcPr>
            <w:tcW w:w="1600" w:type="dxa"/>
            <w:shd w:val="clear" w:color="auto" w:fill="1F3864"/>
            <w:tcMar>
              <w:top w:w="40" w:type="dxa"/>
              <w:left w:w="80" w:type="dxa"/>
              <w:bottom w:w="40" w:type="dxa"/>
              <w:right w:w="80" w:type="dxa"/>
            </w:tcMar>
          </w:tcPr>
          <w:p w14:paraId="343056A5" w14:textId="77777777" w:rsidR="004569D0" w:rsidRDefault="00184DA1">
            <w:pPr>
              <w:spacing w:line="240" w:lineRule="auto"/>
              <w:jc w:val="center"/>
            </w:pPr>
            <w:r>
              <w:rPr>
                <w:b/>
                <w:bCs/>
                <w:color w:val="FFFFFF"/>
                <w:sz w:val="20"/>
                <w:szCs w:val="20"/>
              </w:rPr>
              <w:t>Current ratio</w:t>
            </w:r>
          </w:p>
        </w:tc>
        <w:tc>
          <w:tcPr>
            <w:tcW w:w="1900" w:type="dxa"/>
            <w:shd w:val="clear" w:color="auto" w:fill="1F3864"/>
            <w:tcMar>
              <w:top w:w="40" w:type="dxa"/>
              <w:left w:w="80" w:type="dxa"/>
              <w:bottom w:w="40" w:type="dxa"/>
              <w:right w:w="80" w:type="dxa"/>
            </w:tcMar>
          </w:tcPr>
          <w:p w14:paraId="3D78D8D3" w14:textId="77777777" w:rsidR="004569D0" w:rsidRDefault="00184DA1">
            <w:pPr>
              <w:spacing w:line="240" w:lineRule="auto"/>
              <w:jc w:val="center"/>
            </w:pPr>
            <w:r>
              <w:rPr>
                <w:b/>
                <w:bCs/>
                <w:color w:val="FFFFFF"/>
                <w:sz w:val="20"/>
                <w:szCs w:val="20"/>
              </w:rPr>
              <w:t>Equity deficit</w:t>
            </w:r>
          </w:p>
        </w:tc>
        <w:tc>
          <w:tcPr>
            <w:tcW w:w="1800" w:type="dxa"/>
            <w:shd w:val="clear" w:color="auto" w:fill="1F3864"/>
            <w:tcMar>
              <w:top w:w="40" w:type="dxa"/>
              <w:left w:w="80" w:type="dxa"/>
              <w:bottom w:w="40" w:type="dxa"/>
              <w:right w:w="80" w:type="dxa"/>
            </w:tcMar>
          </w:tcPr>
          <w:p w14:paraId="6022EB2B" w14:textId="77777777" w:rsidR="004569D0" w:rsidRDefault="00184DA1">
            <w:pPr>
              <w:spacing w:line="240" w:lineRule="auto"/>
              <w:jc w:val="center"/>
            </w:pPr>
            <w:r>
              <w:rPr>
                <w:b/>
                <w:bCs/>
                <w:color w:val="FFFFFF"/>
                <w:sz w:val="20"/>
                <w:szCs w:val="20"/>
              </w:rPr>
              <w:t>Model</w:t>
            </w:r>
          </w:p>
        </w:tc>
      </w:tr>
      <w:tr w:rsidR="004569D0" w14:paraId="179E037A" w14:textId="77777777">
        <w:tblPrEx>
          <w:tblCellMar>
            <w:top w:w="0" w:type="dxa"/>
            <w:bottom w:w="0" w:type="dxa"/>
          </w:tblCellMar>
        </w:tblPrEx>
        <w:tc>
          <w:tcPr>
            <w:tcW w:w="1700" w:type="dxa"/>
            <w:tcMar>
              <w:top w:w="40" w:type="dxa"/>
              <w:left w:w="80" w:type="dxa"/>
              <w:bottom w:w="40" w:type="dxa"/>
              <w:right w:w="80" w:type="dxa"/>
            </w:tcMar>
          </w:tcPr>
          <w:p w14:paraId="6B4B0790" w14:textId="77777777" w:rsidR="004569D0" w:rsidRDefault="00184DA1">
            <w:pPr>
              <w:spacing w:line="240" w:lineRule="auto"/>
            </w:pPr>
            <w:r>
              <w:rPr>
                <w:b/>
                <w:bCs/>
                <w:color w:val="000000"/>
                <w:sz w:val="20"/>
                <w:szCs w:val="20"/>
              </w:rPr>
              <w:t>IHG</w:t>
            </w:r>
          </w:p>
        </w:tc>
        <w:tc>
          <w:tcPr>
            <w:tcW w:w="1600" w:type="dxa"/>
            <w:tcMar>
              <w:top w:w="40" w:type="dxa"/>
              <w:left w:w="80" w:type="dxa"/>
              <w:bottom w:w="40" w:type="dxa"/>
              <w:right w:w="80" w:type="dxa"/>
            </w:tcMar>
          </w:tcPr>
          <w:p w14:paraId="386E1FAA" w14:textId="77777777" w:rsidR="004569D0" w:rsidRDefault="00184DA1">
            <w:pPr>
              <w:spacing w:line="240" w:lineRule="auto"/>
              <w:jc w:val="center"/>
            </w:pPr>
            <w:r>
              <w:rPr>
                <w:color w:val="000000"/>
                <w:sz w:val="20"/>
                <w:szCs w:val="20"/>
              </w:rPr>
              <w:t>0.97</w:t>
            </w:r>
          </w:p>
        </w:tc>
        <w:tc>
          <w:tcPr>
            <w:tcW w:w="1900" w:type="dxa"/>
            <w:tcMar>
              <w:top w:w="40" w:type="dxa"/>
              <w:left w:w="80" w:type="dxa"/>
              <w:bottom w:w="40" w:type="dxa"/>
              <w:right w:w="80" w:type="dxa"/>
            </w:tcMar>
          </w:tcPr>
          <w:p w14:paraId="73C19C70" w14:textId="77777777" w:rsidR="004569D0" w:rsidRDefault="00184DA1">
            <w:pPr>
              <w:spacing w:line="240" w:lineRule="auto"/>
              <w:jc w:val="center"/>
            </w:pPr>
            <w:r>
              <w:rPr>
                <w:color w:val="000000"/>
                <w:sz w:val="20"/>
                <w:szCs w:val="20"/>
              </w:rPr>
              <w:t>(US$2,308m)</w:t>
            </w:r>
          </w:p>
        </w:tc>
        <w:tc>
          <w:tcPr>
            <w:tcW w:w="1800" w:type="dxa"/>
            <w:tcMar>
              <w:top w:w="40" w:type="dxa"/>
              <w:left w:w="80" w:type="dxa"/>
              <w:bottom w:w="40" w:type="dxa"/>
              <w:right w:w="80" w:type="dxa"/>
            </w:tcMar>
          </w:tcPr>
          <w:p w14:paraId="659B732A" w14:textId="77777777" w:rsidR="004569D0" w:rsidRDefault="00184DA1">
            <w:pPr>
              <w:spacing w:line="240" w:lineRule="auto"/>
              <w:jc w:val="center"/>
            </w:pPr>
            <w:r>
              <w:rPr>
                <w:color w:val="000000"/>
                <w:sz w:val="20"/>
                <w:szCs w:val="20"/>
              </w:rPr>
              <w:t>Franchise/managed</w:t>
            </w:r>
          </w:p>
        </w:tc>
      </w:tr>
      <w:tr w:rsidR="004569D0" w14:paraId="42917A93" w14:textId="77777777">
        <w:tblPrEx>
          <w:tblCellMar>
            <w:top w:w="0" w:type="dxa"/>
            <w:bottom w:w="0" w:type="dxa"/>
          </w:tblCellMar>
        </w:tblPrEx>
        <w:tc>
          <w:tcPr>
            <w:tcW w:w="1700" w:type="dxa"/>
            <w:shd w:val="clear" w:color="auto" w:fill="D9E1F2"/>
            <w:tcMar>
              <w:top w:w="40" w:type="dxa"/>
              <w:left w:w="80" w:type="dxa"/>
              <w:bottom w:w="40" w:type="dxa"/>
              <w:right w:w="80" w:type="dxa"/>
            </w:tcMar>
          </w:tcPr>
          <w:p w14:paraId="23F82468" w14:textId="77777777" w:rsidR="004569D0" w:rsidRDefault="00184DA1">
            <w:pPr>
              <w:spacing w:line="240" w:lineRule="auto"/>
            </w:pPr>
            <w:r>
              <w:rPr>
                <w:b/>
                <w:bCs/>
                <w:color w:val="000000"/>
                <w:sz w:val="20"/>
                <w:szCs w:val="20"/>
              </w:rPr>
              <w:t>Hilton</w:t>
            </w:r>
          </w:p>
        </w:tc>
        <w:tc>
          <w:tcPr>
            <w:tcW w:w="1600" w:type="dxa"/>
            <w:shd w:val="clear" w:color="auto" w:fill="D9E1F2"/>
            <w:tcMar>
              <w:top w:w="40" w:type="dxa"/>
              <w:left w:w="80" w:type="dxa"/>
              <w:bottom w:w="40" w:type="dxa"/>
              <w:right w:w="80" w:type="dxa"/>
            </w:tcMar>
          </w:tcPr>
          <w:p w14:paraId="01996F65" w14:textId="77777777" w:rsidR="004569D0" w:rsidRDefault="00184DA1">
            <w:pPr>
              <w:spacing w:line="240" w:lineRule="auto"/>
              <w:jc w:val="center"/>
            </w:pPr>
            <w:r>
              <w:rPr>
                <w:color w:val="000000"/>
                <w:sz w:val="20"/>
                <w:szCs w:val="20"/>
              </w:rPr>
              <w:t>0.70</w:t>
            </w:r>
          </w:p>
        </w:tc>
        <w:tc>
          <w:tcPr>
            <w:tcW w:w="1900" w:type="dxa"/>
            <w:shd w:val="clear" w:color="auto" w:fill="D9E1F2"/>
            <w:tcMar>
              <w:top w:w="40" w:type="dxa"/>
              <w:left w:w="80" w:type="dxa"/>
              <w:bottom w:w="40" w:type="dxa"/>
              <w:right w:w="80" w:type="dxa"/>
            </w:tcMar>
          </w:tcPr>
          <w:p w14:paraId="76531F59" w14:textId="77777777" w:rsidR="004569D0" w:rsidRDefault="00184DA1">
            <w:pPr>
              <w:spacing w:line="240" w:lineRule="auto"/>
              <w:jc w:val="center"/>
            </w:pPr>
            <w:r>
              <w:rPr>
                <w:color w:val="000000"/>
                <w:sz w:val="20"/>
                <w:szCs w:val="20"/>
              </w:rPr>
              <w:t>(US$3,706m)</w:t>
            </w:r>
          </w:p>
        </w:tc>
        <w:tc>
          <w:tcPr>
            <w:tcW w:w="1800" w:type="dxa"/>
            <w:shd w:val="clear" w:color="auto" w:fill="D9E1F2"/>
            <w:tcMar>
              <w:top w:w="40" w:type="dxa"/>
              <w:left w:w="80" w:type="dxa"/>
              <w:bottom w:w="40" w:type="dxa"/>
              <w:right w:w="80" w:type="dxa"/>
            </w:tcMar>
          </w:tcPr>
          <w:p w14:paraId="6DE6993C" w14:textId="77777777" w:rsidR="004569D0" w:rsidRDefault="00184DA1">
            <w:pPr>
              <w:spacing w:line="240" w:lineRule="auto"/>
              <w:jc w:val="center"/>
            </w:pPr>
            <w:r>
              <w:rPr>
                <w:color w:val="000000"/>
                <w:sz w:val="20"/>
                <w:szCs w:val="20"/>
              </w:rPr>
              <w:t>Franchise/managed</w:t>
            </w:r>
          </w:p>
        </w:tc>
      </w:tr>
      <w:tr w:rsidR="004569D0" w14:paraId="247CAFE0" w14:textId="77777777">
        <w:tblPrEx>
          <w:tblCellMar>
            <w:top w:w="0" w:type="dxa"/>
            <w:bottom w:w="0" w:type="dxa"/>
          </w:tblCellMar>
        </w:tblPrEx>
        <w:tc>
          <w:tcPr>
            <w:tcW w:w="1700" w:type="dxa"/>
            <w:tcMar>
              <w:top w:w="40" w:type="dxa"/>
              <w:left w:w="80" w:type="dxa"/>
              <w:bottom w:w="40" w:type="dxa"/>
              <w:right w:w="80" w:type="dxa"/>
            </w:tcMar>
          </w:tcPr>
          <w:p w14:paraId="621822E8" w14:textId="77777777" w:rsidR="004569D0" w:rsidRDefault="00184DA1">
            <w:pPr>
              <w:spacing w:line="240" w:lineRule="auto"/>
            </w:pPr>
            <w:r>
              <w:rPr>
                <w:b/>
                <w:bCs/>
                <w:color w:val="000000"/>
                <w:sz w:val="20"/>
                <w:szCs w:val="20"/>
              </w:rPr>
              <w:lastRenderedPageBreak/>
              <w:t>Marriott</w:t>
            </w:r>
          </w:p>
        </w:tc>
        <w:tc>
          <w:tcPr>
            <w:tcW w:w="1600" w:type="dxa"/>
            <w:tcMar>
              <w:top w:w="40" w:type="dxa"/>
              <w:left w:w="80" w:type="dxa"/>
              <w:bottom w:w="40" w:type="dxa"/>
              <w:right w:w="80" w:type="dxa"/>
            </w:tcMar>
          </w:tcPr>
          <w:p w14:paraId="52FFFF63" w14:textId="77777777" w:rsidR="004569D0" w:rsidRDefault="00184DA1">
            <w:pPr>
              <w:spacing w:line="240" w:lineRule="auto"/>
              <w:jc w:val="center"/>
            </w:pPr>
            <w:r>
              <w:rPr>
                <w:color w:val="000000"/>
                <w:sz w:val="20"/>
                <w:szCs w:val="20"/>
              </w:rPr>
              <w:t>0.42</w:t>
            </w:r>
          </w:p>
        </w:tc>
        <w:tc>
          <w:tcPr>
            <w:tcW w:w="1900" w:type="dxa"/>
            <w:tcMar>
              <w:top w:w="40" w:type="dxa"/>
              <w:left w:w="80" w:type="dxa"/>
              <w:bottom w:w="40" w:type="dxa"/>
              <w:right w:w="80" w:type="dxa"/>
            </w:tcMar>
          </w:tcPr>
          <w:p w14:paraId="41F56264" w14:textId="77777777" w:rsidR="004569D0" w:rsidRDefault="00184DA1">
            <w:pPr>
              <w:spacing w:line="240" w:lineRule="auto"/>
              <w:jc w:val="center"/>
            </w:pPr>
            <w:r>
              <w:rPr>
                <w:color w:val="000000"/>
                <w:sz w:val="20"/>
                <w:szCs w:val="20"/>
              </w:rPr>
              <w:t>(US$2,992m)</w:t>
            </w:r>
          </w:p>
        </w:tc>
        <w:tc>
          <w:tcPr>
            <w:tcW w:w="1800" w:type="dxa"/>
            <w:tcMar>
              <w:top w:w="40" w:type="dxa"/>
              <w:left w:w="80" w:type="dxa"/>
              <w:bottom w:w="40" w:type="dxa"/>
              <w:right w:w="80" w:type="dxa"/>
            </w:tcMar>
          </w:tcPr>
          <w:p w14:paraId="7DCC5F9B" w14:textId="77777777" w:rsidR="004569D0" w:rsidRDefault="00184DA1">
            <w:pPr>
              <w:spacing w:line="240" w:lineRule="auto"/>
              <w:jc w:val="center"/>
            </w:pPr>
            <w:r>
              <w:rPr>
                <w:color w:val="000000"/>
                <w:sz w:val="20"/>
                <w:szCs w:val="20"/>
              </w:rPr>
              <w:t>Franchise/managed</w:t>
            </w:r>
          </w:p>
        </w:tc>
      </w:tr>
      <w:tr w:rsidR="004569D0" w14:paraId="5FFAE1D4" w14:textId="77777777">
        <w:tblPrEx>
          <w:tblCellMar>
            <w:top w:w="0" w:type="dxa"/>
            <w:bottom w:w="0" w:type="dxa"/>
          </w:tblCellMar>
        </w:tblPrEx>
        <w:tc>
          <w:tcPr>
            <w:tcW w:w="1700" w:type="dxa"/>
            <w:shd w:val="clear" w:color="auto" w:fill="D9E1F2"/>
            <w:tcMar>
              <w:top w:w="40" w:type="dxa"/>
              <w:left w:w="80" w:type="dxa"/>
              <w:bottom w:w="40" w:type="dxa"/>
              <w:right w:w="80" w:type="dxa"/>
            </w:tcMar>
          </w:tcPr>
          <w:p w14:paraId="5E73F3DF" w14:textId="77777777" w:rsidR="004569D0" w:rsidRDefault="00184DA1">
            <w:pPr>
              <w:spacing w:line="240" w:lineRule="auto"/>
            </w:pPr>
            <w:r>
              <w:rPr>
                <w:b/>
                <w:bCs/>
                <w:color w:val="000000"/>
                <w:sz w:val="20"/>
                <w:szCs w:val="20"/>
              </w:rPr>
              <w:t>Textbook norm</w:t>
            </w:r>
          </w:p>
        </w:tc>
        <w:tc>
          <w:tcPr>
            <w:tcW w:w="1600" w:type="dxa"/>
            <w:shd w:val="clear" w:color="auto" w:fill="D9E1F2"/>
            <w:tcMar>
              <w:top w:w="40" w:type="dxa"/>
              <w:left w:w="80" w:type="dxa"/>
              <w:bottom w:w="40" w:type="dxa"/>
              <w:right w:w="80" w:type="dxa"/>
            </w:tcMar>
          </w:tcPr>
          <w:p w14:paraId="215FA780" w14:textId="77777777" w:rsidR="004569D0" w:rsidRDefault="00184DA1">
            <w:pPr>
              <w:spacing w:line="240" w:lineRule="auto"/>
              <w:jc w:val="center"/>
            </w:pPr>
            <w:r>
              <w:rPr>
                <w:color w:val="000000"/>
                <w:sz w:val="20"/>
                <w:szCs w:val="20"/>
              </w:rPr>
              <w:t>~2.0</w:t>
            </w:r>
          </w:p>
        </w:tc>
        <w:tc>
          <w:tcPr>
            <w:tcW w:w="1900" w:type="dxa"/>
            <w:shd w:val="clear" w:color="auto" w:fill="D9E1F2"/>
            <w:tcMar>
              <w:top w:w="40" w:type="dxa"/>
              <w:left w:w="80" w:type="dxa"/>
              <w:bottom w:w="40" w:type="dxa"/>
              <w:right w:w="80" w:type="dxa"/>
            </w:tcMar>
          </w:tcPr>
          <w:p w14:paraId="6DA9AC25" w14:textId="77777777" w:rsidR="004569D0" w:rsidRDefault="00184DA1">
            <w:pPr>
              <w:spacing w:line="240" w:lineRule="auto"/>
              <w:jc w:val="center"/>
            </w:pPr>
            <w:r>
              <w:rPr>
                <w:color w:val="000000"/>
                <w:sz w:val="20"/>
                <w:szCs w:val="20"/>
              </w:rPr>
              <w:t>Positive</w:t>
            </w:r>
          </w:p>
        </w:tc>
        <w:tc>
          <w:tcPr>
            <w:tcW w:w="1800" w:type="dxa"/>
            <w:shd w:val="clear" w:color="auto" w:fill="D9E1F2"/>
            <w:tcMar>
              <w:top w:w="40" w:type="dxa"/>
              <w:left w:w="80" w:type="dxa"/>
              <w:bottom w:w="40" w:type="dxa"/>
              <w:right w:w="80" w:type="dxa"/>
            </w:tcMar>
          </w:tcPr>
          <w:p w14:paraId="213DEEB2" w14:textId="77777777" w:rsidR="004569D0" w:rsidRDefault="00184DA1">
            <w:pPr>
              <w:spacing w:line="240" w:lineRule="auto"/>
              <w:jc w:val="center"/>
            </w:pPr>
            <w:r>
              <w:rPr>
                <w:color w:val="000000"/>
                <w:sz w:val="20"/>
                <w:szCs w:val="20"/>
              </w:rPr>
              <w:t>Manufacturing/retail</w:t>
            </w:r>
          </w:p>
        </w:tc>
      </w:tr>
    </w:tbl>
    <w:p w14:paraId="36B66093" w14:textId="77777777" w:rsidR="004569D0" w:rsidRDefault="00184DA1">
      <w:pPr>
        <w:spacing w:after="160"/>
        <w:jc w:val="both"/>
      </w:pPr>
      <w:r>
        <w:t>The benchmarking sharpens rather than softens the judgement. All three leading asset-light operators report current ratios at or below one and negative book equity, confirming that these features are structural characteristics of the fee-based lodging model, not warning signs specific to IHG. IHG's 0.97 in 2024 is in fact the strongest of the three, ahead of Hilton's 0.70 and Marriott's 0.42, the latter depressed by large guest-loyalty liabilities classified as current (Hilton, 2025; Marriott, 2025). The eq</w:t>
      </w:r>
      <w:r>
        <w:t>uity deficits are shown only for context: they are not liquidity measures, but they reinforce that debt-funded shareholder returns have pushed book equity negative across the peer group. Judged against the conventional benchmark of around 2.0 (</w:t>
      </w:r>
      <w:proofErr w:type="spellStart"/>
      <w:r>
        <w:t>Atrill</w:t>
      </w:r>
      <w:proofErr w:type="spellEnd"/>
      <w:r>
        <w:t xml:space="preserve"> and McLaney, 2019), all three would appear illiquid, which demonstrates why sector-appropriate comparators, not generic rules of thumb, are the correct reference point. The more meaningful liquidity risk lies in refinancing: IHG's rising net debt of US$3,333m b</w:t>
      </w:r>
      <w:r>
        <w:t>y 2025 must be rolled over as bonds mature, and it is here, rather than in the current ratio, that attention should focus.</w:t>
      </w:r>
    </w:p>
    <w:p w14:paraId="0DA3CA16" w14:textId="77777777" w:rsidR="004569D0" w:rsidRDefault="00184DA1">
      <w:pPr>
        <w:pStyle w:val="Heading2"/>
      </w:pPr>
      <w:bookmarkStart w:id="4" w:name="_Toc237517870"/>
      <w:r>
        <w:t>2.3 Efficiency, gearing and investment measures</w:t>
      </w:r>
      <w:bookmarkEnd w:id="4"/>
    </w:p>
    <w:p w14:paraId="5F8C69EF" w14:textId="77777777" w:rsidR="004569D0" w:rsidRDefault="00184DA1">
      <w:pPr>
        <w:spacing w:after="160"/>
        <w:jc w:val="both"/>
      </w:pPr>
      <w:r>
        <w:t>Asset turnover improved from 0.60 in 2021 to around 1.03 in 2023–2025 (on average assets), indicating that the group generated more revenue per dollar of assets as occupancy recovered. On gearing, the striking feature is negative equity, which widened from US$(</w:t>
      </w:r>
      <w:proofErr w:type="gramStart"/>
      <w:r>
        <w:t>1,474)m</w:t>
      </w:r>
      <w:proofErr w:type="gramEnd"/>
      <w:r>
        <w:t xml:space="preserve"> in 2021 to US$(</w:t>
      </w:r>
      <w:proofErr w:type="gramStart"/>
      <w:r>
        <w:t>2,736)m</w:t>
      </w:r>
      <w:proofErr w:type="gramEnd"/>
      <w:r>
        <w:t xml:space="preserve"> in 2025. This is not a sign of insolvency but the accounting consequence of returning more than US$1bn to shareholders each year through buybacks and dividends, which reduces retained earnings and treasury-adjusted equity below zero (IHG, 2026). Because equity is negative, debt-to-equity and gearing percentages become uninterpretable, and analysts must instead rely on net debt to EBITDA and interest cover. Net debt to EBITDA remained within or close to the group's stated 2.5–3</w:t>
      </w:r>
      <w:r>
        <w:t xml:space="preserve">.0 times target range throughout, at 2.5 times in 2025, and interest cover of roughly six to eight times suggests earnings comfortably service financing costs, so the leverage, while high in absolute terms, appears sustainable given the stability of fee income (IHG, 2026). On investment measures, the group grew its dividend by around 10% annually, from 126.0¢ in 2021 to 184.5¢ in 2025, and sustained large buybacks, signalling </w:t>
      </w:r>
      <w:r>
        <w:lastRenderedPageBreak/>
        <w:t>management confidence in future cash generation. On the cash flow category, the pi</w:t>
      </w:r>
      <w:r>
        <w:t>cture is the most reassuring of all: operating cash flow was positive and generally rising across the period, reaching US$898m in 2025, and the group targets around 100% conversion of adjusted earnings into adjusted free cash flow (IHG, 2026). High cash conversion is the ultimate validation of profit quality, because it confirms that reported earnings are backed by cash rather than by accounting accruals. For a business whose equity is negative and whose leverage is rising, this dependable cash generation i</w:t>
      </w:r>
      <w:r>
        <w:t xml:space="preserve">s the single most important indicator of financial health, since it is cash, not book equity, that services debt and funds </w:t>
      </w:r>
      <w:proofErr w:type="gramStart"/>
      <w:r>
        <w:t>returns</w:t>
      </w:r>
      <w:proofErr w:type="gramEnd"/>
      <w:r>
        <w:t>.</w:t>
      </w:r>
    </w:p>
    <w:p w14:paraId="28C8DBA7" w14:textId="77777777" w:rsidR="004569D0" w:rsidRDefault="00184DA1">
      <w:pPr>
        <w:pStyle w:val="Heading2"/>
      </w:pPr>
      <w:bookmarkStart w:id="5" w:name="_Toc237517871"/>
      <w:r>
        <w:t>2.4 Trends, strengths, threats and benchmarking</w:t>
      </w:r>
      <w:bookmarkEnd w:id="5"/>
    </w:p>
    <w:p w14:paraId="3C9F69BD" w14:textId="77777777" w:rsidR="004569D0" w:rsidRDefault="00184DA1">
      <w:pPr>
        <w:spacing w:after="160"/>
        <w:jc w:val="both"/>
      </w:pPr>
      <w:r>
        <w:t xml:space="preserve">The dominant trend is a strong, cash-generative recovery, with revenue, margins and returns all improving. IHG's core strengths are its asset-light model, which limits capital intensity and supports high margins, and its brand and loyalty scale, with more than 160 million loyalty members by 2025 and around two-thirds of room nights booked by members (IHG, 2026). Set against the sector, this positioning is favourable: brand performance has diverged sharply, and CBRE (2025) reports that revenue per available </w:t>
      </w:r>
      <w:r>
        <w:t xml:space="preserve">room across major brand families has varied by a wide margin over the last decade, so scale and brand strength increasingly determine profitability. The principal threats are macroeconomic and structural. Sector data show United States revenue per available room was broadly flat to slightly negative through 2025, with a pronounced "K-shaped" split in which luxury outperformed while economy segments weakened (PwC, 2026). PwC (2026) nonetheless forecasts a recovery of around 2.9% in United States revenue per </w:t>
      </w:r>
      <w:r>
        <w:t>available room in 2026 as demand growth outpaces supply. Persistent cost inflation, softening inbound United States travel and rising net debt are the clearest risks to margins. A more subtle strategic vulnerability is the growing dependence on continued buybacks to sustain earnings-per-share growth: adjusted earnings per share rose 16% in 2025, but part of that growth came from a reduction in the share count rather than from operating performance alone (IHG, 2026). Buyback-driven growth is only sustainable</w:t>
      </w:r>
      <w:r>
        <w:t xml:space="preserve"> while cash generation remains strong, so any prolonged demand shock would expose the group to a double pressure of weaker trading and reduced capacity to flatter per-share metrics. On balance, the financial health check portrays a fundamentally strong business whose principal risks </w:t>
      </w:r>
      <w:r>
        <w:lastRenderedPageBreak/>
        <w:t>lie not in current performance but in the sustainability of a capital-return policy that depends on uninterrupted cash generation.</w:t>
      </w:r>
    </w:p>
    <w:p w14:paraId="4AA849DB" w14:textId="77777777" w:rsidR="004569D0" w:rsidRDefault="00184DA1">
      <w:pPr>
        <w:pStyle w:val="Heading1"/>
      </w:pPr>
      <w:bookmarkStart w:id="6" w:name="_Toc237517872"/>
      <w:r>
        <w:t>3. Working Capital Management Analysis</w:t>
      </w:r>
      <w:bookmarkEnd w:id="6"/>
    </w:p>
    <w:p w14:paraId="35263A5D" w14:textId="77777777" w:rsidR="004569D0" w:rsidRDefault="00184DA1">
      <w:pPr>
        <w:pStyle w:val="Heading2"/>
      </w:pPr>
      <w:bookmarkStart w:id="7" w:name="_Toc237517873"/>
      <w:r>
        <w:t>3.1 The cash operating cycle</w:t>
      </w:r>
      <w:bookmarkEnd w:id="7"/>
    </w:p>
    <w:p w14:paraId="1699D987" w14:textId="77777777" w:rsidR="004569D0" w:rsidRDefault="00184DA1">
      <w:pPr>
        <w:spacing w:after="160"/>
        <w:jc w:val="both"/>
      </w:pPr>
      <w:r>
        <w:t>The cash operating cycle, or cash conversion cycle, measures the time between paying suppliers and collecting cash from customers, calculated as inventory days plus receivables days minus payables days (Richards and Laughlin, 1980). For IHG the cycle is structurally short and often negative, because the group holds almost no inventory and, in its managed and franchised operations, frequently collects fees and deposits before or close to the point of service while deferring payments to suppliers. Table 4 ill</w:t>
      </w:r>
      <w:r>
        <w:t>ustrates the components using approximate figures.</w:t>
      </w:r>
    </w:p>
    <w:p w14:paraId="273ADE6B" w14:textId="77777777" w:rsidR="004569D0" w:rsidRDefault="00184DA1">
      <w:pPr>
        <w:spacing w:before="60" w:after="160" w:line="240" w:lineRule="auto"/>
      </w:pPr>
      <w:r>
        <w:rPr>
          <w:i/>
          <w:iCs/>
          <w:sz w:val="20"/>
          <w:szCs w:val="20"/>
        </w:rPr>
        <w:t>Table 4. Cash operating cycle components, 2023–2025. Source: author's calculations from disclosed trade and other receivables and trade and other payables (IHG, 2025; 2026). Receivables days = (trade and other receivables / total revenue) × 365. Because IHG does not disclose a separate cost of sales, payables days are a clearly-labelled proxy computed on total revenue and should be read as indicative only.</w:t>
      </w:r>
    </w:p>
    <w:tbl>
      <w:tblPr>
        <w:tblW w:w="6750" w:type="dxa"/>
        <w:tblBorders>
          <w:top w:val="single" w:sz="2" w:space="0" w:color="7F7F7F"/>
          <w:left w:val="single" w:sz="2" w:space="0" w:color="7F7F7F"/>
          <w:bottom w:val="single" w:sz="2" w:space="0" w:color="7F7F7F"/>
          <w:right w:val="single" w:sz="2" w:space="0" w:color="7F7F7F"/>
          <w:insideH w:val="single" w:sz="1" w:space="0" w:color="BFBFBF"/>
          <w:insideV w:val="single" w:sz="1" w:space="0" w:color="BFBFBF"/>
        </w:tblBorders>
        <w:tblCellMar>
          <w:left w:w="10" w:type="dxa"/>
          <w:right w:w="10" w:type="dxa"/>
        </w:tblCellMar>
        <w:tblLook w:val="0000" w:firstRow="0" w:lastRow="0" w:firstColumn="0" w:lastColumn="0" w:noHBand="0" w:noVBand="0"/>
      </w:tblPr>
      <w:tblGrid>
        <w:gridCol w:w="2700"/>
        <w:gridCol w:w="1350"/>
        <w:gridCol w:w="1350"/>
        <w:gridCol w:w="1350"/>
      </w:tblGrid>
      <w:tr w:rsidR="004569D0" w14:paraId="0726768D" w14:textId="77777777">
        <w:tblPrEx>
          <w:tblCellMar>
            <w:top w:w="0" w:type="dxa"/>
            <w:bottom w:w="0" w:type="dxa"/>
          </w:tblCellMar>
        </w:tblPrEx>
        <w:trPr>
          <w:tblHeader/>
        </w:trPr>
        <w:tc>
          <w:tcPr>
            <w:tcW w:w="2700" w:type="dxa"/>
            <w:shd w:val="clear" w:color="auto" w:fill="1F3864"/>
            <w:tcMar>
              <w:top w:w="40" w:type="dxa"/>
              <w:left w:w="80" w:type="dxa"/>
              <w:bottom w:w="40" w:type="dxa"/>
              <w:right w:w="80" w:type="dxa"/>
            </w:tcMar>
          </w:tcPr>
          <w:p w14:paraId="18738890" w14:textId="77777777" w:rsidR="004569D0" w:rsidRDefault="00184DA1">
            <w:pPr>
              <w:spacing w:line="240" w:lineRule="auto"/>
            </w:pPr>
            <w:r>
              <w:rPr>
                <w:b/>
                <w:bCs/>
                <w:color w:val="FFFFFF"/>
                <w:sz w:val="20"/>
                <w:szCs w:val="20"/>
              </w:rPr>
              <w:t>Component</w:t>
            </w:r>
          </w:p>
        </w:tc>
        <w:tc>
          <w:tcPr>
            <w:tcW w:w="1350" w:type="dxa"/>
            <w:shd w:val="clear" w:color="auto" w:fill="1F3864"/>
            <w:tcMar>
              <w:top w:w="40" w:type="dxa"/>
              <w:left w:w="80" w:type="dxa"/>
              <w:bottom w:w="40" w:type="dxa"/>
              <w:right w:w="80" w:type="dxa"/>
            </w:tcMar>
          </w:tcPr>
          <w:p w14:paraId="234AC00D" w14:textId="77777777" w:rsidR="004569D0" w:rsidRDefault="00184DA1">
            <w:pPr>
              <w:spacing w:line="240" w:lineRule="auto"/>
              <w:jc w:val="center"/>
            </w:pPr>
            <w:r>
              <w:rPr>
                <w:b/>
                <w:bCs/>
                <w:color w:val="FFFFFF"/>
                <w:sz w:val="20"/>
                <w:szCs w:val="20"/>
              </w:rPr>
              <w:t>2023</w:t>
            </w:r>
          </w:p>
        </w:tc>
        <w:tc>
          <w:tcPr>
            <w:tcW w:w="1350" w:type="dxa"/>
            <w:shd w:val="clear" w:color="auto" w:fill="1F3864"/>
            <w:tcMar>
              <w:top w:w="40" w:type="dxa"/>
              <w:left w:w="80" w:type="dxa"/>
              <w:bottom w:w="40" w:type="dxa"/>
              <w:right w:w="80" w:type="dxa"/>
            </w:tcMar>
          </w:tcPr>
          <w:p w14:paraId="05B66DFF" w14:textId="77777777" w:rsidR="004569D0" w:rsidRDefault="00184DA1">
            <w:pPr>
              <w:spacing w:line="240" w:lineRule="auto"/>
              <w:jc w:val="center"/>
            </w:pPr>
            <w:r>
              <w:rPr>
                <w:b/>
                <w:bCs/>
                <w:color w:val="FFFFFF"/>
                <w:sz w:val="20"/>
                <w:szCs w:val="20"/>
              </w:rPr>
              <w:t>2024</w:t>
            </w:r>
          </w:p>
        </w:tc>
        <w:tc>
          <w:tcPr>
            <w:tcW w:w="1350" w:type="dxa"/>
            <w:shd w:val="clear" w:color="auto" w:fill="1F3864"/>
            <w:tcMar>
              <w:top w:w="40" w:type="dxa"/>
              <w:left w:w="80" w:type="dxa"/>
              <w:bottom w:w="40" w:type="dxa"/>
              <w:right w:w="80" w:type="dxa"/>
            </w:tcMar>
          </w:tcPr>
          <w:p w14:paraId="42A676C0" w14:textId="77777777" w:rsidR="004569D0" w:rsidRDefault="00184DA1">
            <w:pPr>
              <w:spacing w:line="240" w:lineRule="auto"/>
              <w:jc w:val="center"/>
            </w:pPr>
            <w:r>
              <w:rPr>
                <w:b/>
                <w:bCs/>
                <w:color w:val="FFFFFF"/>
                <w:sz w:val="20"/>
                <w:szCs w:val="20"/>
              </w:rPr>
              <w:t>2025</w:t>
            </w:r>
          </w:p>
        </w:tc>
      </w:tr>
      <w:tr w:rsidR="004569D0" w14:paraId="5E4E8CAA" w14:textId="77777777">
        <w:tblPrEx>
          <w:tblCellMar>
            <w:top w:w="0" w:type="dxa"/>
            <w:bottom w:w="0" w:type="dxa"/>
          </w:tblCellMar>
        </w:tblPrEx>
        <w:tc>
          <w:tcPr>
            <w:tcW w:w="2700" w:type="dxa"/>
            <w:tcMar>
              <w:top w:w="40" w:type="dxa"/>
              <w:left w:w="80" w:type="dxa"/>
              <w:bottom w:w="40" w:type="dxa"/>
              <w:right w:w="80" w:type="dxa"/>
            </w:tcMar>
          </w:tcPr>
          <w:p w14:paraId="699EA7AF" w14:textId="77777777" w:rsidR="004569D0" w:rsidRDefault="00184DA1">
            <w:pPr>
              <w:spacing w:line="240" w:lineRule="auto"/>
            </w:pPr>
            <w:r>
              <w:rPr>
                <w:b/>
                <w:bCs/>
                <w:color w:val="000000"/>
                <w:sz w:val="20"/>
                <w:szCs w:val="20"/>
              </w:rPr>
              <w:t>Trade &amp; other receivables (</w:t>
            </w:r>
            <w:proofErr w:type="spellStart"/>
            <w:r>
              <w:rPr>
                <w:b/>
                <w:bCs/>
                <w:color w:val="000000"/>
                <w:sz w:val="20"/>
                <w:szCs w:val="20"/>
              </w:rPr>
              <w:t>US$m</w:t>
            </w:r>
            <w:proofErr w:type="spellEnd"/>
            <w:r>
              <w:rPr>
                <w:b/>
                <w:bCs/>
                <w:color w:val="000000"/>
                <w:sz w:val="20"/>
                <w:szCs w:val="20"/>
              </w:rPr>
              <w:t>)</w:t>
            </w:r>
          </w:p>
        </w:tc>
        <w:tc>
          <w:tcPr>
            <w:tcW w:w="1350" w:type="dxa"/>
            <w:tcMar>
              <w:top w:w="40" w:type="dxa"/>
              <w:left w:w="80" w:type="dxa"/>
              <w:bottom w:w="40" w:type="dxa"/>
              <w:right w:w="80" w:type="dxa"/>
            </w:tcMar>
          </w:tcPr>
          <w:p w14:paraId="0693C1B7" w14:textId="77777777" w:rsidR="004569D0" w:rsidRDefault="00184DA1">
            <w:pPr>
              <w:spacing w:line="240" w:lineRule="auto"/>
              <w:jc w:val="center"/>
            </w:pPr>
            <w:r>
              <w:rPr>
                <w:color w:val="000000"/>
                <w:sz w:val="20"/>
                <w:szCs w:val="20"/>
              </w:rPr>
              <w:t>740</w:t>
            </w:r>
          </w:p>
        </w:tc>
        <w:tc>
          <w:tcPr>
            <w:tcW w:w="1350" w:type="dxa"/>
            <w:tcMar>
              <w:top w:w="40" w:type="dxa"/>
              <w:left w:w="80" w:type="dxa"/>
              <w:bottom w:w="40" w:type="dxa"/>
              <w:right w:w="80" w:type="dxa"/>
            </w:tcMar>
          </w:tcPr>
          <w:p w14:paraId="6D7B347D" w14:textId="77777777" w:rsidR="004569D0" w:rsidRDefault="00184DA1">
            <w:pPr>
              <w:spacing w:line="240" w:lineRule="auto"/>
              <w:jc w:val="center"/>
            </w:pPr>
            <w:r>
              <w:rPr>
                <w:color w:val="000000"/>
                <w:sz w:val="20"/>
                <w:szCs w:val="20"/>
              </w:rPr>
              <w:t>785</w:t>
            </w:r>
          </w:p>
        </w:tc>
        <w:tc>
          <w:tcPr>
            <w:tcW w:w="1350" w:type="dxa"/>
            <w:tcMar>
              <w:top w:w="40" w:type="dxa"/>
              <w:left w:w="80" w:type="dxa"/>
              <w:bottom w:w="40" w:type="dxa"/>
              <w:right w:w="80" w:type="dxa"/>
            </w:tcMar>
          </w:tcPr>
          <w:p w14:paraId="2A99834B" w14:textId="77777777" w:rsidR="004569D0" w:rsidRDefault="00184DA1">
            <w:pPr>
              <w:spacing w:line="240" w:lineRule="auto"/>
              <w:jc w:val="center"/>
            </w:pPr>
            <w:r>
              <w:rPr>
                <w:color w:val="000000"/>
                <w:sz w:val="20"/>
                <w:szCs w:val="20"/>
              </w:rPr>
              <w:t>833</w:t>
            </w:r>
          </w:p>
        </w:tc>
      </w:tr>
      <w:tr w:rsidR="004569D0" w14:paraId="3AD6B72D" w14:textId="77777777">
        <w:tblPrEx>
          <w:tblCellMar>
            <w:top w:w="0" w:type="dxa"/>
            <w:bottom w:w="0" w:type="dxa"/>
          </w:tblCellMar>
        </w:tblPrEx>
        <w:tc>
          <w:tcPr>
            <w:tcW w:w="2700" w:type="dxa"/>
            <w:shd w:val="clear" w:color="auto" w:fill="D9E1F2"/>
            <w:tcMar>
              <w:top w:w="40" w:type="dxa"/>
              <w:left w:w="80" w:type="dxa"/>
              <w:bottom w:w="40" w:type="dxa"/>
              <w:right w:w="80" w:type="dxa"/>
            </w:tcMar>
          </w:tcPr>
          <w:p w14:paraId="06774D59" w14:textId="77777777" w:rsidR="004569D0" w:rsidRDefault="00184DA1">
            <w:pPr>
              <w:spacing w:line="240" w:lineRule="auto"/>
            </w:pPr>
            <w:r>
              <w:rPr>
                <w:b/>
                <w:bCs/>
                <w:color w:val="000000"/>
                <w:sz w:val="20"/>
                <w:szCs w:val="20"/>
              </w:rPr>
              <w:t>Inventory (</w:t>
            </w:r>
            <w:proofErr w:type="spellStart"/>
            <w:r>
              <w:rPr>
                <w:b/>
                <w:bCs/>
                <w:color w:val="000000"/>
                <w:sz w:val="20"/>
                <w:szCs w:val="20"/>
              </w:rPr>
              <w:t>US$m</w:t>
            </w:r>
            <w:proofErr w:type="spellEnd"/>
            <w:r>
              <w:rPr>
                <w:b/>
                <w:bCs/>
                <w:color w:val="000000"/>
                <w:sz w:val="20"/>
                <w:szCs w:val="20"/>
              </w:rPr>
              <w:t>)</w:t>
            </w:r>
          </w:p>
        </w:tc>
        <w:tc>
          <w:tcPr>
            <w:tcW w:w="1350" w:type="dxa"/>
            <w:shd w:val="clear" w:color="auto" w:fill="D9E1F2"/>
            <w:tcMar>
              <w:top w:w="40" w:type="dxa"/>
              <w:left w:w="80" w:type="dxa"/>
              <w:bottom w:w="40" w:type="dxa"/>
              <w:right w:w="80" w:type="dxa"/>
            </w:tcMar>
          </w:tcPr>
          <w:p w14:paraId="29DEFEEA" w14:textId="77777777" w:rsidR="004569D0" w:rsidRDefault="00184DA1">
            <w:pPr>
              <w:spacing w:line="240" w:lineRule="auto"/>
              <w:jc w:val="center"/>
            </w:pPr>
            <w:r>
              <w:rPr>
                <w:color w:val="000000"/>
                <w:sz w:val="20"/>
                <w:szCs w:val="20"/>
              </w:rPr>
              <w:t>≈4</w:t>
            </w:r>
          </w:p>
        </w:tc>
        <w:tc>
          <w:tcPr>
            <w:tcW w:w="1350" w:type="dxa"/>
            <w:shd w:val="clear" w:color="auto" w:fill="D9E1F2"/>
            <w:tcMar>
              <w:top w:w="40" w:type="dxa"/>
              <w:left w:w="80" w:type="dxa"/>
              <w:bottom w:w="40" w:type="dxa"/>
              <w:right w:w="80" w:type="dxa"/>
            </w:tcMar>
          </w:tcPr>
          <w:p w14:paraId="6AE61798" w14:textId="77777777" w:rsidR="004569D0" w:rsidRDefault="00184DA1">
            <w:pPr>
              <w:spacing w:line="240" w:lineRule="auto"/>
              <w:jc w:val="center"/>
            </w:pPr>
            <w:r>
              <w:rPr>
                <w:color w:val="000000"/>
                <w:sz w:val="20"/>
                <w:szCs w:val="20"/>
              </w:rPr>
              <w:t>≈4</w:t>
            </w:r>
          </w:p>
        </w:tc>
        <w:tc>
          <w:tcPr>
            <w:tcW w:w="1350" w:type="dxa"/>
            <w:shd w:val="clear" w:color="auto" w:fill="D9E1F2"/>
            <w:tcMar>
              <w:top w:w="40" w:type="dxa"/>
              <w:left w:w="80" w:type="dxa"/>
              <w:bottom w:w="40" w:type="dxa"/>
              <w:right w:w="80" w:type="dxa"/>
            </w:tcMar>
          </w:tcPr>
          <w:p w14:paraId="18241217" w14:textId="77777777" w:rsidR="004569D0" w:rsidRDefault="00184DA1">
            <w:pPr>
              <w:spacing w:line="240" w:lineRule="auto"/>
              <w:jc w:val="center"/>
            </w:pPr>
            <w:r>
              <w:rPr>
                <w:color w:val="000000"/>
                <w:sz w:val="20"/>
                <w:szCs w:val="20"/>
              </w:rPr>
              <w:t>≈4</w:t>
            </w:r>
          </w:p>
        </w:tc>
      </w:tr>
      <w:tr w:rsidR="004569D0" w14:paraId="4E28C607" w14:textId="77777777">
        <w:tblPrEx>
          <w:tblCellMar>
            <w:top w:w="0" w:type="dxa"/>
            <w:bottom w:w="0" w:type="dxa"/>
          </w:tblCellMar>
        </w:tblPrEx>
        <w:tc>
          <w:tcPr>
            <w:tcW w:w="2700" w:type="dxa"/>
            <w:tcMar>
              <w:top w:w="40" w:type="dxa"/>
              <w:left w:w="80" w:type="dxa"/>
              <w:bottom w:w="40" w:type="dxa"/>
              <w:right w:w="80" w:type="dxa"/>
            </w:tcMar>
          </w:tcPr>
          <w:p w14:paraId="5A3E0360" w14:textId="77777777" w:rsidR="004569D0" w:rsidRDefault="00184DA1">
            <w:pPr>
              <w:spacing w:line="240" w:lineRule="auto"/>
            </w:pPr>
            <w:r>
              <w:rPr>
                <w:b/>
                <w:bCs/>
                <w:color w:val="000000"/>
                <w:sz w:val="20"/>
                <w:szCs w:val="20"/>
              </w:rPr>
              <w:t>Receivables days</w:t>
            </w:r>
          </w:p>
        </w:tc>
        <w:tc>
          <w:tcPr>
            <w:tcW w:w="1350" w:type="dxa"/>
            <w:tcMar>
              <w:top w:w="40" w:type="dxa"/>
              <w:left w:w="80" w:type="dxa"/>
              <w:bottom w:w="40" w:type="dxa"/>
              <w:right w:w="80" w:type="dxa"/>
            </w:tcMar>
          </w:tcPr>
          <w:p w14:paraId="18146566" w14:textId="77777777" w:rsidR="004569D0" w:rsidRDefault="00184DA1">
            <w:pPr>
              <w:spacing w:line="240" w:lineRule="auto"/>
              <w:jc w:val="center"/>
            </w:pPr>
            <w:r>
              <w:rPr>
                <w:color w:val="000000"/>
                <w:sz w:val="20"/>
                <w:szCs w:val="20"/>
              </w:rPr>
              <w:t>58</w:t>
            </w:r>
          </w:p>
        </w:tc>
        <w:tc>
          <w:tcPr>
            <w:tcW w:w="1350" w:type="dxa"/>
            <w:tcMar>
              <w:top w:w="40" w:type="dxa"/>
              <w:left w:w="80" w:type="dxa"/>
              <w:bottom w:w="40" w:type="dxa"/>
              <w:right w:w="80" w:type="dxa"/>
            </w:tcMar>
          </w:tcPr>
          <w:p w14:paraId="6182C6A1" w14:textId="77777777" w:rsidR="004569D0" w:rsidRDefault="00184DA1">
            <w:pPr>
              <w:spacing w:line="240" w:lineRule="auto"/>
              <w:jc w:val="center"/>
            </w:pPr>
            <w:r>
              <w:rPr>
                <w:color w:val="000000"/>
                <w:sz w:val="20"/>
                <w:szCs w:val="20"/>
              </w:rPr>
              <w:t>58</w:t>
            </w:r>
          </w:p>
        </w:tc>
        <w:tc>
          <w:tcPr>
            <w:tcW w:w="1350" w:type="dxa"/>
            <w:tcMar>
              <w:top w:w="40" w:type="dxa"/>
              <w:left w:w="80" w:type="dxa"/>
              <w:bottom w:w="40" w:type="dxa"/>
              <w:right w:w="80" w:type="dxa"/>
            </w:tcMar>
          </w:tcPr>
          <w:p w14:paraId="710B00C0" w14:textId="77777777" w:rsidR="004569D0" w:rsidRDefault="00184DA1">
            <w:pPr>
              <w:spacing w:line="240" w:lineRule="auto"/>
              <w:jc w:val="center"/>
            </w:pPr>
            <w:r>
              <w:rPr>
                <w:color w:val="000000"/>
                <w:sz w:val="20"/>
                <w:szCs w:val="20"/>
              </w:rPr>
              <w:t>59</w:t>
            </w:r>
          </w:p>
        </w:tc>
      </w:tr>
      <w:tr w:rsidR="004569D0" w14:paraId="72B8AACD" w14:textId="77777777">
        <w:tblPrEx>
          <w:tblCellMar>
            <w:top w:w="0" w:type="dxa"/>
            <w:bottom w:w="0" w:type="dxa"/>
          </w:tblCellMar>
        </w:tblPrEx>
        <w:tc>
          <w:tcPr>
            <w:tcW w:w="2700" w:type="dxa"/>
            <w:shd w:val="clear" w:color="auto" w:fill="D9E1F2"/>
            <w:tcMar>
              <w:top w:w="40" w:type="dxa"/>
              <w:left w:w="80" w:type="dxa"/>
              <w:bottom w:w="40" w:type="dxa"/>
              <w:right w:w="80" w:type="dxa"/>
            </w:tcMar>
          </w:tcPr>
          <w:p w14:paraId="0D41D330" w14:textId="77777777" w:rsidR="004569D0" w:rsidRDefault="00184DA1">
            <w:pPr>
              <w:spacing w:line="240" w:lineRule="auto"/>
            </w:pPr>
            <w:r>
              <w:rPr>
                <w:b/>
                <w:bCs/>
                <w:color w:val="000000"/>
                <w:sz w:val="20"/>
                <w:szCs w:val="20"/>
              </w:rPr>
              <w:t>Payables days (proxy)</w:t>
            </w:r>
          </w:p>
        </w:tc>
        <w:tc>
          <w:tcPr>
            <w:tcW w:w="1350" w:type="dxa"/>
            <w:shd w:val="clear" w:color="auto" w:fill="D9E1F2"/>
            <w:tcMar>
              <w:top w:w="40" w:type="dxa"/>
              <w:left w:w="80" w:type="dxa"/>
              <w:bottom w:w="40" w:type="dxa"/>
              <w:right w:w="80" w:type="dxa"/>
            </w:tcMar>
          </w:tcPr>
          <w:p w14:paraId="314F8758" w14:textId="77777777" w:rsidR="004569D0" w:rsidRDefault="00184DA1">
            <w:pPr>
              <w:spacing w:line="240" w:lineRule="auto"/>
              <w:jc w:val="center"/>
            </w:pPr>
            <w:r>
              <w:rPr>
                <w:color w:val="000000"/>
                <w:sz w:val="20"/>
                <w:szCs w:val="20"/>
              </w:rPr>
              <w:t>≈80</w:t>
            </w:r>
          </w:p>
        </w:tc>
        <w:tc>
          <w:tcPr>
            <w:tcW w:w="1350" w:type="dxa"/>
            <w:shd w:val="clear" w:color="auto" w:fill="D9E1F2"/>
            <w:tcMar>
              <w:top w:w="40" w:type="dxa"/>
              <w:left w:w="80" w:type="dxa"/>
              <w:bottom w:w="40" w:type="dxa"/>
              <w:right w:w="80" w:type="dxa"/>
            </w:tcMar>
          </w:tcPr>
          <w:p w14:paraId="53080991" w14:textId="77777777" w:rsidR="004569D0" w:rsidRDefault="00184DA1">
            <w:pPr>
              <w:spacing w:line="240" w:lineRule="auto"/>
              <w:jc w:val="center"/>
            </w:pPr>
            <w:r>
              <w:rPr>
                <w:color w:val="000000"/>
                <w:sz w:val="20"/>
                <w:szCs w:val="20"/>
              </w:rPr>
              <w:t>≈78</w:t>
            </w:r>
          </w:p>
        </w:tc>
        <w:tc>
          <w:tcPr>
            <w:tcW w:w="1350" w:type="dxa"/>
            <w:shd w:val="clear" w:color="auto" w:fill="D9E1F2"/>
            <w:tcMar>
              <w:top w:w="40" w:type="dxa"/>
              <w:left w:w="80" w:type="dxa"/>
              <w:bottom w:w="40" w:type="dxa"/>
              <w:right w:w="80" w:type="dxa"/>
            </w:tcMar>
          </w:tcPr>
          <w:p w14:paraId="7663EE44" w14:textId="77777777" w:rsidR="004569D0" w:rsidRDefault="00184DA1">
            <w:pPr>
              <w:spacing w:line="240" w:lineRule="auto"/>
              <w:jc w:val="center"/>
            </w:pPr>
            <w:r>
              <w:rPr>
                <w:color w:val="000000"/>
                <w:sz w:val="20"/>
                <w:szCs w:val="20"/>
              </w:rPr>
              <w:t>≈77</w:t>
            </w:r>
          </w:p>
        </w:tc>
      </w:tr>
      <w:tr w:rsidR="004569D0" w14:paraId="4543987E" w14:textId="77777777">
        <w:tblPrEx>
          <w:tblCellMar>
            <w:top w:w="0" w:type="dxa"/>
            <w:bottom w:w="0" w:type="dxa"/>
          </w:tblCellMar>
        </w:tblPrEx>
        <w:tc>
          <w:tcPr>
            <w:tcW w:w="2700" w:type="dxa"/>
            <w:tcMar>
              <w:top w:w="40" w:type="dxa"/>
              <w:left w:w="80" w:type="dxa"/>
              <w:bottom w:w="40" w:type="dxa"/>
              <w:right w:w="80" w:type="dxa"/>
            </w:tcMar>
          </w:tcPr>
          <w:p w14:paraId="317D5D4E" w14:textId="77777777" w:rsidR="004569D0" w:rsidRDefault="00184DA1">
            <w:pPr>
              <w:spacing w:line="240" w:lineRule="auto"/>
            </w:pPr>
            <w:r>
              <w:rPr>
                <w:b/>
                <w:bCs/>
                <w:color w:val="000000"/>
                <w:sz w:val="20"/>
                <w:szCs w:val="20"/>
              </w:rPr>
              <w:t>Cash operating cycle (indicative)</w:t>
            </w:r>
          </w:p>
        </w:tc>
        <w:tc>
          <w:tcPr>
            <w:tcW w:w="1350" w:type="dxa"/>
            <w:tcMar>
              <w:top w:w="40" w:type="dxa"/>
              <w:left w:w="80" w:type="dxa"/>
              <w:bottom w:w="40" w:type="dxa"/>
              <w:right w:w="80" w:type="dxa"/>
            </w:tcMar>
          </w:tcPr>
          <w:p w14:paraId="3171434B" w14:textId="77777777" w:rsidR="004569D0" w:rsidRDefault="00184DA1">
            <w:pPr>
              <w:spacing w:line="240" w:lineRule="auto"/>
              <w:jc w:val="center"/>
            </w:pPr>
            <w:r>
              <w:rPr>
                <w:color w:val="000000"/>
                <w:sz w:val="20"/>
                <w:szCs w:val="20"/>
              </w:rPr>
              <w:t>≈ (18) to (22)</w:t>
            </w:r>
          </w:p>
        </w:tc>
        <w:tc>
          <w:tcPr>
            <w:tcW w:w="1350" w:type="dxa"/>
            <w:tcMar>
              <w:top w:w="40" w:type="dxa"/>
              <w:left w:w="80" w:type="dxa"/>
              <w:bottom w:w="40" w:type="dxa"/>
              <w:right w:w="80" w:type="dxa"/>
            </w:tcMar>
          </w:tcPr>
          <w:p w14:paraId="612F526F" w14:textId="77777777" w:rsidR="004569D0" w:rsidRDefault="00184DA1">
            <w:pPr>
              <w:spacing w:line="240" w:lineRule="auto"/>
              <w:jc w:val="center"/>
            </w:pPr>
            <w:r>
              <w:rPr>
                <w:color w:val="000000"/>
                <w:sz w:val="20"/>
                <w:szCs w:val="20"/>
              </w:rPr>
              <w:t>≈ (16) to (20)</w:t>
            </w:r>
          </w:p>
        </w:tc>
        <w:tc>
          <w:tcPr>
            <w:tcW w:w="1350" w:type="dxa"/>
            <w:tcMar>
              <w:top w:w="40" w:type="dxa"/>
              <w:left w:w="80" w:type="dxa"/>
              <w:bottom w:w="40" w:type="dxa"/>
              <w:right w:w="80" w:type="dxa"/>
            </w:tcMar>
          </w:tcPr>
          <w:p w14:paraId="6F7A6362" w14:textId="77777777" w:rsidR="004569D0" w:rsidRDefault="00184DA1">
            <w:pPr>
              <w:spacing w:line="240" w:lineRule="auto"/>
              <w:jc w:val="center"/>
            </w:pPr>
            <w:r>
              <w:rPr>
                <w:color w:val="000000"/>
                <w:sz w:val="20"/>
                <w:szCs w:val="20"/>
              </w:rPr>
              <w:t>≈ (14) to (18)</w:t>
            </w:r>
          </w:p>
        </w:tc>
      </w:tr>
    </w:tbl>
    <w:p w14:paraId="4D3DF735" w14:textId="77777777" w:rsidR="004569D0" w:rsidRDefault="00184DA1">
      <w:pPr>
        <w:spacing w:after="160"/>
        <w:jc w:val="both"/>
      </w:pPr>
      <w:r>
        <w:t>Even on the more conservative proxy, the cycle remains negative, in an indicative range of roughly minus 14 to minus 22 days. A negative cycle means the business is, in effect, financed by its suppliers and customers, freeing cash for investment and shareholder returns, and is a genuine competitive advantage of the asset-light model rather than a weakness. It also reframes the interpretation of the current ratio: a firm with a negative cash conversion cycle can operate safely with a current ratio around one</w:t>
      </w:r>
      <w:r>
        <w:t xml:space="preserve"> precisely because its operations generate rather than consume cash. The two observations are therefore consistent, not contradictory, which is why the components must be read together. Two caveats apply. First, because IHG does not disclose a cost-of-sales figure, the payables-days measure is a revenue-based proxy and the precise cycle length is uncertain, which is why a range rather than a point estimate is reported. Second, the figures use year-end balances, which can understate intra-year </w:t>
      </w:r>
      <w:r>
        <w:lastRenderedPageBreak/>
        <w:t>seasonal peaks</w:t>
      </w:r>
      <w:r>
        <w:t>; a fuller analysis would use average monthly balances, which are not publicly disclosed.</w:t>
      </w:r>
    </w:p>
    <w:p w14:paraId="5D41997F" w14:textId="77777777" w:rsidR="004569D0" w:rsidRDefault="00184DA1">
      <w:pPr>
        <w:pStyle w:val="Heading2"/>
      </w:pPr>
      <w:bookmarkStart w:id="8" w:name="_Toc237517874"/>
      <w:r>
        <w:t>3.2 Improving liquidity through working capital reform</w:t>
      </w:r>
      <w:bookmarkEnd w:id="8"/>
    </w:p>
    <w:p w14:paraId="38AA96E5" w14:textId="77777777" w:rsidR="004569D0" w:rsidRDefault="00184DA1">
      <w:pPr>
        <w:spacing w:after="160"/>
        <w:jc w:val="both"/>
      </w:pPr>
      <w:r>
        <w:t>Although IHG's cycle is already efficient, liquidity can be strengthened further, and the impact can be quantified. Reducing receivables days by five, from roughly 59 to 54 days, would on 2025 revenue of US$5,189m release approximately US$71m of cash (5 ÷ 365 × US$5,189m). A more modest three-day improvement would still free around US$43m. These sums are material relative to the group's ordinary dividend and illustrate that even small collection gains fund meaningful returns or deleveraging. Practical mecha</w:t>
      </w:r>
      <w:r>
        <w:t>nisms would include tighter credit terms and automated billing for franchisee fees, earlier invoicing of loyalty-point and co-brand receipts, and disciplined follow-up on overdue balances, with the treasury function accountable for a defined days-sales-outstanding target. The academic evidence supports focused cycle management: Deloof (2003) and Shin and Soenen (1998) find that a shorter cash conversion cycle is generally associated with higher profitability, because less cash is tied up in operations. This</w:t>
      </w:r>
      <w:r>
        <w:t xml:space="preserve"> view is not unqualified, however. More recent global evidence suggests the relationship is concave, implying an optimal rather than a minimal cycle, since overly aggressive terms can damage supplier and franchisee goodwill (Wang, 2019). For IHG the practical implication is that reform should protect franchisee relationships, which are the source of fee revenue, rather than pursue the shortest possible cycle at any cost.</w:t>
      </w:r>
    </w:p>
    <w:p w14:paraId="036BAF67" w14:textId="77777777" w:rsidR="004569D0" w:rsidRDefault="00184DA1">
      <w:pPr>
        <w:pStyle w:val="Heading2"/>
      </w:pPr>
      <w:bookmarkStart w:id="9" w:name="_Toc237517875"/>
      <w:r>
        <w:t>3.3 Short-term versus long-term financing</w:t>
      </w:r>
      <w:bookmarkEnd w:id="9"/>
    </w:p>
    <w:p w14:paraId="5534BE96" w14:textId="77777777" w:rsidR="004569D0" w:rsidRDefault="00184DA1">
      <w:pPr>
        <w:spacing w:after="160"/>
        <w:jc w:val="both"/>
      </w:pPr>
      <w:r>
        <w:t>Working capital can be financed through short-term sources, such as overdrafts, revolving credit and trade credit, or long-term sources, such as bonds and equity. Short-term finance is typically cheaper and more flexible but exposes the firm to refinancing and interest-rate risk, whereas long-term finance is more stable but more costly (Watson and Head, 2019). These trade-offs map onto the aggressive, conservative and matching approaches to working capital policy: an aggressive policy funds even part of per</w:t>
      </w:r>
      <w:r>
        <w:t>manent needs with short-term debt to lower cost, while a conservative policy funds temporary needs with long-term capital to reduce risk (</w:t>
      </w:r>
      <w:proofErr w:type="spellStart"/>
      <w:r>
        <w:t>Atrill</w:t>
      </w:r>
      <w:proofErr w:type="spellEnd"/>
      <w:r>
        <w:t xml:space="preserve"> and McLaney, 2019). Given IHG's dependable cash generation and investment-grade profile, a matching approach is most appropriate, financing long-term assets and </w:t>
      </w:r>
      <w:r>
        <w:lastRenderedPageBreak/>
        <w:t>permanent working capital with long-term debt while using committed revolving facilities to smooth seasonal fluctuations. This balances the lower cost of short-term funding against the refinancing risk that</w:t>
      </w:r>
      <w:r>
        <w:t xml:space="preserve"> becomes acute when interest rates rise, as they did across the review period. IHG's actual structure is consistent with this: it funds itself principally through sterling and euro bonds with staggered maturities out to 2031 and holds an undrawn revolving credit facility for flexibility (IHG, 2026). The staggering of maturities is itself a risk-management choice, since it avoids concentrating refinancing in a single year and thereby limits exposure to any one period of tight credit conditions. For a busines</w:t>
      </w:r>
      <w:r>
        <w:t>s with a negative cash conversion cycle, the case for holding large precautionary short-term balances is weak, because operations themselves generate liquidity; the matching approach, supported by committed backup facilities, is therefore both cheaper and prudent for IHG's specific profile.</w:t>
      </w:r>
    </w:p>
    <w:p w14:paraId="638054DC" w14:textId="77777777" w:rsidR="004569D0" w:rsidRDefault="00184DA1">
      <w:pPr>
        <w:pStyle w:val="Heading1"/>
      </w:pPr>
      <w:bookmarkStart w:id="10" w:name="_Toc237517876"/>
      <w:r>
        <w:t>4. Strategic Financial Restructuring Plan</w:t>
      </w:r>
      <w:bookmarkEnd w:id="10"/>
    </w:p>
    <w:p w14:paraId="4D4469FE" w14:textId="77777777" w:rsidR="004569D0" w:rsidRDefault="00184DA1">
      <w:pPr>
        <w:pStyle w:val="Heading2"/>
      </w:pPr>
      <w:bookmarkStart w:id="11" w:name="_Toc237517877"/>
      <w:r>
        <w:t>4.1 Restructuring options</w:t>
      </w:r>
      <w:bookmarkEnd w:id="11"/>
    </w:p>
    <w:p w14:paraId="54A30898" w14:textId="77777777" w:rsidR="004569D0" w:rsidRDefault="00184DA1">
      <w:pPr>
        <w:spacing w:after="160"/>
        <w:jc w:val="both"/>
      </w:pPr>
      <w:r>
        <w:t>Three restructuring routes merit consideration. First, continued portfolio optimisation through selective divestiture of any remaining owned or leased assets would reinforce the asset-light strategy and release capital. The empirical evidence is broadly supportive: divestitures and spin-offs tend to create shareholder value by sharpening management focus and improving capital allocation, with studies documenting positive abnormal returns around such announcements (Feldman, 2016; and the wealth-effects liter</w:t>
      </w:r>
      <w:r>
        <w:t xml:space="preserve">ature reviewed by </w:t>
      </w:r>
      <w:proofErr w:type="spellStart"/>
      <w:r>
        <w:t>Prezas</w:t>
      </w:r>
      <w:proofErr w:type="spellEnd"/>
      <w:r>
        <w:t xml:space="preserve"> and Simonyan, 2015). Second, a merger or bolt-on acquisition, such as the group's earlier acquisition of a stake in Regent (IHG, 2023), can add brands and scale in luxury segments that are currently outperforming (PwC, 2026), although acquisitions carry well-documented integration and overpayment risks. Third, an equity injection is possible but unattractive here, because the group is highly cash-generative and its negative book equity reflects deliberate returns of capital rather t</w:t>
      </w:r>
      <w:r>
        <w:t>han distress; raising equity would dilute shareholders without clear need.</w:t>
      </w:r>
    </w:p>
    <w:p w14:paraId="0D8D8876" w14:textId="77777777" w:rsidR="004569D0" w:rsidRDefault="00184DA1">
      <w:pPr>
        <w:pStyle w:val="Heading2"/>
      </w:pPr>
      <w:bookmarkStart w:id="12" w:name="_Toc237517878"/>
      <w:r>
        <w:t>4.2 Impact on shareholder value, debt and flexibility</w:t>
      </w:r>
      <w:bookmarkEnd w:id="12"/>
    </w:p>
    <w:p w14:paraId="09B8D729" w14:textId="77777777" w:rsidR="004569D0" w:rsidRDefault="00184DA1">
      <w:pPr>
        <w:spacing w:after="160"/>
        <w:jc w:val="both"/>
      </w:pPr>
      <w:r>
        <w:t xml:space="preserve">The preferred path is to maintain the asset-light model, pursue disciplined bolt-on acquisitions in premium segments, and continue returning surplus capital while holding </w:t>
      </w:r>
      <w:r>
        <w:lastRenderedPageBreak/>
        <w:t>net debt to EBITDA below the group's ceiling. Capital-structure theory frames the trade-off directly. Under trade-off theory, firms lever up until the tax-shield benefit of debt is offset at the margin by expected financial-distress costs (Myers, 1984), and recent evidence confirms that restructured firms target a stable leverage ratio consistent with this theory (Chen, Guha and Simu, 2025). For IHG, the stability of fee income supports a relatively high debt capacity, so moderate leverage enhances sharehol</w:t>
      </w:r>
      <w:r>
        <w:t>der value through the tax shield and through funding buybacks, provided interest cover remains comfortable. Notably, IHG's December 2025 refinancing replaced its revolving credit facility with a US$1.5bn facility maturing in 2030 that carries no financial covenants (IHG, 2026), so leverage discipline is now self-imposed rather than contractually enforced; this makes management's own risk thresholds, rather than lender covenants, the binding constraint. The principal risk is that aggressive buybacks financed</w:t>
      </w:r>
      <w:r>
        <w:t xml:space="preserve"> by debt reduce operational flexibility in a downturn, so restructuring should preserve self-imposed headroom rather than maximise short-term earnings per share.</w:t>
      </w:r>
    </w:p>
    <w:p w14:paraId="1322ED87" w14:textId="77777777" w:rsidR="004569D0" w:rsidRDefault="00184DA1">
      <w:pPr>
        <w:spacing w:after="160"/>
        <w:jc w:val="both"/>
      </w:pPr>
      <w:r>
        <w:t xml:space="preserve">It is worth weighing the competing theoretical lens. Pecking-order theory holds that firms prefer internal funds, then debt, and issue equity only as a last resort (Myers, 1984), which fits IHG's observed behaviour more closely than trade-off theory alone: the group funds investment from operating cash flow and uses debt for shareholder returns rather than issuing equity. The negative book equity is best understood through this behavioural lens, as the cumulative footprint of years of buybacks, rather than </w:t>
      </w:r>
      <w:r>
        <w:t xml:space="preserve">as evidence of an optimised target capital structure. The strategic tension the Board must manage is that buybacks flatter earnings per share and return capital tax-efficiently, but they also erode the equity cushion that absorbs shocks. In a severe downturn, a firm with negative book equity and high net debt has less visible balance-sheet resilience, even if its cash flows remain sound. The judgement, therefore, is not that IHG's policy is wrong, since its cash generation has comfortably supported it, but </w:t>
      </w:r>
      <w:r>
        <w:t>that the margin for error narrows as net debt rises, and that a disciplined ceiling on leverage is the safeguard that keeps the policy value-enhancing rather than value-threatening.</w:t>
      </w:r>
    </w:p>
    <w:p w14:paraId="3DFF1F45" w14:textId="77777777" w:rsidR="004569D0" w:rsidRDefault="00184DA1">
      <w:pPr>
        <w:pStyle w:val="Heading2"/>
      </w:pPr>
      <w:bookmarkStart w:id="13" w:name="_Toc237517879"/>
      <w:r>
        <w:t>4.3 A staged restructuring plan</w:t>
      </w:r>
      <w:bookmarkEnd w:id="13"/>
    </w:p>
    <w:p w14:paraId="7F5F81FD" w14:textId="77777777" w:rsidR="004569D0" w:rsidRDefault="00184DA1">
      <w:pPr>
        <w:spacing w:after="160"/>
        <w:jc w:val="both"/>
      </w:pPr>
      <w:r>
        <w:t xml:space="preserve">Translating this judgement into an actionable plan, the following staged framework spans 12 to 36 months and specifies the decision criteria at each step. It is deliberately </w:t>
      </w:r>
      <w:r>
        <w:lastRenderedPageBreak/>
        <w:t>conservative, prioritising the protection of the group's investment-grade rating over aggressive financial engineering.</w:t>
      </w:r>
    </w:p>
    <w:p w14:paraId="0E0AC4A5" w14:textId="77777777" w:rsidR="004569D0" w:rsidRDefault="00184DA1">
      <w:pPr>
        <w:spacing w:before="60" w:after="160" w:line="240" w:lineRule="auto"/>
      </w:pPr>
      <w:r>
        <w:rPr>
          <w:i/>
          <w:iCs/>
          <w:sz w:val="20"/>
          <w:szCs w:val="20"/>
        </w:rPr>
        <w:t>Table 5. Indicative staged financial restructuring plan. Source: author's framework, informed by IHG (2026) capital-allocation policy.</w:t>
      </w:r>
    </w:p>
    <w:tbl>
      <w:tblPr>
        <w:tblW w:w="7000" w:type="dxa"/>
        <w:tblBorders>
          <w:top w:val="single" w:sz="2" w:space="0" w:color="7F7F7F"/>
          <w:left w:val="single" w:sz="2" w:space="0" w:color="7F7F7F"/>
          <w:bottom w:val="single" w:sz="2" w:space="0" w:color="7F7F7F"/>
          <w:right w:val="single" w:sz="2" w:space="0" w:color="7F7F7F"/>
          <w:insideH w:val="single" w:sz="1" w:space="0" w:color="BFBFBF"/>
          <w:insideV w:val="single" w:sz="1" w:space="0" w:color="BFBFBF"/>
        </w:tblBorders>
        <w:tblCellMar>
          <w:left w:w="10" w:type="dxa"/>
          <w:right w:w="10" w:type="dxa"/>
        </w:tblCellMar>
        <w:tblLook w:val="0000" w:firstRow="0" w:lastRow="0" w:firstColumn="0" w:lastColumn="0" w:noHBand="0" w:noVBand="0"/>
      </w:tblPr>
      <w:tblGrid>
        <w:gridCol w:w="1900"/>
        <w:gridCol w:w="2600"/>
        <w:gridCol w:w="2500"/>
      </w:tblGrid>
      <w:tr w:rsidR="004569D0" w14:paraId="433A659A" w14:textId="77777777">
        <w:tblPrEx>
          <w:tblCellMar>
            <w:top w:w="0" w:type="dxa"/>
            <w:bottom w:w="0" w:type="dxa"/>
          </w:tblCellMar>
        </w:tblPrEx>
        <w:trPr>
          <w:tblHeader/>
        </w:trPr>
        <w:tc>
          <w:tcPr>
            <w:tcW w:w="1900" w:type="dxa"/>
            <w:shd w:val="clear" w:color="auto" w:fill="1F3864"/>
            <w:tcMar>
              <w:top w:w="40" w:type="dxa"/>
              <w:left w:w="80" w:type="dxa"/>
              <w:bottom w:w="40" w:type="dxa"/>
              <w:right w:w="80" w:type="dxa"/>
            </w:tcMar>
          </w:tcPr>
          <w:p w14:paraId="4E2699A0" w14:textId="77777777" w:rsidR="004569D0" w:rsidRDefault="00184DA1">
            <w:pPr>
              <w:spacing w:line="240" w:lineRule="auto"/>
            </w:pPr>
            <w:r>
              <w:rPr>
                <w:b/>
                <w:bCs/>
                <w:color w:val="FFFFFF"/>
                <w:sz w:val="20"/>
                <w:szCs w:val="20"/>
              </w:rPr>
              <w:t>Stage / horizon</w:t>
            </w:r>
          </w:p>
        </w:tc>
        <w:tc>
          <w:tcPr>
            <w:tcW w:w="2600" w:type="dxa"/>
            <w:shd w:val="clear" w:color="auto" w:fill="1F3864"/>
            <w:tcMar>
              <w:top w:w="40" w:type="dxa"/>
              <w:left w:w="80" w:type="dxa"/>
              <w:bottom w:w="40" w:type="dxa"/>
              <w:right w:w="80" w:type="dxa"/>
            </w:tcMar>
          </w:tcPr>
          <w:p w14:paraId="39E064FE" w14:textId="77777777" w:rsidR="004569D0" w:rsidRDefault="00184DA1">
            <w:pPr>
              <w:spacing w:line="240" w:lineRule="auto"/>
              <w:jc w:val="center"/>
            </w:pPr>
            <w:r>
              <w:rPr>
                <w:b/>
                <w:bCs/>
                <w:color w:val="FFFFFF"/>
                <w:sz w:val="20"/>
                <w:szCs w:val="20"/>
              </w:rPr>
              <w:t>Action</w:t>
            </w:r>
          </w:p>
        </w:tc>
        <w:tc>
          <w:tcPr>
            <w:tcW w:w="2500" w:type="dxa"/>
            <w:shd w:val="clear" w:color="auto" w:fill="1F3864"/>
            <w:tcMar>
              <w:top w:w="40" w:type="dxa"/>
              <w:left w:w="80" w:type="dxa"/>
              <w:bottom w:w="40" w:type="dxa"/>
              <w:right w:w="80" w:type="dxa"/>
            </w:tcMar>
          </w:tcPr>
          <w:p w14:paraId="708F4441" w14:textId="77777777" w:rsidR="004569D0" w:rsidRDefault="00184DA1">
            <w:pPr>
              <w:spacing w:line="240" w:lineRule="auto"/>
              <w:jc w:val="center"/>
            </w:pPr>
            <w:r>
              <w:rPr>
                <w:b/>
                <w:bCs/>
                <w:color w:val="FFFFFF"/>
                <w:sz w:val="20"/>
                <w:szCs w:val="20"/>
              </w:rPr>
              <w:t>Criterion / target</w:t>
            </w:r>
          </w:p>
        </w:tc>
      </w:tr>
      <w:tr w:rsidR="004569D0" w14:paraId="090D302F" w14:textId="77777777">
        <w:tblPrEx>
          <w:tblCellMar>
            <w:top w:w="0" w:type="dxa"/>
            <w:bottom w:w="0" w:type="dxa"/>
          </w:tblCellMar>
        </w:tblPrEx>
        <w:tc>
          <w:tcPr>
            <w:tcW w:w="1900" w:type="dxa"/>
            <w:tcMar>
              <w:top w:w="40" w:type="dxa"/>
              <w:left w:w="80" w:type="dxa"/>
              <w:bottom w:w="40" w:type="dxa"/>
              <w:right w:w="80" w:type="dxa"/>
            </w:tcMar>
          </w:tcPr>
          <w:p w14:paraId="3258A5AE" w14:textId="77777777" w:rsidR="004569D0" w:rsidRDefault="00184DA1">
            <w:pPr>
              <w:spacing w:line="240" w:lineRule="auto"/>
            </w:pPr>
            <w:r>
              <w:rPr>
                <w:b/>
                <w:bCs/>
                <w:color w:val="000000"/>
                <w:sz w:val="20"/>
                <w:szCs w:val="20"/>
              </w:rPr>
              <w:t>0–12 months</w:t>
            </w:r>
          </w:p>
        </w:tc>
        <w:tc>
          <w:tcPr>
            <w:tcW w:w="2600" w:type="dxa"/>
            <w:tcMar>
              <w:top w:w="40" w:type="dxa"/>
              <w:left w:w="80" w:type="dxa"/>
              <w:bottom w:w="40" w:type="dxa"/>
              <w:right w:w="80" w:type="dxa"/>
            </w:tcMar>
          </w:tcPr>
          <w:p w14:paraId="0DD8CACC" w14:textId="77777777" w:rsidR="004569D0" w:rsidRDefault="00184DA1">
            <w:pPr>
              <w:spacing w:line="240" w:lineRule="auto"/>
              <w:jc w:val="center"/>
            </w:pPr>
            <w:r>
              <w:rPr>
                <w:color w:val="000000"/>
                <w:sz w:val="20"/>
                <w:szCs w:val="20"/>
              </w:rPr>
              <w:t>Hold leverage in policy range; complete existing buyback</w:t>
            </w:r>
          </w:p>
        </w:tc>
        <w:tc>
          <w:tcPr>
            <w:tcW w:w="2500" w:type="dxa"/>
            <w:tcMar>
              <w:top w:w="40" w:type="dxa"/>
              <w:left w:w="80" w:type="dxa"/>
              <w:bottom w:w="40" w:type="dxa"/>
              <w:right w:w="80" w:type="dxa"/>
            </w:tcMar>
          </w:tcPr>
          <w:p w14:paraId="50E8ABA1" w14:textId="77777777" w:rsidR="004569D0" w:rsidRDefault="00184DA1">
            <w:pPr>
              <w:spacing w:line="240" w:lineRule="auto"/>
              <w:jc w:val="center"/>
            </w:pPr>
            <w:r>
              <w:rPr>
                <w:color w:val="000000"/>
                <w:sz w:val="20"/>
                <w:szCs w:val="20"/>
              </w:rPr>
              <w:t>Net debt/EBITDA 2.5–3.0x; internal interest-cover floor ≥4.0x</w:t>
            </w:r>
          </w:p>
        </w:tc>
      </w:tr>
      <w:tr w:rsidR="004569D0" w14:paraId="63575FD1" w14:textId="77777777">
        <w:tblPrEx>
          <w:tblCellMar>
            <w:top w:w="0" w:type="dxa"/>
            <w:bottom w:w="0" w:type="dxa"/>
          </w:tblCellMar>
        </w:tblPrEx>
        <w:tc>
          <w:tcPr>
            <w:tcW w:w="1900" w:type="dxa"/>
            <w:shd w:val="clear" w:color="auto" w:fill="D9E1F2"/>
            <w:tcMar>
              <w:top w:w="40" w:type="dxa"/>
              <w:left w:w="80" w:type="dxa"/>
              <w:bottom w:w="40" w:type="dxa"/>
              <w:right w:w="80" w:type="dxa"/>
            </w:tcMar>
          </w:tcPr>
          <w:p w14:paraId="59FE35BE" w14:textId="77777777" w:rsidR="004569D0" w:rsidRDefault="00184DA1">
            <w:pPr>
              <w:spacing w:line="240" w:lineRule="auto"/>
            </w:pPr>
            <w:r>
              <w:rPr>
                <w:b/>
                <w:bCs/>
                <w:color w:val="000000"/>
                <w:sz w:val="20"/>
                <w:szCs w:val="20"/>
              </w:rPr>
              <w:t>0–12 months</w:t>
            </w:r>
          </w:p>
        </w:tc>
        <w:tc>
          <w:tcPr>
            <w:tcW w:w="2600" w:type="dxa"/>
            <w:shd w:val="clear" w:color="auto" w:fill="D9E1F2"/>
            <w:tcMar>
              <w:top w:w="40" w:type="dxa"/>
              <w:left w:w="80" w:type="dxa"/>
              <w:bottom w:w="40" w:type="dxa"/>
              <w:right w:w="80" w:type="dxa"/>
            </w:tcMar>
          </w:tcPr>
          <w:p w14:paraId="08609C7C" w14:textId="77777777" w:rsidR="004569D0" w:rsidRDefault="00184DA1">
            <w:pPr>
              <w:spacing w:line="240" w:lineRule="auto"/>
              <w:jc w:val="center"/>
            </w:pPr>
            <w:r>
              <w:rPr>
                <w:color w:val="000000"/>
                <w:sz w:val="20"/>
                <w:szCs w:val="20"/>
              </w:rPr>
              <w:t>Divest any residual owned/leased hotels</w:t>
            </w:r>
          </w:p>
        </w:tc>
        <w:tc>
          <w:tcPr>
            <w:tcW w:w="2500" w:type="dxa"/>
            <w:shd w:val="clear" w:color="auto" w:fill="D9E1F2"/>
            <w:tcMar>
              <w:top w:w="40" w:type="dxa"/>
              <w:left w:w="80" w:type="dxa"/>
              <w:bottom w:w="40" w:type="dxa"/>
              <w:right w:w="80" w:type="dxa"/>
            </w:tcMar>
          </w:tcPr>
          <w:p w14:paraId="7D5FE815" w14:textId="77777777" w:rsidR="004569D0" w:rsidRDefault="00184DA1">
            <w:pPr>
              <w:spacing w:line="240" w:lineRule="auto"/>
              <w:jc w:val="center"/>
            </w:pPr>
            <w:r>
              <w:rPr>
                <w:color w:val="000000"/>
                <w:sz w:val="20"/>
                <w:szCs w:val="20"/>
              </w:rPr>
              <w:t>Redeploy proceeds to fee-generating growth or debt reduction</w:t>
            </w:r>
          </w:p>
        </w:tc>
      </w:tr>
      <w:tr w:rsidR="004569D0" w14:paraId="2D885AAB" w14:textId="77777777">
        <w:tblPrEx>
          <w:tblCellMar>
            <w:top w:w="0" w:type="dxa"/>
            <w:bottom w:w="0" w:type="dxa"/>
          </w:tblCellMar>
        </w:tblPrEx>
        <w:tc>
          <w:tcPr>
            <w:tcW w:w="1900" w:type="dxa"/>
            <w:tcMar>
              <w:top w:w="40" w:type="dxa"/>
              <w:left w:w="80" w:type="dxa"/>
              <w:bottom w:w="40" w:type="dxa"/>
              <w:right w:w="80" w:type="dxa"/>
            </w:tcMar>
          </w:tcPr>
          <w:p w14:paraId="2A03CE3D" w14:textId="77777777" w:rsidR="004569D0" w:rsidRDefault="00184DA1">
            <w:pPr>
              <w:spacing w:line="240" w:lineRule="auto"/>
            </w:pPr>
            <w:r>
              <w:rPr>
                <w:b/>
                <w:bCs/>
                <w:color w:val="000000"/>
                <w:sz w:val="20"/>
                <w:szCs w:val="20"/>
              </w:rPr>
              <w:t>12–24 months</w:t>
            </w:r>
          </w:p>
        </w:tc>
        <w:tc>
          <w:tcPr>
            <w:tcW w:w="2600" w:type="dxa"/>
            <w:tcMar>
              <w:top w:w="40" w:type="dxa"/>
              <w:left w:w="80" w:type="dxa"/>
              <w:bottom w:w="40" w:type="dxa"/>
              <w:right w:w="80" w:type="dxa"/>
            </w:tcMar>
          </w:tcPr>
          <w:p w14:paraId="6F0BB08E" w14:textId="77777777" w:rsidR="004569D0" w:rsidRDefault="00184DA1">
            <w:pPr>
              <w:spacing w:line="240" w:lineRule="auto"/>
              <w:jc w:val="center"/>
            </w:pPr>
            <w:r>
              <w:rPr>
                <w:color w:val="000000"/>
                <w:sz w:val="20"/>
                <w:szCs w:val="20"/>
              </w:rPr>
              <w:t>Selective premium bolt-on acquisitions</w:t>
            </w:r>
          </w:p>
        </w:tc>
        <w:tc>
          <w:tcPr>
            <w:tcW w:w="2500" w:type="dxa"/>
            <w:tcMar>
              <w:top w:w="40" w:type="dxa"/>
              <w:left w:w="80" w:type="dxa"/>
              <w:bottom w:w="40" w:type="dxa"/>
              <w:right w:w="80" w:type="dxa"/>
            </w:tcMar>
          </w:tcPr>
          <w:p w14:paraId="2E8132D8" w14:textId="77777777" w:rsidR="004569D0" w:rsidRDefault="00184DA1">
            <w:pPr>
              <w:spacing w:line="240" w:lineRule="auto"/>
              <w:jc w:val="center"/>
            </w:pPr>
            <w:r>
              <w:rPr>
                <w:color w:val="000000"/>
                <w:sz w:val="20"/>
                <w:szCs w:val="20"/>
              </w:rPr>
              <w:t>EV/EBITDA at or below sector median; accretive to fee margin</w:t>
            </w:r>
          </w:p>
        </w:tc>
      </w:tr>
      <w:tr w:rsidR="004569D0" w14:paraId="61848A8E" w14:textId="77777777">
        <w:tblPrEx>
          <w:tblCellMar>
            <w:top w:w="0" w:type="dxa"/>
            <w:bottom w:w="0" w:type="dxa"/>
          </w:tblCellMar>
        </w:tblPrEx>
        <w:tc>
          <w:tcPr>
            <w:tcW w:w="1900" w:type="dxa"/>
            <w:shd w:val="clear" w:color="auto" w:fill="D9E1F2"/>
            <w:tcMar>
              <w:top w:w="40" w:type="dxa"/>
              <w:left w:w="80" w:type="dxa"/>
              <w:bottom w:w="40" w:type="dxa"/>
              <w:right w:w="80" w:type="dxa"/>
            </w:tcMar>
          </w:tcPr>
          <w:p w14:paraId="630B0F8F" w14:textId="77777777" w:rsidR="004569D0" w:rsidRDefault="00184DA1">
            <w:pPr>
              <w:spacing w:line="240" w:lineRule="auto"/>
            </w:pPr>
            <w:r>
              <w:rPr>
                <w:b/>
                <w:bCs/>
                <w:color w:val="000000"/>
                <w:sz w:val="20"/>
                <w:szCs w:val="20"/>
              </w:rPr>
              <w:t>12–36 months</w:t>
            </w:r>
          </w:p>
        </w:tc>
        <w:tc>
          <w:tcPr>
            <w:tcW w:w="2600" w:type="dxa"/>
            <w:shd w:val="clear" w:color="auto" w:fill="D9E1F2"/>
            <w:tcMar>
              <w:top w:w="40" w:type="dxa"/>
              <w:left w:w="80" w:type="dxa"/>
              <w:bottom w:w="40" w:type="dxa"/>
              <w:right w:w="80" w:type="dxa"/>
            </w:tcMar>
          </w:tcPr>
          <w:p w14:paraId="3A60DF0E" w14:textId="77777777" w:rsidR="004569D0" w:rsidRDefault="00184DA1">
            <w:pPr>
              <w:spacing w:line="240" w:lineRule="auto"/>
              <w:jc w:val="center"/>
            </w:pPr>
            <w:r>
              <w:rPr>
                <w:color w:val="000000"/>
                <w:sz w:val="20"/>
                <w:szCs w:val="20"/>
              </w:rPr>
              <w:t>Refinance maturing bonds proactively</w:t>
            </w:r>
          </w:p>
        </w:tc>
        <w:tc>
          <w:tcPr>
            <w:tcW w:w="2500" w:type="dxa"/>
            <w:shd w:val="clear" w:color="auto" w:fill="D9E1F2"/>
            <w:tcMar>
              <w:top w:w="40" w:type="dxa"/>
              <w:left w:w="80" w:type="dxa"/>
              <w:bottom w:w="40" w:type="dxa"/>
              <w:right w:w="80" w:type="dxa"/>
            </w:tcMar>
          </w:tcPr>
          <w:p w14:paraId="3159EA76" w14:textId="77777777" w:rsidR="004569D0" w:rsidRDefault="00184DA1">
            <w:pPr>
              <w:spacing w:line="240" w:lineRule="auto"/>
              <w:jc w:val="center"/>
            </w:pPr>
            <w:r>
              <w:rPr>
                <w:color w:val="000000"/>
                <w:sz w:val="20"/>
                <w:szCs w:val="20"/>
              </w:rPr>
              <w:t>Maintain BBB/Baa2 rating; stagger maturities</w:t>
            </w:r>
          </w:p>
        </w:tc>
      </w:tr>
      <w:tr w:rsidR="004569D0" w14:paraId="2D36B0E1" w14:textId="77777777">
        <w:tblPrEx>
          <w:tblCellMar>
            <w:top w:w="0" w:type="dxa"/>
            <w:bottom w:w="0" w:type="dxa"/>
          </w:tblCellMar>
        </w:tblPrEx>
        <w:tc>
          <w:tcPr>
            <w:tcW w:w="1900" w:type="dxa"/>
            <w:tcMar>
              <w:top w:w="40" w:type="dxa"/>
              <w:left w:w="80" w:type="dxa"/>
              <w:bottom w:w="40" w:type="dxa"/>
              <w:right w:w="80" w:type="dxa"/>
            </w:tcMar>
          </w:tcPr>
          <w:p w14:paraId="34C453AF" w14:textId="77777777" w:rsidR="004569D0" w:rsidRDefault="00184DA1">
            <w:pPr>
              <w:spacing w:line="240" w:lineRule="auto"/>
            </w:pPr>
            <w:r>
              <w:rPr>
                <w:b/>
                <w:bCs/>
                <w:color w:val="000000"/>
                <w:sz w:val="20"/>
                <w:szCs w:val="20"/>
              </w:rPr>
              <w:t>Ongoing</w:t>
            </w:r>
          </w:p>
        </w:tc>
        <w:tc>
          <w:tcPr>
            <w:tcW w:w="2600" w:type="dxa"/>
            <w:tcMar>
              <w:top w:w="40" w:type="dxa"/>
              <w:left w:w="80" w:type="dxa"/>
              <w:bottom w:w="40" w:type="dxa"/>
              <w:right w:w="80" w:type="dxa"/>
            </w:tcMar>
          </w:tcPr>
          <w:p w14:paraId="6ACB4234" w14:textId="77777777" w:rsidR="004569D0" w:rsidRDefault="00184DA1">
            <w:pPr>
              <w:spacing w:line="240" w:lineRule="auto"/>
              <w:jc w:val="center"/>
            </w:pPr>
            <w:r>
              <w:rPr>
                <w:color w:val="000000"/>
                <w:sz w:val="20"/>
                <w:szCs w:val="20"/>
              </w:rPr>
              <w:t>Return surplus capital only after headroom secured</w:t>
            </w:r>
          </w:p>
        </w:tc>
        <w:tc>
          <w:tcPr>
            <w:tcW w:w="2500" w:type="dxa"/>
            <w:tcMar>
              <w:top w:w="40" w:type="dxa"/>
              <w:left w:w="80" w:type="dxa"/>
              <w:bottom w:w="40" w:type="dxa"/>
              <w:right w:w="80" w:type="dxa"/>
            </w:tcMar>
          </w:tcPr>
          <w:p w14:paraId="12B7B8BC" w14:textId="77777777" w:rsidR="004569D0" w:rsidRDefault="00184DA1">
            <w:pPr>
              <w:spacing w:line="240" w:lineRule="auto"/>
              <w:jc w:val="center"/>
            </w:pPr>
            <w:r>
              <w:rPr>
                <w:color w:val="000000"/>
                <w:sz w:val="20"/>
                <w:szCs w:val="20"/>
              </w:rPr>
              <w:t>Buybacks funded from free cash flow, not incremental debt</w:t>
            </w:r>
          </w:p>
        </w:tc>
      </w:tr>
    </w:tbl>
    <w:p w14:paraId="262C8480" w14:textId="77777777" w:rsidR="004569D0" w:rsidRDefault="00184DA1">
      <w:pPr>
        <w:spacing w:after="160"/>
        <w:jc w:val="both"/>
      </w:pPr>
      <w:r>
        <w:t>The plan's central discipline is that shareholder returns are the residual, funded only once growth investment and an internally-set leverage buffer are secured, which directly addresses the vulnerability identified above that debt-financed buybacks erode resilience. Divestiture of any remaining owned assets reinforces the asset-light model and, on the evidence, tends to be value-accretive (Feldman, 2016), while acquisitions are gated by a valuation ceiling to avoid the overpayment that commonly destroys me</w:t>
      </w:r>
      <w:r>
        <w:t>rger value.</w:t>
      </w:r>
    </w:p>
    <w:p w14:paraId="14E3F766" w14:textId="77777777" w:rsidR="004569D0" w:rsidRDefault="00184DA1">
      <w:pPr>
        <w:pStyle w:val="Heading2"/>
      </w:pPr>
      <w:bookmarkStart w:id="14" w:name="_Toc237517880"/>
      <w:r>
        <w:t>4.4 International and ethical considerations</w:t>
      </w:r>
      <w:bookmarkEnd w:id="14"/>
    </w:p>
    <w:p w14:paraId="0896AFD1" w14:textId="77777777" w:rsidR="004569D0" w:rsidRDefault="00184DA1">
      <w:pPr>
        <w:spacing w:after="160"/>
        <w:jc w:val="both"/>
      </w:pPr>
      <w:r>
        <w:t>As a global operator, IHG faces material currency, inflation and taxation exposures. Earnings arise in many currencies but are reported in United States dollars, so translation risk affects reported results, as the group itself notes in flagging adverse currency impacts on operating profit (IHG, 2026). Cross-border operations also raise transfer-pricing and tax-transparency obligations, where aggressive tax planning would create reputational as well as regulatory risk. Inflation raises operating and constru</w:t>
      </w:r>
      <w:r>
        <w:t xml:space="preserve">ction costs and can compress margins if it cannot be passed to guests, a pressure evident in flat real revenue per available room across 2025 (PwC, 2026). Finally, environmental, social and governance considerations are increasingly financially material: the group's responsible-business commitments affect financing terms and investor appetite, and a credible corporate responsibility strategy is now a </w:t>
      </w:r>
      <w:r>
        <w:lastRenderedPageBreak/>
        <w:t>baseline expectation rather than a differentiator. A sound restructuring plan must therefore integrate these</w:t>
      </w:r>
      <w:r>
        <w:t xml:space="preserve"> considerations rather than treat them as an afterthought, as summarised in Table 9.</w:t>
      </w:r>
    </w:p>
    <w:p w14:paraId="17E39B67" w14:textId="77777777" w:rsidR="004569D0" w:rsidRDefault="00184DA1">
      <w:pPr>
        <w:spacing w:before="60" w:after="160" w:line="240" w:lineRule="auto"/>
      </w:pPr>
      <w:r>
        <w:rPr>
          <w:i/>
          <w:iCs/>
          <w:sz w:val="20"/>
          <w:szCs w:val="20"/>
        </w:rPr>
        <w:t>Table 9. International and ethical risks with mitigations. Source: author's analysis.</w:t>
      </w:r>
    </w:p>
    <w:tbl>
      <w:tblPr>
        <w:tblW w:w="7100" w:type="dxa"/>
        <w:tblBorders>
          <w:top w:val="single" w:sz="2" w:space="0" w:color="7F7F7F"/>
          <w:left w:val="single" w:sz="2" w:space="0" w:color="7F7F7F"/>
          <w:bottom w:val="single" w:sz="2" w:space="0" w:color="7F7F7F"/>
          <w:right w:val="single" w:sz="2" w:space="0" w:color="7F7F7F"/>
          <w:insideH w:val="single" w:sz="1" w:space="0" w:color="BFBFBF"/>
          <w:insideV w:val="single" w:sz="1" w:space="0" w:color="BFBFBF"/>
        </w:tblBorders>
        <w:tblCellMar>
          <w:left w:w="10" w:type="dxa"/>
          <w:right w:w="10" w:type="dxa"/>
        </w:tblCellMar>
        <w:tblLook w:val="0000" w:firstRow="0" w:lastRow="0" w:firstColumn="0" w:lastColumn="0" w:noHBand="0" w:noVBand="0"/>
      </w:tblPr>
      <w:tblGrid>
        <w:gridCol w:w="1600"/>
        <w:gridCol w:w="2500"/>
        <w:gridCol w:w="3000"/>
      </w:tblGrid>
      <w:tr w:rsidR="004569D0" w14:paraId="24F6D28D" w14:textId="77777777">
        <w:tblPrEx>
          <w:tblCellMar>
            <w:top w:w="0" w:type="dxa"/>
            <w:bottom w:w="0" w:type="dxa"/>
          </w:tblCellMar>
        </w:tblPrEx>
        <w:trPr>
          <w:tblHeader/>
        </w:trPr>
        <w:tc>
          <w:tcPr>
            <w:tcW w:w="1600" w:type="dxa"/>
            <w:shd w:val="clear" w:color="auto" w:fill="1F3864"/>
            <w:tcMar>
              <w:top w:w="40" w:type="dxa"/>
              <w:left w:w="80" w:type="dxa"/>
              <w:bottom w:w="40" w:type="dxa"/>
              <w:right w:w="80" w:type="dxa"/>
            </w:tcMar>
          </w:tcPr>
          <w:p w14:paraId="11CD73EB" w14:textId="77777777" w:rsidR="004569D0" w:rsidRDefault="00184DA1">
            <w:pPr>
              <w:spacing w:line="240" w:lineRule="auto"/>
            </w:pPr>
            <w:r>
              <w:rPr>
                <w:b/>
                <w:bCs/>
                <w:color w:val="FFFFFF"/>
                <w:sz w:val="20"/>
                <w:szCs w:val="20"/>
              </w:rPr>
              <w:t>Risk</w:t>
            </w:r>
          </w:p>
        </w:tc>
        <w:tc>
          <w:tcPr>
            <w:tcW w:w="2500" w:type="dxa"/>
            <w:shd w:val="clear" w:color="auto" w:fill="1F3864"/>
            <w:tcMar>
              <w:top w:w="40" w:type="dxa"/>
              <w:left w:w="80" w:type="dxa"/>
              <w:bottom w:w="40" w:type="dxa"/>
              <w:right w:w="80" w:type="dxa"/>
            </w:tcMar>
          </w:tcPr>
          <w:p w14:paraId="11E4CC60" w14:textId="77777777" w:rsidR="004569D0" w:rsidRDefault="00184DA1">
            <w:pPr>
              <w:spacing w:line="240" w:lineRule="auto"/>
              <w:jc w:val="center"/>
            </w:pPr>
            <w:r>
              <w:rPr>
                <w:b/>
                <w:bCs/>
                <w:color w:val="FFFFFF"/>
                <w:sz w:val="20"/>
                <w:szCs w:val="20"/>
              </w:rPr>
              <w:t>Exposure for IHG</w:t>
            </w:r>
          </w:p>
        </w:tc>
        <w:tc>
          <w:tcPr>
            <w:tcW w:w="3000" w:type="dxa"/>
            <w:shd w:val="clear" w:color="auto" w:fill="1F3864"/>
            <w:tcMar>
              <w:top w:w="40" w:type="dxa"/>
              <w:left w:w="80" w:type="dxa"/>
              <w:bottom w:w="40" w:type="dxa"/>
              <w:right w:w="80" w:type="dxa"/>
            </w:tcMar>
          </w:tcPr>
          <w:p w14:paraId="118135BA" w14:textId="77777777" w:rsidR="004569D0" w:rsidRDefault="00184DA1">
            <w:pPr>
              <w:spacing w:line="240" w:lineRule="auto"/>
              <w:jc w:val="center"/>
            </w:pPr>
            <w:r>
              <w:rPr>
                <w:b/>
                <w:bCs/>
                <w:color w:val="FFFFFF"/>
                <w:sz w:val="20"/>
                <w:szCs w:val="20"/>
              </w:rPr>
              <w:t>Mitigation</w:t>
            </w:r>
          </w:p>
        </w:tc>
      </w:tr>
      <w:tr w:rsidR="004569D0" w14:paraId="40176D1D" w14:textId="77777777">
        <w:tblPrEx>
          <w:tblCellMar>
            <w:top w:w="0" w:type="dxa"/>
            <w:bottom w:w="0" w:type="dxa"/>
          </w:tblCellMar>
        </w:tblPrEx>
        <w:tc>
          <w:tcPr>
            <w:tcW w:w="1600" w:type="dxa"/>
            <w:tcMar>
              <w:top w:w="40" w:type="dxa"/>
              <w:left w:w="80" w:type="dxa"/>
              <w:bottom w:w="40" w:type="dxa"/>
              <w:right w:w="80" w:type="dxa"/>
            </w:tcMar>
          </w:tcPr>
          <w:p w14:paraId="2BF8249F" w14:textId="77777777" w:rsidR="004569D0" w:rsidRDefault="00184DA1">
            <w:pPr>
              <w:spacing w:line="240" w:lineRule="auto"/>
            </w:pPr>
            <w:r>
              <w:rPr>
                <w:b/>
                <w:bCs/>
                <w:color w:val="000000"/>
                <w:sz w:val="20"/>
                <w:szCs w:val="20"/>
              </w:rPr>
              <w:t>Currency</w:t>
            </w:r>
          </w:p>
        </w:tc>
        <w:tc>
          <w:tcPr>
            <w:tcW w:w="2500" w:type="dxa"/>
            <w:tcMar>
              <w:top w:w="40" w:type="dxa"/>
              <w:left w:w="80" w:type="dxa"/>
              <w:bottom w:w="40" w:type="dxa"/>
              <w:right w:w="80" w:type="dxa"/>
            </w:tcMar>
          </w:tcPr>
          <w:p w14:paraId="69A1A07B" w14:textId="77777777" w:rsidR="004569D0" w:rsidRDefault="00184DA1">
            <w:pPr>
              <w:spacing w:line="240" w:lineRule="auto"/>
              <w:jc w:val="center"/>
            </w:pPr>
            <w:r>
              <w:rPr>
                <w:color w:val="000000"/>
                <w:sz w:val="20"/>
                <w:szCs w:val="20"/>
              </w:rPr>
              <w:t>USD reporting of multi-currency earnings</w:t>
            </w:r>
          </w:p>
        </w:tc>
        <w:tc>
          <w:tcPr>
            <w:tcW w:w="3000" w:type="dxa"/>
            <w:tcMar>
              <w:top w:w="40" w:type="dxa"/>
              <w:left w:w="80" w:type="dxa"/>
              <w:bottom w:w="40" w:type="dxa"/>
              <w:right w:w="80" w:type="dxa"/>
            </w:tcMar>
          </w:tcPr>
          <w:p w14:paraId="78967BC7" w14:textId="77777777" w:rsidR="004569D0" w:rsidRDefault="00184DA1">
            <w:pPr>
              <w:spacing w:line="240" w:lineRule="auto"/>
              <w:jc w:val="center"/>
            </w:pPr>
            <w:r>
              <w:rPr>
                <w:color w:val="000000"/>
                <w:sz w:val="20"/>
                <w:szCs w:val="20"/>
              </w:rPr>
              <w:t>Currency swaps on euro bonds; natural hedging</w:t>
            </w:r>
          </w:p>
        </w:tc>
      </w:tr>
      <w:tr w:rsidR="004569D0" w14:paraId="38669C4B" w14:textId="77777777">
        <w:tblPrEx>
          <w:tblCellMar>
            <w:top w:w="0" w:type="dxa"/>
            <w:bottom w:w="0" w:type="dxa"/>
          </w:tblCellMar>
        </w:tblPrEx>
        <w:tc>
          <w:tcPr>
            <w:tcW w:w="1600" w:type="dxa"/>
            <w:shd w:val="clear" w:color="auto" w:fill="D9E1F2"/>
            <w:tcMar>
              <w:top w:w="40" w:type="dxa"/>
              <w:left w:w="80" w:type="dxa"/>
              <w:bottom w:w="40" w:type="dxa"/>
              <w:right w:w="80" w:type="dxa"/>
            </w:tcMar>
          </w:tcPr>
          <w:p w14:paraId="5DC1DA0F" w14:textId="77777777" w:rsidR="004569D0" w:rsidRDefault="00184DA1">
            <w:pPr>
              <w:spacing w:line="240" w:lineRule="auto"/>
            </w:pPr>
            <w:r>
              <w:rPr>
                <w:b/>
                <w:bCs/>
                <w:color w:val="000000"/>
                <w:sz w:val="20"/>
                <w:szCs w:val="20"/>
              </w:rPr>
              <w:t>Inflation</w:t>
            </w:r>
          </w:p>
        </w:tc>
        <w:tc>
          <w:tcPr>
            <w:tcW w:w="2500" w:type="dxa"/>
            <w:shd w:val="clear" w:color="auto" w:fill="D9E1F2"/>
            <w:tcMar>
              <w:top w:w="40" w:type="dxa"/>
              <w:left w:w="80" w:type="dxa"/>
              <w:bottom w:w="40" w:type="dxa"/>
              <w:right w:w="80" w:type="dxa"/>
            </w:tcMar>
          </w:tcPr>
          <w:p w14:paraId="70D75A32" w14:textId="77777777" w:rsidR="004569D0" w:rsidRDefault="00184DA1">
            <w:pPr>
              <w:spacing w:line="240" w:lineRule="auto"/>
              <w:jc w:val="center"/>
            </w:pPr>
            <w:r>
              <w:rPr>
                <w:color w:val="000000"/>
                <w:sz w:val="20"/>
                <w:szCs w:val="20"/>
              </w:rPr>
              <w:t>Rising labour and construction costs</w:t>
            </w:r>
          </w:p>
        </w:tc>
        <w:tc>
          <w:tcPr>
            <w:tcW w:w="3000" w:type="dxa"/>
            <w:shd w:val="clear" w:color="auto" w:fill="D9E1F2"/>
            <w:tcMar>
              <w:top w:w="40" w:type="dxa"/>
              <w:left w:w="80" w:type="dxa"/>
              <w:bottom w:w="40" w:type="dxa"/>
              <w:right w:w="80" w:type="dxa"/>
            </w:tcMar>
          </w:tcPr>
          <w:p w14:paraId="10AC2DD2" w14:textId="77777777" w:rsidR="004569D0" w:rsidRDefault="00184DA1">
            <w:pPr>
              <w:spacing w:line="240" w:lineRule="auto"/>
              <w:jc w:val="center"/>
            </w:pPr>
            <w:r>
              <w:rPr>
                <w:color w:val="000000"/>
                <w:sz w:val="20"/>
                <w:szCs w:val="20"/>
              </w:rPr>
              <w:t>Fee model passes cost to owners; cost-efficiency programme</w:t>
            </w:r>
          </w:p>
        </w:tc>
      </w:tr>
      <w:tr w:rsidR="004569D0" w14:paraId="6739B8BA" w14:textId="77777777">
        <w:tblPrEx>
          <w:tblCellMar>
            <w:top w:w="0" w:type="dxa"/>
            <w:bottom w:w="0" w:type="dxa"/>
          </w:tblCellMar>
        </w:tblPrEx>
        <w:tc>
          <w:tcPr>
            <w:tcW w:w="1600" w:type="dxa"/>
            <w:tcMar>
              <w:top w:w="40" w:type="dxa"/>
              <w:left w:w="80" w:type="dxa"/>
              <w:bottom w:w="40" w:type="dxa"/>
              <w:right w:w="80" w:type="dxa"/>
            </w:tcMar>
          </w:tcPr>
          <w:p w14:paraId="5386BC44" w14:textId="77777777" w:rsidR="004569D0" w:rsidRDefault="00184DA1">
            <w:pPr>
              <w:spacing w:line="240" w:lineRule="auto"/>
            </w:pPr>
            <w:r>
              <w:rPr>
                <w:b/>
                <w:bCs/>
                <w:color w:val="000000"/>
                <w:sz w:val="20"/>
                <w:szCs w:val="20"/>
              </w:rPr>
              <w:t>Taxation</w:t>
            </w:r>
          </w:p>
        </w:tc>
        <w:tc>
          <w:tcPr>
            <w:tcW w:w="2500" w:type="dxa"/>
            <w:tcMar>
              <w:top w:w="40" w:type="dxa"/>
              <w:left w:w="80" w:type="dxa"/>
              <w:bottom w:w="40" w:type="dxa"/>
              <w:right w:w="80" w:type="dxa"/>
            </w:tcMar>
          </w:tcPr>
          <w:p w14:paraId="72F1606E" w14:textId="77777777" w:rsidR="004569D0" w:rsidRDefault="00184DA1">
            <w:pPr>
              <w:spacing w:line="240" w:lineRule="auto"/>
              <w:jc w:val="center"/>
            </w:pPr>
            <w:r>
              <w:rPr>
                <w:color w:val="000000"/>
                <w:sz w:val="20"/>
                <w:szCs w:val="20"/>
              </w:rPr>
              <w:t>Transfer pricing across jurisdictions</w:t>
            </w:r>
          </w:p>
        </w:tc>
        <w:tc>
          <w:tcPr>
            <w:tcW w:w="3000" w:type="dxa"/>
            <w:tcMar>
              <w:top w:w="40" w:type="dxa"/>
              <w:left w:w="80" w:type="dxa"/>
              <w:bottom w:w="40" w:type="dxa"/>
              <w:right w:w="80" w:type="dxa"/>
            </w:tcMar>
          </w:tcPr>
          <w:p w14:paraId="310D5319" w14:textId="77777777" w:rsidR="004569D0" w:rsidRDefault="00184DA1">
            <w:pPr>
              <w:spacing w:line="240" w:lineRule="auto"/>
              <w:jc w:val="center"/>
            </w:pPr>
            <w:r>
              <w:rPr>
                <w:color w:val="000000"/>
                <w:sz w:val="20"/>
                <w:szCs w:val="20"/>
              </w:rPr>
              <w:t>Transparent tax policy; avoid aggressive planning</w:t>
            </w:r>
          </w:p>
        </w:tc>
      </w:tr>
      <w:tr w:rsidR="004569D0" w14:paraId="39E12EF2" w14:textId="77777777">
        <w:tblPrEx>
          <w:tblCellMar>
            <w:top w:w="0" w:type="dxa"/>
            <w:bottom w:w="0" w:type="dxa"/>
          </w:tblCellMar>
        </w:tblPrEx>
        <w:tc>
          <w:tcPr>
            <w:tcW w:w="1600" w:type="dxa"/>
            <w:shd w:val="clear" w:color="auto" w:fill="D9E1F2"/>
            <w:tcMar>
              <w:top w:w="40" w:type="dxa"/>
              <w:left w:w="80" w:type="dxa"/>
              <w:bottom w:w="40" w:type="dxa"/>
              <w:right w:w="80" w:type="dxa"/>
            </w:tcMar>
          </w:tcPr>
          <w:p w14:paraId="2C709ED3" w14:textId="77777777" w:rsidR="004569D0" w:rsidRDefault="00184DA1">
            <w:pPr>
              <w:spacing w:line="240" w:lineRule="auto"/>
            </w:pPr>
            <w:r>
              <w:rPr>
                <w:b/>
                <w:bCs/>
                <w:color w:val="000000"/>
                <w:sz w:val="20"/>
                <w:szCs w:val="20"/>
              </w:rPr>
              <w:t>ESG / CSR</w:t>
            </w:r>
          </w:p>
        </w:tc>
        <w:tc>
          <w:tcPr>
            <w:tcW w:w="2500" w:type="dxa"/>
            <w:shd w:val="clear" w:color="auto" w:fill="D9E1F2"/>
            <w:tcMar>
              <w:top w:w="40" w:type="dxa"/>
              <w:left w:w="80" w:type="dxa"/>
              <w:bottom w:w="40" w:type="dxa"/>
              <w:right w:w="80" w:type="dxa"/>
            </w:tcMar>
          </w:tcPr>
          <w:p w14:paraId="7789C3AA" w14:textId="77777777" w:rsidR="004569D0" w:rsidRDefault="00184DA1">
            <w:pPr>
              <w:spacing w:line="240" w:lineRule="auto"/>
              <w:jc w:val="center"/>
            </w:pPr>
            <w:r>
              <w:rPr>
                <w:color w:val="000000"/>
                <w:sz w:val="20"/>
                <w:szCs w:val="20"/>
              </w:rPr>
              <w:t>Financing terms and investor appetite</w:t>
            </w:r>
          </w:p>
        </w:tc>
        <w:tc>
          <w:tcPr>
            <w:tcW w:w="3000" w:type="dxa"/>
            <w:shd w:val="clear" w:color="auto" w:fill="D9E1F2"/>
            <w:tcMar>
              <w:top w:w="40" w:type="dxa"/>
              <w:left w:w="80" w:type="dxa"/>
              <w:bottom w:w="40" w:type="dxa"/>
              <w:right w:w="80" w:type="dxa"/>
            </w:tcMar>
          </w:tcPr>
          <w:p w14:paraId="7B2447BE" w14:textId="77777777" w:rsidR="004569D0" w:rsidRDefault="00184DA1">
            <w:pPr>
              <w:spacing w:line="240" w:lineRule="auto"/>
              <w:jc w:val="center"/>
            </w:pPr>
            <w:r>
              <w:rPr>
                <w:color w:val="000000"/>
                <w:sz w:val="20"/>
                <w:szCs w:val="20"/>
              </w:rPr>
              <w:t>Journey to Tomorrow 2030 commitments; credible reporting</w:t>
            </w:r>
          </w:p>
        </w:tc>
      </w:tr>
    </w:tbl>
    <w:p w14:paraId="0ED2DB8D" w14:textId="77777777" w:rsidR="004569D0" w:rsidRDefault="00184DA1">
      <w:pPr>
        <w:pStyle w:val="Heading1"/>
      </w:pPr>
      <w:bookmarkStart w:id="15" w:name="_Toc237517881"/>
      <w:r>
        <w:t>5. Investment Appraisal and Capital Budgeting</w:t>
      </w:r>
      <w:bookmarkEnd w:id="15"/>
    </w:p>
    <w:p w14:paraId="4A3D5756" w14:textId="77777777" w:rsidR="004569D0" w:rsidRDefault="00184DA1">
      <w:pPr>
        <w:spacing w:after="160"/>
        <w:jc w:val="both"/>
      </w:pPr>
      <w:r>
        <w:t>The Board is considering three mutually competing projects, each requiring an initial outlay of £50m and generating cash inflows over five years, appraised at a discount rate of 8% with straight-line depreciation to zero. Table 6 presents the results of five appraisal techniques; supporting calculations are in Appendix B.</w:t>
      </w:r>
    </w:p>
    <w:p w14:paraId="2E4C510A" w14:textId="77777777" w:rsidR="004569D0" w:rsidRDefault="00184DA1">
      <w:pPr>
        <w:spacing w:before="60" w:after="160" w:line="240" w:lineRule="auto"/>
      </w:pPr>
      <w:r>
        <w:rPr>
          <w:i/>
          <w:iCs/>
          <w:sz w:val="20"/>
          <w:szCs w:val="20"/>
        </w:rPr>
        <w:t>Table 6. Investment appraisal results for Projects A, B and C. Source: author's calculations (Appendix B).</w:t>
      </w:r>
    </w:p>
    <w:tbl>
      <w:tblPr>
        <w:tblW w:w="7000" w:type="dxa"/>
        <w:tblBorders>
          <w:top w:val="single" w:sz="2" w:space="0" w:color="7F7F7F"/>
          <w:left w:val="single" w:sz="2" w:space="0" w:color="7F7F7F"/>
          <w:bottom w:val="single" w:sz="2" w:space="0" w:color="7F7F7F"/>
          <w:right w:val="single" w:sz="2" w:space="0" w:color="7F7F7F"/>
          <w:insideH w:val="single" w:sz="1" w:space="0" w:color="BFBFBF"/>
          <w:insideV w:val="single" w:sz="1" w:space="0" w:color="BFBFBF"/>
        </w:tblBorders>
        <w:tblCellMar>
          <w:left w:w="10" w:type="dxa"/>
          <w:right w:w="10" w:type="dxa"/>
        </w:tblCellMar>
        <w:tblLook w:val="0000" w:firstRow="0" w:lastRow="0" w:firstColumn="0" w:lastColumn="0" w:noHBand="0" w:noVBand="0"/>
      </w:tblPr>
      <w:tblGrid>
        <w:gridCol w:w="2600"/>
        <w:gridCol w:w="1467"/>
        <w:gridCol w:w="1467"/>
        <w:gridCol w:w="1466"/>
      </w:tblGrid>
      <w:tr w:rsidR="004569D0" w14:paraId="68725B3D" w14:textId="77777777">
        <w:tblPrEx>
          <w:tblCellMar>
            <w:top w:w="0" w:type="dxa"/>
            <w:bottom w:w="0" w:type="dxa"/>
          </w:tblCellMar>
        </w:tblPrEx>
        <w:trPr>
          <w:tblHeader/>
        </w:trPr>
        <w:tc>
          <w:tcPr>
            <w:tcW w:w="2600" w:type="dxa"/>
            <w:shd w:val="clear" w:color="auto" w:fill="1F3864"/>
            <w:tcMar>
              <w:top w:w="40" w:type="dxa"/>
              <w:left w:w="80" w:type="dxa"/>
              <w:bottom w:w="40" w:type="dxa"/>
              <w:right w:w="80" w:type="dxa"/>
            </w:tcMar>
          </w:tcPr>
          <w:p w14:paraId="40CDBB75" w14:textId="77777777" w:rsidR="004569D0" w:rsidRDefault="00184DA1">
            <w:pPr>
              <w:spacing w:line="240" w:lineRule="auto"/>
            </w:pPr>
            <w:r>
              <w:rPr>
                <w:b/>
                <w:bCs/>
                <w:color w:val="FFFFFF"/>
                <w:sz w:val="20"/>
                <w:szCs w:val="20"/>
              </w:rPr>
              <w:t>Technique</w:t>
            </w:r>
          </w:p>
        </w:tc>
        <w:tc>
          <w:tcPr>
            <w:tcW w:w="1467" w:type="dxa"/>
            <w:shd w:val="clear" w:color="auto" w:fill="1F3864"/>
            <w:tcMar>
              <w:top w:w="40" w:type="dxa"/>
              <w:left w:w="80" w:type="dxa"/>
              <w:bottom w:w="40" w:type="dxa"/>
              <w:right w:w="80" w:type="dxa"/>
            </w:tcMar>
          </w:tcPr>
          <w:p w14:paraId="2F9D54A4" w14:textId="77777777" w:rsidR="004569D0" w:rsidRDefault="00184DA1">
            <w:pPr>
              <w:spacing w:line="240" w:lineRule="auto"/>
              <w:jc w:val="center"/>
            </w:pPr>
            <w:r>
              <w:rPr>
                <w:b/>
                <w:bCs/>
                <w:color w:val="FFFFFF"/>
                <w:sz w:val="20"/>
                <w:szCs w:val="20"/>
              </w:rPr>
              <w:t>Project A</w:t>
            </w:r>
          </w:p>
        </w:tc>
        <w:tc>
          <w:tcPr>
            <w:tcW w:w="1467" w:type="dxa"/>
            <w:shd w:val="clear" w:color="auto" w:fill="1F3864"/>
            <w:tcMar>
              <w:top w:w="40" w:type="dxa"/>
              <w:left w:w="80" w:type="dxa"/>
              <w:bottom w:w="40" w:type="dxa"/>
              <w:right w:w="80" w:type="dxa"/>
            </w:tcMar>
          </w:tcPr>
          <w:p w14:paraId="41C4E8F3" w14:textId="77777777" w:rsidR="004569D0" w:rsidRDefault="00184DA1">
            <w:pPr>
              <w:spacing w:line="240" w:lineRule="auto"/>
              <w:jc w:val="center"/>
            </w:pPr>
            <w:r>
              <w:rPr>
                <w:b/>
                <w:bCs/>
                <w:color w:val="FFFFFF"/>
                <w:sz w:val="20"/>
                <w:szCs w:val="20"/>
              </w:rPr>
              <w:t>Project B</w:t>
            </w:r>
          </w:p>
        </w:tc>
        <w:tc>
          <w:tcPr>
            <w:tcW w:w="1466" w:type="dxa"/>
            <w:shd w:val="clear" w:color="auto" w:fill="1F3864"/>
            <w:tcMar>
              <w:top w:w="40" w:type="dxa"/>
              <w:left w:w="80" w:type="dxa"/>
              <w:bottom w:w="40" w:type="dxa"/>
              <w:right w:w="80" w:type="dxa"/>
            </w:tcMar>
          </w:tcPr>
          <w:p w14:paraId="3A299628" w14:textId="77777777" w:rsidR="004569D0" w:rsidRDefault="00184DA1">
            <w:pPr>
              <w:spacing w:line="240" w:lineRule="auto"/>
              <w:jc w:val="center"/>
            </w:pPr>
            <w:r>
              <w:rPr>
                <w:b/>
                <w:bCs/>
                <w:color w:val="FFFFFF"/>
                <w:sz w:val="20"/>
                <w:szCs w:val="20"/>
              </w:rPr>
              <w:t>Project C</w:t>
            </w:r>
          </w:p>
        </w:tc>
      </w:tr>
      <w:tr w:rsidR="004569D0" w14:paraId="3C2CABE0" w14:textId="77777777">
        <w:tblPrEx>
          <w:tblCellMar>
            <w:top w:w="0" w:type="dxa"/>
            <w:bottom w:w="0" w:type="dxa"/>
          </w:tblCellMar>
        </w:tblPrEx>
        <w:tc>
          <w:tcPr>
            <w:tcW w:w="2600" w:type="dxa"/>
            <w:tcMar>
              <w:top w:w="40" w:type="dxa"/>
              <w:left w:w="80" w:type="dxa"/>
              <w:bottom w:w="40" w:type="dxa"/>
              <w:right w:w="80" w:type="dxa"/>
            </w:tcMar>
          </w:tcPr>
          <w:p w14:paraId="062323C8" w14:textId="77777777" w:rsidR="004569D0" w:rsidRDefault="00184DA1">
            <w:pPr>
              <w:spacing w:line="240" w:lineRule="auto"/>
            </w:pPr>
            <w:r>
              <w:rPr>
                <w:b/>
                <w:bCs/>
                <w:color w:val="000000"/>
                <w:sz w:val="20"/>
                <w:szCs w:val="20"/>
              </w:rPr>
              <w:t>Payback period (years)</w:t>
            </w:r>
          </w:p>
        </w:tc>
        <w:tc>
          <w:tcPr>
            <w:tcW w:w="1467" w:type="dxa"/>
            <w:tcMar>
              <w:top w:w="40" w:type="dxa"/>
              <w:left w:w="80" w:type="dxa"/>
              <w:bottom w:w="40" w:type="dxa"/>
              <w:right w:w="80" w:type="dxa"/>
            </w:tcMar>
          </w:tcPr>
          <w:p w14:paraId="0D20635C" w14:textId="77777777" w:rsidR="004569D0" w:rsidRDefault="00184DA1">
            <w:pPr>
              <w:spacing w:line="240" w:lineRule="auto"/>
              <w:jc w:val="center"/>
            </w:pPr>
            <w:r>
              <w:rPr>
                <w:color w:val="000000"/>
                <w:sz w:val="20"/>
                <w:szCs w:val="20"/>
              </w:rPr>
              <w:t>4.50</w:t>
            </w:r>
          </w:p>
        </w:tc>
        <w:tc>
          <w:tcPr>
            <w:tcW w:w="1467" w:type="dxa"/>
            <w:tcMar>
              <w:top w:w="40" w:type="dxa"/>
              <w:left w:w="80" w:type="dxa"/>
              <w:bottom w:w="40" w:type="dxa"/>
              <w:right w:w="80" w:type="dxa"/>
            </w:tcMar>
          </w:tcPr>
          <w:p w14:paraId="2E9080A3" w14:textId="77777777" w:rsidR="004569D0" w:rsidRDefault="00184DA1">
            <w:pPr>
              <w:spacing w:line="240" w:lineRule="auto"/>
              <w:jc w:val="center"/>
            </w:pPr>
            <w:r>
              <w:rPr>
                <w:color w:val="000000"/>
                <w:sz w:val="20"/>
                <w:szCs w:val="20"/>
              </w:rPr>
              <w:t>4.55</w:t>
            </w:r>
          </w:p>
        </w:tc>
        <w:tc>
          <w:tcPr>
            <w:tcW w:w="1466" w:type="dxa"/>
            <w:tcMar>
              <w:top w:w="40" w:type="dxa"/>
              <w:left w:w="80" w:type="dxa"/>
              <w:bottom w:w="40" w:type="dxa"/>
              <w:right w:w="80" w:type="dxa"/>
            </w:tcMar>
          </w:tcPr>
          <w:p w14:paraId="78A3BA3D" w14:textId="77777777" w:rsidR="004569D0" w:rsidRDefault="00184DA1">
            <w:pPr>
              <w:spacing w:line="240" w:lineRule="auto"/>
              <w:jc w:val="center"/>
            </w:pPr>
            <w:r>
              <w:rPr>
                <w:color w:val="000000"/>
                <w:sz w:val="20"/>
                <w:szCs w:val="20"/>
              </w:rPr>
              <w:t>3.60</w:t>
            </w:r>
          </w:p>
        </w:tc>
      </w:tr>
      <w:tr w:rsidR="004569D0" w14:paraId="67975591" w14:textId="77777777">
        <w:tblPrEx>
          <w:tblCellMar>
            <w:top w:w="0" w:type="dxa"/>
            <w:bottom w:w="0" w:type="dxa"/>
          </w:tblCellMar>
        </w:tblPrEx>
        <w:tc>
          <w:tcPr>
            <w:tcW w:w="2600" w:type="dxa"/>
            <w:shd w:val="clear" w:color="auto" w:fill="D9E1F2"/>
            <w:tcMar>
              <w:top w:w="40" w:type="dxa"/>
              <w:left w:w="80" w:type="dxa"/>
              <w:bottom w:w="40" w:type="dxa"/>
              <w:right w:w="80" w:type="dxa"/>
            </w:tcMar>
          </w:tcPr>
          <w:p w14:paraId="18CA71A4" w14:textId="77777777" w:rsidR="004569D0" w:rsidRDefault="00184DA1">
            <w:pPr>
              <w:spacing w:line="240" w:lineRule="auto"/>
            </w:pPr>
            <w:r>
              <w:rPr>
                <w:b/>
                <w:bCs/>
                <w:color w:val="000000"/>
                <w:sz w:val="20"/>
                <w:szCs w:val="20"/>
              </w:rPr>
              <w:t>Accounting rate of return*</w:t>
            </w:r>
          </w:p>
        </w:tc>
        <w:tc>
          <w:tcPr>
            <w:tcW w:w="1467" w:type="dxa"/>
            <w:shd w:val="clear" w:color="auto" w:fill="D9E1F2"/>
            <w:tcMar>
              <w:top w:w="40" w:type="dxa"/>
              <w:left w:w="80" w:type="dxa"/>
              <w:bottom w:w="40" w:type="dxa"/>
              <w:right w:w="80" w:type="dxa"/>
            </w:tcMar>
          </w:tcPr>
          <w:p w14:paraId="29765C13" w14:textId="77777777" w:rsidR="004569D0" w:rsidRDefault="00184DA1">
            <w:pPr>
              <w:spacing w:line="240" w:lineRule="auto"/>
              <w:jc w:val="center"/>
            </w:pPr>
            <w:r>
              <w:rPr>
                <w:color w:val="000000"/>
                <w:sz w:val="20"/>
                <w:szCs w:val="20"/>
              </w:rPr>
              <w:t>3.2%</w:t>
            </w:r>
          </w:p>
        </w:tc>
        <w:tc>
          <w:tcPr>
            <w:tcW w:w="1467" w:type="dxa"/>
            <w:shd w:val="clear" w:color="auto" w:fill="D9E1F2"/>
            <w:tcMar>
              <w:top w:w="40" w:type="dxa"/>
              <w:left w:w="80" w:type="dxa"/>
              <w:bottom w:w="40" w:type="dxa"/>
              <w:right w:w="80" w:type="dxa"/>
            </w:tcMar>
          </w:tcPr>
          <w:p w14:paraId="3CB700EC" w14:textId="77777777" w:rsidR="004569D0" w:rsidRDefault="00184DA1">
            <w:pPr>
              <w:spacing w:line="240" w:lineRule="auto"/>
              <w:jc w:val="center"/>
            </w:pPr>
            <w:r>
              <w:rPr>
                <w:color w:val="000000"/>
                <w:sz w:val="20"/>
                <w:szCs w:val="20"/>
              </w:rPr>
              <w:t>4.0%</w:t>
            </w:r>
          </w:p>
        </w:tc>
        <w:tc>
          <w:tcPr>
            <w:tcW w:w="1466" w:type="dxa"/>
            <w:shd w:val="clear" w:color="auto" w:fill="D9E1F2"/>
            <w:tcMar>
              <w:top w:w="40" w:type="dxa"/>
              <w:left w:w="80" w:type="dxa"/>
              <w:bottom w:w="40" w:type="dxa"/>
              <w:right w:w="80" w:type="dxa"/>
            </w:tcMar>
          </w:tcPr>
          <w:p w14:paraId="53AB242B" w14:textId="77777777" w:rsidR="004569D0" w:rsidRDefault="00184DA1">
            <w:pPr>
              <w:spacing w:line="240" w:lineRule="auto"/>
              <w:jc w:val="center"/>
            </w:pPr>
            <w:r>
              <w:rPr>
                <w:color w:val="000000"/>
                <w:sz w:val="20"/>
                <w:szCs w:val="20"/>
              </w:rPr>
              <w:t>12.0%</w:t>
            </w:r>
          </w:p>
        </w:tc>
      </w:tr>
      <w:tr w:rsidR="004569D0" w14:paraId="72137D98" w14:textId="77777777">
        <w:tblPrEx>
          <w:tblCellMar>
            <w:top w:w="0" w:type="dxa"/>
            <w:bottom w:w="0" w:type="dxa"/>
          </w:tblCellMar>
        </w:tblPrEx>
        <w:tc>
          <w:tcPr>
            <w:tcW w:w="2600" w:type="dxa"/>
            <w:tcMar>
              <w:top w:w="40" w:type="dxa"/>
              <w:left w:w="80" w:type="dxa"/>
              <w:bottom w:w="40" w:type="dxa"/>
              <w:right w:w="80" w:type="dxa"/>
            </w:tcMar>
          </w:tcPr>
          <w:p w14:paraId="33BA949C" w14:textId="77777777" w:rsidR="004569D0" w:rsidRDefault="00184DA1">
            <w:pPr>
              <w:spacing w:line="240" w:lineRule="auto"/>
            </w:pPr>
            <w:r>
              <w:rPr>
                <w:b/>
                <w:bCs/>
                <w:color w:val="000000"/>
                <w:sz w:val="20"/>
                <w:szCs w:val="20"/>
              </w:rPr>
              <w:t>Net present value (£m)</w:t>
            </w:r>
          </w:p>
        </w:tc>
        <w:tc>
          <w:tcPr>
            <w:tcW w:w="1467" w:type="dxa"/>
            <w:tcMar>
              <w:top w:w="40" w:type="dxa"/>
              <w:left w:w="80" w:type="dxa"/>
              <w:bottom w:w="40" w:type="dxa"/>
              <w:right w:w="80" w:type="dxa"/>
            </w:tcMar>
          </w:tcPr>
          <w:p w14:paraId="17E404F5" w14:textId="77777777" w:rsidR="004569D0" w:rsidRDefault="00184DA1">
            <w:pPr>
              <w:spacing w:line="240" w:lineRule="auto"/>
              <w:jc w:val="center"/>
            </w:pPr>
            <w:r>
              <w:rPr>
                <w:color w:val="000000"/>
                <w:sz w:val="20"/>
                <w:szCs w:val="20"/>
              </w:rPr>
              <w:t>(6.54)</w:t>
            </w:r>
          </w:p>
        </w:tc>
        <w:tc>
          <w:tcPr>
            <w:tcW w:w="1467" w:type="dxa"/>
            <w:tcMar>
              <w:top w:w="40" w:type="dxa"/>
              <w:left w:w="80" w:type="dxa"/>
              <w:bottom w:w="40" w:type="dxa"/>
              <w:right w:w="80" w:type="dxa"/>
            </w:tcMar>
          </w:tcPr>
          <w:p w14:paraId="219EEE24" w14:textId="77777777" w:rsidR="004569D0" w:rsidRDefault="00184DA1">
            <w:pPr>
              <w:spacing w:line="240" w:lineRule="auto"/>
              <w:jc w:val="center"/>
            </w:pPr>
            <w:r>
              <w:rPr>
                <w:color w:val="000000"/>
                <w:sz w:val="20"/>
                <w:szCs w:val="20"/>
              </w:rPr>
              <w:t>(6.08)</w:t>
            </w:r>
          </w:p>
        </w:tc>
        <w:tc>
          <w:tcPr>
            <w:tcW w:w="1466" w:type="dxa"/>
            <w:tcMar>
              <w:top w:w="40" w:type="dxa"/>
              <w:left w:w="80" w:type="dxa"/>
              <w:bottom w:w="40" w:type="dxa"/>
              <w:right w:w="80" w:type="dxa"/>
            </w:tcMar>
          </w:tcPr>
          <w:p w14:paraId="6922AB53" w14:textId="77777777" w:rsidR="004569D0" w:rsidRDefault="00184DA1">
            <w:pPr>
              <w:spacing w:line="240" w:lineRule="auto"/>
              <w:jc w:val="center"/>
            </w:pPr>
            <w:r>
              <w:rPr>
                <w:color w:val="000000"/>
                <w:sz w:val="20"/>
                <w:szCs w:val="20"/>
              </w:rPr>
              <w:t>0.86</w:t>
            </w:r>
          </w:p>
        </w:tc>
      </w:tr>
      <w:tr w:rsidR="004569D0" w14:paraId="4C822963" w14:textId="77777777">
        <w:tblPrEx>
          <w:tblCellMar>
            <w:top w:w="0" w:type="dxa"/>
            <w:bottom w:w="0" w:type="dxa"/>
          </w:tblCellMar>
        </w:tblPrEx>
        <w:tc>
          <w:tcPr>
            <w:tcW w:w="2600" w:type="dxa"/>
            <w:shd w:val="clear" w:color="auto" w:fill="D9E1F2"/>
            <w:tcMar>
              <w:top w:w="40" w:type="dxa"/>
              <w:left w:w="80" w:type="dxa"/>
              <w:bottom w:w="40" w:type="dxa"/>
              <w:right w:w="80" w:type="dxa"/>
            </w:tcMar>
          </w:tcPr>
          <w:p w14:paraId="70C62661" w14:textId="77777777" w:rsidR="004569D0" w:rsidRDefault="00184DA1">
            <w:pPr>
              <w:spacing w:line="240" w:lineRule="auto"/>
            </w:pPr>
            <w:r>
              <w:rPr>
                <w:b/>
                <w:bCs/>
                <w:color w:val="000000"/>
                <w:sz w:val="20"/>
                <w:szCs w:val="20"/>
              </w:rPr>
              <w:t>Profitability index</w:t>
            </w:r>
          </w:p>
        </w:tc>
        <w:tc>
          <w:tcPr>
            <w:tcW w:w="1467" w:type="dxa"/>
            <w:shd w:val="clear" w:color="auto" w:fill="D9E1F2"/>
            <w:tcMar>
              <w:top w:w="40" w:type="dxa"/>
              <w:left w:w="80" w:type="dxa"/>
              <w:bottom w:w="40" w:type="dxa"/>
              <w:right w:w="80" w:type="dxa"/>
            </w:tcMar>
          </w:tcPr>
          <w:p w14:paraId="7CBB424F" w14:textId="77777777" w:rsidR="004569D0" w:rsidRDefault="00184DA1">
            <w:pPr>
              <w:spacing w:line="240" w:lineRule="auto"/>
              <w:jc w:val="center"/>
            </w:pPr>
            <w:r>
              <w:rPr>
                <w:color w:val="000000"/>
                <w:sz w:val="20"/>
                <w:szCs w:val="20"/>
              </w:rPr>
              <w:t>0.87</w:t>
            </w:r>
          </w:p>
        </w:tc>
        <w:tc>
          <w:tcPr>
            <w:tcW w:w="1467" w:type="dxa"/>
            <w:shd w:val="clear" w:color="auto" w:fill="D9E1F2"/>
            <w:tcMar>
              <w:top w:w="40" w:type="dxa"/>
              <w:left w:w="80" w:type="dxa"/>
              <w:bottom w:w="40" w:type="dxa"/>
              <w:right w:w="80" w:type="dxa"/>
            </w:tcMar>
          </w:tcPr>
          <w:p w14:paraId="36EBC045" w14:textId="77777777" w:rsidR="004569D0" w:rsidRDefault="00184DA1">
            <w:pPr>
              <w:spacing w:line="240" w:lineRule="auto"/>
              <w:jc w:val="center"/>
            </w:pPr>
            <w:r>
              <w:rPr>
                <w:color w:val="000000"/>
                <w:sz w:val="20"/>
                <w:szCs w:val="20"/>
              </w:rPr>
              <w:t>0.88</w:t>
            </w:r>
          </w:p>
        </w:tc>
        <w:tc>
          <w:tcPr>
            <w:tcW w:w="1466" w:type="dxa"/>
            <w:shd w:val="clear" w:color="auto" w:fill="D9E1F2"/>
            <w:tcMar>
              <w:top w:w="40" w:type="dxa"/>
              <w:left w:w="80" w:type="dxa"/>
              <w:bottom w:w="40" w:type="dxa"/>
              <w:right w:w="80" w:type="dxa"/>
            </w:tcMar>
          </w:tcPr>
          <w:p w14:paraId="0D3BDC61" w14:textId="77777777" w:rsidR="004569D0" w:rsidRDefault="00184DA1">
            <w:pPr>
              <w:spacing w:line="240" w:lineRule="auto"/>
              <w:jc w:val="center"/>
            </w:pPr>
            <w:r>
              <w:rPr>
                <w:color w:val="000000"/>
                <w:sz w:val="20"/>
                <w:szCs w:val="20"/>
              </w:rPr>
              <w:t>1.02</w:t>
            </w:r>
          </w:p>
        </w:tc>
      </w:tr>
      <w:tr w:rsidR="004569D0" w14:paraId="76BC6494" w14:textId="77777777">
        <w:tblPrEx>
          <w:tblCellMar>
            <w:top w:w="0" w:type="dxa"/>
            <w:bottom w:w="0" w:type="dxa"/>
          </w:tblCellMar>
        </w:tblPrEx>
        <w:tc>
          <w:tcPr>
            <w:tcW w:w="2600" w:type="dxa"/>
            <w:tcMar>
              <w:top w:w="40" w:type="dxa"/>
              <w:left w:w="80" w:type="dxa"/>
              <w:bottom w:w="40" w:type="dxa"/>
              <w:right w:w="80" w:type="dxa"/>
            </w:tcMar>
          </w:tcPr>
          <w:p w14:paraId="387AA4FD" w14:textId="77777777" w:rsidR="004569D0" w:rsidRDefault="00184DA1">
            <w:pPr>
              <w:spacing w:line="240" w:lineRule="auto"/>
            </w:pPr>
            <w:r>
              <w:rPr>
                <w:b/>
                <w:bCs/>
                <w:color w:val="000000"/>
                <w:sz w:val="20"/>
                <w:szCs w:val="20"/>
              </w:rPr>
              <w:t>Internal rate of return</w:t>
            </w:r>
          </w:p>
        </w:tc>
        <w:tc>
          <w:tcPr>
            <w:tcW w:w="1467" w:type="dxa"/>
            <w:tcMar>
              <w:top w:w="40" w:type="dxa"/>
              <w:left w:w="80" w:type="dxa"/>
              <w:bottom w:w="40" w:type="dxa"/>
              <w:right w:w="80" w:type="dxa"/>
            </w:tcMar>
          </w:tcPr>
          <w:p w14:paraId="54185893" w14:textId="77777777" w:rsidR="004569D0" w:rsidRDefault="00184DA1">
            <w:pPr>
              <w:spacing w:line="240" w:lineRule="auto"/>
              <w:jc w:val="center"/>
            </w:pPr>
            <w:r>
              <w:rPr>
                <w:color w:val="000000"/>
                <w:sz w:val="20"/>
                <w:szCs w:val="20"/>
              </w:rPr>
              <w:t>2.7%</w:t>
            </w:r>
          </w:p>
        </w:tc>
        <w:tc>
          <w:tcPr>
            <w:tcW w:w="1467" w:type="dxa"/>
            <w:tcMar>
              <w:top w:w="40" w:type="dxa"/>
              <w:left w:w="80" w:type="dxa"/>
              <w:bottom w:w="40" w:type="dxa"/>
              <w:right w:w="80" w:type="dxa"/>
            </w:tcMar>
          </w:tcPr>
          <w:p w14:paraId="450AD100" w14:textId="77777777" w:rsidR="004569D0" w:rsidRDefault="00184DA1">
            <w:pPr>
              <w:spacing w:line="240" w:lineRule="auto"/>
              <w:jc w:val="center"/>
            </w:pPr>
            <w:r>
              <w:rPr>
                <w:color w:val="000000"/>
                <w:sz w:val="20"/>
                <w:szCs w:val="20"/>
              </w:rPr>
              <w:t>3.3%</w:t>
            </w:r>
          </w:p>
        </w:tc>
        <w:tc>
          <w:tcPr>
            <w:tcW w:w="1466" w:type="dxa"/>
            <w:tcMar>
              <w:top w:w="40" w:type="dxa"/>
              <w:left w:w="80" w:type="dxa"/>
              <w:bottom w:w="40" w:type="dxa"/>
              <w:right w:w="80" w:type="dxa"/>
            </w:tcMar>
          </w:tcPr>
          <w:p w14:paraId="4B00BF6C" w14:textId="77777777" w:rsidR="004569D0" w:rsidRDefault="00184DA1">
            <w:pPr>
              <w:spacing w:line="240" w:lineRule="auto"/>
              <w:jc w:val="center"/>
            </w:pPr>
            <w:r>
              <w:rPr>
                <w:color w:val="000000"/>
                <w:sz w:val="20"/>
                <w:szCs w:val="20"/>
              </w:rPr>
              <w:t>8.6%</w:t>
            </w:r>
          </w:p>
        </w:tc>
      </w:tr>
    </w:tbl>
    <w:p w14:paraId="346B7382" w14:textId="77777777" w:rsidR="004569D0" w:rsidRDefault="00184DA1">
      <w:pPr>
        <w:spacing w:before="60" w:after="160" w:line="240" w:lineRule="auto"/>
      </w:pPr>
      <w:r>
        <w:rPr>
          <w:i/>
          <w:iCs/>
          <w:sz w:val="20"/>
          <w:szCs w:val="20"/>
        </w:rPr>
        <w:t>*ARR calculated as average accounting profit divided by average investment (initial investment divided by two).</w:t>
      </w:r>
    </w:p>
    <w:p w14:paraId="193B11E1" w14:textId="77777777" w:rsidR="004569D0" w:rsidRDefault="00184DA1">
      <w:pPr>
        <w:pStyle w:val="Heading2"/>
      </w:pPr>
      <w:bookmarkStart w:id="16" w:name="_Toc237517882"/>
      <w:r>
        <w:t>5.1 Interpretation of the techniques</w:t>
      </w:r>
      <w:bookmarkEnd w:id="16"/>
    </w:p>
    <w:p w14:paraId="0A299B71" w14:textId="77777777" w:rsidR="004569D0" w:rsidRDefault="00184DA1">
      <w:pPr>
        <w:spacing w:after="160"/>
        <w:jc w:val="both"/>
      </w:pPr>
      <w:r>
        <w:t xml:space="preserve">The five methods largely agree, but they capture different dimensions of value. Payback favours Project C, which recovers its outlay fastest at 3.6 years, and thus offers the best liquidity and the lowest exposure to distant, uncertain cash flows; its weakness is that it ignores the time value of money and any cash beyond the payback point (Watson and Head, 2019). The accounting rate of return also ranks C highest, but relies on accounting profit rather than cash flow and disregards timing, so it is best </w:t>
      </w:r>
      <w:r>
        <w:lastRenderedPageBreak/>
        <w:t>treated as a supplementary check (Corporate Finance Institute, 2025). The discounted measures are decisive. Only Project C produces a positive net present value, of £0.86m, meaning only C adds shareholder wealth at the 8% cost of capital; both A and B destroy value, with negative net present values of £6.54m and £6.08m respectively. The profitability index confirms this, exceeding 1.0 only for C (1.02), and the internal rate of return does likewise: C's return of 8.6% is the only one above the 8% hurdle, wh</w:t>
      </w:r>
      <w:r>
        <w:t>ereas A and B return below 3%.</w:t>
      </w:r>
    </w:p>
    <w:p w14:paraId="793CE217" w14:textId="77777777" w:rsidR="004569D0" w:rsidRDefault="00184DA1">
      <w:pPr>
        <w:spacing w:after="160"/>
        <w:jc w:val="both"/>
      </w:pPr>
      <w:r>
        <w:t>Net present value is widely regarded as the most reliable technique because it measures the absolute increase in shareholder wealth and correctly accounts for the timing and risk of cash flows, and where methods conflict on mutually exclusive projects, finance theory favours net present value (Watson and Head, 2019; Corporate Finance Institute, 2025). Here the methods do not conflict, which strengthens confidence in the conclusion.</w:t>
      </w:r>
    </w:p>
    <w:p w14:paraId="2FBA745B" w14:textId="77777777" w:rsidR="004569D0" w:rsidRDefault="00184DA1">
      <w:pPr>
        <w:pStyle w:val="Heading2"/>
      </w:pPr>
      <w:bookmarkStart w:id="17" w:name="_Toc237517883"/>
      <w:r>
        <w:t>5.2 Recommendation</w:t>
      </w:r>
      <w:bookmarkEnd w:id="17"/>
    </w:p>
    <w:p w14:paraId="1F0EA565" w14:textId="77777777" w:rsidR="004569D0" w:rsidRDefault="00184DA1">
      <w:pPr>
        <w:spacing w:after="160"/>
        <w:jc w:val="both"/>
      </w:pPr>
      <w:r>
        <w:t>Project C is recommended. It is the only project that creates value on every discounted measure and also offers the fastest payback, a rare alignment that reduces decision risk. The recommendation is reinforced by IHG's financial position. The group's strong and growing operating cash flow (Table 1) means it can fund C comfortably without straining liquidity, while its policy of holding net debt to EBITDA below 3.0 times argues against committing scarce capital to the value-destroying Projects A and B. Non-</w:t>
      </w:r>
      <w:r>
        <w:t>financial risks also favour C's profile: its cash flows peak in the middle years, reducing reliance on distant forecasts that are vulnerable to political risk, shifts in customer loyalty and the sector's demand volatility highlighted by PwC (2026). Nonetheless, C's margin of value creation is thin, so the decision is sensitive to the discount rate; a modest rise in the cost of capital would push even C below zero, which management should test through sensitivity analysis before committing.</w:t>
      </w:r>
    </w:p>
    <w:p w14:paraId="0FEBE178" w14:textId="77777777" w:rsidR="004569D0" w:rsidRDefault="00184DA1">
      <w:pPr>
        <w:spacing w:after="160"/>
        <w:jc w:val="both"/>
      </w:pPr>
      <w:r>
        <w:t>The thinness of that margin deserves emphasis, and can be tested directly. Table 8 shows Project C's NPV under a range of discount rates and under reductions to its critical year-three and year-four inflows.</w:t>
      </w:r>
    </w:p>
    <w:p w14:paraId="673580E6" w14:textId="77777777" w:rsidR="004569D0" w:rsidRDefault="00184DA1">
      <w:pPr>
        <w:spacing w:before="60" w:after="160" w:line="240" w:lineRule="auto"/>
      </w:pPr>
      <w:r>
        <w:rPr>
          <w:i/>
          <w:iCs/>
          <w:sz w:val="20"/>
          <w:szCs w:val="20"/>
        </w:rPr>
        <w:t>Table 8. Project C sensitivity to discount rate and to cash-flow reductions. Source: author's calculations.</w:t>
      </w:r>
    </w:p>
    <w:tbl>
      <w:tblPr>
        <w:tblW w:w="7000" w:type="dxa"/>
        <w:tblBorders>
          <w:top w:val="single" w:sz="2" w:space="0" w:color="7F7F7F"/>
          <w:left w:val="single" w:sz="2" w:space="0" w:color="7F7F7F"/>
          <w:bottom w:val="single" w:sz="2" w:space="0" w:color="7F7F7F"/>
          <w:right w:val="single" w:sz="2" w:space="0" w:color="7F7F7F"/>
          <w:insideH w:val="single" w:sz="1" w:space="0" w:color="BFBFBF"/>
          <w:insideV w:val="single" w:sz="1" w:space="0" w:color="BFBFBF"/>
        </w:tblBorders>
        <w:tblCellMar>
          <w:left w:w="10" w:type="dxa"/>
          <w:right w:w="10" w:type="dxa"/>
        </w:tblCellMar>
        <w:tblLook w:val="0000" w:firstRow="0" w:lastRow="0" w:firstColumn="0" w:lastColumn="0" w:noHBand="0" w:noVBand="0"/>
      </w:tblPr>
      <w:tblGrid>
        <w:gridCol w:w="3000"/>
        <w:gridCol w:w="1600"/>
        <w:gridCol w:w="2400"/>
      </w:tblGrid>
      <w:tr w:rsidR="004569D0" w14:paraId="4F56A7F9" w14:textId="77777777">
        <w:tblPrEx>
          <w:tblCellMar>
            <w:top w:w="0" w:type="dxa"/>
            <w:bottom w:w="0" w:type="dxa"/>
          </w:tblCellMar>
        </w:tblPrEx>
        <w:trPr>
          <w:tblHeader/>
        </w:trPr>
        <w:tc>
          <w:tcPr>
            <w:tcW w:w="3000" w:type="dxa"/>
            <w:shd w:val="clear" w:color="auto" w:fill="1F3864"/>
            <w:tcMar>
              <w:top w:w="40" w:type="dxa"/>
              <w:left w:w="80" w:type="dxa"/>
              <w:bottom w:w="40" w:type="dxa"/>
              <w:right w:w="80" w:type="dxa"/>
            </w:tcMar>
          </w:tcPr>
          <w:p w14:paraId="0A9EDC43" w14:textId="77777777" w:rsidR="004569D0" w:rsidRDefault="00184DA1">
            <w:pPr>
              <w:spacing w:line="240" w:lineRule="auto"/>
            </w:pPr>
            <w:r>
              <w:rPr>
                <w:b/>
                <w:bCs/>
                <w:color w:val="FFFFFF"/>
                <w:sz w:val="20"/>
                <w:szCs w:val="20"/>
              </w:rPr>
              <w:lastRenderedPageBreak/>
              <w:t>Scenario</w:t>
            </w:r>
          </w:p>
        </w:tc>
        <w:tc>
          <w:tcPr>
            <w:tcW w:w="1600" w:type="dxa"/>
            <w:shd w:val="clear" w:color="auto" w:fill="1F3864"/>
            <w:tcMar>
              <w:top w:w="40" w:type="dxa"/>
              <w:left w:w="80" w:type="dxa"/>
              <w:bottom w:w="40" w:type="dxa"/>
              <w:right w:w="80" w:type="dxa"/>
            </w:tcMar>
          </w:tcPr>
          <w:p w14:paraId="0B74AE9D" w14:textId="77777777" w:rsidR="004569D0" w:rsidRDefault="00184DA1">
            <w:pPr>
              <w:spacing w:line="240" w:lineRule="auto"/>
              <w:jc w:val="center"/>
            </w:pPr>
            <w:r>
              <w:rPr>
                <w:b/>
                <w:bCs/>
                <w:color w:val="FFFFFF"/>
                <w:sz w:val="20"/>
                <w:szCs w:val="20"/>
              </w:rPr>
              <w:t>NPV (£m)</w:t>
            </w:r>
          </w:p>
        </w:tc>
        <w:tc>
          <w:tcPr>
            <w:tcW w:w="2400" w:type="dxa"/>
            <w:shd w:val="clear" w:color="auto" w:fill="1F3864"/>
            <w:tcMar>
              <w:top w:w="40" w:type="dxa"/>
              <w:left w:w="80" w:type="dxa"/>
              <w:bottom w:w="40" w:type="dxa"/>
              <w:right w:w="80" w:type="dxa"/>
            </w:tcMar>
          </w:tcPr>
          <w:p w14:paraId="165B8053" w14:textId="77777777" w:rsidR="004569D0" w:rsidRDefault="00184DA1">
            <w:pPr>
              <w:spacing w:line="240" w:lineRule="auto"/>
              <w:jc w:val="center"/>
            </w:pPr>
            <w:r>
              <w:rPr>
                <w:b/>
                <w:bCs/>
                <w:color w:val="FFFFFF"/>
                <w:sz w:val="20"/>
                <w:szCs w:val="20"/>
              </w:rPr>
              <w:t>Decision</w:t>
            </w:r>
          </w:p>
        </w:tc>
      </w:tr>
      <w:tr w:rsidR="004569D0" w14:paraId="1EF6778B" w14:textId="77777777">
        <w:tblPrEx>
          <w:tblCellMar>
            <w:top w:w="0" w:type="dxa"/>
            <w:bottom w:w="0" w:type="dxa"/>
          </w:tblCellMar>
        </w:tblPrEx>
        <w:tc>
          <w:tcPr>
            <w:tcW w:w="3000" w:type="dxa"/>
            <w:tcMar>
              <w:top w:w="40" w:type="dxa"/>
              <w:left w:w="80" w:type="dxa"/>
              <w:bottom w:w="40" w:type="dxa"/>
              <w:right w:w="80" w:type="dxa"/>
            </w:tcMar>
          </w:tcPr>
          <w:p w14:paraId="4A76E1A9" w14:textId="77777777" w:rsidR="004569D0" w:rsidRDefault="00184DA1">
            <w:pPr>
              <w:spacing w:line="240" w:lineRule="auto"/>
            </w:pPr>
            <w:r>
              <w:rPr>
                <w:b/>
                <w:bCs/>
                <w:color w:val="000000"/>
                <w:sz w:val="20"/>
                <w:szCs w:val="20"/>
              </w:rPr>
              <w:t>Discount rate 6%</w:t>
            </w:r>
          </w:p>
        </w:tc>
        <w:tc>
          <w:tcPr>
            <w:tcW w:w="1600" w:type="dxa"/>
            <w:tcMar>
              <w:top w:w="40" w:type="dxa"/>
              <w:left w:w="80" w:type="dxa"/>
              <w:bottom w:w="40" w:type="dxa"/>
              <w:right w:w="80" w:type="dxa"/>
            </w:tcMar>
          </w:tcPr>
          <w:p w14:paraId="4DBBE0F1" w14:textId="77777777" w:rsidR="004569D0" w:rsidRDefault="00184DA1">
            <w:pPr>
              <w:spacing w:line="240" w:lineRule="auto"/>
              <w:jc w:val="center"/>
            </w:pPr>
            <w:r>
              <w:rPr>
                <w:color w:val="000000"/>
                <w:sz w:val="20"/>
                <w:szCs w:val="20"/>
              </w:rPr>
              <w:t>3.95</w:t>
            </w:r>
          </w:p>
        </w:tc>
        <w:tc>
          <w:tcPr>
            <w:tcW w:w="2400" w:type="dxa"/>
            <w:tcMar>
              <w:top w:w="40" w:type="dxa"/>
              <w:left w:w="80" w:type="dxa"/>
              <w:bottom w:w="40" w:type="dxa"/>
              <w:right w:w="80" w:type="dxa"/>
            </w:tcMar>
          </w:tcPr>
          <w:p w14:paraId="3BB16181" w14:textId="77777777" w:rsidR="004569D0" w:rsidRDefault="00184DA1">
            <w:pPr>
              <w:spacing w:line="240" w:lineRule="auto"/>
              <w:jc w:val="center"/>
            </w:pPr>
            <w:r>
              <w:rPr>
                <w:color w:val="000000"/>
                <w:sz w:val="20"/>
                <w:szCs w:val="20"/>
              </w:rPr>
              <w:t>Accept</w:t>
            </w:r>
          </w:p>
        </w:tc>
      </w:tr>
      <w:tr w:rsidR="004569D0" w14:paraId="549F74D3" w14:textId="77777777">
        <w:tblPrEx>
          <w:tblCellMar>
            <w:top w:w="0" w:type="dxa"/>
            <w:bottom w:w="0" w:type="dxa"/>
          </w:tblCellMar>
        </w:tblPrEx>
        <w:tc>
          <w:tcPr>
            <w:tcW w:w="3000" w:type="dxa"/>
            <w:shd w:val="clear" w:color="auto" w:fill="D9E1F2"/>
            <w:tcMar>
              <w:top w:w="40" w:type="dxa"/>
              <w:left w:w="80" w:type="dxa"/>
              <w:bottom w:w="40" w:type="dxa"/>
              <w:right w:w="80" w:type="dxa"/>
            </w:tcMar>
          </w:tcPr>
          <w:p w14:paraId="7054D5A0" w14:textId="77777777" w:rsidR="004569D0" w:rsidRDefault="00184DA1">
            <w:pPr>
              <w:spacing w:line="240" w:lineRule="auto"/>
            </w:pPr>
            <w:r>
              <w:rPr>
                <w:b/>
                <w:bCs/>
                <w:color w:val="000000"/>
                <w:sz w:val="20"/>
                <w:szCs w:val="20"/>
              </w:rPr>
              <w:t>Discount rate 7%</w:t>
            </w:r>
          </w:p>
        </w:tc>
        <w:tc>
          <w:tcPr>
            <w:tcW w:w="1600" w:type="dxa"/>
            <w:shd w:val="clear" w:color="auto" w:fill="D9E1F2"/>
            <w:tcMar>
              <w:top w:w="40" w:type="dxa"/>
              <w:left w:w="80" w:type="dxa"/>
              <w:bottom w:w="40" w:type="dxa"/>
              <w:right w:w="80" w:type="dxa"/>
            </w:tcMar>
          </w:tcPr>
          <w:p w14:paraId="01945BEE" w14:textId="77777777" w:rsidR="004569D0" w:rsidRDefault="00184DA1">
            <w:pPr>
              <w:spacing w:line="240" w:lineRule="auto"/>
              <w:jc w:val="center"/>
            </w:pPr>
            <w:r>
              <w:rPr>
                <w:color w:val="000000"/>
                <w:sz w:val="20"/>
                <w:szCs w:val="20"/>
              </w:rPr>
              <w:t>2.37</w:t>
            </w:r>
          </w:p>
        </w:tc>
        <w:tc>
          <w:tcPr>
            <w:tcW w:w="2400" w:type="dxa"/>
            <w:shd w:val="clear" w:color="auto" w:fill="D9E1F2"/>
            <w:tcMar>
              <w:top w:w="40" w:type="dxa"/>
              <w:left w:w="80" w:type="dxa"/>
              <w:bottom w:w="40" w:type="dxa"/>
              <w:right w:w="80" w:type="dxa"/>
            </w:tcMar>
          </w:tcPr>
          <w:p w14:paraId="3397763B" w14:textId="77777777" w:rsidR="004569D0" w:rsidRDefault="00184DA1">
            <w:pPr>
              <w:spacing w:line="240" w:lineRule="auto"/>
              <w:jc w:val="center"/>
            </w:pPr>
            <w:r>
              <w:rPr>
                <w:color w:val="000000"/>
                <w:sz w:val="20"/>
                <w:szCs w:val="20"/>
              </w:rPr>
              <w:t>Accept</w:t>
            </w:r>
          </w:p>
        </w:tc>
      </w:tr>
      <w:tr w:rsidR="004569D0" w14:paraId="5299C3A9" w14:textId="77777777">
        <w:tblPrEx>
          <w:tblCellMar>
            <w:top w:w="0" w:type="dxa"/>
            <w:bottom w:w="0" w:type="dxa"/>
          </w:tblCellMar>
        </w:tblPrEx>
        <w:tc>
          <w:tcPr>
            <w:tcW w:w="3000" w:type="dxa"/>
            <w:tcMar>
              <w:top w:w="40" w:type="dxa"/>
              <w:left w:w="80" w:type="dxa"/>
              <w:bottom w:w="40" w:type="dxa"/>
              <w:right w:w="80" w:type="dxa"/>
            </w:tcMar>
          </w:tcPr>
          <w:p w14:paraId="04519B42" w14:textId="77777777" w:rsidR="004569D0" w:rsidRDefault="00184DA1">
            <w:pPr>
              <w:spacing w:line="240" w:lineRule="auto"/>
            </w:pPr>
            <w:r>
              <w:rPr>
                <w:b/>
                <w:bCs/>
                <w:color w:val="000000"/>
                <w:sz w:val="20"/>
                <w:szCs w:val="20"/>
              </w:rPr>
              <w:t>Discount rate 8% (base)</w:t>
            </w:r>
          </w:p>
        </w:tc>
        <w:tc>
          <w:tcPr>
            <w:tcW w:w="1600" w:type="dxa"/>
            <w:tcMar>
              <w:top w:w="40" w:type="dxa"/>
              <w:left w:w="80" w:type="dxa"/>
              <w:bottom w:w="40" w:type="dxa"/>
              <w:right w:w="80" w:type="dxa"/>
            </w:tcMar>
          </w:tcPr>
          <w:p w14:paraId="49BDF19E" w14:textId="77777777" w:rsidR="004569D0" w:rsidRDefault="00184DA1">
            <w:pPr>
              <w:spacing w:line="240" w:lineRule="auto"/>
              <w:jc w:val="center"/>
            </w:pPr>
            <w:r>
              <w:rPr>
                <w:color w:val="000000"/>
                <w:sz w:val="20"/>
                <w:szCs w:val="20"/>
              </w:rPr>
              <w:t>0.86</w:t>
            </w:r>
          </w:p>
        </w:tc>
        <w:tc>
          <w:tcPr>
            <w:tcW w:w="2400" w:type="dxa"/>
            <w:tcMar>
              <w:top w:w="40" w:type="dxa"/>
              <w:left w:w="80" w:type="dxa"/>
              <w:bottom w:w="40" w:type="dxa"/>
              <w:right w:w="80" w:type="dxa"/>
            </w:tcMar>
          </w:tcPr>
          <w:p w14:paraId="16EB0E8C" w14:textId="77777777" w:rsidR="004569D0" w:rsidRDefault="00184DA1">
            <w:pPr>
              <w:spacing w:line="240" w:lineRule="auto"/>
              <w:jc w:val="center"/>
            </w:pPr>
            <w:r>
              <w:rPr>
                <w:color w:val="000000"/>
                <w:sz w:val="20"/>
                <w:szCs w:val="20"/>
              </w:rPr>
              <w:t>Accept (marginal)</w:t>
            </w:r>
          </w:p>
        </w:tc>
      </w:tr>
      <w:tr w:rsidR="004569D0" w14:paraId="77F4A096" w14:textId="77777777">
        <w:tblPrEx>
          <w:tblCellMar>
            <w:top w:w="0" w:type="dxa"/>
            <w:bottom w:w="0" w:type="dxa"/>
          </w:tblCellMar>
        </w:tblPrEx>
        <w:tc>
          <w:tcPr>
            <w:tcW w:w="3000" w:type="dxa"/>
            <w:shd w:val="clear" w:color="auto" w:fill="D9E1F2"/>
            <w:tcMar>
              <w:top w:w="40" w:type="dxa"/>
              <w:left w:w="80" w:type="dxa"/>
              <w:bottom w:w="40" w:type="dxa"/>
              <w:right w:w="80" w:type="dxa"/>
            </w:tcMar>
          </w:tcPr>
          <w:p w14:paraId="6FF40A13" w14:textId="77777777" w:rsidR="004569D0" w:rsidRDefault="00184DA1">
            <w:pPr>
              <w:spacing w:line="240" w:lineRule="auto"/>
            </w:pPr>
            <w:r>
              <w:rPr>
                <w:b/>
                <w:bCs/>
                <w:color w:val="000000"/>
                <w:sz w:val="20"/>
                <w:szCs w:val="20"/>
              </w:rPr>
              <w:t>Discount rate 9%</w:t>
            </w:r>
          </w:p>
        </w:tc>
        <w:tc>
          <w:tcPr>
            <w:tcW w:w="1600" w:type="dxa"/>
            <w:shd w:val="clear" w:color="auto" w:fill="D9E1F2"/>
            <w:tcMar>
              <w:top w:w="40" w:type="dxa"/>
              <w:left w:w="80" w:type="dxa"/>
              <w:bottom w:w="40" w:type="dxa"/>
              <w:right w:w="80" w:type="dxa"/>
            </w:tcMar>
          </w:tcPr>
          <w:p w14:paraId="00337963" w14:textId="77777777" w:rsidR="004569D0" w:rsidRDefault="00184DA1">
            <w:pPr>
              <w:spacing w:line="240" w:lineRule="auto"/>
              <w:jc w:val="center"/>
            </w:pPr>
            <w:r>
              <w:rPr>
                <w:color w:val="000000"/>
                <w:sz w:val="20"/>
                <w:szCs w:val="20"/>
              </w:rPr>
              <w:t>(0.59)</w:t>
            </w:r>
          </w:p>
        </w:tc>
        <w:tc>
          <w:tcPr>
            <w:tcW w:w="2400" w:type="dxa"/>
            <w:shd w:val="clear" w:color="auto" w:fill="D9E1F2"/>
            <w:tcMar>
              <w:top w:w="40" w:type="dxa"/>
              <w:left w:w="80" w:type="dxa"/>
              <w:bottom w:w="40" w:type="dxa"/>
              <w:right w:w="80" w:type="dxa"/>
            </w:tcMar>
          </w:tcPr>
          <w:p w14:paraId="51C46F74" w14:textId="77777777" w:rsidR="004569D0" w:rsidRDefault="00184DA1">
            <w:pPr>
              <w:spacing w:line="240" w:lineRule="auto"/>
              <w:jc w:val="center"/>
            </w:pPr>
            <w:r>
              <w:rPr>
                <w:color w:val="000000"/>
                <w:sz w:val="20"/>
                <w:szCs w:val="20"/>
              </w:rPr>
              <w:t>Reject</w:t>
            </w:r>
          </w:p>
        </w:tc>
      </w:tr>
      <w:tr w:rsidR="004569D0" w14:paraId="568F2B05" w14:textId="77777777">
        <w:tblPrEx>
          <w:tblCellMar>
            <w:top w:w="0" w:type="dxa"/>
            <w:bottom w:w="0" w:type="dxa"/>
          </w:tblCellMar>
        </w:tblPrEx>
        <w:tc>
          <w:tcPr>
            <w:tcW w:w="3000" w:type="dxa"/>
            <w:tcMar>
              <w:top w:w="40" w:type="dxa"/>
              <w:left w:w="80" w:type="dxa"/>
              <w:bottom w:w="40" w:type="dxa"/>
              <w:right w:w="80" w:type="dxa"/>
            </w:tcMar>
          </w:tcPr>
          <w:p w14:paraId="7EC194D9" w14:textId="77777777" w:rsidR="004569D0" w:rsidRDefault="00184DA1">
            <w:pPr>
              <w:spacing w:line="240" w:lineRule="auto"/>
            </w:pPr>
            <w:r>
              <w:rPr>
                <w:b/>
                <w:bCs/>
                <w:color w:val="000000"/>
                <w:sz w:val="20"/>
                <w:szCs w:val="20"/>
              </w:rPr>
              <w:t>Discount rate 10%</w:t>
            </w:r>
          </w:p>
        </w:tc>
        <w:tc>
          <w:tcPr>
            <w:tcW w:w="1600" w:type="dxa"/>
            <w:tcMar>
              <w:top w:w="40" w:type="dxa"/>
              <w:left w:w="80" w:type="dxa"/>
              <w:bottom w:w="40" w:type="dxa"/>
              <w:right w:w="80" w:type="dxa"/>
            </w:tcMar>
          </w:tcPr>
          <w:p w14:paraId="63783A7F" w14:textId="77777777" w:rsidR="004569D0" w:rsidRDefault="00184DA1">
            <w:pPr>
              <w:spacing w:line="240" w:lineRule="auto"/>
              <w:jc w:val="center"/>
            </w:pPr>
            <w:r>
              <w:rPr>
                <w:color w:val="000000"/>
                <w:sz w:val="20"/>
                <w:szCs w:val="20"/>
              </w:rPr>
              <w:t>(1.98)</w:t>
            </w:r>
          </w:p>
        </w:tc>
        <w:tc>
          <w:tcPr>
            <w:tcW w:w="2400" w:type="dxa"/>
            <w:tcMar>
              <w:top w:w="40" w:type="dxa"/>
              <w:left w:w="80" w:type="dxa"/>
              <w:bottom w:w="40" w:type="dxa"/>
              <w:right w:w="80" w:type="dxa"/>
            </w:tcMar>
          </w:tcPr>
          <w:p w14:paraId="1669091C" w14:textId="77777777" w:rsidR="004569D0" w:rsidRDefault="00184DA1">
            <w:pPr>
              <w:spacing w:line="240" w:lineRule="auto"/>
              <w:jc w:val="center"/>
            </w:pPr>
            <w:r>
              <w:rPr>
                <w:color w:val="000000"/>
                <w:sz w:val="20"/>
                <w:szCs w:val="20"/>
              </w:rPr>
              <w:t>Reject</w:t>
            </w:r>
          </w:p>
        </w:tc>
      </w:tr>
      <w:tr w:rsidR="004569D0" w14:paraId="3E431F11" w14:textId="77777777">
        <w:tblPrEx>
          <w:tblCellMar>
            <w:top w:w="0" w:type="dxa"/>
            <w:bottom w:w="0" w:type="dxa"/>
          </w:tblCellMar>
        </w:tblPrEx>
        <w:tc>
          <w:tcPr>
            <w:tcW w:w="3000" w:type="dxa"/>
            <w:shd w:val="clear" w:color="auto" w:fill="D9E1F2"/>
            <w:tcMar>
              <w:top w:w="40" w:type="dxa"/>
              <w:left w:w="80" w:type="dxa"/>
              <w:bottom w:w="40" w:type="dxa"/>
              <w:right w:w="80" w:type="dxa"/>
            </w:tcMar>
          </w:tcPr>
          <w:p w14:paraId="4D725354" w14:textId="77777777" w:rsidR="004569D0" w:rsidRDefault="00184DA1">
            <w:pPr>
              <w:spacing w:line="240" w:lineRule="auto"/>
            </w:pPr>
            <w:r>
              <w:rPr>
                <w:b/>
                <w:bCs/>
                <w:color w:val="000000"/>
                <w:sz w:val="20"/>
                <w:szCs w:val="20"/>
              </w:rPr>
              <w:t>Years 3–4 inflows −10%</w:t>
            </w:r>
          </w:p>
        </w:tc>
        <w:tc>
          <w:tcPr>
            <w:tcW w:w="1600" w:type="dxa"/>
            <w:shd w:val="clear" w:color="auto" w:fill="D9E1F2"/>
            <w:tcMar>
              <w:top w:w="40" w:type="dxa"/>
              <w:left w:w="80" w:type="dxa"/>
              <w:bottom w:w="40" w:type="dxa"/>
              <w:right w:w="80" w:type="dxa"/>
            </w:tcMar>
          </w:tcPr>
          <w:p w14:paraId="35F3A8AA" w14:textId="77777777" w:rsidR="004569D0" w:rsidRDefault="00184DA1">
            <w:pPr>
              <w:spacing w:line="240" w:lineRule="auto"/>
              <w:jc w:val="center"/>
            </w:pPr>
            <w:r>
              <w:rPr>
                <w:color w:val="000000"/>
                <w:sz w:val="20"/>
                <w:szCs w:val="20"/>
              </w:rPr>
              <w:t>(2.57)</w:t>
            </w:r>
          </w:p>
        </w:tc>
        <w:tc>
          <w:tcPr>
            <w:tcW w:w="2400" w:type="dxa"/>
            <w:shd w:val="clear" w:color="auto" w:fill="D9E1F2"/>
            <w:tcMar>
              <w:top w:w="40" w:type="dxa"/>
              <w:left w:w="80" w:type="dxa"/>
              <w:bottom w:w="40" w:type="dxa"/>
              <w:right w:w="80" w:type="dxa"/>
            </w:tcMar>
          </w:tcPr>
          <w:p w14:paraId="5F9A51DB" w14:textId="77777777" w:rsidR="004569D0" w:rsidRDefault="00184DA1">
            <w:pPr>
              <w:spacing w:line="240" w:lineRule="auto"/>
              <w:jc w:val="center"/>
            </w:pPr>
            <w:r>
              <w:rPr>
                <w:color w:val="000000"/>
                <w:sz w:val="20"/>
                <w:szCs w:val="20"/>
              </w:rPr>
              <w:t>Reject</w:t>
            </w:r>
          </w:p>
        </w:tc>
      </w:tr>
      <w:tr w:rsidR="004569D0" w14:paraId="119723D1" w14:textId="77777777">
        <w:tblPrEx>
          <w:tblCellMar>
            <w:top w:w="0" w:type="dxa"/>
            <w:bottom w:w="0" w:type="dxa"/>
          </w:tblCellMar>
        </w:tblPrEx>
        <w:tc>
          <w:tcPr>
            <w:tcW w:w="3000" w:type="dxa"/>
            <w:tcMar>
              <w:top w:w="40" w:type="dxa"/>
              <w:left w:w="80" w:type="dxa"/>
              <w:bottom w:w="40" w:type="dxa"/>
              <w:right w:w="80" w:type="dxa"/>
            </w:tcMar>
          </w:tcPr>
          <w:p w14:paraId="300BA738" w14:textId="77777777" w:rsidR="004569D0" w:rsidRDefault="00184DA1">
            <w:pPr>
              <w:spacing w:line="240" w:lineRule="auto"/>
            </w:pPr>
            <w:r>
              <w:rPr>
                <w:b/>
                <w:bCs/>
                <w:color w:val="000000"/>
                <w:sz w:val="20"/>
                <w:szCs w:val="20"/>
              </w:rPr>
              <w:t>Years 3–4 inflows −20%</w:t>
            </w:r>
          </w:p>
        </w:tc>
        <w:tc>
          <w:tcPr>
            <w:tcW w:w="1600" w:type="dxa"/>
            <w:tcMar>
              <w:top w:w="40" w:type="dxa"/>
              <w:left w:w="80" w:type="dxa"/>
              <w:bottom w:w="40" w:type="dxa"/>
              <w:right w:w="80" w:type="dxa"/>
            </w:tcMar>
          </w:tcPr>
          <w:p w14:paraId="4A1AD33A" w14:textId="77777777" w:rsidR="004569D0" w:rsidRDefault="00184DA1">
            <w:pPr>
              <w:spacing w:line="240" w:lineRule="auto"/>
              <w:jc w:val="center"/>
            </w:pPr>
            <w:r>
              <w:rPr>
                <w:color w:val="000000"/>
                <w:sz w:val="20"/>
                <w:szCs w:val="20"/>
              </w:rPr>
              <w:t>(5.99)</w:t>
            </w:r>
          </w:p>
        </w:tc>
        <w:tc>
          <w:tcPr>
            <w:tcW w:w="2400" w:type="dxa"/>
            <w:tcMar>
              <w:top w:w="40" w:type="dxa"/>
              <w:left w:w="80" w:type="dxa"/>
              <w:bottom w:w="40" w:type="dxa"/>
              <w:right w:w="80" w:type="dxa"/>
            </w:tcMar>
          </w:tcPr>
          <w:p w14:paraId="022647A5" w14:textId="77777777" w:rsidR="004569D0" w:rsidRDefault="00184DA1">
            <w:pPr>
              <w:spacing w:line="240" w:lineRule="auto"/>
              <w:jc w:val="center"/>
            </w:pPr>
            <w:r>
              <w:rPr>
                <w:color w:val="000000"/>
                <w:sz w:val="20"/>
                <w:szCs w:val="20"/>
              </w:rPr>
              <w:t>Reject</w:t>
            </w:r>
          </w:p>
        </w:tc>
      </w:tr>
    </w:tbl>
    <w:p w14:paraId="6E45B61B" w14:textId="77777777" w:rsidR="004569D0" w:rsidRDefault="00184DA1">
      <w:pPr>
        <w:spacing w:after="160"/>
        <w:jc w:val="both"/>
      </w:pPr>
      <w:r>
        <w:t>The sensitivity analysis materially qualifies the recommendation. Project C creates value only while the discount rate stays at or below roughly 8.6%, its internal rate of return; at 9% the NPV is already negative. More strikingly, a 10% shortfall in the year-three and year-four cash flows, on which most of C's value depends, is sufficient on its own to turn the project value-destroying. The recommendation to accept C is therefore conditional rather than unconditional: it holds only if the 8% cost of capita</w:t>
      </w:r>
      <w:r>
        <w:t>l is robust and the mid-life cash flows are reliable. Given the rising interest-rate environment across the review period, management should confirm the discount rate reflects IHG's true weighted average cost of capital before committing, since a higher figure would reject all three projects. This conditional framing is more defensible than a simple accept decision and reflects the principle that appraisal outputs are only as reliable as their assumptions.</w:t>
      </w:r>
    </w:p>
    <w:p w14:paraId="03682EF6" w14:textId="77777777" w:rsidR="004569D0" w:rsidRDefault="00184DA1">
      <w:pPr>
        <w:pStyle w:val="Heading2"/>
      </w:pPr>
      <w:bookmarkStart w:id="18" w:name="_Toc237517884"/>
      <w:r>
        <w:t>5.3 Capital rationing</w:t>
      </w:r>
      <w:bookmarkEnd w:id="18"/>
    </w:p>
    <w:p w14:paraId="4EDE3E4D" w14:textId="77777777" w:rsidR="004569D0" w:rsidRDefault="00184DA1">
      <w:pPr>
        <w:spacing w:after="160"/>
        <w:jc w:val="both"/>
      </w:pPr>
      <w:r>
        <w:t>If a maximum of £100m were available, the Board could in principle fund two of the three £50m projects. Because the projects are indivisible, the correct method is to identify the feasible combinations and select the one that maximises total net present value, rather than mechanically ranking by profitability index, since index ranking can mislead when whole projects must be accepted or rejected (Ryan O'Connell, 2026). Table 6 shows every feasible pairing.</w:t>
      </w:r>
    </w:p>
    <w:p w14:paraId="3F08ECE2" w14:textId="77777777" w:rsidR="004569D0" w:rsidRDefault="00184DA1">
      <w:pPr>
        <w:spacing w:before="60" w:after="160" w:line="240" w:lineRule="auto"/>
      </w:pPr>
      <w:r>
        <w:rPr>
          <w:i/>
          <w:iCs/>
          <w:sz w:val="20"/>
          <w:szCs w:val="20"/>
        </w:rPr>
        <w:t>Table 7. Capital rationing: feasible two-project combinations. Source: author's calculations.</w:t>
      </w:r>
    </w:p>
    <w:tbl>
      <w:tblPr>
        <w:tblW w:w="6800" w:type="dxa"/>
        <w:tblBorders>
          <w:top w:val="single" w:sz="2" w:space="0" w:color="7F7F7F"/>
          <w:left w:val="single" w:sz="2" w:space="0" w:color="7F7F7F"/>
          <w:bottom w:val="single" w:sz="2" w:space="0" w:color="7F7F7F"/>
          <w:right w:val="single" w:sz="2" w:space="0" w:color="7F7F7F"/>
          <w:insideH w:val="single" w:sz="1" w:space="0" w:color="BFBFBF"/>
          <w:insideV w:val="single" w:sz="1" w:space="0" w:color="BFBFBF"/>
        </w:tblBorders>
        <w:tblCellMar>
          <w:left w:w="10" w:type="dxa"/>
          <w:right w:w="10" w:type="dxa"/>
        </w:tblCellMar>
        <w:tblLook w:val="0000" w:firstRow="0" w:lastRow="0" w:firstColumn="0" w:lastColumn="0" w:noHBand="0" w:noVBand="0"/>
      </w:tblPr>
      <w:tblGrid>
        <w:gridCol w:w="2600"/>
        <w:gridCol w:w="2000"/>
        <w:gridCol w:w="2200"/>
      </w:tblGrid>
      <w:tr w:rsidR="004569D0" w14:paraId="5E705FA3" w14:textId="77777777">
        <w:tblPrEx>
          <w:tblCellMar>
            <w:top w:w="0" w:type="dxa"/>
            <w:bottom w:w="0" w:type="dxa"/>
          </w:tblCellMar>
        </w:tblPrEx>
        <w:trPr>
          <w:tblHeader/>
        </w:trPr>
        <w:tc>
          <w:tcPr>
            <w:tcW w:w="2600" w:type="dxa"/>
            <w:shd w:val="clear" w:color="auto" w:fill="1F3864"/>
            <w:tcMar>
              <w:top w:w="40" w:type="dxa"/>
              <w:left w:w="80" w:type="dxa"/>
              <w:bottom w:w="40" w:type="dxa"/>
              <w:right w:w="80" w:type="dxa"/>
            </w:tcMar>
          </w:tcPr>
          <w:p w14:paraId="54747CEE" w14:textId="77777777" w:rsidR="004569D0" w:rsidRDefault="00184DA1">
            <w:pPr>
              <w:spacing w:line="240" w:lineRule="auto"/>
            </w:pPr>
            <w:r>
              <w:rPr>
                <w:b/>
                <w:bCs/>
                <w:color w:val="FFFFFF"/>
                <w:sz w:val="20"/>
                <w:szCs w:val="20"/>
              </w:rPr>
              <w:t>Combination</w:t>
            </w:r>
          </w:p>
        </w:tc>
        <w:tc>
          <w:tcPr>
            <w:tcW w:w="2000" w:type="dxa"/>
            <w:shd w:val="clear" w:color="auto" w:fill="1F3864"/>
            <w:tcMar>
              <w:top w:w="40" w:type="dxa"/>
              <w:left w:w="80" w:type="dxa"/>
              <w:bottom w:w="40" w:type="dxa"/>
              <w:right w:w="80" w:type="dxa"/>
            </w:tcMar>
          </w:tcPr>
          <w:p w14:paraId="13E9A6B5" w14:textId="77777777" w:rsidR="004569D0" w:rsidRDefault="00184DA1">
            <w:pPr>
              <w:spacing w:line="240" w:lineRule="auto"/>
              <w:jc w:val="center"/>
            </w:pPr>
            <w:r>
              <w:rPr>
                <w:b/>
                <w:bCs/>
                <w:color w:val="FFFFFF"/>
                <w:sz w:val="20"/>
                <w:szCs w:val="20"/>
              </w:rPr>
              <w:t>Total cost (£m)</w:t>
            </w:r>
          </w:p>
        </w:tc>
        <w:tc>
          <w:tcPr>
            <w:tcW w:w="2200" w:type="dxa"/>
            <w:shd w:val="clear" w:color="auto" w:fill="1F3864"/>
            <w:tcMar>
              <w:top w:w="40" w:type="dxa"/>
              <w:left w:w="80" w:type="dxa"/>
              <w:bottom w:w="40" w:type="dxa"/>
              <w:right w:w="80" w:type="dxa"/>
            </w:tcMar>
          </w:tcPr>
          <w:p w14:paraId="05AD24FB" w14:textId="77777777" w:rsidR="004569D0" w:rsidRDefault="00184DA1">
            <w:pPr>
              <w:spacing w:line="240" w:lineRule="auto"/>
              <w:jc w:val="center"/>
            </w:pPr>
            <w:r>
              <w:rPr>
                <w:b/>
                <w:bCs/>
                <w:color w:val="FFFFFF"/>
                <w:sz w:val="20"/>
                <w:szCs w:val="20"/>
              </w:rPr>
              <w:t>Combined NPV (£m)</w:t>
            </w:r>
          </w:p>
        </w:tc>
      </w:tr>
      <w:tr w:rsidR="004569D0" w14:paraId="781E1DF2" w14:textId="77777777">
        <w:tblPrEx>
          <w:tblCellMar>
            <w:top w:w="0" w:type="dxa"/>
            <w:bottom w:w="0" w:type="dxa"/>
          </w:tblCellMar>
        </w:tblPrEx>
        <w:tc>
          <w:tcPr>
            <w:tcW w:w="2600" w:type="dxa"/>
            <w:tcMar>
              <w:top w:w="40" w:type="dxa"/>
              <w:left w:w="80" w:type="dxa"/>
              <w:bottom w:w="40" w:type="dxa"/>
              <w:right w:w="80" w:type="dxa"/>
            </w:tcMar>
          </w:tcPr>
          <w:p w14:paraId="1811E1BC" w14:textId="77777777" w:rsidR="004569D0" w:rsidRDefault="00184DA1">
            <w:pPr>
              <w:spacing w:line="240" w:lineRule="auto"/>
            </w:pPr>
            <w:r>
              <w:rPr>
                <w:b/>
                <w:bCs/>
                <w:color w:val="000000"/>
                <w:sz w:val="20"/>
                <w:szCs w:val="20"/>
              </w:rPr>
              <w:t>A + B</w:t>
            </w:r>
          </w:p>
        </w:tc>
        <w:tc>
          <w:tcPr>
            <w:tcW w:w="2000" w:type="dxa"/>
            <w:tcMar>
              <w:top w:w="40" w:type="dxa"/>
              <w:left w:w="80" w:type="dxa"/>
              <w:bottom w:w="40" w:type="dxa"/>
              <w:right w:w="80" w:type="dxa"/>
            </w:tcMar>
          </w:tcPr>
          <w:p w14:paraId="010DA3E5" w14:textId="77777777" w:rsidR="004569D0" w:rsidRDefault="00184DA1">
            <w:pPr>
              <w:spacing w:line="240" w:lineRule="auto"/>
              <w:jc w:val="center"/>
            </w:pPr>
            <w:r>
              <w:rPr>
                <w:color w:val="000000"/>
                <w:sz w:val="20"/>
                <w:szCs w:val="20"/>
              </w:rPr>
              <w:t>100</w:t>
            </w:r>
          </w:p>
        </w:tc>
        <w:tc>
          <w:tcPr>
            <w:tcW w:w="2200" w:type="dxa"/>
            <w:tcMar>
              <w:top w:w="40" w:type="dxa"/>
              <w:left w:w="80" w:type="dxa"/>
              <w:bottom w:w="40" w:type="dxa"/>
              <w:right w:w="80" w:type="dxa"/>
            </w:tcMar>
          </w:tcPr>
          <w:p w14:paraId="03553D52" w14:textId="77777777" w:rsidR="004569D0" w:rsidRDefault="00184DA1">
            <w:pPr>
              <w:spacing w:line="240" w:lineRule="auto"/>
              <w:jc w:val="center"/>
            </w:pPr>
            <w:r>
              <w:rPr>
                <w:color w:val="000000"/>
                <w:sz w:val="20"/>
                <w:szCs w:val="20"/>
              </w:rPr>
              <w:t>(12.62)</w:t>
            </w:r>
          </w:p>
        </w:tc>
      </w:tr>
      <w:tr w:rsidR="004569D0" w14:paraId="700DD60A" w14:textId="77777777">
        <w:tblPrEx>
          <w:tblCellMar>
            <w:top w:w="0" w:type="dxa"/>
            <w:bottom w:w="0" w:type="dxa"/>
          </w:tblCellMar>
        </w:tblPrEx>
        <w:tc>
          <w:tcPr>
            <w:tcW w:w="2600" w:type="dxa"/>
            <w:shd w:val="clear" w:color="auto" w:fill="D9E1F2"/>
            <w:tcMar>
              <w:top w:w="40" w:type="dxa"/>
              <w:left w:w="80" w:type="dxa"/>
              <w:bottom w:w="40" w:type="dxa"/>
              <w:right w:w="80" w:type="dxa"/>
            </w:tcMar>
          </w:tcPr>
          <w:p w14:paraId="366FCA3B" w14:textId="77777777" w:rsidR="004569D0" w:rsidRDefault="00184DA1">
            <w:pPr>
              <w:spacing w:line="240" w:lineRule="auto"/>
            </w:pPr>
            <w:r>
              <w:rPr>
                <w:b/>
                <w:bCs/>
                <w:color w:val="000000"/>
                <w:sz w:val="20"/>
                <w:szCs w:val="20"/>
              </w:rPr>
              <w:t>A + C</w:t>
            </w:r>
          </w:p>
        </w:tc>
        <w:tc>
          <w:tcPr>
            <w:tcW w:w="2000" w:type="dxa"/>
            <w:shd w:val="clear" w:color="auto" w:fill="D9E1F2"/>
            <w:tcMar>
              <w:top w:w="40" w:type="dxa"/>
              <w:left w:w="80" w:type="dxa"/>
              <w:bottom w:w="40" w:type="dxa"/>
              <w:right w:w="80" w:type="dxa"/>
            </w:tcMar>
          </w:tcPr>
          <w:p w14:paraId="79AE0795" w14:textId="77777777" w:rsidR="004569D0" w:rsidRDefault="00184DA1">
            <w:pPr>
              <w:spacing w:line="240" w:lineRule="auto"/>
              <w:jc w:val="center"/>
            </w:pPr>
            <w:r>
              <w:rPr>
                <w:color w:val="000000"/>
                <w:sz w:val="20"/>
                <w:szCs w:val="20"/>
              </w:rPr>
              <w:t>100</w:t>
            </w:r>
          </w:p>
        </w:tc>
        <w:tc>
          <w:tcPr>
            <w:tcW w:w="2200" w:type="dxa"/>
            <w:shd w:val="clear" w:color="auto" w:fill="D9E1F2"/>
            <w:tcMar>
              <w:top w:w="40" w:type="dxa"/>
              <w:left w:w="80" w:type="dxa"/>
              <w:bottom w:w="40" w:type="dxa"/>
              <w:right w:w="80" w:type="dxa"/>
            </w:tcMar>
          </w:tcPr>
          <w:p w14:paraId="2465CA47" w14:textId="77777777" w:rsidR="004569D0" w:rsidRDefault="00184DA1">
            <w:pPr>
              <w:spacing w:line="240" w:lineRule="auto"/>
              <w:jc w:val="center"/>
            </w:pPr>
            <w:r>
              <w:rPr>
                <w:color w:val="000000"/>
                <w:sz w:val="20"/>
                <w:szCs w:val="20"/>
              </w:rPr>
              <w:t>(5.69)</w:t>
            </w:r>
          </w:p>
        </w:tc>
      </w:tr>
      <w:tr w:rsidR="004569D0" w14:paraId="320334A8" w14:textId="77777777">
        <w:tblPrEx>
          <w:tblCellMar>
            <w:top w:w="0" w:type="dxa"/>
            <w:bottom w:w="0" w:type="dxa"/>
          </w:tblCellMar>
        </w:tblPrEx>
        <w:tc>
          <w:tcPr>
            <w:tcW w:w="2600" w:type="dxa"/>
            <w:tcMar>
              <w:top w:w="40" w:type="dxa"/>
              <w:left w:w="80" w:type="dxa"/>
              <w:bottom w:w="40" w:type="dxa"/>
              <w:right w:w="80" w:type="dxa"/>
            </w:tcMar>
          </w:tcPr>
          <w:p w14:paraId="5DD92C13" w14:textId="77777777" w:rsidR="004569D0" w:rsidRDefault="00184DA1">
            <w:pPr>
              <w:spacing w:line="240" w:lineRule="auto"/>
            </w:pPr>
            <w:r>
              <w:rPr>
                <w:b/>
                <w:bCs/>
                <w:color w:val="000000"/>
                <w:sz w:val="20"/>
                <w:szCs w:val="20"/>
              </w:rPr>
              <w:t>B + C</w:t>
            </w:r>
          </w:p>
        </w:tc>
        <w:tc>
          <w:tcPr>
            <w:tcW w:w="2000" w:type="dxa"/>
            <w:tcMar>
              <w:top w:w="40" w:type="dxa"/>
              <w:left w:w="80" w:type="dxa"/>
              <w:bottom w:w="40" w:type="dxa"/>
              <w:right w:w="80" w:type="dxa"/>
            </w:tcMar>
          </w:tcPr>
          <w:p w14:paraId="6F7CCB36" w14:textId="77777777" w:rsidR="004569D0" w:rsidRDefault="00184DA1">
            <w:pPr>
              <w:spacing w:line="240" w:lineRule="auto"/>
              <w:jc w:val="center"/>
            </w:pPr>
            <w:r>
              <w:rPr>
                <w:color w:val="000000"/>
                <w:sz w:val="20"/>
                <w:szCs w:val="20"/>
              </w:rPr>
              <w:t>100</w:t>
            </w:r>
          </w:p>
        </w:tc>
        <w:tc>
          <w:tcPr>
            <w:tcW w:w="2200" w:type="dxa"/>
            <w:tcMar>
              <w:top w:w="40" w:type="dxa"/>
              <w:left w:w="80" w:type="dxa"/>
              <w:bottom w:w="40" w:type="dxa"/>
              <w:right w:w="80" w:type="dxa"/>
            </w:tcMar>
          </w:tcPr>
          <w:p w14:paraId="218CCF8E" w14:textId="77777777" w:rsidR="004569D0" w:rsidRDefault="00184DA1">
            <w:pPr>
              <w:spacing w:line="240" w:lineRule="auto"/>
              <w:jc w:val="center"/>
            </w:pPr>
            <w:r>
              <w:rPr>
                <w:color w:val="000000"/>
                <w:sz w:val="20"/>
                <w:szCs w:val="20"/>
              </w:rPr>
              <w:t>(5.22)</w:t>
            </w:r>
          </w:p>
        </w:tc>
      </w:tr>
      <w:tr w:rsidR="004569D0" w14:paraId="4DBF623B" w14:textId="77777777">
        <w:tblPrEx>
          <w:tblCellMar>
            <w:top w:w="0" w:type="dxa"/>
            <w:bottom w:w="0" w:type="dxa"/>
          </w:tblCellMar>
        </w:tblPrEx>
        <w:tc>
          <w:tcPr>
            <w:tcW w:w="2600" w:type="dxa"/>
            <w:shd w:val="clear" w:color="auto" w:fill="D9E1F2"/>
            <w:tcMar>
              <w:top w:w="40" w:type="dxa"/>
              <w:left w:w="80" w:type="dxa"/>
              <w:bottom w:w="40" w:type="dxa"/>
              <w:right w:w="80" w:type="dxa"/>
            </w:tcMar>
          </w:tcPr>
          <w:p w14:paraId="4007E21B" w14:textId="77777777" w:rsidR="004569D0" w:rsidRDefault="00184DA1">
            <w:pPr>
              <w:spacing w:line="240" w:lineRule="auto"/>
            </w:pPr>
            <w:r>
              <w:rPr>
                <w:b/>
                <w:bCs/>
                <w:color w:val="000000"/>
                <w:sz w:val="20"/>
                <w:szCs w:val="20"/>
              </w:rPr>
              <w:t>C only</w:t>
            </w:r>
          </w:p>
        </w:tc>
        <w:tc>
          <w:tcPr>
            <w:tcW w:w="2000" w:type="dxa"/>
            <w:shd w:val="clear" w:color="auto" w:fill="D9E1F2"/>
            <w:tcMar>
              <w:top w:w="40" w:type="dxa"/>
              <w:left w:w="80" w:type="dxa"/>
              <w:bottom w:w="40" w:type="dxa"/>
              <w:right w:w="80" w:type="dxa"/>
            </w:tcMar>
          </w:tcPr>
          <w:p w14:paraId="0979EDD1" w14:textId="77777777" w:rsidR="004569D0" w:rsidRDefault="00184DA1">
            <w:pPr>
              <w:spacing w:line="240" w:lineRule="auto"/>
              <w:jc w:val="center"/>
            </w:pPr>
            <w:r>
              <w:rPr>
                <w:color w:val="000000"/>
                <w:sz w:val="20"/>
                <w:szCs w:val="20"/>
              </w:rPr>
              <w:t>50</w:t>
            </w:r>
          </w:p>
        </w:tc>
        <w:tc>
          <w:tcPr>
            <w:tcW w:w="2200" w:type="dxa"/>
            <w:shd w:val="clear" w:color="auto" w:fill="D9E1F2"/>
            <w:tcMar>
              <w:top w:w="40" w:type="dxa"/>
              <w:left w:w="80" w:type="dxa"/>
              <w:bottom w:w="40" w:type="dxa"/>
              <w:right w:w="80" w:type="dxa"/>
            </w:tcMar>
          </w:tcPr>
          <w:p w14:paraId="25A533C2" w14:textId="77777777" w:rsidR="004569D0" w:rsidRDefault="00184DA1">
            <w:pPr>
              <w:spacing w:line="240" w:lineRule="auto"/>
              <w:jc w:val="center"/>
            </w:pPr>
            <w:r>
              <w:rPr>
                <w:color w:val="000000"/>
                <w:sz w:val="20"/>
                <w:szCs w:val="20"/>
              </w:rPr>
              <w:t>0.86</w:t>
            </w:r>
          </w:p>
        </w:tc>
      </w:tr>
    </w:tbl>
    <w:p w14:paraId="42285996" w14:textId="77777777" w:rsidR="004569D0" w:rsidRDefault="00184DA1">
      <w:pPr>
        <w:spacing w:after="160"/>
        <w:jc w:val="both"/>
      </w:pPr>
      <w:r>
        <w:t xml:space="preserve">No two-project combination produces a positive combined net present value, because pairing the value-creating Project C with either value-destroying alternative drags the total below zero. The financially rational decision is therefore not to spend the full </w:t>
      </w:r>
      <w:r>
        <w:lastRenderedPageBreak/>
        <w:t>£100m budget but to invest £50m in Project C alone and either retain or return the remaining £50m. This illustrates a central principle of capital rationing: the objective is to maximise value within the constraint, not to exhaust the budget (Watson and Head, 2019). For a cash-generative firm such as IHG, whose stated policy is to return surplus capital to shareholders (IHG, 2026), declining to fund negative-value projects and returning the unused £50m is fully consistent with maximising shareholder wealth.</w:t>
      </w:r>
    </w:p>
    <w:p w14:paraId="21019567" w14:textId="77777777" w:rsidR="004569D0" w:rsidRDefault="00184DA1">
      <w:pPr>
        <w:pStyle w:val="Heading1"/>
      </w:pPr>
      <w:bookmarkStart w:id="19" w:name="_Toc237517885"/>
      <w:r>
        <w:t>6. Critical Reflection on the Use of Artificial Intelligence</w:t>
      </w:r>
      <w:bookmarkEnd w:id="19"/>
    </w:p>
    <w:p w14:paraId="54CD55F3" w14:textId="77777777" w:rsidR="004569D0" w:rsidRDefault="00184DA1">
      <w:pPr>
        <w:spacing w:after="160"/>
        <w:jc w:val="both"/>
      </w:pPr>
      <w:r>
        <w:t>In line with the assessment's permitted uses of generative artificial intelligence, such tools were used only to support research and data analysis and to assist with proofreading, and not to structure the submission or to generate text for it. This reflection evaluates that use critically.</w:t>
      </w:r>
    </w:p>
    <w:p w14:paraId="64673AB2" w14:textId="77777777" w:rsidR="004569D0" w:rsidRDefault="00184DA1">
      <w:pPr>
        <w:spacing w:after="160"/>
        <w:jc w:val="both"/>
      </w:pPr>
      <w:r>
        <w:rPr>
          <w:b/>
          <w:bCs/>
        </w:rPr>
        <w:t>Tool disclosure.</w:t>
      </w:r>
      <w:r>
        <w:t xml:space="preserve"> The generative artificial intelligence tool used was a large language model assistant (</w:t>
      </w:r>
      <w:proofErr w:type="spellStart"/>
      <w:r>
        <w:t>Anthropic's</w:t>
      </w:r>
      <w:proofErr w:type="spellEnd"/>
      <w:r>
        <w:t xml:space="preserve"> Claude, accessed during July 2026), employed in a limited, supporting capacity: to help locate credible sources on investment appraisal, working capital and corporate restructuring, to sense-check the arithmetic of the ratio and appraisal calculations, and to suggest grammatical and stylistic refinements to my own drafted text. All argument, structure, interpretation and judgement are my own, consistent with </w:t>
      </w:r>
      <w:r>
        <w:t>the assessment's rules and recorded in the artificial intelligence use acknowledgement.</w:t>
      </w:r>
    </w:p>
    <w:p w14:paraId="67439C53" w14:textId="77777777" w:rsidR="004569D0" w:rsidRDefault="00184DA1">
      <w:pPr>
        <w:spacing w:after="160"/>
        <w:jc w:val="both"/>
      </w:pPr>
      <w:r>
        <w:rPr>
          <w:b/>
          <w:bCs/>
        </w:rPr>
        <w:t>Critical evaluation of output.</w:t>
      </w:r>
      <w:r>
        <w:t xml:space="preserve"> Artificial intelligence output was treated as a starting point requiring verification, not as authority. Verification proved essential rather than a formality. A concrete example illustrates the risk: an early draft attributed the journal article on capital-structure theory in divestitures to "Barbosa, Bock and Fu", but checking the source directly against the publisher's record showed the correct authors to be Chen, Guha and Simu (2025); the citation was corrected accordingly. This is precisely the kind o</w:t>
      </w:r>
      <w:r>
        <w:t>f fabricated-attribution error, a confident but false output, that the literature warns is characteristic of generative models and especially dangerous in a financial context where an undetected error can drive a flawed decision (United States Department of the Treasury, 2024). The episode reinforced a rule applied throughout: financial figures were traced back to IHG's audited accounts and independently recalculated, quantitative claims in the appraisal were reproduced by hand, and citations were checked a</w:t>
      </w:r>
      <w:r>
        <w:t xml:space="preserve">gainst the original publications. This verification was iterative </w:t>
      </w:r>
      <w:r>
        <w:lastRenderedPageBreak/>
        <w:t>rather than perfect; an initial round of checking still left errors that a second, more systematic audit against the primary financial statements identified and corrected, which is itself a lesson in not over-trusting either the tool or a single pass of review. Where a figure could not be substantiated, it was discarded rather than retained. The value of the tool, in short, lay in acceleration, not authority; its outputs were treated as claim</w:t>
      </w:r>
      <w:r>
        <w:t>s to be tested, and several were found wanting and corrected.</w:t>
      </w:r>
    </w:p>
    <w:p w14:paraId="27D0F7F1" w14:textId="77777777" w:rsidR="004569D0" w:rsidRDefault="00184DA1">
      <w:pPr>
        <w:spacing w:after="160"/>
        <w:jc w:val="both"/>
      </w:pPr>
      <w:r>
        <w:rPr>
          <w:b/>
          <w:bCs/>
        </w:rPr>
        <w:t>Contribution analysis.</w:t>
      </w:r>
      <w:r>
        <w:t xml:space="preserve"> The intellectual core of this report, comprising the selection and interpretation of ratios, the diagnosis of IHG's negative-equity position, the restructuring judgement and the capital rationing conclusion, is entirely my own analysis. Artificial intelligence contributed only mechanical assistance, such as flagging a possible arithmetic slip or proposing a clearer sentence, which I then verified and rewrote. The distinction matters for academic integrity: the analytical synthesis is human, and the tool fu</w:t>
      </w:r>
      <w:r>
        <w:t>nctioned as an assistant rather than an author.</w:t>
      </w:r>
    </w:p>
    <w:p w14:paraId="16C49F96" w14:textId="77777777" w:rsidR="004569D0" w:rsidRDefault="00184DA1">
      <w:pPr>
        <w:spacing w:after="160"/>
        <w:jc w:val="both"/>
      </w:pPr>
      <w:r>
        <w:rPr>
          <w:b/>
          <w:bCs/>
        </w:rPr>
        <w:t>Ethical and professional reflection.</w:t>
      </w:r>
      <w:r>
        <w:t xml:space="preserve"> For a chief financial officer, the ethical stakes of artificial intelligence are considerable. Transparency about its use is now a baseline professional expectation rather than a differentiator, and a majority of financial board members are actively developing responsible-use policies (</w:t>
      </w:r>
      <w:proofErr w:type="spellStart"/>
      <w:r>
        <w:t>Coderio</w:t>
      </w:r>
      <w:proofErr w:type="spellEnd"/>
      <w:r>
        <w:t>, 2026). Data privacy is a further concern, since inputting proprietary financial information into external models could breach confidentiality and data-protection obligations (</w:t>
      </w:r>
      <w:proofErr w:type="spellStart"/>
      <w:r>
        <w:t>Altrum</w:t>
      </w:r>
      <w:proofErr w:type="spellEnd"/>
      <w:r>
        <w:t>, 2025). The greatest risk in exec</w:t>
      </w:r>
      <w:r>
        <w:t>utive decision-making is over-reliance, or automation bias, whereby plausible outputs are accepted without scrutiny; the profession's response is to keep a human in the loop and to treat artificial intelligence as a decision-support tool, not a decision-maker (CFA Institute, 2025). Applied here, that principle meant using the tool to accelerate research while retaining full personal responsibility for every conclusion.</w:t>
      </w:r>
    </w:p>
    <w:p w14:paraId="102AF877" w14:textId="77777777" w:rsidR="004569D0" w:rsidRDefault="00184DA1">
      <w:pPr>
        <w:pStyle w:val="Heading1"/>
      </w:pPr>
      <w:bookmarkStart w:id="20" w:name="_Toc237517886"/>
      <w:r>
        <w:t>7. Conclusion</w:t>
      </w:r>
      <w:bookmarkEnd w:id="20"/>
    </w:p>
    <w:p w14:paraId="5B8A9ED5" w14:textId="77777777" w:rsidR="004569D0" w:rsidRDefault="00184DA1">
      <w:pPr>
        <w:spacing w:after="160"/>
        <w:jc w:val="both"/>
      </w:pPr>
      <w:r>
        <w:t xml:space="preserve">This report set out to evaluate IHG's financial performance, diagnose its core issues and propose a defensible financial strategy, while appraising three investment projects. The analysis shows a business that has recovered strongly, with revenue rising to US$5,189m in 2025 and margins and returns expanding on the strength of an asset-light, cash-generative model. Its main vulnerabilities are high and rising net debt, a negative book-equity position that reflects sustained shareholder returns rather than </w:t>
      </w:r>
      <w:r>
        <w:lastRenderedPageBreak/>
        <w:t>distress, and exposure to a soft, uneven sector demand environment. Working capital is already efficient, with a structurally negative cash operating cycle that finances the business through its suppliers and customers, so reform should refine rather than overhaul it. The recommended strategy is to preserve the asset-light model, pursue disciplined premium-segment acquisitions, and maintain balanced leverage within the group's stated ceiling, integrating currency, inflation, tax and sustainability considera</w:t>
      </w:r>
      <w:r>
        <w:t>tions throughout.</w:t>
      </w:r>
    </w:p>
    <w:p w14:paraId="6FFC34A8" w14:textId="77777777" w:rsidR="004569D0" w:rsidRDefault="00184DA1">
      <w:pPr>
        <w:spacing w:after="160"/>
        <w:jc w:val="both"/>
      </w:pPr>
      <w:r>
        <w:t>On investment, the appraisal is decisive: only Project C creates value, being the sole project with a positive net present value, a profitability index above one, an internal rate of return above the cost of capital, and the fastest payback. Sensitivity analysis shows this value is thin, disappearing above a 9% discount rate or a 10% shortfall in mid-life cash flows, so acceptance should be conditional on confirming the cost of capital and the cash-flow forecasts. Under a £100m constraint, no combination of</w:t>
      </w:r>
      <w:r>
        <w:t xml:space="preserve"> two projects is jointly value-creating, so the rational course is to invest £50m in Project C alone rather than exhaust the budget.</w:t>
      </w:r>
    </w:p>
    <w:p w14:paraId="397D04B9" w14:textId="77777777" w:rsidR="004569D0" w:rsidRDefault="00184DA1">
      <w:pPr>
        <w:spacing w:after="160"/>
        <w:jc w:val="both"/>
      </w:pPr>
      <w:r>
        <w:t>For the Board, four prioritised actions follow. First, accept Project C only after sensitivity and cost-of-capital confirmation, and reject Projects A and B. Second, hold net debt to EBITDA within the 2.5–3.0 times policy range, treating shareholder returns as the residual after growth investment and an internal leverage buffer. Third, implement a defined receivables-days target to release working capital, of the order of US$40m–US$70m, for reinvestment or deleveraging. Fourth, allocate the unspent £50m acc</w:t>
      </w:r>
      <w:r>
        <w:t>ording to explicit criteria: prioritise debt reduction if leverage approaches the top of the range, retain liquidity if refinancing conditions tighten, and return capital to shareholders only once the first two are satisfied. This ranking makes explicit that, with net debt rising, returning cash is not automatically superior to strengthening the balance sheet. Taken together, the findings indicate that IHG's financial strength affords it the flexibility to be selective, rejecting value-destroying investment</w:t>
      </w:r>
      <w:r>
        <w:t>s and directing capital only where it demonstrably adds value.</w:t>
      </w:r>
    </w:p>
    <w:p w14:paraId="0C2AF212" w14:textId="77777777" w:rsidR="004569D0" w:rsidRDefault="00184DA1">
      <w:r>
        <w:br w:type="page"/>
      </w:r>
    </w:p>
    <w:p w14:paraId="66954D3E" w14:textId="77777777" w:rsidR="004569D0" w:rsidRDefault="00184DA1">
      <w:pPr>
        <w:pStyle w:val="Heading1"/>
      </w:pPr>
      <w:bookmarkStart w:id="21" w:name="_Toc237517887"/>
      <w:r>
        <w:lastRenderedPageBreak/>
        <w:t>References</w:t>
      </w:r>
      <w:bookmarkEnd w:id="21"/>
    </w:p>
    <w:p w14:paraId="08C11FEA" w14:textId="77777777" w:rsidR="004569D0" w:rsidRDefault="00184DA1">
      <w:pPr>
        <w:spacing w:after="120"/>
        <w:ind w:left="720" w:hanging="720"/>
      </w:pPr>
      <w:proofErr w:type="spellStart"/>
      <w:r>
        <w:t>Altrum</w:t>
      </w:r>
      <w:proofErr w:type="spellEnd"/>
      <w:r>
        <w:t xml:space="preserve"> (2025) </w:t>
      </w:r>
      <w:r>
        <w:rPr>
          <w:i/>
          <w:iCs/>
        </w:rPr>
        <w:t>The hidden risks of generative AI: a financial services perspective</w:t>
      </w:r>
      <w:r>
        <w:t>. Available at: https://www.altrum.ai/blog/the-hidden-risks-of-generative-ai-a-financial-services-perspective (Accessed: 12 July 2026).</w:t>
      </w:r>
    </w:p>
    <w:p w14:paraId="73F2060F" w14:textId="77777777" w:rsidR="004569D0" w:rsidRDefault="00184DA1">
      <w:pPr>
        <w:spacing w:after="120"/>
        <w:ind w:left="720" w:hanging="720"/>
      </w:pPr>
      <w:proofErr w:type="spellStart"/>
      <w:r>
        <w:t>Atrill</w:t>
      </w:r>
      <w:proofErr w:type="spellEnd"/>
      <w:r>
        <w:t xml:space="preserve">, P. and McLaney, E. (2019) </w:t>
      </w:r>
      <w:r>
        <w:rPr>
          <w:i/>
          <w:iCs/>
        </w:rPr>
        <w:t>Accounting and finance for non-specialists</w:t>
      </w:r>
      <w:r>
        <w:t xml:space="preserve">. 11th </w:t>
      </w:r>
      <w:proofErr w:type="spellStart"/>
      <w:r>
        <w:t>edn</w:t>
      </w:r>
      <w:proofErr w:type="spellEnd"/>
      <w:r>
        <w:t>. Harlow: Pearson.</w:t>
      </w:r>
    </w:p>
    <w:p w14:paraId="26DF542E" w14:textId="77777777" w:rsidR="004569D0" w:rsidRDefault="00184DA1">
      <w:pPr>
        <w:spacing w:after="120"/>
        <w:ind w:left="720" w:hanging="720"/>
      </w:pPr>
      <w:r>
        <w:t xml:space="preserve">Chen, X., Guha, S. and Simu, T.H. (2025) 'Capital structure theories in US corporate divestitures: a study on spin-off firms', </w:t>
      </w:r>
      <w:r>
        <w:rPr>
          <w:i/>
          <w:iCs/>
        </w:rPr>
        <w:t>International Journal of Financial Studies</w:t>
      </w:r>
      <w:r>
        <w:t>, 13(3), 173. doi:10.3390/ijfs13030173.</w:t>
      </w:r>
    </w:p>
    <w:p w14:paraId="60AD1D62" w14:textId="77777777" w:rsidR="004569D0" w:rsidRDefault="00184DA1">
      <w:pPr>
        <w:spacing w:after="120"/>
        <w:ind w:left="720" w:hanging="720"/>
      </w:pPr>
      <w:r>
        <w:t xml:space="preserve">CBRE (2025) </w:t>
      </w:r>
      <w:r>
        <w:rPr>
          <w:i/>
          <w:iCs/>
        </w:rPr>
        <w:t>Hotel brand performance 2025</w:t>
      </w:r>
      <w:r>
        <w:t>. Available at: https://www.cbre.com/insights/reports/hotel-brand-performance-2025 (Accessed: 12 July 2026).</w:t>
      </w:r>
    </w:p>
    <w:p w14:paraId="6C4D2D0A" w14:textId="77777777" w:rsidR="004569D0" w:rsidRDefault="00184DA1">
      <w:pPr>
        <w:spacing w:after="120"/>
        <w:ind w:left="720" w:hanging="720"/>
      </w:pPr>
      <w:r>
        <w:t xml:space="preserve">CFA Institute (2025) </w:t>
      </w:r>
      <w:r>
        <w:rPr>
          <w:i/>
          <w:iCs/>
        </w:rPr>
        <w:t>Explainable AI in finance: addressing the needs of diverse stakeholders</w:t>
      </w:r>
      <w:r>
        <w:t xml:space="preserve">. Charlottesville: CFA Institute Research and Policy </w:t>
      </w:r>
      <w:proofErr w:type="spellStart"/>
      <w:r>
        <w:t>Center</w:t>
      </w:r>
      <w:proofErr w:type="spellEnd"/>
      <w:r>
        <w:t>.</w:t>
      </w:r>
    </w:p>
    <w:p w14:paraId="67C5BCCF" w14:textId="77777777" w:rsidR="004569D0" w:rsidRDefault="00184DA1">
      <w:pPr>
        <w:spacing w:after="120"/>
        <w:ind w:left="720" w:hanging="720"/>
      </w:pPr>
      <w:proofErr w:type="spellStart"/>
      <w:r>
        <w:t>Coderio</w:t>
      </w:r>
      <w:proofErr w:type="spellEnd"/>
      <w:r>
        <w:t xml:space="preserve"> (2026) </w:t>
      </w:r>
      <w:r>
        <w:rPr>
          <w:i/>
          <w:iCs/>
        </w:rPr>
        <w:t>Generative AI in finance guide 2026</w:t>
      </w:r>
      <w:r>
        <w:t>. Available at: https://www.coderio.com/blog/biz-tech/generative-ai-finance/ (Accessed: 12 July 2026).</w:t>
      </w:r>
    </w:p>
    <w:p w14:paraId="27E94BDC" w14:textId="77777777" w:rsidR="004569D0" w:rsidRDefault="00184DA1">
      <w:pPr>
        <w:spacing w:after="120"/>
        <w:ind w:left="720" w:hanging="720"/>
      </w:pPr>
      <w:r>
        <w:t xml:space="preserve">Corporate Finance Institute (2025) </w:t>
      </w:r>
      <w:r>
        <w:rPr>
          <w:i/>
          <w:iCs/>
        </w:rPr>
        <w:t>Capital planning metrics: the role of NPV, IRR, and profitability index</w:t>
      </w:r>
      <w:r>
        <w:t>. Available at: https://corporatefinanceinstitute.com/resources/valuation/capital-planning-metrics-guide/ (Accessed: 12 July 2026).</w:t>
      </w:r>
    </w:p>
    <w:p w14:paraId="3C0FF7A9" w14:textId="77777777" w:rsidR="004569D0" w:rsidRDefault="00184DA1">
      <w:pPr>
        <w:spacing w:after="120"/>
        <w:ind w:left="720" w:hanging="720"/>
      </w:pPr>
      <w:r>
        <w:t xml:space="preserve">Deloof, M. (2003) 'Does working capital management affect profitability of Belgian firms?', </w:t>
      </w:r>
      <w:r>
        <w:rPr>
          <w:i/>
          <w:iCs/>
        </w:rPr>
        <w:t>Journal of Business Finance &amp; Accounting</w:t>
      </w:r>
      <w:r>
        <w:t>, 30(3-4), pp. 573–588.</w:t>
      </w:r>
    </w:p>
    <w:p w14:paraId="4B9CE5D6" w14:textId="77777777" w:rsidR="004569D0" w:rsidRDefault="00184DA1">
      <w:pPr>
        <w:spacing w:after="120"/>
        <w:ind w:left="720" w:hanging="720"/>
      </w:pPr>
      <w:r>
        <w:t xml:space="preserve">Feldman, E.R. (2016) 'Corporate spin-offs and capital allocation decisions', </w:t>
      </w:r>
      <w:r>
        <w:rPr>
          <w:i/>
          <w:iCs/>
        </w:rPr>
        <w:t>Strategy Science</w:t>
      </w:r>
      <w:r>
        <w:t>, 1(4), pp. 256–271.</w:t>
      </w:r>
    </w:p>
    <w:p w14:paraId="5D2A1B9B" w14:textId="77777777" w:rsidR="004569D0" w:rsidRDefault="00184DA1">
      <w:pPr>
        <w:spacing w:after="120"/>
        <w:ind w:left="720" w:hanging="720"/>
      </w:pPr>
      <w:r>
        <w:t xml:space="preserve">Hilton (2025) </w:t>
      </w:r>
      <w:r>
        <w:rPr>
          <w:i/>
          <w:iCs/>
        </w:rPr>
        <w:t>Annual report 2024 (Form 10-K)</w:t>
      </w:r>
      <w:r>
        <w:t>. McLean, VA: Hilton Worldwide Holdings Inc. Available at: https://www.sec.gov (Accessed: 12 July 2026).</w:t>
      </w:r>
    </w:p>
    <w:p w14:paraId="3371F37C" w14:textId="77777777" w:rsidR="004569D0" w:rsidRDefault="00184DA1">
      <w:pPr>
        <w:spacing w:after="120"/>
        <w:ind w:left="720" w:hanging="720"/>
      </w:pPr>
      <w:r>
        <w:t xml:space="preserve">IHG (2023) </w:t>
      </w:r>
      <w:r>
        <w:rPr>
          <w:i/>
          <w:iCs/>
        </w:rPr>
        <w:t>Full year results for the year to 31 December 2022</w:t>
      </w:r>
      <w:r>
        <w:t>. Windsor: InterContinental Hotels Group PLC. Available at: https://www.ihgplc.com (Accessed: 12 July 2026).</w:t>
      </w:r>
    </w:p>
    <w:p w14:paraId="35969E49" w14:textId="77777777" w:rsidR="004569D0" w:rsidRDefault="00184DA1">
      <w:pPr>
        <w:spacing w:after="120"/>
        <w:ind w:left="720" w:hanging="720"/>
      </w:pPr>
      <w:r>
        <w:lastRenderedPageBreak/>
        <w:t xml:space="preserve">IHG (2024) </w:t>
      </w:r>
      <w:r>
        <w:rPr>
          <w:i/>
          <w:iCs/>
        </w:rPr>
        <w:t>Full year results for the year to 31 December 2023</w:t>
      </w:r>
      <w:r>
        <w:t>. Windsor: InterContinental Hotels Group PLC. Available at: https://www.ihgplc.com (Accessed: 12 July 2026).</w:t>
      </w:r>
    </w:p>
    <w:p w14:paraId="6E431FDF" w14:textId="77777777" w:rsidR="004569D0" w:rsidRDefault="00184DA1">
      <w:pPr>
        <w:spacing w:after="120"/>
        <w:ind w:left="720" w:hanging="720"/>
      </w:pPr>
      <w:r>
        <w:t xml:space="preserve">IHG (2025) </w:t>
      </w:r>
      <w:r>
        <w:rPr>
          <w:i/>
          <w:iCs/>
        </w:rPr>
        <w:t>Full year results for the year to 31 December 2024</w:t>
      </w:r>
      <w:r>
        <w:t xml:space="preserve"> and </w:t>
      </w:r>
      <w:r>
        <w:rPr>
          <w:i/>
          <w:iCs/>
        </w:rPr>
        <w:t>Annual Report 2024</w:t>
      </w:r>
      <w:r>
        <w:t>. Windsor: InterContinental Hotels Group PLC. Available at: https://www.ihgplc.com/en/investors/annual-report (Accessed: 12 July 2026).</w:t>
      </w:r>
    </w:p>
    <w:p w14:paraId="202AA78C" w14:textId="77777777" w:rsidR="004569D0" w:rsidRDefault="00184DA1">
      <w:pPr>
        <w:spacing w:after="120"/>
        <w:ind w:left="720" w:hanging="720"/>
      </w:pPr>
      <w:r>
        <w:t xml:space="preserve">IHG (2026) </w:t>
      </w:r>
      <w:r>
        <w:rPr>
          <w:i/>
          <w:iCs/>
        </w:rPr>
        <w:t>Full year results for the year to 31 December 2025</w:t>
      </w:r>
      <w:r>
        <w:t xml:space="preserve"> and </w:t>
      </w:r>
      <w:r>
        <w:rPr>
          <w:i/>
          <w:iCs/>
        </w:rPr>
        <w:t>Annual Report and Form 20-F 2025</w:t>
      </w:r>
      <w:r>
        <w:t>. Windsor: InterContinental Hotels Group PLC. Available at: https://www.ihgplc.com/en/investors/annual-report (Accessed: 12 July 2026).</w:t>
      </w:r>
    </w:p>
    <w:p w14:paraId="1F6A7151" w14:textId="77777777" w:rsidR="004569D0" w:rsidRDefault="00184DA1">
      <w:pPr>
        <w:spacing w:after="120"/>
        <w:ind w:left="720" w:hanging="720"/>
      </w:pPr>
      <w:r>
        <w:t xml:space="preserve">Marriott (2025) </w:t>
      </w:r>
      <w:r>
        <w:rPr>
          <w:i/>
          <w:iCs/>
        </w:rPr>
        <w:t>Annual report 2024 (Form 10-K)</w:t>
      </w:r>
      <w:r>
        <w:t>. Bethesda, MD: Marriott International, Inc. Available at: https://www.sec.gov (Accessed: 12 July 2026).</w:t>
      </w:r>
    </w:p>
    <w:p w14:paraId="5189E087" w14:textId="77777777" w:rsidR="004569D0" w:rsidRDefault="00184DA1">
      <w:pPr>
        <w:spacing w:after="120"/>
        <w:ind w:left="720" w:hanging="720"/>
      </w:pPr>
      <w:r>
        <w:t xml:space="preserve">Myers, S.C. (1984) 'The capital structure puzzle', </w:t>
      </w:r>
      <w:r>
        <w:rPr>
          <w:i/>
          <w:iCs/>
        </w:rPr>
        <w:t>The Journal of Finance</w:t>
      </w:r>
      <w:r>
        <w:t>, 39(3), pp. 574–592.</w:t>
      </w:r>
    </w:p>
    <w:p w14:paraId="31778C69" w14:textId="77777777" w:rsidR="004569D0" w:rsidRDefault="00184DA1">
      <w:pPr>
        <w:spacing w:after="120"/>
        <w:ind w:left="720" w:hanging="720"/>
      </w:pPr>
      <w:r>
        <w:t xml:space="preserve">Prezas, A.P. and Simonyan, K. (2015) 'Corporate divestitures: spin-offs vs. sell-offs', </w:t>
      </w:r>
      <w:r>
        <w:rPr>
          <w:i/>
          <w:iCs/>
        </w:rPr>
        <w:t>Journal of Corporate Finance</w:t>
      </w:r>
      <w:r>
        <w:t>, 34, pp. 83–107.</w:t>
      </w:r>
    </w:p>
    <w:p w14:paraId="52526B2A" w14:textId="77777777" w:rsidR="004569D0" w:rsidRDefault="00184DA1">
      <w:pPr>
        <w:spacing w:after="120"/>
        <w:ind w:left="720" w:hanging="720"/>
      </w:pPr>
      <w:r>
        <w:t xml:space="preserve">PwC (2026) </w:t>
      </w:r>
      <w:r>
        <w:rPr>
          <w:i/>
          <w:iCs/>
        </w:rPr>
        <w:t>US hospitality directions: May 2026</w:t>
      </w:r>
      <w:r>
        <w:t>. Available at: https://www.pwc.com/us/en/industries/consumer-markets/hospitality-leisure/us-hospitality-directions.html (Accessed: 12 July 2026).</w:t>
      </w:r>
    </w:p>
    <w:p w14:paraId="3EE60DFD" w14:textId="77777777" w:rsidR="004569D0" w:rsidRDefault="00184DA1">
      <w:pPr>
        <w:spacing w:after="120"/>
        <w:ind w:left="720" w:hanging="720"/>
      </w:pPr>
      <w:r>
        <w:t xml:space="preserve">Richards, V.D. and Laughlin, E.J. (1980) 'A cash conversion cycle approach to liquidity analysis', </w:t>
      </w:r>
      <w:r>
        <w:rPr>
          <w:i/>
          <w:iCs/>
        </w:rPr>
        <w:t>Financial Management</w:t>
      </w:r>
      <w:r>
        <w:t>, 9(1), pp. 32–38.</w:t>
      </w:r>
    </w:p>
    <w:p w14:paraId="1AB373AF" w14:textId="77777777" w:rsidR="004569D0" w:rsidRDefault="00184DA1">
      <w:pPr>
        <w:spacing w:after="120"/>
        <w:ind w:left="720" w:hanging="720"/>
      </w:pPr>
      <w:r>
        <w:t xml:space="preserve">Robinson, T.R. (2020) </w:t>
      </w:r>
      <w:r>
        <w:rPr>
          <w:i/>
          <w:iCs/>
        </w:rPr>
        <w:t>International financial statement analysis</w:t>
      </w:r>
      <w:r>
        <w:t xml:space="preserve">. 4th </w:t>
      </w:r>
      <w:proofErr w:type="spellStart"/>
      <w:r>
        <w:t>edn</w:t>
      </w:r>
      <w:proofErr w:type="spellEnd"/>
      <w:r>
        <w:t>. Hoboken: Wiley (CFA Institute Investment Series).</w:t>
      </w:r>
    </w:p>
    <w:p w14:paraId="7169D311" w14:textId="77777777" w:rsidR="004569D0" w:rsidRDefault="00184DA1">
      <w:pPr>
        <w:spacing w:after="120"/>
        <w:ind w:left="720" w:hanging="720"/>
      </w:pPr>
      <w:r>
        <w:t xml:space="preserve">Ryan O'Connell (2026) </w:t>
      </w:r>
      <w:r>
        <w:rPr>
          <w:i/>
          <w:iCs/>
        </w:rPr>
        <w:t>Profitability index explained: formula, examples and capital rationing</w:t>
      </w:r>
      <w:r>
        <w:t>. Available at: https://ryanoconnellfinance.com/profitability-index/ (Accessed: 12 July 2026).</w:t>
      </w:r>
    </w:p>
    <w:p w14:paraId="03D332DC" w14:textId="77777777" w:rsidR="004569D0" w:rsidRDefault="00184DA1">
      <w:pPr>
        <w:spacing w:after="120"/>
        <w:ind w:left="720" w:hanging="720"/>
      </w:pPr>
      <w:r>
        <w:t xml:space="preserve">Shin, H.H. and Soenen, L. (1998) 'Efficiency of working capital and corporate profitability', </w:t>
      </w:r>
      <w:r>
        <w:rPr>
          <w:i/>
          <w:iCs/>
        </w:rPr>
        <w:t>Financial Practice and Education</w:t>
      </w:r>
      <w:r>
        <w:t>, 8(2), pp. 37–45.</w:t>
      </w:r>
    </w:p>
    <w:p w14:paraId="5852C2D0" w14:textId="77777777" w:rsidR="004569D0" w:rsidRDefault="00184DA1">
      <w:pPr>
        <w:spacing w:after="120"/>
        <w:ind w:left="720" w:hanging="720"/>
      </w:pPr>
      <w:r>
        <w:lastRenderedPageBreak/>
        <w:t xml:space="preserve">United States Department of the Treasury (2024) </w:t>
      </w:r>
      <w:r>
        <w:rPr>
          <w:i/>
          <w:iCs/>
        </w:rPr>
        <w:t>Report on the uses, opportunities, and risks of artificial intelligence in financial services</w:t>
      </w:r>
      <w:r>
        <w:t>. Washington, DC: US Department of the Treasury.</w:t>
      </w:r>
    </w:p>
    <w:p w14:paraId="7A089BCC" w14:textId="77777777" w:rsidR="004569D0" w:rsidRDefault="00184DA1">
      <w:pPr>
        <w:spacing w:after="120"/>
        <w:ind w:left="720" w:hanging="720"/>
      </w:pPr>
      <w:r>
        <w:t xml:space="preserve">Wang, B. (2019) 'The cash conversion cycle spread', </w:t>
      </w:r>
      <w:r>
        <w:rPr>
          <w:i/>
          <w:iCs/>
        </w:rPr>
        <w:t>Journal of Financial Economics</w:t>
      </w:r>
      <w:r>
        <w:t>, 133(2), pp. 472–497.</w:t>
      </w:r>
    </w:p>
    <w:p w14:paraId="374DD313" w14:textId="77777777" w:rsidR="004569D0" w:rsidRDefault="00184DA1">
      <w:pPr>
        <w:spacing w:after="120"/>
        <w:ind w:left="720" w:hanging="720"/>
      </w:pPr>
      <w:r>
        <w:t xml:space="preserve">Watson, D. and Head, A. (2019) </w:t>
      </w:r>
      <w:r>
        <w:rPr>
          <w:i/>
          <w:iCs/>
        </w:rPr>
        <w:t>Corporate finance: principles and practice</w:t>
      </w:r>
      <w:r>
        <w:t xml:space="preserve">. 8th </w:t>
      </w:r>
      <w:proofErr w:type="spellStart"/>
      <w:r>
        <w:t>edn</w:t>
      </w:r>
      <w:proofErr w:type="spellEnd"/>
      <w:r>
        <w:t>. Harlow: Pearson.</w:t>
      </w:r>
    </w:p>
    <w:p w14:paraId="3FA76462" w14:textId="77777777" w:rsidR="004569D0" w:rsidRDefault="00184DA1">
      <w:r>
        <w:br w:type="page"/>
      </w:r>
    </w:p>
    <w:p w14:paraId="13C2CD56" w14:textId="77777777" w:rsidR="004569D0" w:rsidRDefault="00184DA1">
      <w:pPr>
        <w:pStyle w:val="Heading1"/>
      </w:pPr>
      <w:bookmarkStart w:id="22" w:name="_Toc237517888"/>
      <w:r>
        <w:lastRenderedPageBreak/>
        <w:t>Appendices</w:t>
      </w:r>
      <w:bookmarkEnd w:id="22"/>
    </w:p>
    <w:p w14:paraId="334C0587" w14:textId="77777777" w:rsidR="004569D0" w:rsidRDefault="00184DA1">
      <w:pPr>
        <w:pStyle w:val="Heading2"/>
      </w:pPr>
      <w:bookmarkStart w:id="23" w:name="_Toc237517889"/>
      <w:r>
        <w:t>Appendix A: Ratio calculations</w:t>
      </w:r>
      <w:bookmarkEnd w:id="23"/>
    </w:p>
    <w:p w14:paraId="067CE91C" w14:textId="77777777" w:rsidR="004569D0" w:rsidRDefault="00184DA1">
      <w:pPr>
        <w:spacing w:after="160"/>
        <w:jc w:val="both"/>
      </w:pPr>
      <w:r>
        <w:t>Profitability: operating margin = operating profit / total revenue; net profit margin = profit for the year / total revenue; return on assets = profit for the year / average total assets. Liquidity: current ratio = total current assets / total current liabilities; quick ratio = (current assets − inventory) / current liabilities. Efficiency: asset turnover = total revenue / average total assets. Gearing: net debt / EBITDA and interest cover use the group's defined adjusted EBITDA and adjusted interest figure</w:t>
      </w:r>
      <w:r>
        <w:t>s (IHG, 2026); conventional debt-to-equity is not meaningful because equity is negative. Investment and cash flow: dividend per share as declared; operating cash flow / revenue = net cash from operations / total revenue.</w:t>
      </w:r>
    </w:p>
    <w:p w14:paraId="01077B37" w14:textId="77777777" w:rsidR="004569D0" w:rsidRDefault="00184DA1">
      <w:pPr>
        <w:spacing w:after="160"/>
        <w:jc w:val="both"/>
      </w:pPr>
      <w:r>
        <w:t>Worked example (profitability, 2025): operating margin = 1,198 / 5,189 = 23.1%; net profit margin = 759 / 5,189 = 14.6%; return on assets = 759 / ((5,345 + 4,748) / 2) = 759 / 5,047 = 15.0%. Worked example (liquidity, 2025): current ratio = 2,049 / 2,100 = 0.98. Worked example (gearing, 2025): net debt / EBITDA = 3,333 / 1,332 = 2.5 times. Source current assets and liabilities (</w:t>
      </w:r>
      <w:proofErr w:type="spellStart"/>
      <w:r>
        <w:t>US$m</w:t>
      </w:r>
      <w:proofErr w:type="spellEnd"/>
      <w:r>
        <w:t>): 2021, 2,066 / 1,624; 2022, 1,678 / 1,544; 2023, 2,129 / 2,190; 2024, 1,869 / 1,928; 2025, 2,049 / 2,100 (IHG, 2023; 2025; 2026). All other source figures derive from Table 1. Because IHG's inventory is negligible (US$4m), the current and quick ratios are almost identical.</w:t>
      </w:r>
    </w:p>
    <w:p w14:paraId="170EAE9F" w14:textId="77777777" w:rsidR="004569D0" w:rsidRDefault="00184DA1">
      <w:pPr>
        <w:pStyle w:val="Heading2"/>
      </w:pPr>
      <w:bookmarkStart w:id="24" w:name="_Toc237517890"/>
      <w:r>
        <w:t>Appendix B: Investment appraisal calculations</w:t>
      </w:r>
      <w:bookmarkEnd w:id="24"/>
    </w:p>
    <w:p w14:paraId="294DC1BC" w14:textId="77777777" w:rsidR="004569D0" w:rsidRDefault="00184DA1">
      <w:pPr>
        <w:spacing w:after="160"/>
        <w:jc w:val="both"/>
      </w:pPr>
      <w:r>
        <w:t>All projects: initial investment £50m; discount rate 8%; straight-line depreciation £10m per year; ARR uses average investment of £25m.</w:t>
      </w:r>
    </w:p>
    <w:p w14:paraId="270E2293" w14:textId="77777777" w:rsidR="004569D0" w:rsidRDefault="00184DA1">
      <w:pPr>
        <w:spacing w:before="60" w:after="160" w:line="240" w:lineRule="auto"/>
      </w:pPr>
      <w:r>
        <w:rPr>
          <w:i/>
          <w:iCs/>
          <w:sz w:val="20"/>
          <w:szCs w:val="20"/>
        </w:rPr>
        <w:t>Table B1. Discounted cash flows at 8% (£m).</w:t>
      </w:r>
    </w:p>
    <w:tbl>
      <w:tblPr>
        <w:tblW w:w="7800" w:type="dxa"/>
        <w:tblBorders>
          <w:top w:val="single" w:sz="2" w:space="0" w:color="7F7F7F"/>
          <w:left w:val="single" w:sz="2" w:space="0" w:color="7F7F7F"/>
          <w:bottom w:val="single" w:sz="2" w:space="0" w:color="7F7F7F"/>
          <w:right w:val="single" w:sz="2" w:space="0" w:color="7F7F7F"/>
          <w:insideH w:val="single" w:sz="1" w:space="0" w:color="BFBFBF"/>
          <w:insideV w:val="single" w:sz="1" w:space="0" w:color="BFBFBF"/>
        </w:tblBorders>
        <w:tblCellMar>
          <w:left w:w="10" w:type="dxa"/>
          <w:right w:w="10" w:type="dxa"/>
        </w:tblCellMar>
        <w:tblLook w:val="0000" w:firstRow="0" w:lastRow="0" w:firstColumn="0" w:lastColumn="0" w:noHBand="0" w:noVBand="0"/>
      </w:tblPr>
      <w:tblGrid>
        <w:gridCol w:w="1217"/>
        <w:gridCol w:w="862"/>
        <w:gridCol w:w="1024"/>
        <w:gridCol w:w="883"/>
        <w:gridCol w:w="1024"/>
        <w:gridCol w:w="883"/>
        <w:gridCol w:w="1024"/>
        <w:gridCol w:w="883"/>
      </w:tblGrid>
      <w:tr w:rsidR="004569D0" w14:paraId="4228671F" w14:textId="77777777">
        <w:tblPrEx>
          <w:tblCellMar>
            <w:top w:w="0" w:type="dxa"/>
            <w:bottom w:w="0" w:type="dxa"/>
          </w:tblCellMar>
        </w:tblPrEx>
        <w:trPr>
          <w:tblHeader/>
        </w:trPr>
        <w:tc>
          <w:tcPr>
            <w:tcW w:w="900" w:type="dxa"/>
            <w:shd w:val="clear" w:color="auto" w:fill="1F3864"/>
            <w:tcMar>
              <w:top w:w="40" w:type="dxa"/>
              <w:left w:w="80" w:type="dxa"/>
              <w:bottom w:w="40" w:type="dxa"/>
              <w:right w:w="80" w:type="dxa"/>
            </w:tcMar>
          </w:tcPr>
          <w:p w14:paraId="6451385B" w14:textId="77777777" w:rsidR="004569D0" w:rsidRDefault="00184DA1">
            <w:pPr>
              <w:spacing w:line="240" w:lineRule="auto"/>
            </w:pPr>
            <w:r>
              <w:rPr>
                <w:b/>
                <w:bCs/>
                <w:color w:val="FFFFFF"/>
                <w:sz w:val="20"/>
                <w:szCs w:val="20"/>
              </w:rPr>
              <w:t>Year</w:t>
            </w:r>
          </w:p>
        </w:tc>
        <w:tc>
          <w:tcPr>
            <w:tcW w:w="900" w:type="dxa"/>
            <w:shd w:val="clear" w:color="auto" w:fill="1F3864"/>
            <w:tcMar>
              <w:top w:w="40" w:type="dxa"/>
              <w:left w:w="80" w:type="dxa"/>
              <w:bottom w:w="40" w:type="dxa"/>
              <w:right w:w="80" w:type="dxa"/>
            </w:tcMar>
          </w:tcPr>
          <w:p w14:paraId="1AEBE02D" w14:textId="77777777" w:rsidR="004569D0" w:rsidRDefault="00184DA1">
            <w:pPr>
              <w:spacing w:line="240" w:lineRule="auto"/>
              <w:jc w:val="center"/>
            </w:pPr>
            <w:r>
              <w:rPr>
                <w:b/>
                <w:bCs/>
                <w:color w:val="FFFFFF"/>
                <w:sz w:val="20"/>
                <w:szCs w:val="20"/>
              </w:rPr>
              <w:t>DF @8%</w:t>
            </w:r>
          </w:p>
        </w:tc>
        <w:tc>
          <w:tcPr>
            <w:tcW w:w="1100" w:type="dxa"/>
            <w:shd w:val="clear" w:color="auto" w:fill="1F3864"/>
            <w:tcMar>
              <w:top w:w="40" w:type="dxa"/>
              <w:left w:w="80" w:type="dxa"/>
              <w:bottom w:w="40" w:type="dxa"/>
              <w:right w:w="80" w:type="dxa"/>
            </w:tcMar>
          </w:tcPr>
          <w:p w14:paraId="6603E9B9" w14:textId="77777777" w:rsidR="004569D0" w:rsidRDefault="00184DA1">
            <w:pPr>
              <w:spacing w:line="240" w:lineRule="auto"/>
              <w:jc w:val="center"/>
            </w:pPr>
            <w:r>
              <w:rPr>
                <w:b/>
                <w:bCs/>
                <w:color w:val="FFFFFF"/>
                <w:sz w:val="20"/>
                <w:szCs w:val="20"/>
              </w:rPr>
              <w:t>A cash flow</w:t>
            </w:r>
          </w:p>
        </w:tc>
        <w:tc>
          <w:tcPr>
            <w:tcW w:w="900" w:type="dxa"/>
            <w:shd w:val="clear" w:color="auto" w:fill="1F3864"/>
            <w:tcMar>
              <w:top w:w="40" w:type="dxa"/>
              <w:left w:w="80" w:type="dxa"/>
              <w:bottom w:w="40" w:type="dxa"/>
              <w:right w:w="80" w:type="dxa"/>
            </w:tcMar>
          </w:tcPr>
          <w:p w14:paraId="3F2A5412" w14:textId="77777777" w:rsidR="004569D0" w:rsidRDefault="00184DA1">
            <w:pPr>
              <w:spacing w:line="240" w:lineRule="auto"/>
              <w:jc w:val="center"/>
            </w:pPr>
            <w:r>
              <w:rPr>
                <w:b/>
                <w:bCs/>
                <w:color w:val="FFFFFF"/>
                <w:sz w:val="20"/>
                <w:szCs w:val="20"/>
              </w:rPr>
              <w:t>A PV</w:t>
            </w:r>
          </w:p>
        </w:tc>
        <w:tc>
          <w:tcPr>
            <w:tcW w:w="1100" w:type="dxa"/>
            <w:shd w:val="clear" w:color="auto" w:fill="1F3864"/>
            <w:tcMar>
              <w:top w:w="40" w:type="dxa"/>
              <w:left w:w="80" w:type="dxa"/>
              <w:bottom w:w="40" w:type="dxa"/>
              <w:right w:w="80" w:type="dxa"/>
            </w:tcMar>
          </w:tcPr>
          <w:p w14:paraId="55E805AA" w14:textId="77777777" w:rsidR="004569D0" w:rsidRDefault="00184DA1">
            <w:pPr>
              <w:spacing w:line="240" w:lineRule="auto"/>
              <w:jc w:val="center"/>
            </w:pPr>
            <w:r>
              <w:rPr>
                <w:b/>
                <w:bCs/>
                <w:color w:val="FFFFFF"/>
                <w:sz w:val="20"/>
                <w:szCs w:val="20"/>
              </w:rPr>
              <w:t>B cash flow</w:t>
            </w:r>
          </w:p>
        </w:tc>
        <w:tc>
          <w:tcPr>
            <w:tcW w:w="900" w:type="dxa"/>
            <w:shd w:val="clear" w:color="auto" w:fill="1F3864"/>
            <w:tcMar>
              <w:top w:w="40" w:type="dxa"/>
              <w:left w:w="80" w:type="dxa"/>
              <w:bottom w:w="40" w:type="dxa"/>
              <w:right w:w="80" w:type="dxa"/>
            </w:tcMar>
          </w:tcPr>
          <w:p w14:paraId="412E1D67" w14:textId="77777777" w:rsidR="004569D0" w:rsidRDefault="00184DA1">
            <w:pPr>
              <w:spacing w:line="240" w:lineRule="auto"/>
              <w:jc w:val="center"/>
            </w:pPr>
            <w:r>
              <w:rPr>
                <w:b/>
                <w:bCs/>
                <w:color w:val="FFFFFF"/>
                <w:sz w:val="20"/>
                <w:szCs w:val="20"/>
              </w:rPr>
              <w:t>B PV</w:t>
            </w:r>
          </w:p>
        </w:tc>
        <w:tc>
          <w:tcPr>
            <w:tcW w:w="1100" w:type="dxa"/>
            <w:shd w:val="clear" w:color="auto" w:fill="1F3864"/>
            <w:tcMar>
              <w:top w:w="40" w:type="dxa"/>
              <w:left w:w="80" w:type="dxa"/>
              <w:bottom w:w="40" w:type="dxa"/>
              <w:right w:w="80" w:type="dxa"/>
            </w:tcMar>
          </w:tcPr>
          <w:p w14:paraId="212ADFAC" w14:textId="77777777" w:rsidR="004569D0" w:rsidRDefault="00184DA1">
            <w:pPr>
              <w:spacing w:line="240" w:lineRule="auto"/>
              <w:jc w:val="center"/>
            </w:pPr>
            <w:r>
              <w:rPr>
                <w:b/>
                <w:bCs/>
                <w:color w:val="FFFFFF"/>
                <w:sz w:val="20"/>
                <w:szCs w:val="20"/>
              </w:rPr>
              <w:t>C cash flow</w:t>
            </w:r>
          </w:p>
        </w:tc>
        <w:tc>
          <w:tcPr>
            <w:tcW w:w="900" w:type="dxa"/>
            <w:shd w:val="clear" w:color="auto" w:fill="1F3864"/>
            <w:tcMar>
              <w:top w:w="40" w:type="dxa"/>
              <w:left w:w="80" w:type="dxa"/>
              <w:bottom w:w="40" w:type="dxa"/>
              <w:right w:w="80" w:type="dxa"/>
            </w:tcMar>
          </w:tcPr>
          <w:p w14:paraId="04D38881" w14:textId="77777777" w:rsidR="004569D0" w:rsidRDefault="00184DA1">
            <w:pPr>
              <w:spacing w:line="240" w:lineRule="auto"/>
              <w:jc w:val="center"/>
            </w:pPr>
            <w:r>
              <w:rPr>
                <w:b/>
                <w:bCs/>
                <w:color w:val="FFFFFF"/>
                <w:sz w:val="20"/>
                <w:szCs w:val="20"/>
              </w:rPr>
              <w:t>C PV</w:t>
            </w:r>
          </w:p>
        </w:tc>
      </w:tr>
      <w:tr w:rsidR="004569D0" w14:paraId="147F6C77" w14:textId="77777777">
        <w:tblPrEx>
          <w:tblCellMar>
            <w:top w:w="0" w:type="dxa"/>
            <w:bottom w:w="0" w:type="dxa"/>
          </w:tblCellMar>
        </w:tblPrEx>
        <w:tc>
          <w:tcPr>
            <w:tcW w:w="900" w:type="dxa"/>
            <w:tcMar>
              <w:top w:w="40" w:type="dxa"/>
              <w:left w:w="80" w:type="dxa"/>
              <w:bottom w:w="40" w:type="dxa"/>
              <w:right w:w="80" w:type="dxa"/>
            </w:tcMar>
          </w:tcPr>
          <w:p w14:paraId="2308FB30" w14:textId="77777777" w:rsidR="004569D0" w:rsidRDefault="00184DA1">
            <w:pPr>
              <w:spacing w:line="240" w:lineRule="auto"/>
            </w:pPr>
            <w:r>
              <w:rPr>
                <w:b/>
                <w:bCs/>
                <w:color w:val="000000"/>
                <w:sz w:val="20"/>
                <w:szCs w:val="20"/>
              </w:rPr>
              <w:t>1</w:t>
            </w:r>
          </w:p>
        </w:tc>
        <w:tc>
          <w:tcPr>
            <w:tcW w:w="900" w:type="dxa"/>
            <w:tcMar>
              <w:top w:w="40" w:type="dxa"/>
              <w:left w:w="80" w:type="dxa"/>
              <w:bottom w:w="40" w:type="dxa"/>
              <w:right w:w="80" w:type="dxa"/>
            </w:tcMar>
          </w:tcPr>
          <w:p w14:paraId="2A991BA2" w14:textId="77777777" w:rsidR="004569D0" w:rsidRDefault="00184DA1">
            <w:pPr>
              <w:spacing w:line="240" w:lineRule="auto"/>
              <w:jc w:val="center"/>
            </w:pPr>
            <w:r>
              <w:rPr>
                <w:color w:val="000000"/>
                <w:sz w:val="20"/>
                <w:szCs w:val="20"/>
              </w:rPr>
              <w:t>0.926</w:t>
            </w:r>
          </w:p>
        </w:tc>
        <w:tc>
          <w:tcPr>
            <w:tcW w:w="1100" w:type="dxa"/>
            <w:tcMar>
              <w:top w:w="40" w:type="dxa"/>
              <w:left w:w="80" w:type="dxa"/>
              <w:bottom w:w="40" w:type="dxa"/>
              <w:right w:w="80" w:type="dxa"/>
            </w:tcMar>
          </w:tcPr>
          <w:p w14:paraId="4EC5DC5C" w14:textId="77777777" w:rsidR="004569D0" w:rsidRDefault="00184DA1">
            <w:pPr>
              <w:spacing w:line="240" w:lineRule="auto"/>
              <w:jc w:val="center"/>
            </w:pPr>
            <w:r>
              <w:rPr>
                <w:color w:val="000000"/>
                <w:sz w:val="20"/>
                <w:szCs w:val="20"/>
              </w:rPr>
              <w:t>10</w:t>
            </w:r>
          </w:p>
        </w:tc>
        <w:tc>
          <w:tcPr>
            <w:tcW w:w="900" w:type="dxa"/>
            <w:tcMar>
              <w:top w:w="40" w:type="dxa"/>
              <w:left w:w="80" w:type="dxa"/>
              <w:bottom w:w="40" w:type="dxa"/>
              <w:right w:w="80" w:type="dxa"/>
            </w:tcMar>
          </w:tcPr>
          <w:p w14:paraId="17A38C57" w14:textId="77777777" w:rsidR="004569D0" w:rsidRDefault="00184DA1">
            <w:pPr>
              <w:spacing w:line="240" w:lineRule="auto"/>
              <w:jc w:val="center"/>
            </w:pPr>
            <w:r>
              <w:rPr>
                <w:color w:val="000000"/>
                <w:sz w:val="20"/>
                <w:szCs w:val="20"/>
              </w:rPr>
              <w:t>9.26</w:t>
            </w:r>
          </w:p>
        </w:tc>
        <w:tc>
          <w:tcPr>
            <w:tcW w:w="1100" w:type="dxa"/>
            <w:tcMar>
              <w:top w:w="40" w:type="dxa"/>
              <w:left w:w="80" w:type="dxa"/>
              <w:bottom w:w="40" w:type="dxa"/>
              <w:right w:w="80" w:type="dxa"/>
            </w:tcMar>
          </w:tcPr>
          <w:p w14:paraId="784BB40D" w14:textId="77777777" w:rsidR="004569D0" w:rsidRDefault="00184DA1">
            <w:pPr>
              <w:spacing w:line="240" w:lineRule="auto"/>
              <w:jc w:val="center"/>
            </w:pPr>
            <w:r>
              <w:rPr>
                <w:color w:val="000000"/>
                <w:sz w:val="20"/>
                <w:szCs w:val="20"/>
              </w:rPr>
              <w:t>11</w:t>
            </w:r>
          </w:p>
        </w:tc>
        <w:tc>
          <w:tcPr>
            <w:tcW w:w="900" w:type="dxa"/>
            <w:tcMar>
              <w:top w:w="40" w:type="dxa"/>
              <w:left w:w="80" w:type="dxa"/>
              <w:bottom w:w="40" w:type="dxa"/>
              <w:right w:w="80" w:type="dxa"/>
            </w:tcMar>
          </w:tcPr>
          <w:p w14:paraId="0B475DBF" w14:textId="77777777" w:rsidR="004569D0" w:rsidRDefault="00184DA1">
            <w:pPr>
              <w:spacing w:line="240" w:lineRule="auto"/>
              <w:jc w:val="center"/>
            </w:pPr>
            <w:r>
              <w:rPr>
                <w:color w:val="000000"/>
                <w:sz w:val="20"/>
                <w:szCs w:val="20"/>
              </w:rPr>
              <w:t>10.19</w:t>
            </w:r>
          </w:p>
        </w:tc>
        <w:tc>
          <w:tcPr>
            <w:tcW w:w="1100" w:type="dxa"/>
            <w:tcMar>
              <w:top w:w="40" w:type="dxa"/>
              <w:left w:w="80" w:type="dxa"/>
              <w:bottom w:w="40" w:type="dxa"/>
              <w:right w:w="80" w:type="dxa"/>
            </w:tcMar>
          </w:tcPr>
          <w:p w14:paraId="4BE42826" w14:textId="77777777" w:rsidR="004569D0" w:rsidRDefault="00184DA1">
            <w:pPr>
              <w:spacing w:line="240" w:lineRule="auto"/>
              <w:jc w:val="center"/>
            </w:pPr>
            <w:r>
              <w:rPr>
                <w:color w:val="000000"/>
                <w:sz w:val="20"/>
                <w:szCs w:val="20"/>
              </w:rPr>
              <w:t>5</w:t>
            </w:r>
          </w:p>
        </w:tc>
        <w:tc>
          <w:tcPr>
            <w:tcW w:w="900" w:type="dxa"/>
            <w:tcMar>
              <w:top w:w="40" w:type="dxa"/>
              <w:left w:w="80" w:type="dxa"/>
              <w:bottom w:w="40" w:type="dxa"/>
              <w:right w:w="80" w:type="dxa"/>
            </w:tcMar>
          </w:tcPr>
          <w:p w14:paraId="0AE529C0" w14:textId="77777777" w:rsidR="004569D0" w:rsidRDefault="00184DA1">
            <w:pPr>
              <w:spacing w:line="240" w:lineRule="auto"/>
              <w:jc w:val="center"/>
            </w:pPr>
            <w:r>
              <w:rPr>
                <w:color w:val="000000"/>
                <w:sz w:val="20"/>
                <w:szCs w:val="20"/>
              </w:rPr>
              <w:t>4.63</w:t>
            </w:r>
          </w:p>
        </w:tc>
      </w:tr>
      <w:tr w:rsidR="004569D0" w14:paraId="0A7649A2" w14:textId="77777777">
        <w:tblPrEx>
          <w:tblCellMar>
            <w:top w:w="0" w:type="dxa"/>
            <w:bottom w:w="0" w:type="dxa"/>
          </w:tblCellMar>
        </w:tblPrEx>
        <w:tc>
          <w:tcPr>
            <w:tcW w:w="900" w:type="dxa"/>
            <w:shd w:val="clear" w:color="auto" w:fill="D9E1F2"/>
            <w:tcMar>
              <w:top w:w="40" w:type="dxa"/>
              <w:left w:w="80" w:type="dxa"/>
              <w:bottom w:w="40" w:type="dxa"/>
              <w:right w:w="80" w:type="dxa"/>
            </w:tcMar>
          </w:tcPr>
          <w:p w14:paraId="7770D02B" w14:textId="77777777" w:rsidR="004569D0" w:rsidRDefault="00184DA1">
            <w:pPr>
              <w:spacing w:line="240" w:lineRule="auto"/>
            </w:pPr>
            <w:r>
              <w:rPr>
                <w:b/>
                <w:bCs/>
                <w:color w:val="000000"/>
                <w:sz w:val="20"/>
                <w:szCs w:val="20"/>
              </w:rPr>
              <w:t>2</w:t>
            </w:r>
          </w:p>
        </w:tc>
        <w:tc>
          <w:tcPr>
            <w:tcW w:w="900" w:type="dxa"/>
            <w:shd w:val="clear" w:color="auto" w:fill="D9E1F2"/>
            <w:tcMar>
              <w:top w:w="40" w:type="dxa"/>
              <w:left w:w="80" w:type="dxa"/>
              <w:bottom w:w="40" w:type="dxa"/>
              <w:right w:w="80" w:type="dxa"/>
            </w:tcMar>
          </w:tcPr>
          <w:p w14:paraId="3DEEF1A4" w14:textId="77777777" w:rsidR="004569D0" w:rsidRDefault="00184DA1">
            <w:pPr>
              <w:spacing w:line="240" w:lineRule="auto"/>
              <w:jc w:val="center"/>
            </w:pPr>
            <w:r>
              <w:rPr>
                <w:color w:val="000000"/>
                <w:sz w:val="20"/>
                <w:szCs w:val="20"/>
              </w:rPr>
              <w:t>0.857</w:t>
            </w:r>
          </w:p>
        </w:tc>
        <w:tc>
          <w:tcPr>
            <w:tcW w:w="1100" w:type="dxa"/>
            <w:shd w:val="clear" w:color="auto" w:fill="D9E1F2"/>
            <w:tcMar>
              <w:top w:w="40" w:type="dxa"/>
              <w:left w:w="80" w:type="dxa"/>
              <w:bottom w:w="40" w:type="dxa"/>
              <w:right w:w="80" w:type="dxa"/>
            </w:tcMar>
          </w:tcPr>
          <w:p w14:paraId="12B8E956" w14:textId="77777777" w:rsidR="004569D0" w:rsidRDefault="00184DA1">
            <w:pPr>
              <w:spacing w:line="240" w:lineRule="auto"/>
              <w:jc w:val="center"/>
            </w:pPr>
            <w:r>
              <w:rPr>
                <w:color w:val="000000"/>
                <w:sz w:val="20"/>
                <w:szCs w:val="20"/>
              </w:rPr>
              <w:t>12</w:t>
            </w:r>
          </w:p>
        </w:tc>
        <w:tc>
          <w:tcPr>
            <w:tcW w:w="900" w:type="dxa"/>
            <w:shd w:val="clear" w:color="auto" w:fill="D9E1F2"/>
            <w:tcMar>
              <w:top w:w="40" w:type="dxa"/>
              <w:left w:w="80" w:type="dxa"/>
              <w:bottom w:w="40" w:type="dxa"/>
              <w:right w:w="80" w:type="dxa"/>
            </w:tcMar>
          </w:tcPr>
          <w:p w14:paraId="5ADC4A07" w14:textId="77777777" w:rsidR="004569D0" w:rsidRDefault="00184DA1">
            <w:pPr>
              <w:spacing w:line="240" w:lineRule="auto"/>
              <w:jc w:val="center"/>
            </w:pPr>
            <w:r>
              <w:rPr>
                <w:color w:val="000000"/>
                <w:sz w:val="20"/>
                <w:szCs w:val="20"/>
              </w:rPr>
              <w:t>10.29</w:t>
            </w:r>
          </w:p>
        </w:tc>
        <w:tc>
          <w:tcPr>
            <w:tcW w:w="1100" w:type="dxa"/>
            <w:shd w:val="clear" w:color="auto" w:fill="D9E1F2"/>
            <w:tcMar>
              <w:top w:w="40" w:type="dxa"/>
              <w:left w:w="80" w:type="dxa"/>
              <w:bottom w:w="40" w:type="dxa"/>
              <w:right w:w="80" w:type="dxa"/>
            </w:tcMar>
          </w:tcPr>
          <w:p w14:paraId="5010DAD0" w14:textId="77777777" w:rsidR="004569D0" w:rsidRDefault="00184DA1">
            <w:pPr>
              <w:spacing w:line="240" w:lineRule="auto"/>
              <w:jc w:val="center"/>
            </w:pPr>
            <w:r>
              <w:rPr>
                <w:color w:val="000000"/>
                <w:sz w:val="20"/>
                <w:szCs w:val="20"/>
              </w:rPr>
              <w:t>11</w:t>
            </w:r>
          </w:p>
        </w:tc>
        <w:tc>
          <w:tcPr>
            <w:tcW w:w="900" w:type="dxa"/>
            <w:shd w:val="clear" w:color="auto" w:fill="D9E1F2"/>
            <w:tcMar>
              <w:top w:w="40" w:type="dxa"/>
              <w:left w:w="80" w:type="dxa"/>
              <w:bottom w:w="40" w:type="dxa"/>
              <w:right w:w="80" w:type="dxa"/>
            </w:tcMar>
          </w:tcPr>
          <w:p w14:paraId="31A74976" w14:textId="77777777" w:rsidR="004569D0" w:rsidRDefault="00184DA1">
            <w:pPr>
              <w:spacing w:line="240" w:lineRule="auto"/>
              <w:jc w:val="center"/>
            </w:pPr>
            <w:r>
              <w:rPr>
                <w:color w:val="000000"/>
                <w:sz w:val="20"/>
                <w:szCs w:val="20"/>
              </w:rPr>
              <w:t>9.43</w:t>
            </w:r>
          </w:p>
        </w:tc>
        <w:tc>
          <w:tcPr>
            <w:tcW w:w="1100" w:type="dxa"/>
            <w:shd w:val="clear" w:color="auto" w:fill="D9E1F2"/>
            <w:tcMar>
              <w:top w:w="40" w:type="dxa"/>
              <w:left w:w="80" w:type="dxa"/>
              <w:bottom w:w="40" w:type="dxa"/>
              <w:right w:w="80" w:type="dxa"/>
            </w:tcMar>
          </w:tcPr>
          <w:p w14:paraId="79B9FCEB" w14:textId="77777777" w:rsidR="004569D0" w:rsidRDefault="00184DA1">
            <w:pPr>
              <w:spacing w:line="240" w:lineRule="auto"/>
              <w:jc w:val="center"/>
            </w:pPr>
            <w:r>
              <w:rPr>
                <w:color w:val="000000"/>
                <w:sz w:val="20"/>
                <w:szCs w:val="20"/>
              </w:rPr>
              <w:t>10</w:t>
            </w:r>
          </w:p>
        </w:tc>
        <w:tc>
          <w:tcPr>
            <w:tcW w:w="900" w:type="dxa"/>
            <w:shd w:val="clear" w:color="auto" w:fill="D9E1F2"/>
            <w:tcMar>
              <w:top w:w="40" w:type="dxa"/>
              <w:left w:w="80" w:type="dxa"/>
              <w:bottom w:w="40" w:type="dxa"/>
              <w:right w:w="80" w:type="dxa"/>
            </w:tcMar>
          </w:tcPr>
          <w:p w14:paraId="6F28C764" w14:textId="77777777" w:rsidR="004569D0" w:rsidRDefault="00184DA1">
            <w:pPr>
              <w:spacing w:line="240" w:lineRule="auto"/>
              <w:jc w:val="center"/>
            </w:pPr>
            <w:r>
              <w:rPr>
                <w:color w:val="000000"/>
                <w:sz w:val="20"/>
                <w:szCs w:val="20"/>
              </w:rPr>
              <w:t>8.57</w:t>
            </w:r>
          </w:p>
        </w:tc>
      </w:tr>
      <w:tr w:rsidR="004569D0" w14:paraId="4EBFA8D0" w14:textId="77777777">
        <w:tblPrEx>
          <w:tblCellMar>
            <w:top w:w="0" w:type="dxa"/>
            <w:bottom w:w="0" w:type="dxa"/>
          </w:tblCellMar>
        </w:tblPrEx>
        <w:tc>
          <w:tcPr>
            <w:tcW w:w="900" w:type="dxa"/>
            <w:tcMar>
              <w:top w:w="40" w:type="dxa"/>
              <w:left w:w="80" w:type="dxa"/>
              <w:bottom w:w="40" w:type="dxa"/>
              <w:right w:w="80" w:type="dxa"/>
            </w:tcMar>
          </w:tcPr>
          <w:p w14:paraId="76F37A87" w14:textId="77777777" w:rsidR="004569D0" w:rsidRDefault="00184DA1">
            <w:pPr>
              <w:spacing w:line="240" w:lineRule="auto"/>
            </w:pPr>
            <w:r>
              <w:rPr>
                <w:b/>
                <w:bCs/>
                <w:color w:val="000000"/>
                <w:sz w:val="20"/>
                <w:szCs w:val="20"/>
              </w:rPr>
              <w:t>3</w:t>
            </w:r>
          </w:p>
        </w:tc>
        <w:tc>
          <w:tcPr>
            <w:tcW w:w="900" w:type="dxa"/>
            <w:tcMar>
              <w:top w:w="40" w:type="dxa"/>
              <w:left w:w="80" w:type="dxa"/>
              <w:bottom w:w="40" w:type="dxa"/>
              <w:right w:w="80" w:type="dxa"/>
            </w:tcMar>
          </w:tcPr>
          <w:p w14:paraId="75B09376" w14:textId="77777777" w:rsidR="004569D0" w:rsidRDefault="00184DA1">
            <w:pPr>
              <w:spacing w:line="240" w:lineRule="auto"/>
              <w:jc w:val="center"/>
            </w:pPr>
            <w:r>
              <w:rPr>
                <w:color w:val="000000"/>
                <w:sz w:val="20"/>
                <w:szCs w:val="20"/>
              </w:rPr>
              <w:t>0.794</w:t>
            </w:r>
          </w:p>
        </w:tc>
        <w:tc>
          <w:tcPr>
            <w:tcW w:w="1100" w:type="dxa"/>
            <w:tcMar>
              <w:top w:w="40" w:type="dxa"/>
              <w:left w:w="80" w:type="dxa"/>
              <w:bottom w:w="40" w:type="dxa"/>
              <w:right w:w="80" w:type="dxa"/>
            </w:tcMar>
          </w:tcPr>
          <w:p w14:paraId="121610FA" w14:textId="77777777" w:rsidR="004569D0" w:rsidRDefault="00184DA1">
            <w:pPr>
              <w:spacing w:line="240" w:lineRule="auto"/>
              <w:jc w:val="center"/>
            </w:pPr>
            <w:r>
              <w:rPr>
                <w:color w:val="000000"/>
                <w:sz w:val="20"/>
                <w:szCs w:val="20"/>
              </w:rPr>
              <w:t>14</w:t>
            </w:r>
          </w:p>
        </w:tc>
        <w:tc>
          <w:tcPr>
            <w:tcW w:w="900" w:type="dxa"/>
            <w:tcMar>
              <w:top w:w="40" w:type="dxa"/>
              <w:left w:w="80" w:type="dxa"/>
              <w:bottom w:w="40" w:type="dxa"/>
              <w:right w:w="80" w:type="dxa"/>
            </w:tcMar>
          </w:tcPr>
          <w:p w14:paraId="73960B14" w14:textId="77777777" w:rsidR="004569D0" w:rsidRDefault="00184DA1">
            <w:pPr>
              <w:spacing w:line="240" w:lineRule="auto"/>
              <w:jc w:val="center"/>
            </w:pPr>
            <w:r>
              <w:rPr>
                <w:color w:val="000000"/>
                <w:sz w:val="20"/>
                <w:szCs w:val="20"/>
              </w:rPr>
              <w:t>11.11</w:t>
            </w:r>
          </w:p>
        </w:tc>
        <w:tc>
          <w:tcPr>
            <w:tcW w:w="1100" w:type="dxa"/>
            <w:tcMar>
              <w:top w:w="40" w:type="dxa"/>
              <w:left w:w="80" w:type="dxa"/>
              <w:bottom w:w="40" w:type="dxa"/>
              <w:right w:w="80" w:type="dxa"/>
            </w:tcMar>
          </w:tcPr>
          <w:p w14:paraId="5E33EA50" w14:textId="77777777" w:rsidR="004569D0" w:rsidRDefault="00184DA1">
            <w:pPr>
              <w:spacing w:line="240" w:lineRule="auto"/>
              <w:jc w:val="center"/>
            </w:pPr>
            <w:r>
              <w:rPr>
                <w:color w:val="000000"/>
                <w:sz w:val="20"/>
                <w:szCs w:val="20"/>
              </w:rPr>
              <w:t>11</w:t>
            </w:r>
          </w:p>
        </w:tc>
        <w:tc>
          <w:tcPr>
            <w:tcW w:w="900" w:type="dxa"/>
            <w:tcMar>
              <w:top w:w="40" w:type="dxa"/>
              <w:left w:w="80" w:type="dxa"/>
              <w:bottom w:w="40" w:type="dxa"/>
              <w:right w:w="80" w:type="dxa"/>
            </w:tcMar>
          </w:tcPr>
          <w:p w14:paraId="08B0D635" w14:textId="77777777" w:rsidR="004569D0" w:rsidRDefault="00184DA1">
            <w:pPr>
              <w:spacing w:line="240" w:lineRule="auto"/>
              <w:jc w:val="center"/>
            </w:pPr>
            <w:r>
              <w:rPr>
                <w:color w:val="000000"/>
                <w:sz w:val="20"/>
                <w:szCs w:val="20"/>
              </w:rPr>
              <w:t>8.73</w:t>
            </w:r>
          </w:p>
        </w:tc>
        <w:tc>
          <w:tcPr>
            <w:tcW w:w="1100" w:type="dxa"/>
            <w:tcMar>
              <w:top w:w="40" w:type="dxa"/>
              <w:left w:w="80" w:type="dxa"/>
              <w:bottom w:w="40" w:type="dxa"/>
              <w:right w:w="80" w:type="dxa"/>
            </w:tcMar>
          </w:tcPr>
          <w:p w14:paraId="03166C40" w14:textId="77777777" w:rsidR="004569D0" w:rsidRDefault="00184DA1">
            <w:pPr>
              <w:spacing w:line="240" w:lineRule="auto"/>
              <w:jc w:val="center"/>
            </w:pPr>
            <w:r>
              <w:rPr>
                <w:color w:val="000000"/>
                <w:sz w:val="20"/>
                <w:szCs w:val="20"/>
              </w:rPr>
              <w:t>20</w:t>
            </w:r>
          </w:p>
        </w:tc>
        <w:tc>
          <w:tcPr>
            <w:tcW w:w="900" w:type="dxa"/>
            <w:tcMar>
              <w:top w:w="40" w:type="dxa"/>
              <w:left w:w="80" w:type="dxa"/>
              <w:bottom w:w="40" w:type="dxa"/>
              <w:right w:w="80" w:type="dxa"/>
            </w:tcMar>
          </w:tcPr>
          <w:p w14:paraId="0E43812F" w14:textId="77777777" w:rsidR="004569D0" w:rsidRDefault="00184DA1">
            <w:pPr>
              <w:spacing w:line="240" w:lineRule="auto"/>
              <w:jc w:val="center"/>
            </w:pPr>
            <w:r>
              <w:rPr>
                <w:color w:val="000000"/>
                <w:sz w:val="20"/>
                <w:szCs w:val="20"/>
              </w:rPr>
              <w:t>15.88</w:t>
            </w:r>
          </w:p>
        </w:tc>
      </w:tr>
      <w:tr w:rsidR="004569D0" w14:paraId="2CD09503" w14:textId="77777777">
        <w:tblPrEx>
          <w:tblCellMar>
            <w:top w:w="0" w:type="dxa"/>
            <w:bottom w:w="0" w:type="dxa"/>
          </w:tblCellMar>
        </w:tblPrEx>
        <w:tc>
          <w:tcPr>
            <w:tcW w:w="900" w:type="dxa"/>
            <w:shd w:val="clear" w:color="auto" w:fill="D9E1F2"/>
            <w:tcMar>
              <w:top w:w="40" w:type="dxa"/>
              <w:left w:w="80" w:type="dxa"/>
              <w:bottom w:w="40" w:type="dxa"/>
              <w:right w:w="80" w:type="dxa"/>
            </w:tcMar>
          </w:tcPr>
          <w:p w14:paraId="29BC2202" w14:textId="77777777" w:rsidR="004569D0" w:rsidRDefault="00184DA1">
            <w:pPr>
              <w:spacing w:line="240" w:lineRule="auto"/>
            </w:pPr>
            <w:r>
              <w:rPr>
                <w:b/>
                <w:bCs/>
                <w:color w:val="000000"/>
                <w:sz w:val="20"/>
                <w:szCs w:val="20"/>
              </w:rPr>
              <w:t>4</w:t>
            </w:r>
          </w:p>
        </w:tc>
        <w:tc>
          <w:tcPr>
            <w:tcW w:w="900" w:type="dxa"/>
            <w:shd w:val="clear" w:color="auto" w:fill="D9E1F2"/>
            <w:tcMar>
              <w:top w:w="40" w:type="dxa"/>
              <w:left w:w="80" w:type="dxa"/>
              <w:bottom w:w="40" w:type="dxa"/>
              <w:right w:w="80" w:type="dxa"/>
            </w:tcMar>
          </w:tcPr>
          <w:p w14:paraId="31717687" w14:textId="77777777" w:rsidR="004569D0" w:rsidRDefault="00184DA1">
            <w:pPr>
              <w:spacing w:line="240" w:lineRule="auto"/>
              <w:jc w:val="center"/>
            </w:pPr>
            <w:r>
              <w:rPr>
                <w:color w:val="000000"/>
                <w:sz w:val="20"/>
                <w:szCs w:val="20"/>
              </w:rPr>
              <w:t>0.735</w:t>
            </w:r>
          </w:p>
        </w:tc>
        <w:tc>
          <w:tcPr>
            <w:tcW w:w="1100" w:type="dxa"/>
            <w:shd w:val="clear" w:color="auto" w:fill="D9E1F2"/>
            <w:tcMar>
              <w:top w:w="40" w:type="dxa"/>
              <w:left w:w="80" w:type="dxa"/>
              <w:bottom w:w="40" w:type="dxa"/>
              <w:right w:w="80" w:type="dxa"/>
            </w:tcMar>
          </w:tcPr>
          <w:p w14:paraId="68DCDDAD" w14:textId="77777777" w:rsidR="004569D0" w:rsidRDefault="00184DA1">
            <w:pPr>
              <w:spacing w:line="240" w:lineRule="auto"/>
              <w:jc w:val="center"/>
            </w:pPr>
            <w:r>
              <w:rPr>
                <w:color w:val="000000"/>
                <w:sz w:val="20"/>
                <w:szCs w:val="20"/>
              </w:rPr>
              <w:t>10</w:t>
            </w:r>
          </w:p>
        </w:tc>
        <w:tc>
          <w:tcPr>
            <w:tcW w:w="900" w:type="dxa"/>
            <w:shd w:val="clear" w:color="auto" w:fill="D9E1F2"/>
            <w:tcMar>
              <w:top w:w="40" w:type="dxa"/>
              <w:left w:w="80" w:type="dxa"/>
              <w:bottom w:w="40" w:type="dxa"/>
              <w:right w:w="80" w:type="dxa"/>
            </w:tcMar>
          </w:tcPr>
          <w:p w14:paraId="7C311E5F" w14:textId="77777777" w:rsidR="004569D0" w:rsidRDefault="00184DA1">
            <w:pPr>
              <w:spacing w:line="240" w:lineRule="auto"/>
              <w:jc w:val="center"/>
            </w:pPr>
            <w:r>
              <w:rPr>
                <w:color w:val="000000"/>
                <w:sz w:val="20"/>
                <w:szCs w:val="20"/>
              </w:rPr>
              <w:t>7.35</w:t>
            </w:r>
          </w:p>
        </w:tc>
        <w:tc>
          <w:tcPr>
            <w:tcW w:w="1100" w:type="dxa"/>
            <w:shd w:val="clear" w:color="auto" w:fill="D9E1F2"/>
            <w:tcMar>
              <w:top w:w="40" w:type="dxa"/>
              <w:left w:w="80" w:type="dxa"/>
              <w:bottom w:w="40" w:type="dxa"/>
              <w:right w:w="80" w:type="dxa"/>
            </w:tcMar>
          </w:tcPr>
          <w:p w14:paraId="03670B44" w14:textId="77777777" w:rsidR="004569D0" w:rsidRDefault="00184DA1">
            <w:pPr>
              <w:spacing w:line="240" w:lineRule="auto"/>
              <w:jc w:val="center"/>
            </w:pPr>
            <w:r>
              <w:rPr>
                <w:color w:val="000000"/>
                <w:sz w:val="20"/>
                <w:szCs w:val="20"/>
              </w:rPr>
              <w:t>11</w:t>
            </w:r>
          </w:p>
        </w:tc>
        <w:tc>
          <w:tcPr>
            <w:tcW w:w="900" w:type="dxa"/>
            <w:shd w:val="clear" w:color="auto" w:fill="D9E1F2"/>
            <w:tcMar>
              <w:top w:w="40" w:type="dxa"/>
              <w:left w:w="80" w:type="dxa"/>
              <w:bottom w:w="40" w:type="dxa"/>
              <w:right w:w="80" w:type="dxa"/>
            </w:tcMar>
          </w:tcPr>
          <w:p w14:paraId="2327E0C9" w14:textId="77777777" w:rsidR="004569D0" w:rsidRDefault="00184DA1">
            <w:pPr>
              <w:spacing w:line="240" w:lineRule="auto"/>
              <w:jc w:val="center"/>
            </w:pPr>
            <w:r>
              <w:rPr>
                <w:color w:val="000000"/>
                <w:sz w:val="20"/>
                <w:szCs w:val="20"/>
              </w:rPr>
              <w:t>8.09</w:t>
            </w:r>
          </w:p>
        </w:tc>
        <w:tc>
          <w:tcPr>
            <w:tcW w:w="1100" w:type="dxa"/>
            <w:shd w:val="clear" w:color="auto" w:fill="D9E1F2"/>
            <w:tcMar>
              <w:top w:w="40" w:type="dxa"/>
              <w:left w:w="80" w:type="dxa"/>
              <w:bottom w:w="40" w:type="dxa"/>
              <w:right w:w="80" w:type="dxa"/>
            </w:tcMar>
          </w:tcPr>
          <w:p w14:paraId="4BE73185" w14:textId="77777777" w:rsidR="004569D0" w:rsidRDefault="00184DA1">
            <w:pPr>
              <w:spacing w:line="240" w:lineRule="auto"/>
              <w:jc w:val="center"/>
            </w:pPr>
            <w:r>
              <w:rPr>
                <w:color w:val="000000"/>
                <w:sz w:val="20"/>
                <w:szCs w:val="20"/>
              </w:rPr>
              <w:t>25</w:t>
            </w:r>
          </w:p>
        </w:tc>
        <w:tc>
          <w:tcPr>
            <w:tcW w:w="900" w:type="dxa"/>
            <w:shd w:val="clear" w:color="auto" w:fill="D9E1F2"/>
            <w:tcMar>
              <w:top w:w="40" w:type="dxa"/>
              <w:left w:w="80" w:type="dxa"/>
              <w:bottom w:w="40" w:type="dxa"/>
              <w:right w:w="80" w:type="dxa"/>
            </w:tcMar>
          </w:tcPr>
          <w:p w14:paraId="7F63A57C" w14:textId="77777777" w:rsidR="004569D0" w:rsidRDefault="00184DA1">
            <w:pPr>
              <w:spacing w:line="240" w:lineRule="auto"/>
              <w:jc w:val="center"/>
            </w:pPr>
            <w:r>
              <w:rPr>
                <w:color w:val="000000"/>
                <w:sz w:val="20"/>
                <w:szCs w:val="20"/>
              </w:rPr>
              <w:t>18.38</w:t>
            </w:r>
          </w:p>
        </w:tc>
      </w:tr>
      <w:tr w:rsidR="004569D0" w14:paraId="2C8D1B74" w14:textId="77777777">
        <w:tblPrEx>
          <w:tblCellMar>
            <w:top w:w="0" w:type="dxa"/>
            <w:bottom w:w="0" w:type="dxa"/>
          </w:tblCellMar>
        </w:tblPrEx>
        <w:tc>
          <w:tcPr>
            <w:tcW w:w="900" w:type="dxa"/>
            <w:tcMar>
              <w:top w:w="40" w:type="dxa"/>
              <w:left w:w="80" w:type="dxa"/>
              <w:bottom w:w="40" w:type="dxa"/>
              <w:right w:w="80" w:type="dxa"/>
            </w:tcMar>
          </w:tcPr>
          <w:p w14:paraId="58F15D72" w14:textId="77777777" w:rsidR="004569D0" w:rsidRDefault="00184DA1">
            <w:pPr>
              <w:spacing w:line="240" w:lineRule="auto"/>
            </w:pPr>
            <w:r>
              <w:rPr>
                <w:b/>
                <w:bCs/>
                <w:color w:val="000000"/>
                <w:sz w:val="20"/>
                <w:szCs w:val="20"/>
              </w:rPr>
              <w:t>5</w:t>
            </w:r>
          </w:p>
        </w:tc>
        <w:tc>
          <w:tcPr>
            <w:tcW w:w="900" w:type="dxa"/>
            <w:tcMar>
              <w:top w:w="40" w:type="dxa"/>
              <w:left w:w="80" w:type="dxa"/>
              <w:bottom w:w="40" w:type="dxa"/>
              <w:right w:w="80" w:type="dxa"/>
            </w:tcMar>
          </w:tcPr>
          <w:p w14:paraId="3E9AB196" w14:textId="77777777" w:rsidR="004569D0" w:rsidRDefault="00184DA1">
            <w:pPr>
              <w:spacing w:line="240" w:lineRule="auto"/>
              <w:jc w:val="center"/>
            </w:pPr>
            <w:r>
              <w:rPr>
                <w:color w:val="000000"/>
                <w:sz w:val="20"/>
                <w:szCs w:val="20"/>
              </w:rPr>
              <w:t>0.681</w:t>
            </w:r>
          </w:p>
        </w:tc>
        <w:tc>
          <w:tcPr>
            <w:tcW w:w="1100" w:type="dxa"/>
            <w:tcMar>
              <w:top w:w="40" w:type="dxa"/>
              <w:left w:w="80" w:type="dxa"/>
              <w:bottom w:w="40" w:type="dxa"/>
              <w:right w:w="80" w:type="dxa"/>
            </w:tcMar>
          </w:tcPr>
          <w:p w14:paraId="4F9B92CB" w14:textId="77777777" w:rsidR="004569D0" w:rsidRDefault="00184DA1">
            <w:pPr>
              <w:spacing w:line="240" w:lineRule="auto"/>
              <w:jc w:val="center"/>
            </w:pPr>
            <w:r>
              <w:rPr>
                <w:color w:val="000000"/>
                <w:sz w:val="20"/>
                <w:szCs w:val="20"/>
              </w:rPr>
              <w:t>8</w:t>
            </w:r>
          </w:p>
        </w:tc>
        <w:tc>
          <w:tcPr>
            <w:tcW w:w="900" w:type="dxa"/>
            <w:tcMar>
              <w:top w:w="40" w:type="dxa"/>
              <w:left w:w="80" w:type="dxa"/>
              <w:bottom w:w="40" w:type="dxa"/>
              <w:right w:w="80" w:type="dxa"/>
            </w:tcMar>
          </w:tcPr>
          <w:p w14:paraId="1E5B64A4" w14:textId="77777777" w:rsidR="004569D0" w:rsidRDefault="00184DA1">
            <w:pPr>
              <w:spacing w:line="240" w:lineRule="auto"/>
              <w:jc w:val="center"/>
            </w:pPr>
            <w:r>
              <w:rPr>
                <w:color w:val="000000"/>
                <w:sz w:val="20"/>
                <w:szCs w:val="20"/>
              </w:rPr>
              <w:t>5.45</w:t>
            </w:r>
          </w:p>
        </w:tc>
        <w:tc>
          <w:tcPr>
            <w:tcW w:w="1100" w:type="dxa"/>
            <w:tcMar>
              <w:top w:w="40" w:type="dxa"/>
              <w:left w:w="80" w:type="dxa"/>
              <w:bottom w:w="40" w:type="dxa"/>
              <w:right w:w="80" w:type="dxa"/>
            </w:tcMar>
          </w:tcPr>
          <w:p w14:paraId="3330BAD3" w14:textId="77777777" w:rsidR="004569D0" w:rsidRDefault="00184DA1">
            <w:pPr>
              <w:spacing w:line="240" w:lineRule="auto"/>
              <w:jc w:val="center"/>
            </w:pPr>
            <w:r>
              <w:rPr>
                <w:color w:val="000000"/>
                <w:sz w:val="20"/>
                <w:szCs w:val="20"/>
              </w:rPr>
              <w:t>11</w:t>
            </w:r>
          </w:p>
        </w:tc>
        <w:tc>
          <w:tcPr>
            <w:tcW w:w="900" w:type="dxa"/>
            <w:tcMar>
              <w:top w:w="40" w:type="dxa"/>
              <w:left w:w="80" w:type="dxa"/>
              <w:bottom w:w="40" w:type="dxa"/>
              <w:right w:w="80" w:type="dxa"/>
            </w:tcMar>
          </w:tcPr>
          <w:p w14:paraId="6F7C02EC" w14:textId="77777777" w:rsidR="004569D0" w:rsidRDefault="00184DA1">
            <w:pPr>
              <w:spacing w:line="240" w:lineRule="auto"/>
              <w:jc w:val="center"/>
            </w:pPr>
            <w:r>
              <w:rPr>
                <w:color w:val="000000"/>
                <w:sz w:val="20"/>
                <w:szCs w:val="20"/>
              </w:rPr>
              <w:t>7.49</w:t>
            </w:r>
          </w:p>
        </w:tc>
        <w:tc>
          <w:tcPr>
            <w:tcW w:w="1100" w:type="dxa"/>
            <w:tcMar>
              <w:top w:w="40" w:type="dxa"/>
              <w:left w:w="80" w:type="dxa"/>
              <w:bottom w:w="40" w:type="dxa"/>
              <w:right w:w="80" w:type="dxa"/>
            </w:tcMar>
          </w:tcPr>
          <w:p w14:paraId="03890283" w14:textId="77777777" w:rsidR="004569D0" w:rsidRDefault="00184DA1">
            <w:pPr>
              <w:spacing w:line="240" w:lineRule="auto"/>
              <w:jc w:val="center"/>
            </w:pPr>
            <w:r>
              <w:rPr>
                <w:color w:val="000000"/>
                <w:sz w:val="20"/>
                <w:szCs w:val="20"/>
              </w:rPr>
              <w:t>5</w:t>
            </w:r>
          </w:p>
        </w:tc>
        <w:tc>
          <w:tcPr>
            <w:tcW w:w="900" w:type="dxa"/>
            <w:tcMar>
              <w:top w:w="40" w:type="dxa"/>
              <w:left w:w="80" w:type="dxa"/>
              <w:bottom w:w="40" w:type="dxa"/>
              <w:right w:w="80" w:type="dxa"/>
            </w:tcMar>
          </w:tcPr>
          <w:p w14:paraId="3A3208EC" w14:textId="77777777" w:rsidR="004569D0" w:rsidRDefault="00184DA1">
            <w:pPr>
              <w:spacing w:line="240" w:lineRule="auto"/>
              <w:jc w:val="center"/>
            </w:pPr>
            <w:r>
              <w:rPr>
                <w:color w:val="000000"/>
                <w:sz w:val="20"/>
                <w:szCs w:val="20"/>
              </w:rPr>
              <w:t>3.40</w:t>
            </w:r>
          </w:p>
        </w:tc>
      </w:tr>
      <w:tr w:rsidR="004569D0" w14:paraId="26AAED17" w14:textId="77777777">
        <w:tblPrEx>
          <w:tblCellMar>
            <w:top w:w="0" w:type="dxa"/>
            <w:bottom w:w="0" w:type="dxa"/>
          </w:tblCellMar>
        </w:tblPrEx>
        <w:tc>
          <w:tcPr>
            <w:tcW w:w="900" w:type="dxa"/>
            <w:shd w:val="clear" w:color="auto" w:fill="D9E1F2"/>
            <w:tcMar>
              <w:top w:w="40" w:type="dxa"/>
              <w:left w:w="80" w:type="dxa"/>
              <w:bottom w:w="40" w:type="dxa"/>
              <w:right w:w="80" w:type="dxa"/>
            </w:tcMar>
          </w:tcPr>
          <w:p w14:paraId="3C630330" w14:textId="77777777" w:rsidR="004569D0" w:rsidRDefault="00184DA1">
            <w:pPr>
              <w:spacing w:line="240" w:lineRule="auto"/>
            </w:pPr>
            <w:r>
              <w:rPr>
                <w:b/>
                <w:bCs/>
                <w:color w:val="000000"/>
                <w:sz w:val="20"/>
                <w:szCs w:val="20"/>
              </w:rPr>
              <w:t>PV of inflows</w:t>
            </w:r>
          </w:p>
        </w:tc>
        <w:tc>
          <w:tcPr>
            <w:tcW w:w="900" w:type="dxa"/>
            <w:shd w:val="clear" w:color="auto" w:fill="D9E1F2"/>
            <w:tcMar>
              <w:top w:w="40" w:type="dxa"/>
              <w:left w:w="80" w:type="dxa"/>
              <w:bottom w:w="40" w:type="dxa"/>
              <w:right w:w="80" w:type="dxa"/>
            </w:tcMar>
          </w:tcPr>
          <w:p w14:paraId="3D7E1E4E" w14:textId="77777777" w:rsidR="004569D0" w:rsidRDefault="004569D0">
            <w:pPr>
              <w:spacing w:line="240" w:lineRule="auto"/>
              <w:jc w:val="center"/>
            </w:pPr>
          </w:p>
        </w:tc>
        <w:tc>
          <w:tcPr>
            <w:tcW w:w="1100" w:type="dxa"/>
            <w:shd w:val="clear" w:color="auto" w:fill="D9E1F2"/>
            <w:tcMar>
              <w:top w:w="40" w:type="dxa"/>
              <w:left w:w="80" w:type="dxa"/>
              <w:bottom w:w="40" w:type="dxa"/>
              <w:right w:w="80" w:type="dxa"/>
            </w:tcMar>
          </w:tcPr>
          <w:p w14:paraId="2A5D7652" w14:textId="77777777" w:rsidR="004569D0" w:rsidRDefault="004569D0">
            <w:pPr>
              <w:spacing w:line="240" w:lineRule="auto"/>
              <w:jc w:val="center"/>
            </w:pPr>
          </w:p>
        </w:tc>
        <w:tc>
          <w:tcPr>
            <w:tcW w:w="900" w:type="dxa"/>
            <w:shd w:val="clear" w:color="auto" w:fill="D9E1F2"/>
            <w:tcMar>
              <w:top w:w="40" w:type="dxa"/>
              <w:left w:w="80" w:type="dxa"/>
              <w:bottom w:w="40" w:type="dxa"/>
              <w:right w:w="80" w:type="dxa"/>
            </w:tcMar>
          </w:tcPr>
          <w:p w14:paraId="5E90F56A" w14:textId="77777777" w:rsidR="004569D0" w:rsidRDefault="00184DA1">
            <w:pPr>
              <w:spacing w:line="240" w:lineRule="auto"/>
              <w:jc w:val="center"/>
            </w:pPr>
            <w:r>
              <w:rPr>
                <w:color w:val="000000"/>
                <w:sz w:val="20"/>
                <w:szCs w:val="20"/>
              </w:rPr>
              <w:t>43.46</w:t>
            </w:r>
          </w:p>
        </w:tc>
        <w:tc>
          <w:tcPr>
            <w:tcW w:w="1100" w:type="dxa"/>
            <w:shd w:val="clear" w:color="auto" w:fill="D9E1F2"/>
            <w:tcMar>
              <w:top w:w="40" w:type="dxa"/>
              <w:left w:w="80" w:type="dxa"/>
              <w:bottom w:w="40" w:type="dxa"/>
              <w:right w:w="80" w:type="dxa"/>
            </w:tcMar>
          </w:tcPr>
          <w:p w14:paraId="7A23C43D" w14:textId="77777777" w:rsidR="004569D0" w:rsidRDefault="004569D0">
            <w:pPr>
              <w:spacing w:line="240" w:lineRule="auto"/>
              <w:jc w:val="center"/>
            </w:pPr>
          </w:p>
        </w:tc>
        <w:tc>
          <w:tcPr>
            <w:tcW w:w="900" w:type="dxa"/>
            <w:shd w:val="clear" w:color="auto" w:fill="D9E1F2"/>
            <w:tcMar>
              <w:top w:w="40" w:type="dxa"/>
              <w:left w:w="80" w:type="dxa"/>
              <w:bottom w:w="40" w:type="dxa"/>
              <w:right w:w="80" w:type="dxa"/>
            </w:tcMar>
          </w:tcPr>
          <w:p w14:paraId="492C451B" w14:textId="77777777" w:rsidR="004569D0" w:rsidRDefault="00184DA1">
            <w:pPr>
              <w:spacing w:line="240" w:lineRule="auto"/>
              <w:jc w:val="center"/>
            </w:pPr>
            <w:r>
              <w:rPr>
                <w:color w:val="000000"/>
                <w:sz w:val="20"/>
                <w:szCs w:val="20"/>
              </w:rPr>
              <w:t>43.92</w:t>
            </w:r>
          </w:p>
        </w:tc>
        <w:tc>
          <w:tcPr>
            <w:tcW w:w="1100" w:type="dxa"/>
            <w:shd w:val="clear" w:color="auto" w:fill="D9E1F2"/>
            <w:tcMar>
              <w:top w:w="40" w:type="dxa"/>
              <w:left w:w="80" w:type="dxa"/>
              <w:bottom w:w="40" w:type="dxa"/>
              <w:right w:w="80" w:type="dxa"/>
            </w:tcMar>
          </w:tcPr>
          <w:p w14:paraId="4263FAD8" w14:textId="77777777" w:rsidR="004569D0" w:rsidRDefault="004569D0">
            <w:pPr>
              <w:spacing w:line="240" w:lineRule="auto"/>
              <w:jc w:val="center"/>
            </w:pPr>
          </w:p>
        </w:tc>
        <w:tc>
          <w:tcPr>
            <w:tcW w:w="900" w:type="dxa"/>
            <w:shd w:val="clear" w:color="auto" w:fill="D9E1F2"/>
            <w:tcMar>
              <w:top w:w="40" w:type="dxa"/>
              <w:left w:w="80" w:type="dxa"/>
              <w:bottom w:w="40" w:type="dxa"/>
              <w:right w:w="80" w:type="dxa"/>
            </w:tcMar>
          </w:tcPr>
          <w:p w14:paraId="109B08BD" w14:textId="77777777" w:rsidR="004569D0" w:rsidRDefault="00184DA1">
            <w:pPr>
              <w:spacing w:line="240" w:lineRule="auto"/>
              <w:jc w:val="center"/>
            </w:pPr>
            <w:r>
              <w:rPr>
                <w:color w:val="000000"/>
                <w:sz w:val="20"/>
                <w:szCs w:val="20"/>
              </w:rPr>
              <w:t>50.86</w:t>
            </w:r>
          </w:p>
        </w:tc>
      </w:tr>
      <w:tr w:rsidR="004569D0" w14:paraId="25FB9F01" w14:textId="77777777">
        <w:tblPrEx>
          <w:tblCellMar>
            <w:top w:w="0" w:type="dxa"/>
            <w:bottom w:w="0" w:type="dxa"/>
          </w:tblCellMar>
        </w:tblPrEx>
        <w:tc>
          <w:tcPr>
            <w:tcW w:w="900" w:type="dxa"/>
            <w:tcMar>
              <w:top w:w="40" w:type="dxa"/>
              <w:left w:w="80" w:type="dxa"/>
              <w:bottom w:w="40" w:type="dxa"/>
              <w:right w:w="80" w:type="dxa"/>
            </w:tcMar>
          </w:tcPr>
          <w:p w14:paraId="06564833" w14:textId="77777777" w:rsidR="004569D0" w:rsidRDefault="00184DA1">
            <w:pPr>
              <w:spacing w:line="240" w:lineRule="auto"/>
            </w:pPr>
            <w:r>
              <w:rPr>
                <w:b/>
                <w:bCs/>
                <w:color w:val="000000"/>
                <w:sz w:val="20"/>
                <w:szCs w:val="20"/>
              </w:rPr>
              <w:t>Less investment</w:t>
            </w:r>
          </w:p>
        </w:tc>
        <w:tc>
          <w:tcPr>
            <w:tcW w:w="900" w:type="dxa"/>
            <w:tcMar>
              <w:top w:w="40" w:type="dxa"/>
              <w:left w:w="80" w:type="dxa"/>
              <w:bottom w:w="40" w:type="dxa"/>
              <w:right w:w="80" w:type="dxa"/>
            </w:tcMar>
          </w:tcPr>
          <w:p w14:paraId="371C92E3" w14:textId="77777777" w:rsidR="004569D0" w:rsidRDefault="004569D0">
            <w:pPr>
              <w:spacing w:line="240" w:lineRule="auto"/>
              <w:jc w:val="center"/>
            </w:pPr>
          </w:p>
        </w:tc>
        <w:tc>
          <w:tcPr>
            <w:tcW w:w="1100" w:type="dxa"/>
            <w:tcMar>
              <w:top w:w="40" w:type="dxa"/>
              <w:left w:w="80" w:type="dxa"/>
              <w:bottom w:w="40" w:type="dxa"/>
              <w:right w:w="80" w:type="dxa"/>
            </w:tcMar>
          </w:tcPr>
          <w:p w14:paraId="5E3BD772" w14:textId="77777777" w:rsidR="004569D0" w:rsidRDefault="004569D0">
            <w:pPr>
              <w:spacing w:line="240" w:lineRule="auto"/>
              <w:jc w:val="center"/>
            </w:pPr>
          </w:p>
        </w:tc>
        <w:tc>
          <w:tcPr>
            <w:tcW w:w="900" w:type="dxa"/>
            <w:tcMar>
              <w:top w:w="40" w:type="dxa"/>
              <w:left w:w="80" w:type="dxa"/>
              <w:bottom w:w="40" w:type="dxa"/>
              <w:right w:w="80" w:type="dxa"/>
            </w:tcMar>
          </w:tcPr>
          <w:p w14:paraId="38C5071B" w14:textId="77777777" w:rsidR="004569D0" w:rsidRDefault="00184DA1">
            <w:pPr>
              <w:spacing w:line="240" w:lineRule="auto"/>
              <w:jc w:val="center"/>
            </w:pPr>
            <w:r>
              <w:rPr>
                <w:color w:val="000000"/>
                <w:sz w:val="20"/>
                <w:szCs w:val="20"/>
              </w:rPr>
              <w:t>(50.00)</w:t>
            </w:r>
          </w:p>
        </w:tc>
        <w:tc>
          <w:tcPr>
            <w:tcW w:w="1100" w:type="dxa"/>
            <w:tcMar>
              <w:top w:w="40" w:type="dxa"/>
              <w:left w:w="80" w:type="dxa"/>
              <w:bottom w:w="40" w:type="dxa"/>
              <w:right w:w="80" w:type="dxa"/>
            </w:tcMar>
          </w:tcPr>
          <w:p w14:paraId="79AE76B7" w14:textId="77777777" w:rsidR="004569D0" w:rsidRDefault="004569D0">
            <w:pPr>
              <w:spacing w:line="240" w:lineRule="auto"/>
              <w:jc w:val="center"/>
            </w:pPr>
          </w:p>
        </w:tc>
        <w:tc>
          <w:tcPr>
            <w:tcW w:w="900" w:type="dxa"/>
            <w:tcMar>
              <w:top w:w="40" w:type="dxa"/>
              <w:left w:w="80" w:type="dxa"/>
              <w:bottom w:w="40" w:type="dxa"/>
              <w:right w:w="80" w:type="dxa"/>
            </w:tcMar>
          </w:tcPr>
          <w:p w14:paraId="350D3781" w14:textId="77777777" w:rsidR="004569D0" w:rsidRDefault="00184DA1">
            <w:pPr>
              <w:spacing w:line="240" w:lineRule="auto"/>
              <w:jc w:val="center"/>
            </w:pPr>
            <w:r>
              <w:rPr>
                <w:color w:val="000000"/>
                <w:sz w:val="20"/>
                <w:szCs w:val="20"/>
              </w:rPr>
              <w:t>(50.00)</w:t>
            </w:r>
          </w:p>
        </w:tc>
        <w:tc>
          <w:tcPr>
            <w:tcW w:w="1100" w:type="dxa"/>
            <w:tcMar>
              <w:top w:w="40" w:type="dxa"/>
              <w:left w:w="80" w:type="dxa"/>
              <w:bottom w:w="40" w:type="dxa"/>
              <w:right w:w="80" w:type="dxa"/>
            </w:tcMar>
          </w:tcPr>
          <w:p w14:paraId="57170E6D" w14:textId="77777777" w:rsidR="004569D0" w:rsidRDefault="004569D0">
            <w:pPr>
              <w:spacing w:line="240" w:lineRule="auto"/>
              <w:jc w:val="center"/>
            </w:pPr>
          </w:p>
        </w:tc>
        <w:tc>
          <w:tcPr>
            <w:tcW w:w="900" w:type="dxa"/>
            <w:tcMar>
              <w:top w:w="40" w:type="dxa"/>
              <w:left w:w="80" w:type="dxa"/>
              <w:bottom w:w="40" w:type="dxa"/>
              <w:right w:w="80" w:type="dxa"/>
            </w:tcMar>
          </w:tcPr>
          <w:p w14:paraId="2A915F24" w14:textId="77777777" w:rsidR="004569D0" w:rsidRDefault="00184DA1">
            <w:pPr>
              <w:spacing w:line="240" w:lineRule="auto"/>
              <w:jc w:val="center"/>
            </w:pPr>
            <w:r>
              <w:rPr>
                <w:color w:val="000000"/>
                <w:sz w:val="20"/>
                <w:szCs w:val="20"/>
              </w:rPr>
              <w:t>(50.00)</w:t>
            </w:r>
          </w:p>
        </w:tc>
      </w:tr>
      <w:tr w:rsidR="004569D0" w14:paraId="076E56E2" w14:textId="77777777">
        <w:tblPrEx>
          <w:tblCellMar>
            <w:top w:w="0" w:type="dxa"/>
            <w:bottom w:w="0" w:type="dxa"/>
          </w:tblCellMar>
        </w:tblPrEx>
        <w:tc>
          <w:tcPr>
            <w:tcW w:w="900" w:type="dxa"/>
            <w:shd w:val="clear" w:color="auto" w:fill="D9E1F2"/>
            <w:tcMar>
              <w:top w:w="40" w:type="dxa"/>
              <w:left w:w="80" w:type="dxa"/>
              <w:bottom w:w="40" w:type="dxa"/>
              <w:right w:w="80" w:type="dxa"/>
            </w:tcMar>
          </w:tcPr>
          <w:p w14:paraId="410FA24F" w14:textId="77777777" w:rsidR="004569D0" w:rsidRDefault="00184DA1">
            <w:pPr>
              <w:spacing w:line="240" w:lineRule="auto"/>
            </w:pPr>
            <w:r>
              <w:rPr>
                <w:b/>
                <w:bCs/>
                <w:color w:val="000000"/>
                <w:sz w:val="20"/>
                <w:szCs w:val="20"/>
              </w:rPr>
              <w:lastRenderedPageBreak/>
              <w:t>NPV</w:t>
            </w:r>
          </w:p>
        </w:tc>
        <w:tc>
          <w:tcPr>
            <w:tcW w:w="900" w:type="dxa"/>
            <w:shd w:val="clear" w:color="auto" w:fill="D9E1F2"/>
            <w:tcMar>
              <w:top w:w="40" w:type="dxa"/>
              <w:left w:w="80" w:type="dxa"/>
              <w:bottom w:w="40" w:type="dxa"/>
              <w:right w:w="80" w:type="dxa"/>
            </w:tcMar>
          </w:tcPr>
          <w:p w14:paraId="0FD28C57" w14:textId="77777777" w:rsidR="004569D0" w:rsidRDefault="004569D0">
            <w:pPr>
              <w:spacing w:line="240" w:lineRule="auto"/>
              <w:jc w:val="center"/>
            </w:pPr>
          </w:p>
        </w:tc>
        <w:tc>
          <w:tcPr>
            <w:tcW w:w="1100" w:type="dxa"/>
            <w:shd w:val="clear" w:color="auto" w:fill="D9E1F2"/>
            <w:tcMar>
              <w:top w:w="40" w:type="dxa"/>
              <w:left w:w="80" w:type="dxa"/>
              <w:bottom w:w="40" w:type="dxa"/>
              <w:right w:w="80" w:type="dxa"/>
            </w:tcMar>
          </w:tcPr>
          <w:p w14:paraId="1B5E9EB4" w14:textId="77777777" w:rsidR="004569D0" w:rsidRDefault="004569D0">
            <w:pPr>
              <w:spacing w:line="240" w:lineRule="auto"/>
              <w:jc w:val="center"/>
            </w:pPr>
          </w:p>
        </w:tc>
        <w:tc>
          <w:tcPr>
            <w:tcW w:w="900" w:type="dxa"/>
            <w:shd w:val="clear" w:color="auto" w:fill="D9E1F2"/>
            <w:tcMar>
              <w:top w:w="40" w:type="dxa"/>
              <w:left w:w="80" w:type="dxa"/>
              <w:bottom w:w="40" w:type="dxa"/>
              <w:right w:w="80" w:type="dxa"/>
            </w:tcMar>
          </w:tcPr>
          <w:p w14:paraId="17FB229B" w14:textId="77777777" w:rsidR="004569D0" w:rsidRDefault="00184DA1">
            <w:pPr>
              <w:spacing w:line="240" w:lineRule="auto"/>
              <w:jc w:val="center"/>
            </w:pPr>
            <w:r>
              <w:rPr>
                <w:color w:val="000000"/>
                <w:sz w:val="20"/>
                <w:szCs w:val="20"/>
              </w:rPr>
              <w:t>(6.54)</w:t>
            </w:r>
          </w:p>
        </w:tc>
        <w:tc>
          <w:tcPr>
            <w:tcW w:w="1100" w:type="dxa"/>
            <w:shd w:val="clear" w:color="auto" w:fill="D9E1F2"/>
            <w:tcMar>
              <w:top w:w="40" w:type="dxa"/>
              <w:left w:w="80" w:type="dxa"/>
              <w:bottom w:w="40" w:type="dxa"/>
              <w:right w:w="80" w:type="dxa"/>
            </w:tcMar>
          </w:tcPr>
          <w:p w14:paraId="186B452A" w14:textId="77777777" w:rsidR="004569D0" w:rsidRDefault="004569D0">
            <w:pPr>
              <w:spacing w:line="240" w:lineRule="auto"/>
              <w:jc w:val="center"/>
            </w:pPr>
          </w:p>
        </w:tc>
        <w:tc>
          <w:tcPr>
            <w:tcW w:w="900" w:type="dxa"/>
            <w:shd w:val="clear" w:color="auto" w:fill="D9E1F2"/>
            <w:tcMar>
              <w:top w:w="40" w:type="dxa"/>
              <w:left w:w="80" w:type="dxa"/>
              <w:bottom w:w="40" w:type="dxa"/>
              <w:right w:w="80" w:type="dxa"/>
            </w:tcMar>
          </w:tcPr>
          <w:p w14:paraId="66492037" w14:textId="77777777" w:rsidR="004569D0" w:rsidRDefault="00184DA1">
            <w:pPr>
              <w:spacing w:line="240" w:lineRule="auto"/>
              <w:jc w:val="center"/>
            </w:pPr>
            <w:r>
              <w:rPr>
                <w:color w:val="000000"/>
                <w:sz w:val="20"/>
                <w:szCs w:val="20"/>
              </w:rPr>
              <w:t>(6.08)</w:t>
            </w:r>
          </w:p>
        </w:tc>
        <w:tc>
          <w:tcPr>
            <w:tcW w:w="1100" w:type="dxa"/>
            <w:shd w:val="clear" w:color="auto" w:fill="D9E1F2"/>
            <w:tcMar>
              <w:top w:w="40" w:type="dxa"/>
              <w:left w:w="80" w:type="dxa"/>
              <w:bottom w:w="40" w:type="dxa"/>
              <w:right w:w="80" w:type="dxa"/>
            </w:tcMar>
          </w:tcPr>
          <w:p w14:paraId="1E65D485" w14:textId="77777777" w:rsidR="004569D0" w:rsidRDefault="004569D0">
            <w:pPr>
              <w:spacing w:line="240" w:lineRule="auto"/>
              <w:jc w:val="center"/>
            </w:pPr>
          </w:p>
        </w:tc>
        <w:tc>
          <w:tcPr>
            <w:tcW w:w="900" w:type="dxa"/>
            <w:shd w:val="clear" w:color="auto" w:fill="D9E1F2"/>
            <w:tcMar>
              <w:top w:w="40" w:type="dxa"/>
              <w:left w:w="80" w:type="dxa"/>
              <w:bottom w:w="40" w:type="dxa"/>
              <w:right w:w="80" w:type="dxa"/>
            </w:tcMar>
          </w:tcPr>
          <w:p w14:paraId="4396B36E" w14:textId="77777777" w:rsidR="004569D0" w:rsidRDefault="00184DA1">
            <w:pPr>
              <w:spacing w:line="240" w:lineRule="auto"/>
              <w:jc w:val="center"/>
            </w:pPr>
            <w:r>
              <w:rPr>
                <w:color w:val="000000"/>
                <w:sz w:val="20"/>
                <w:szCs w:val="20"/>
              </w:rPr>
              <w:t>0.86</w:t>
            </w:r>
          </w:p>
        </w:tc>
      </w:tr>
    </w:tbl>
    <w:p w14:paraId="2F07E05D" w14:textId="77777777" w:rsidR="004569D0" w:rsidRDefault="00184DA1">
      <w:pPr>
        <w:spacing w:after="160"/>
        <w:jc w:val="both"/>
      </w:pPr>
      <w:r>
        <w:t>Payback (undiscounted): A recovers £50m during year 5 (cumulative £46m after year 4, +£8m in year 5) = 4.50 years; B similarly 4.55 years; C reaches £50m during year 4 (cumulative £35m after year 3, +£25m in year 4) = 3.60 years. IRR is the discount rate at which NPV equals zero, computed by interpolation: A ≈ 2.7%, B ≈ 3.3%, C ≈ 8.6%. Profitability index = PV of inflows / initial investment.</w:t>
      </w:r>
    </w:p>
    <w:p w14:paraId="5C371578" w14:textId="77777777" w:rsidR="004569D0" w:rsidRDefault="00184DA1">
      <w:pPr>
        <w:pStyle w:val="Heading2"/>
      </w:pPr>
      <w:bookmarkStart w:id="25" w:name="_Toc237517891"/>
      <w:r>
        <w:t>Appendix C: Note on data and figures</w:t>
      </w:r>
      <w:bookmarkEnd w:id="25"/>
    </w:p>
    <w:p w14:paraId="483F7396" w14:textId="77777777" w:rsidR="004569D0" w:rsidRDefault="00184DA1">
      <w:pPr>
        <w:spacing w:after="160"/>
        <w:jc w:val="both"/>
      </w:pPr>
      <w:r>
        <w:t>Financial data are compiled from IHG's published full-year results and annual reports. Figures 1 and 2 (revenue and operating profit trend; profitability margins) should be inserted as Excel charts based on Tables 1 and 2. The 2021 revenue figure reflects the group's reported total revenue for that year; minor presentational differences may arise from subsequent restatements and non-GAAP reconciliations disclosed by the group.</w:t>
      </w:r>
    </w:p>
    <w:sectPr w:rsidR="004569D0">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36402F" w14:textId="77777777" w:rsidR="00184DA1" w:rsidRDefault="00184DA1">
      <w:pPr>
        <w:spacing w:line="240" w:lineRule="auto"/>
      </w:pPr>
      <w:r>
        <w:separator/>
      </w:r>
    </w:p>
  </w:endnote>
  <w:endnote w:type="continuationSeparator" w:id="0">
    <w:p w14:paraId="1E4670D3" w14:textId="77777777" w:rsidR="00184DA1" w:rsidRDefault="00184D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16D159" w14:textId="77777777" w:rsidR="004569D0" w:rsidRDefault="00184DA1">
    <w:pPr>
      <w:jc w:val="center"/>
    </w:pPr>
    <w:r>
      <w:rPr>
        <w:sz w:val="20"/>
        <w:szCs w:val="20"/>
      </w:rPr>
      <w:t xml:space="preserve">Page </w:t>
    </w:r>
    <w:r>
      <w:rPr>
        <w:sz w:val="20"/>
        <w:szCs w:val="20"/>
      </w:rPr>
      <w:fldChar w:fldCharType="begin"/>
    </w:r>
    <w:r>
      <w:rPr>
        <w:sz w:val="20"/>
        <w:szCs w:val="20"/>
      </w:rPr>
      <w:instrText>PAGE</w:instrText>
    </w:r>
    <w:r>
      <w:rPr>
        <w:sz w:val="20"/>
        <w:szCs w:val="20"/>
      </w:rPr>
      <w:fldChar w:fldCharType="separate"/>
    </w:r>
    <w:r w:rsidR="00E02A55">
      <w:rPr>
        <w:noProof/>
        <w:sz w:val="20"/>
        <w:szCs w:val="20"/>
      </w:rPr>
      <w:t>1</w:t>
    </w:r>
    <w:r>
      <w:rPr>
        <w:sz w:val="20"/>
        <w:szCs w:val="20"/>
      </w:rPr>
      <w:fldChar w:fldCharType="end"/>
    </w:r>
    <w:r>
      <w:rPr>
        <w:sz w:val="20"/>
        <w:szCs w:val="20"/>
      </w:rPr>
      <w:t xml:space="preserve"> of </w:t>
    </w:r>
    <w:r>
      <w:rPr>
        <w:sz w:val="20"/>
        <w:szCs w:val="20"/>
      </w:rPr>
      <w:fldChar w:fldCharType="begin"/>
    </w:r>
    <w:r>
      <w:rPr>
        <w:sz w:val="20"/>
        <w:szCs w:val="20"/>
      </w:rPr>
      <w:instrText>NUMPAGES</w:instrText>
    </w:r>
    <w:r>
      <w:rPr>
        <w:sz w:val="20"/>
        <w:szCs w:val="20"/>
      </w:rPr>
      <w:fldChar w:fldCharType="separate"/>
    </w:r>
    <w:r w:rsidR="00E02A55">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18238A" w14:textId="77777777" w:rsidR="00184DA1" w:rsidRDefault="00184DA1">
      <w:pPr>
        <w:spacing w:line="240" w:lineRule="auto"/>
      </w:pPr>
      <w:r>
        <w:separator/>
      </w:r>
    </w:p>
  </w:footnote>
  <w:footnote w:type="continuationSeparator" w:id="0">
    <w:p w14:paraId="0EBB1404" w14:textId="77777777" w:rsidR="00184DA1" w:rsidRDefault="00184DA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DD04AB"/>
    <w:multiLevelType w:val="hybridMultilevel"/>
    <w:tmpl w:val="A2D8CF86"/>
    <w:lvl w:ilvl="0" w:tplc="048609F4">
      <w:start w:val="1"/>
      <w:numFmt w:val="bullet"/>
      <w:lvlText w:val="●"/>
      <w:lvlJc w:val="left"/>
      <w:pPr>
        <w:ind w:left="720" w:hanging="360"/>
      </w:pPr>
    </w:lvl>
    <w:lvl w:ilvl="1" w:tplc="23303634">
      <w:start w:val="1"/>
      <w:numFmt w:val="bullet"/>
      <w:lvlText w:val="○"/>
      <w:lvlJc w:val="left"/>
      <w:pPr>
        <w:ind w:left="1440" w:hanging="360"/>
      </w:pPr>
    </w:lvl>
    <w:lvl w:ilvl="2" w:tplc="DEEC7EEA">
      <w:start w:val="1"/>
      <w:numFmt w:val="bullet"/>
      <w:lvlText w:val="■"/>
      <w:lvlJc w:val="left"/>
      <w:pPr>
        <w:ind w:left="2160" w:hanging="360"/>
      </w:pPr>
    </w:lvl>
    <w:lvl w:ilvl="3" w:tplc="7A8E1994">
      <w:start w:val="1"/>
      <w:numFmt w:val="bullet"/>
      <w:lvlText w:val="●"/>
      <w:lvlJc w:val="left"/>
      <w:pPr>
        <w:ind w:left="2880" w:hanging="360"/>
      </w:pPr>
    </w:lvl>
    <w:lvl w:ilvl="4" w:tplc="8AAEC17E">
      <w:start w:val="1"/>
      <w:numFmt w:val="bullet"/>
      <w:lvlText w:val="○"/>
      <w:lvlJc w:val="left"/>
      <w:pPr>
        <w:ind w:left="3600" w:hanging="360"/>
      </w:pPr>
    </w:lvl>
    <w:lvl w:ilvl="5" w:tplc="7A4AD65E">
      <w:start w:val="1"/>
      <w:numFmt w:val="bullet"/>
      <w:lvlText w:val="■"/>
      <w:lvlJc w:val="left"/>
      <w:pPr>
        <w:ind w:left="4320" w:hanging="360"/>
      </w:pPr>
    </w:lvl>
    <w:lvl w:ilvl="6" w:tplc="625CE07A">
      <w:start w:val="1"/>
      <w:numFmt w:val="bullet"/>
      <w:lvlText w:val="●"/>
      <w:lvlJc w:val="left"/>
      <w:pPr>
        <w:ind w:left="5040" w:hanging="360"/>
      </w:pPr>
    </w:lvl>
    <w:lvl w:ilvl="7" w:tplc="3DB0E3E2">
      <w:start w:val="1"/>
      <w:numFmt w:val="bullet"/>
      <w:lvlText w:val="●"/>
      <w:lvlJc w:val="left"/>
      <w:pPr>
        <w:ind w:left="5760" w:hanging="360"/>
      </w:pPr>
    </w:lvl>
    <w:lvl w:ilvl="8" w:tplc="E154CD3C">
      <w:start w:val="1"/>
      <w:numFmt w:val="bullet"/>
      <w:lvlText w:val="●"/>
      <w:lvlJc w:val="left"/>
      <w:pPr>
        <w:ind w:left="6480" w:hanging="360"/>
      </w:pPr>
    </w:lvl>
  </w:abstractNum>
  <w:num w:numId="1" w16cid:durableId="206899430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69D0"/>
    <w:rsid w:val="000643C2"/>
    <w:rsid w:val="001810BB"/>
    <w:rsid w:val="00184DA1"/>
    <w:rsid w:val="004569D0"/>
    <w:rsid w:val="0055699E"/>
    <w:rsid w:val="00E02A5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8C265"/>
  <w15:docId w15:val="{67B6AB31-4E34-4A52-A551-62F9ECF21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IN"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40" w:after="160"/>
      <w:outlineLvl w:val="0"/>
    </w:pPr>
    <w:rPr>
      <w:b/>
      <w:bCs/>
      <w:color w:val="1F3864"/>
      <w:sz w:val="30"/>
      <w:szCs w:val="30"/>
    </w:rPr>
  </w:style>
  <w:style w:type="paragraph" w:styleId="Heading2">
    <w:name w:val="heading 2"/>
    <w:uiPriority w:val="9"/>
    <w:unhideWhenUsed/>
    <w:qFormat/>
    <w:pPr>
      <w:spacing w:before="200" w:after="120"/>
      <w:outlineLvl w:val="1"/>
    </w:pPr>
    <w:rPr>
      <w:b/>
      <w:bCs/>
      <w:color w:val="2E5496"/>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E02A55"/>
    <w:pPr>
      <w:spacing w:after="100"/>
    </w:pPr>
  </w:style>
  <w:style w:type="paragraph" w:styleId="TOC2">
    <w:name w:val="toc 2"/>
    <w:basedOn w:val="Normal"/>
    <w:next w:val="Normal"/>
    <w:autoRedefine/>
    <w:uiPriority w:val="39"/>
    <w:unhideWhenUsed/>
    <w:rsid w:val="00E02A55"/>
    <w:pPr>
      <w:spacing w:after="100"/>
      <w:ind w:left="240"/>
    </w:pPr>
  </w:style>
  <w:style w:type="paragraph" w:styleId="IntenseQuote">
    <w:name w:val="Intense Quote"/>
    <w:basedOn w:val="Normal"/>
    <w:next w:val="Normal"/>
    <w:link w:val="IntenseQuoteChar"/>
    <w:uiPriority w:val="30"/>
    <w:qFormat/>
    <w:rsid w:val="00E02A55"/>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E02A55"/>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25</Pages>
  <Words>7677</Words>
  <Characters>43759</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Financial Performance and Management – IHG</vt:lpstr>
    </vt:vector>
  </TitlesOfParts>
  <Company/>
  <LinksUpToDate>false</LinksUpToDate>
  <CharactersWithSpaces>51334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Performance and Management – IHG</dc:title>
  <dc:creator>MBA Candidate</dc:creator>
  <cp:lastModifiedBy>Darsh Patel</cp:lastModifiedBy>
  <cp:revision>2</cp:revision>
  <dcterms:created xsi:type="dcterms:W3CDTF">2026-08-13T12:03:00Z</dcterms:created>
  <dcterms:modified xsi:type="dcterms:W3CDTF">2026-08-13T12:03:00Z</dcterms:modified>
</cp:coreProperties>
</file>