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tbl>
      <w:tblPr>
        <w:tblpPr w:leftFromText="180" w:rightFromText="180" w:vertAnchor="text" w:horzAnchor="margin" w:tblpXSpec="center" w:tblpY="419"/>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CD6BAC" w:rsidRPr="005D3F07" w14:paraId="6EBC3FB5" w14:textId="77777777" w:rsidTr="00CD6BAC">
        <w:tc>
          <w:tcPr>
            <w:tcW w:w="10910" w:type="dxa"/>
          </w:tcPr>
          <w:p w14:paraId="6AE9CC22" w14:textId="77777777" w:rsidR="00CD6BAC" w:rsidRDefault="00CD6BAC" w:rsidP="00CD6BA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Catrin Kelsey</w:t>
            </w:r>
          </w:p>
          <w:p w14:paraId="26492CB0" w14:textId="77777777" w:rsidR="00CD6BAC" w:rsidRDefault="00CD6BAC" w:rsidP="00CD6BAC">
            <w:pPr>
              <w:overflowPunct/>
              <w:autoSpaceDE/>
              <w:autoSpaceDN/>
              <w:adjustRightInd/>
              <w:ind w:right="-957"/>
              <w:textAlignment w:val="auto"/>
              <w:rPr>
                <w:rFonts w:ascii="Times New Roman" w:hAnsi="Times New Roman" w:cs="Times New Roman"/>
                <w:b/>
                <w:color w:val="auto"/>
                <w:sz w:val="48"/>
              </w:rPr>
            </w:pPr>
          </w:p>
          <w:p w14:paraId="60442AFC" w14:textId="77777777" w:rsidR="00CD6BAC" w:rsidRDefault="00CD6BAC" w:rsidP="00CD6BA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Catrin_1990@hotmail.co.uk</w:t>
            </w:r>
          </w:p>
          <w:p w14:paraId="3231F797" w14:textId="77777777" w:rsidR="00CD6BAC" w:rsidRDefault="00CD6BAC" w:rsidP="00CD6BAC">
            <w:pPr>
              <w:overflowPunct/>
              <w:autoSpaceDE/>
              <w:autoSpaceDN/>
              <w:adjustRightInd/>
              <w:ind w:right="-957"/>
              <w:textAlignment w:val="auto"/>
              <w:rPr>
                <w:rFonts w:ascii="Times New Roman" w:hAnsi="Times New Roman" w:cs="Times New Roman"/>
                <w:b/>
                <w:color w:val="auto"/>
                <w:sz w:val="48"/>
              </w:rPr>
            </w:pPr>
          </w:p>
          <w:p w14:paraId="41F420DD" w14:textId="77777777" w:rsidR="00CD6BAC" w:rsidRPr="005D3F07" w:rsidRDefault="00CD6BAC" w:rsidP="00CD6BA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w:t>
            </w:r>
            <w:r>
              <w:rPr>
                <w:rFonts w:ascii="Times New Roman" w:hAnsi="Times New Roman" w:cs="Times New Roman"/>
                <w:b/>
                <w:color w:val="auto"/>
                <w:sz w:val="48"/>
              </w:rPr>
              <w:t>istration</w:t>
            </w:r>
            <w:r w:rsidRPr="005D3F07">
              <w:rPr>
                <w:rFonts w:ascii="Times New Roman" w:hAnsi="Times New Roman" w:cs="Times New Roman"/>
                <w:b/>
                <w:color w:val="auto"/>
                <w:sz w:val="48"/>
              </w:rPr>
              <w:t xml:space="preserve"> Number:</w:t>
            </w:r>
            <w:r w:rsidRPr="00DB5EB5">
              <w:rPr>
                <w:rFonts w:ascii="Source Sans Pro" w:hAnsi="Source Sans Pro"/>
                <w:color w:val="242130"/>
                <w:sz w:val="21"/>
                <w:szCs w:val="21"/>
                <w:shd w:val="clear" w:color="auto" w:fill="FFFFFF"/>
              </w:rPr>
              <w:t xml:space="preserve"> </w:t>
            </w:r>
            <w:r w:rsidRPr="00DB5EB5">
              <w:rPr>
                <w:rFonts w:ascii="Times New Roman" w:hAnsi="Times New Roman" w:cs="Times New Roman"/>
                <w:b/>
                <w:color w:val="auto"/>
                <w:sz w:val="48"/>
              </w:rPr>
              <w:t>2328682</w:t>
            </w:r>
          </w:p>
          <w:p w14:paraId="4D9DA34A" w14:textId="77777777" w:rsidR="00CD6BAC" w:rsidRPr="005D3F07" w:rsidRDefault="00CD6BAC" w:rsidP="00CD6BAC">
            <w:pPr>
              <w:overflowPunct/>
              <w:autoSpaceDE/>
              <w:autoSpaceDN/>
              <w:adjustRightInd/>
              <w:ind w:right="-957"/>
              <w:textAlignment w:val="auto"/>
              <w:rPr>
                <w:rFonts w:ascii="Times New Roman" w:hAnsi="Times New Roman" w:cs="Times New Roman"/>
                <w:b/>
                <w:color w:val="auto"/>
                <w:sz w:val="48"/>
              </w:rPr>
            </w:pPr>
          </w:p>
          <w:p w14:paraId="338E2207" w14:textId="77777777" w:rsidR="00CD6BAC" w:rsidRPr="005D3F07" w:rsidRDefault="00CD6BAC" w:rsidP="00CD6BA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2023</w:t>
            </w:r>
          </w:p>
        </w:tc>
      </w:tr>
    </w:tbl>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A670606" w14:textId="4E46564E" w:rsidR="00F546D1" w:rsidRPr="00D50DBA" w:rsidRDefault="00E83F91" w:rsidP="00D50DBA">
      <w:pPr>
        <w:jc w:val="center"/>
        <w:rPr>
          <w:b/>
          <w:sz w:val="24"/>
          <w:szCs w:val="24"/>
        </w:rPr>
      </w:pPr>
      <w:r>
        <w:rPr>
          <w:b/>
          <w:sz w:val="24"/>
          <w:szCs w:val="24"/>
        </w:rPr>
        <w:br w:type="page"/>
      </w:r>
      <w:r w:rsidR="007374EF"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1B73E917">
        <w:tc>
          <w:tcPr>
            <w:tcW w:w="10031" w:type="dxa"/>
          </w:tcPr>
          <w:p w14:paraId="1782851F" w14:textId="3B211785" w:rsidR="00793A24" w:rsidRPr="006872A0" w:rsidRDefault="006872A0" w:rsidP="00793A24">
            <w:pPr>
              <w:jc w:val="both"/>
              <w:rPr>
                <w:b/>
                <w:sz w:val="24"/>
                <w:szCs w:val="24"/>
              </w:rPr>
            </w:pPr>
            <w:r w:rsidRPr="006872A0">
              <w:rPr>
                <w:b/>
                <w:sz w:val="24"/>
                <w:szCs w:val="24"/>
              </w:rPr>
              <w:t>Question</w:t>
            </w:r>
            <w:r w:rsidR="007A628F">
              <w:rPr>
                <w:b/>
                <w:sz w:val="24"/>
                <w:szCs w:val="24"/>
              </w:rPr>
              <w:t>:</w:t>
            </w:r>
          </w:p>
          <w:p w14:paraId="0539A4A5" w14:textId="77777777" w:rsidR="00793A24" w:rsidRPr="00706BB5" w:rsidRDefault="00793A24" w:rsidP="00793A24">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0F6E1221" w14:textId="77777777" w:rsidR="00793A24" w:rsidRDefault="00793A24" w:rsidP="00793A24">
            <w:pPr>
              <w:jc w:val="both"/>
              <w:rPr>
                <w:sz w:val="24"/>
                <w:szCs w:val="24"/>
              </w:rPr>
            </w:pPr>
          </w:p>
          <w:p w14:paraId="0CBA3AB5" w14:textId="77777777" w:rsidR="00793A24" w:rsidRDefault="00793A24" w:rsidP="00793A24">
            <w:pPr>
              <w:jc w:val="both"/>
              <w:rPr>
                <w:sz w:val="24"/>
                <w:szCs w:val="24"/>
              </w:rPr>
            </w:pPr>
          </w:p>
          <w:p w14:paraId="5F6AE680" w14:textId="77777777" w:rsidR="00793A24" w:rsidRDefault="00793A24" w:rsidP="00793A24">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0E7BBCC9" w14:textId="09A6A8C3" w:rsidR="00D3203C" w:rsidRDefault="00D3203C" w:rsidP="1B73E917">
            <w:pPr>
              <w:jc w:val="both"/>
              <w:rPr>
                <w:rFonts w:asciiTheme="minorHAnsi" w:eastAsiaTheme="minorEastAsia" w:hAnsiTheme="minorHAnsi" w:cstheme="minorBid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3F3C7D18" w14:textId="77777777" w:rsidR="00A762D1" w:rsidRPr="00D02809" w:rsidRDefault="00A762D1" w:rsidP="00A762D1">
      <w:pPr>
        <w:spacing w:before="100" w:beforeAutospacing="1" w:after="100" w:afterAutospacing="1" w:line="300" w:lineRule="atLeast"/>
        <w:outlineLvl w:val="1"/>
      </w:pPr>
    </w:p>
    <w:p w14:paraId="0E97DC29" w14:textId="385C63CA" w:rsidR="00A762D1" w:rsidRDefault="00A762D1" w:rsidP="00A762D1">
      <w:pPr>
        <w:spacing w:after="160" w:line="480" w:lineRule="auto"/>
        <w:rPr>
          <w:sz w:val="22"/>
          <w:szCs w:val="22"/>
        </w:rPr>
      </w:pPr>
      <w:r w:rsidRPr="008030DD">
        <w:rPr>
          <w:sz w:val="22"/>
          <w:szCs w:val="22"/>
        </w:rPr>
        <w:t>This critically reflective case study ex</w:t>
      </w:r>
      <w:r w:rsidR="00230A7E">
        <w:rPr>
          <w:sz w:val="22"/>
          <w:szCs w:val="22"/>
        </w:rPr>
        <w:t>plores</w:t>
      </w:r>
      <w:r w:rsidRPr="008030DD">
        <w:rPr>
          <w:sz w:val="22"/>
          <w:szCs w:val="22"/>
        </w:rPr>
        <w:t xml:space="preserve"> my social work practice in safeguarding a vulnerable adult, referred to as 2 for confidentiality. 2 is a 33-year-old Deaf adult with cerebral palsy and learning difficulties, living in supported accommodation, who experienced repeated online romance fraud resulting in significant financial loss and harm to wellbeing. The case involved complex safeguarding challenges, including balancing autonomy and protection, assessing decision making capacity, managing digital risk, and exercising proportionate professional judgement within a multi</w:t>
      </w:r>
      <w:r w:rsidRPr="00A762D1">
        <w:rPr>
          <w:sz w:val="22"/>
          <w:szCs w:val="22"/>
        </w:rPr>
        <w:t>-disciplinary</w:t>
      </w:r>
      <w:r w:rsidRPr="008030DD">
        <w:rPr>
          <w:sz w:val="22"/>
          <w:szCs w:val="22"/>
        </w:rPr>
        <w:t xml:space="preserve"> context.</w:t>
      </w:r>
    </w:p>
    <w:p w14:paraId="6B8A79C3" w14:textId="77777777" w:rsidR="00EE33D7" w:rsidRPr="008030DD" w:rsidRDefault="00EE33D7" w:rsidP="00A762D1">
      <w:pPr>
        <w:spacing w:after="160" w:line="480" w:lineRule="auto"/>
        <w:rPr>
          <w:sz w:val="22"/>
          <w:szCs w:val="22"/>
        </w:rPr>
      </w:pPr>
    </w:p>
    <w:p w14:paraId="72E5CD95" w14:textId="77777777" w:rsidR="00A762D1" w:rsidRPr="008030DD" w:rsidRDefault="00A762D1" w:rsidP="00A762D1">
      <w:pPr>
        <w:spacing w:after="160" w:line="480" w:lineRule="auto"/>
        <w:rPr>
          <w:sz w:val="22"/>
          <w:szCs w:val="22"/>
        </w:rPr>
      </w:pPr>
      <w:r w:rsidRPr="008030DD">
        <w:rPr>
          <w:sz w:val="22"/>
          <w:szCs w:val="22"/>
        </w:rPr>
        <w:t xml:space="preserve">I first became involved with 2 when concerns about his wellbeing were intensifying. Over several years he had been repeatedly targeted through online romance fraud and financially exploited, with </w:t>
      </w:r>
      <w:r w:rsidRPr="008030DD">
        <w:rPr>
          <w:sz w:val="22"/>
          <w:szCs w:val="22"/>
        </w:rPr>
        <w:lastRenderedPageBreak/>
        <w:t>cumulative losses exceeding £25,000. The secondary harms were severe: rent arrears, compromised nutrition and a decline in wellbeing despite prior efforts by family, banks, police and care professionals. 2 consistently prioritised sending money to online contacts over essentials because those interactions offered a sense of immediate connection and a possibility of a “normal” relationship like his siblings enjoyed. The practice dilemma from the outset was to respect his autonomy while preventing foreseeable harm, doing so lawfully, proportionately and in line with Welsh safeguarding guidance, the UK’s mental capacity and human rights framework, and data protection law (Brammer, 2015; Rutter and Brown, 2015). The reality that fraud triggers emotional and material harms as well as financial loss reinforced the urgency to act in a way that made everyday sense to him (Burnes et al., 2017).</w:t>
      </w:r>
    </w:p>
    <w:p w14:paraId="2B5FE1FE" w14:textId="77777777" w:rsidR="00EE33D7" w:rsidRDefault="00EE33D7" w:rsidP="00A762D1">
      <w:pPr>
        <w:spacing w:after="160" w:line="480" w:lineRule="auto"/>
        <w:rPr>
          <w:sz w:val="22"/>
          <w:szCs w:val="22"/>
        </w:rPr>
      </w:pPr>
    </w:p>
    <w:p w14:paraId="750CD246" w14:textId="3A6E0FC6" w:rsidR="00A762D1" w:rsidRPr="008030DD" w:rsidRDefault="00A762D1" w:rsidP="00A762D1">
      <w:pPr>
        <w:spacing w:after="160" w:line="480" w:lineRule="auto"/>
        <w:rPr>
          <w:sz w:val="22"/>
          <w:szCs w:val="22"/>
        </w:rPr>
      </w:pPr>
      <w:r w:rsidRPr="008030DD">
        <w:rPr>
          <w:sz w:val="22"/>
          <w:szCs w:val="22"/>
        </w:rPr>
        <w:t xml:space="preserve">The Social Services and Well being (Wales) Act 2014 (SSWBA) establishes the devolved statutory duties for protecting adults at risk, with Part 7 particularly relevant. Working Together to Safeguard People (Volume 6) (Welsh Government, 2019) and the Wales Safeguarding Procedures </w:t>
      </w:r>
      <w:r w:rsidR="000432B5">
        <w:rPr>
          <w:sz w:val="22"/>
          <w:szCs w:val="22"/>
        </w:rPr>
        <w:t xml:space="preserve">(WSP) </w:t>
      </w:r>
      <w:r w:rsidRPr="008030DD">
        <w:rPr>
          <w:sz w:val="22"/>
          <w:szCs w:val="22"/>
        </w:rPr>
        <w:t>2019 outline how these duties must be carried out in practice. Regionally, CWMPAS, the Mid and West Wales Safeguarding Adults Board, coordinates multi agency safeguarding activity, promotes consistent practice, and works to improve outcomes for adults at risk.</w:t>
      </w:r>
    </w:p>
    <w:p w14:paraId="3F3591CA" w14:textId="77777777" w:rsidR="00EE33D7" w:rsidRDefault="00EE33D7" w:rsidP="00A762D1">
      <w:pPr>
        <w:spacing w:after="160" w:line="480" w:lineRule="auto"/>
        <w:rPr>
          <w:sz w:val="22"/>
          <w:szCs w:val="22"/>
        </w:rPr>
      </w:pPr>
    </w:p>
    <w:p w14:paraId="07EBBF18" w14:textId="186D968E" w:rsidR="00A762D1" w:rsidRPr="008030DD" w:rsidRDefault="00A762D1" w:rsidP="00A762D1">
      <w:pPr>
        <w:spacing w:after="160" w:line="480" w:lineRule="auto"/>
        <w:rPr>
          <w:sz w:val="22"/>
          <w:szCs w:val="22"/>
        </w:rPr>
      </w:pPr>
      <w:r w:rsidRPr="008030DD">
        <w:rPr>
          <w:sz w:val="22"/>
          <w:szCs w:val="22"/>
        </w:rPr>
        <w:t xml:space="preserve">UK wide legislation also informs decision making. The Mental Capacity Act (MCA) 2005 and the Human Rights Act (HRA) 1998 provide a shared rights based framework across England and Wales, ensuring that interventions are lawful, necessary and proportionate. The European Convention on Human Rights (ECHR), as a Council of Europe convention, continues to require that any interference with private life complies with Article 8, which was central to considering financial restrictions and balancing individual rights with protective duties (Welsh Government, 2019; EHRC Article 8 guidance). Data protection </w:t>
      </w:r>
      <w:r w:rsidRPr="008030DD">
        <w:rPr>
          <w:sz w:val="22"/>
          <w:szCs w:val="22"/>
        </w:rPr>
        <w:lastRenderedPageBreak/>
        <w:t>requirements under the UK GDPR and the Data Protection Act (DPA) 2018 underpin lawful information sharing throughout the safeguarding process.</w:t>
      </w:r>
    </w:p>
    <w:p w14:paraId="3AE5EA5B" w14:textId="77777777" w:rsidR="00EE33D7" w:rsidRDefault="00EE33D7" w:rsidP="00A762D1">
      <w:pPr>
        <w:spacing w:after="160" w:line="480" w:lineRule="auto"/>
        <w:rPr>
          <w:sz w:val="22"/>
          <w:szCs w:val="22"/>
        </w:rPr>
      </w:pPr>
    </w:p>
    <w:p w14:paraId="7A0EB257" w14:textId="0526C1D0" w:rsidR="00A762D1" w:rsidRPr="008030DD" w:rsidRDefault="00A762D1" w:rsidP="00A762D1">
      <w:pPr>
        <w:spacing w:after="160" w:line="480" w:lineRule="auto"/>
        <w:rPr>
          <w:sz w:val="22"/>
          <w:szCs w:val="22"/>
        </w:rPr>
      </w:pPr>
      <w:r w:rsidRPr="008030DD">
        <w:rPr>
          <w:sz w:val="22"/>
          <w:szCs w:val="22"/>
        </w:rPr>
        <w:t xml:space="preserve">This case study demonstrates how </w:t>
      </w:r>
      <w:r w:rsidR="00F6651E">
        <w:rPr>
          <w:sz w:val="22"/>
          <w:szCs w:val="22"/>
        </w:rPr>
        <w:t>working across Welsh, UK and Eu</w:t>
      </w:r>
      <w:r w:rsidR="00B34544">
        <w:rPr>
          <w:sz w:val="22"/>
          <w:szCs w:val="22"/>
        </w:rPr>
        <w:t>ropean legislation required me to actively think about how these frameworks fit together in practice, particularly when justifying my professional judgement</w:t>
      </w:r>
      <w:r w:rsidRPr="008030DD">
        <w:rPr>
          <w:sz w:val="22"/>
          <w:szCs w:val="22"/>
        </w:rPr>
        <w:t xml:space="preserve">. It explores social work theory and research, including relational concepts of vulnerability, trauma informed practice, attachment theory and </w:t>
      </w:r>
      <w:r w:rsidRPr="00A762D1">
        <w:rPr>
          <w:sz w:val="22"/>
          <w:szCs w:val="22"/>
        </w:rPr>
        <w:t>anti-oppressive</w:t>
      </w:r>
      <w:r w:rsidRPr="008030DD">
        <w:rPr>
          <w:sz w:val="22"/>
          <w:szCs w:val="22"/>
        </w:rPr>
        <w:t xml:space="preserve"> perspectives, to inform assessment, intervention and review. The work also evidences collaborative multi agency practice and reflects on ethical tensions commonly encountered in adult safeguarding. Particular attention is given to Deaf aware and accessible practice. Recognising communication as a safeguarding intervention, the case draws on the British Sign Language Act (BSLA) 2022 and government guidance on accessibility for BSL users to ensure that assessment and decision</w:t>
      </w:r>
      <w:r w:rsidRPr="00A762D1">
        <w:rPr>
          <w:sz w:val="22"/>
          <w:szCs w:val="22"/>
        </w:rPr>
        <w:t>-</w:t>
      </w:r>
      <w:r w:rsidRPr="008030DD">
        <w:rPr>
          <w:sz w:val="22"/>
          <w:szCs w:val="22"/>
        </w:rPr>
        <w:t>making processes were inclusive and meaningful for 2. Through reflective analysis, the case study highlights my developing professional judgement, legal knowledge and values</w:t>
      </w:r>
      <w:r w:rsidRPr="00A762D1">
        <w:rPr>
          <w:sz w:val="22"/>
          <w:szCs w:val="22"/>
        </w:rPr>
        <w:t>-</w:t>
      </w:r>
      <w:r w:rsidRPr="008030DD">
        <w:rPr>
          <w:sz w:val="22"/>
          <w:szCs w:val="22"/>
        </w:rPr>
        <w:t>based practice within the Welsh social work context.</w:t>
      </w:r>
    </w:p>
    <w:p w14:paraId="74073487" w14:textId="77777777" w:rsidR="00EE33D7" w:rsidRDefault="00EE33D7" w:rsidP="00A762D1">
      <w:pPr>
        <w:spacing w:after="160" w:line="480" w:lineRule="auto"/>
        <w:rPr>
          <w:sz w:val="22"/>
          <w:szCs w:val="22"/>
        </w:rPr>
      </w:pPr>
    </w:p>
    <w:p w14:paraId="20DC9D68" w14:textId="215C7BD4" w:rsidR="00A762D1" w:rsidRPr="008030DD" w:rsidRDefault="00A762D1" w:rsidP="00A762D1">
      <w:pPr>
        <w:spacing w:after="160" w:line="480" w:lineRule="auto"/>
        <w:rPr>
          <w:sz w:val="22"/>
          <w:szCs w:val="22"/>
        </w:rPr>
      </w:pPr>
      <w:r w:rsidRPr="008030DD">
        <w:rPr>
          <w:sz w:val="22"/>
          <w:szCs w:val="22"/>
        </w:rPr>
        <w:t>My first professional judgement concerned threshold. Under Part 7 of the SSWBA 2014, where there is reasonable cause to suspect an adult at risk, the local authority must undertake proportionate enquiries to determine appropriate action (s.126). The SSWBA 2014 also provides for Adult Protection and Support Orders where private assessment cannot otherwise be achieved (s.127) and places a statutory duty to report adults at risk on relevant partners (s.128) (Welsh Government, 2019). In practice, Volume 6 of Working Together to Safeguard People (Welsh Government, 2019) was particularly helpful in guiding my decision-making. It emphasised a person-centred and proportionate approach, recognising that not all situations require a formal multi</w:t>
      </w:r>
      <w:r w:rsidRPr="00A762D1">
        <w:rPr>
          <w:sz w:val="22"/>
          <w:szCs w:val="22"/>
        </w:rPr>
        <w:t>-</w:t>
      </w:r>
      <w:r w:rsidRPr="008030DD">
        <w:rPr>
          <w:sz w:val="22"/>
          <w:szCs w:val="22"/>
        </w:rPr>
        <w:t xml:space="preserve">agency strategy meeting if there are other lawful, less restrictive routes capable of achieving better outcomes; provided the rationale and escalation triggers </w:t>
      </w:r>
      <w:r w:rsidRPr="008030DD">
        <w:rPr>
          <w:sz w:val="22"/>
          <w:szCs w:val="22"/>
        </w:rPr>
        <w:lastRenderedPageBreak/>
        <w:t>are recorded (Welsh Government, 2019). In 2’s case, perpetrators were online and anonymous</w:t>
      </w:r>
      <w:r w:rsidRPr="00A762D1">
        <w:rPr>
          <w:sz w:val="22"/>
          <w:szCs w:val="22"/>
        </w:rPr>
        <w:t xml:space="preserve">, </w:t>
      </w:r>
      <w:r w:rsidRPr="008030DD">
        <w:rPr>
          <w:sz w:val="22"/>
          <w:szCs w:val="22"/>
        </w:rPr>
        <w:t>however</w:t>
      </w:r>
      <w:r w:rsidRPr="00A762D1">
        <w:rPr>
          <w:sz w:val="22"/>
          <w:szCs w:val="22"/>
        </w:rPr>
        <w:t>,</w:t>
      </w:r>
      <w:r w:rsidRPr="008030DD">
        <w:rPr>
          <w:sz w:val="22"/>
          <w:szCs w:val="22"/>
        </w:rPr>
        <w:t xml:space="preserve"> police intelligence had linked at least one fraud to an overseas source, limiting the immediate efficacy of traditional enforcement. Moving straight to a strategy meeting risked becoming defensive and overlooking key vulnerabilities, including loneliness, communication barriers, and online disinhibition. As a result, I prioritised participation, accessibility, and capacity law early on (Welsh Government, 2019).</w:t>
      </w:r>
    </w:p>
    <w:p w14:paraId="18788DC8" w14:textId="77777777" w:rsidR="00EE33D7" w:rsidRDefault="00EE33D7" w:rsidP="00A762D1">
      <w:pPr>
        <w:spacing w:after="160" w:line="480" w:lineRule="auto"/>
        <w:rPr>
          <w:sz w:val="22"/>
          <w:szCs w:val="22"/>
        </w:rPr>
      </w:pPr>
    </w:p>
    <w:p w14:paraId="4A8F648A" w14:textId="537707F1" w:rsidR="00A762D1" w:rsidRPr="008030DD" w:rsidRDefault="00A762D1" w:rsidP="00A762D1">
      <w:pPr>
        <w:spacing w:after="160" w:line="480" w:lineRule="auto"/>
        <w:rPr>
          <w:sz w:val="22"/>
          <w:szCs w:val="22"/>
        </w:rPr>
      </w:pPr>
      <w:r w:rsidRPr="008030DD">
        <w:rPr>
          <w:sz w:val="22"/>
          <w:szCs w:val="22"/>
        </w:rPr>
        <w:t>It was essential to clarify what counts as abuse. The SSWBA’s 2014 formal definition states that abuse includes “financial abuse</w:t>
      </w:r>
      <w:r w:rsidR="00222595">
        <w:rPr>
          <w:sz w:val="22"/>
          <w:szCs w:val="22"/>
        </w:rPr>
        <w:t>;</w:t>
      </w:r>
      <w:r w:rsidRPr="008030DD">
        <w:rPr>
          <w:sz w:val="22"/>
          <w:szCs w:val="22"/>
        </w:rPr>
        <w:t xml:space="preserve"> theft, fraud, pressure about money or property or misuse of money occurring in any setting., neglect</w:t>
      </w:r>
      <w:r w:rsidR="004324B2">
        <w:rPr>
          <w:sz w:val="22"/>
          <w:szCs w:val="22"/>
        </w:rPr>
        <w:t>;</w:t>
      </w:r>
      <w:r w:rsidRPr="008030DD">
        <w:rPr>
          <w:sz w:val="22"/>
          <w:szCs w:val="22"/>
        </w:rPr>
        <w:t xml:space="preserve"> involves failures to meet basic needs likely to impair wellbeing</w:t>
      </w:r>
      <w:r w:rsidR="004324B2">
        <w:rPr>
          <w:sz w:val="22"/>
          <w:szCs w:val="22"/>
        </w:rPr>
        <w:t>”</w:t>
      </w:r>
      <w:r w:rsidRPr="008030DD">
        <w:rPr>
          <w:sz w:val="22"/>
          <w:szCs w:val="22"/>
        </w:rPr>
        <w:t xml:space="preserve"> (s.197). Framing 2’s experiences as financial abuse anchored the case within Part 7 safeguarding duties rather than a purely “lifestyle choice” (SSWBA 2014). The W</w:t>
      </w:r>
      <w:r w:rsidR="000432B5">
        <w:rPr>
          <w:sz w:val="22"/>
          <w:szCs w:val="22"/>
        </w:rPr>
        <w:t>SP</w:t>
      </w:r>
      <w:r w:rsidRPr="008030DD">
        <w:rPr>
          <w:sz w:val="22"/>
          <w:szCs w:val="22"/>
        </w:rPr>
        <w:t xml:space="preserve"> 2019 supplement this by setting out signs and indicators of abuse and neglect in adults at risk; in 2’s presentation, relevant indicators included unusual or unexplained financial transactions, secrecy and deterioration in nutrition and general health; patterns consistent with financial exploitation.</w:t>
      </w:r>
    </w:p>
    <w:p w14:paraId="3B21A0C5" w14:textId="77777777" w:rsidR="00EE33D7" w:rsidRDefault="00EE33D7" w:rsidP="00A762D1">
      <w:pPr>
        <w:spacing w:after="160" w:line="480" w:lineRule="auto"/>
        <w:rPr>
          <w:sz w:val="22"/>
          <w:szCs w:val="22"/>
        </w:rPr>
      </w:pPr>
    </w:p>
    <w:p w14:paraId="7A10E017" w14:textId="63E3F457" w:rsidR="00A762D1" w:rsidRPr="008030DD" w:rsidRDefault="00A762D1" w:rsidP="00A762D1">
      <w:pPr>
        <w:spacing w:after="160" w:line="480" w:lineRule="auto"/>
        <w:rPr>
          <w:sz w:val="22"/>
          <w:szCs w:val="22"/>
        </w:rPr>
      </w:pPr>
      <w:r w:rsidRPr="008030DD">
        <w:rPr>
          <w:sz w:val="22"/>
          <w:szCs w:val="22"/>
        </w:rPr>
        <w:t>Consent and the duty to report had to be held in tension. While 2’s consent was sought and respected wherever safe and feasible, the statutory duty to report under s.128 required relevant partners to inform the local authority when they had reasonable cause to suspect an adult at risk, irrespective of consent, with actions recorded clearly on the local authority secure database. Volume 6 of Working Together to Safeguard People (Welsh Government, 2019) makes this clear, setting out the pathway from reporting to enquiry and action. The Wales Safeguarding Procedures specify that s.126 enquiries should normally be completed within seven working days of the report, with immediate protection considered without delay and coordinated where there is suspected crime (Social Care Wales, 2019, Section 3).</w:t>
      </w:r>
    </w:p>
    <w:p w14:paraId="7BCF1B7C" w14:textId="77777777" w:rsidR="00EE33D7" w:rsidRDefault="00EE33D7" w:rsidP="00A762D1">
      <w:pPr>
        <w:spacing w:after="160" w:line="480" w:lineRule="auto"/>
        <w:rPr>
          <w:sz w:val="22"/>
          <w:szCs w:val="22"/>
        </w:rPr>
      </w:pPr>
    </w:p>
    <w:p w14:paraId="7471CA03" w14:textId="055DD55E" w:rsidR="00A762D1" w:rsidRPr="008030DD" w:rsidRDefault="00A762D1" w:rsidP="00A762D1">
      <w:pPr>
        <w:spacing w:after="160" w:line="480" w:lineRule="auto"/>
        <w:rPr>
          <w:sz w:val="22"/>
          <w:szCs w:val="22"/>
        </w:rPr>
      </w:pPr>
      <w:r w:rsidRPr="008030DD">
        <w:rPr>
          <w:sz w:val="22"/>
          <w:szCs w:val="22"/>
        </w:rPr>
        <w:t>At the centre of this case was financial decision making. The MCA 2005 starts from a clear position: people are assumed to have capacity unless proven otherwise. It also requires professionals to do everything practicable to support a person to make their own decision, to recognise that making an unwise decision is not the same as lacking capacity, and, where capacity is absent, to make decisions in the person’s best interests using the least restrictive option.</w:t>
      </w:r>
    </w:p>
    <w:p w14:paraId="652CDE6D" w14:textId="77777777" w:rsidR="00EE33D7" w:rsidRDefault="00EE33D7" w:rsidP="00A762D1">
      <w:pPr>
        <w:spacing w:after="160" w:line="480" w:lineRule="auto"/>
        <w:rPr>
          <w:sz w:val="22"/>
          <w:szCs w:val="22"/>
        </w:rPr>
      </w:pPr>
    </w:p>
    <w:p w14:paraId="4C5FD870" w14:textId="14218660" w:rsidR="00A762D1" w:rsidRPr="008030DD" w:rsidRDefault="00A762D1" w:rsidP="00A762D1">
      <w:pPr>
        <w:spacing w:after="160" w:line="480" w:lineRule="auto"/>
        <w:rPr>
          <w:sz w:val="22"/>
          <w:szCs w:val="22"/>
        </w:rPr>
      </w:pPr>
      <w:r w:rsidRPr="008030DD">
        <w:rPr>
          <w:sz w:val="22"/>
          <w:szCs w:val="22"/>
        </w:rPr>
        <w:t xml:space="preserve">Research highlights the importance of professional discipline in capacity assessments. There is a </w:t>
      </w:r>
      <w:r w:rsidRPr="00A762D1">
        <w:rPr>
          <w:sz w:val="22"/>
          <w:szCs w:val="22"/>
        </w:rPr>
        <w:t>well-recognised</w:t>
      </w:r>
      <w:r w:rsidRPr="008030DD">
        <w:rPr>
          <w:sz w:val="22"/>
          <w:szCs w:val="22"/>
        </w:rPr>
        <w:t xml:space="preserve"> risk of confusing disagreement or perceived “unreasonable” choices with lack of capacity. Being alert to this helped me remain focused on the person’s understanding, decision making process, and ability to weigh information, rather than on whether I agreed with the outcome. Overall, my practice in this case was guided by a commitment to upholding rights, promoting independence, and ensuring meaningful participation, in line with both the MCA 2005 and the expectations set by the Codes of Professional Practice (COPP) (Social Care Wales, 2017).</w:t>
      </w:r>
    </w:p>
    <w:p w14:paraId="67C59695" w14:textId="77777777" w:rsidR="00EE33D7" w:rsidRDefault="00EE33D7" w:rsidP="00A762D1">
      <w:pPr>
        <w:spacing w:after="160" w:line="480" w:lineRule="auto"/>
        <w:rPr>
          <w:sz w:val="22"/>
          <w:szCs w:val="22"/>
        </w:rPr>
      </w:pPr>
    </w:p>
    <w:p w14:paraId="13FF2A90" w14:textId="535E67EB" w:rsidR="00A762D1" w:rsidRPr="008030DD" w:rsidRDefault="00A762D1" w:rsidP="00A762D1">
      <w:pPr>
        <w:spacing w:after="160" w:line="480" w:lineRule="auto"/>
        <w:rPr>
          <w:sz w:val="22"/>
          <w:szCs w:val="22"/>
        </w:rPr>
      </w:pPr>
      <w:r w:rsidRPr="008030DD">
        <w:rPr>
          <w:sz w:val="22"/>
          <w:szCs w:val="22"/>
        </w:rPr>
        <w:t>Although the legal framework provided a clear structure for decision making, social work theory was essential in helping me to acknowledge and make sense of 2’s lived experience and the way vulnerability was being shaped by his social and emotional circumstances. Contemporary theorists caution against treating vulnerability as a fixed individual characteristic; instead, it should be understood as relational and situational, shaped by social context, power and access to resources. In 2’s case, vulnerability did not arise solely from impairment, but from the interaction between disability, social isolation, digital environments and targeted manipulation by perpetrators. This aligns with Dunn, Clare and Holland’s (2008) argument that vulnerability is often constructed through policy and practice responses rather than being inherent in the individual.</w:t>
      </w:r>
    </w:p>
    <w:p w14:paraId="77B28AC8" w14:textId="77777777" w:rsidR="00EE33D7" w:rsidRDefault="00EE33D7" w:rsidP="00A762D1">
      <w:pPr>
        <w:spacing w:line="480" w:lineRule="auto"/>
        <w:rPr>
          <w:sz w:val="22"/>
          <w:szCs w:val="22"/>
        </w:rPr>
      </w:pPr>
    </w:p>
    <w:p w14:paraId="3F10A30A" w14:textId="222EC7C5" w:rsidR="00A762D1" w:rsidRPr="00A762D1" w:rsidRDefault="00A762D1" w:rsidP="00A762D1">
      <w:pPr>
        <w:spacing w:line="480" w:lineRule="auto"/>
        <w:rPr>
          <w:sz w:val="22"/>
          <w:szCs w:val="22"/>
        </w:rPr>
      </w:pPr>
      <w:r w:rsidRPr="008030DD">
        <w:rPr>
          <w:sz w:val="22"/>
          <w:szCs w:val="22"/>
        </w:rPr>
        <w:t xml:space="preserve">The dynamics of online romance fraud also required an understanding of coercive and grooming behaviours. Although the perpetrators were not physically present, their methods mirrored patterns seen in other forms of exploitation: rapid emotional intimacy, expressions of dependency, urgency around financial requests and discouragement of disclosure. Recognising these dynamics helped reframe 2’s behaviour away from notions of “poor choices” towards an understanding of how emotional needs were being exploited. A trauma informed approach helps explain why 2 became increasingly vulnerable to the fraud. </w:t>
      </w:r>
    </w:p>
    <w:p w14:paraId="1C7092AC" w14:textId="77777777" w:rsidR="00EE33D7" w:rsidRDefault="00EE33D7" w:rsidP="00A762D1">
      <w:pPr>
        <w:spacing w:after="160" w:line="480" w:lineRule="auto"/>
        <w:rPr>
          <w:sz w:val="22"/>
          <w:szCs w:val="22"/>
        </w:rPr>
      </w:pPr>
    </w:p>
    <w:p w14:paraId="7C4B9078" w14:textId="17832008" w:rsidR="00A762D1" w:rsidRPr="008030DD" w:rsidRDefault="00A762D1" w:rsidP="00A762D1">
      <w:pPr>
        <w:spacing w:after="160" w:line="480" w:lineRule="auto"/>
        <w:rPr>
          <w:sz w:val="22"/>
          <w:szCs w:val="22"/>
        </w:rPr>
      </w:pPr>
      <w:r w:rsidRPr="008030DD">
        <w:rPr>
          <w:sz w:val="22"/>
          <w:szCs w:val="22"/>
        </w:rPr>
        <w:t xml:space="preserve">Trauma informed theory shows that when someone experiences repeated manipulation or betrayal, it can affect how they think, feel and make decisions (Levenson 2017). Herman (2015) argues that ongoing emotional pressure and betrayal can reduce a person’s sense of safety and confidence, making it harder to judge risk or step back from a harmful situation. In cases of romance fraud, the perpetrator creates strong emotional dependence, which can overwhelm a person’s ability to think clearly. </w:t>
      </w:r>
      <w:r w:rsidR="00B701C2">
        <w:rPr>
          <w:sz w:val="22"/>
          <w:szCs w:val="22"/>
        </w:rPr>
        <w:t>Over time, c</w:t>
      </w:r>
      <w:r w:rsidRPr="008030DD">
        <w:rPr>
          <w:sz w:val="22"/>
          <w:szCs w:val="22"/>
        </w:rPr>
        <w:t xml:space="preserve">onstant stress, hope and fear can push someone into “survival mode”, where decisions are driven by emotion rather than careful reasoning. A trauma informed view also highlights the impact of shame, </w:t>
      </w:r>
      <w:r w:rsidRPr="00A762D1">
        <w:rPr>
          <w:sz w:val="22"/>
          <w:szCs w:val="22"/>
        </w:rPr>
        <w:t>self-blame</w:t>
      </w:r>
      <w:r w:rsidRPr="008030DD">
        <w:rPr>
          <w:sz w:val="22"/>
          <w:szCs w:val="22"/>
        </w:rPr>
        <w:t xml:space="preserve"> and fear of being judged. These feelings often make people hide what is happening and delay seeking help. Understanding this helps reframe 2’s actions as understandable responses to emotional manipulation, rather than deliberate or careless choices.</w:t>
      </w:r>
      <w:r w:rsidR="00BA2DF4">
        <w:rPr>
          <w:sz w:val="22"/>
          <w:szCs w:val="22"/>
        </w:rPr>
        <w:t xml:space="preserve"> </w:t>
      </w:r>
      <w:r w:rsidR="00F01AD9">
        <w:rPr>
          <w:sz w:val="22"/>
          <w:szCs w:val="22"/>
        </w:rPr>
        <w:t xml:space="preserve">Initially, I found myself focusing </w:t>
      </w:r>
      <w:r w:rsidR="000428F8">
        <w:rPr>
          <w:sz w:val="22"/>
          <w:szCs w:val="22"/>
        </w:rPr>
        <w:t>primarily on the financial harm and repeated losses, questioning why previous incidents had not prevented further e</w:t>
      </w:r>
      <w:r w:rsidR="00AE7CA1">
        <w:rPr>
          <w:sz w:val="22"/>
          <w:szCs w:val="22"/>
        </w:rPr>
        <w:t xml:space="preserve">xploitation. However, as I reflected through a </w:t>
      </w:r>
      <w:r w:rsidR="00C6284C">
        <w:rPr>
          <w:sz w:val="22"/>
          <w:szCs w:val="22"/>
        </w:rPr>
        <w:t xml:space="preserve">trauma-informed lens, my thinking shifted from </w:t>
      </w:r>
      <w:r w:rsidR="000A4924">
        <w:rPr>
          <w:sz w:val="22"/>
          <w:szCs w:val="22"/>
        </w:rPr>
        <w:t>uncertainty</w:t>
      </w:r>
      <w:r w:rsidR="00C6284C">
        <w:rPr>
          <w:sz w:val="22"/>
          <w:szCs w:val="22"/>
        </w:rPr>
        <w:t xml:space="preserve"> </w:t>
      </w:r>
      <w:r w:rsidR="000A4924">
        <w:rPr>
          <w:sz w:val="22"/>
          <w:szCs w:val="22"/>
        </w:rPr>
        <w:t xml:space="preserve">to empathy. I began to recognise </w:t>
      </w:r>
      <w:r w:rsidR="00B533C9">
        <w:rPr>
          <w:sz w:val="22"/>
          <w:szCs w:val="22"/>
        </w:rPr>
        <w:t xml:space="preserve">that the emotional dependency created by the perpetrators was not simply poor judgement, but a powerful psychological pull that required relational support rather than solely financial restriction. </w:t>
      </w:r>
    </w:p>
    <w:p w14:paraId="0F9E3FE4" w14:textId="77777777" w:rsidR="00EE33D7" w:rsidRDefault="00EE33D7" w:rsidP="00A762D1">
      <w:pPr>
        <w:spacing w:after="160" w:line="480" w:lineRule="auto"/>
        <w:rPr>
          <w:sz w:val="22"/>
          <w:szCs w:val="22"/>
        </w:rPr>
      </w:pPr>
    </w:p>
    <w:p w14:paraId="79F243A0" w14:textId="25B79A11" w:rsidR="00A762D1" w:rsidRPr="008030DD" w:rsidRDefault="00A762D1" w:rsidP="00A762D1">
      <w:pPr>
        <w:spacing w:after="160" w:line="480" w:lineRule="auto"/>
        <w:rPr>
          <w:sz w:val="22"/>
          <w:szCs w:val="22"/>
        </w:rPr>
      </w:pPr>
      <w:r w:rsidRPr="008030DD">
        <w:rPr>
          <w:sz w:val="22"/>
          <w:szCs w:val="22"/>
        </w:rPr>
        <w:lastRenderedPageBreak/>
        <w:t xml:space="preserve">John Bowlby’s (1988) Attachment theory was also relevant in understanding why the online relationships held such significance for 2. As a Deaf adult with limited social opportunities, the promise of connection and affirmation met unmet attachment needs. This insight was important in shaping proportionate interventions. </w:t>
      </w:r>
      <w:r w:rsidR="00D32E66">
        <w:rPr>
          <w:sz w:val="22"/>
          <w:szCs w:val="22"/>
        </w:rPr>
        <w:t xml:space="preserve">Reflecting on this, I realised that earlier </w:t>
      </w:r>
      <w:r w:rsidR="00F876D0">
        <w:rPr>
          <w:sz w:val="22"/>
          <w:szCs w:val="22"/>
        </w:rPr>
        <w:t>in the case I had underestimated the depth of meaning these online relationships held for 2. I had viewed them primarily through a safeguarding lens of risk. Over time</w:t>
      </w:r>
      <w:r w:rsidR="00571279">
        <w:rPr>
          <w:sz w:val="22"/>
          <w:szCs w:val="22"/>
        </w:rPr>
        <w:t>, I came to understand that they represented hope, identity and belonging</w:t>
      </w:r>
      <w:r w:rsidR="00C44B7D">
        <w:rPr>
          <w:sz w:val="22"/>
          <w:szCs w:val="22"/>
        </w:rPr>
        <w:t xml:space="preserve">. This shift in perspective helped me move from attempting to remove the risk to attempting to replace what the relationship symbolised in his life. </w:t>
      </w:r>
      <w:r w:rsidRPr="008030DD">
        <w:rPr>
          <w:sz w:val="22"/>
          <w:szCs w:val="22"/>
        </w:rPr>
        <w:t>Rather than focusing solely on stopping harmful transactions, the safeguarding plan deliberately addressed the emotional function of the relationships by increasing meaningful, real world social connection. This theoretical lens strengthened my professional judgement by ensuring that safeguarding actions responded to underlying needs, not just observable risk.</w:t>
      </w:r>
    </w:p>
    <w:p w14:paraId="0A8D6B39" w14:textId="77777777" w:rsidR="00EE33D7" w:rsidRDefault="00EE33D7" w:rsidP="00A762D1">
      <w:pPr>
        <w:spacing w:line="480" w:lineRule="auto"/>
        <w:rPr>
          <w:sz w:val="22"/>
          <w:szCs w:val="22"/>
        </w:rPr>
      </w:pPr>
    </w:p>
    <w:p w14:paraId="5E195107" w14:textId="4505CCC5" w:rsidR="00A762D1" w:rsidRPr="00A762D1" w:rsidRDefault="00A762D1" w:rsidP="00A762D1">
      <w:pPr>
        <w:spacing w:line="480" w:lineRule="auto"/>
        <w:rPr>
          <w:sz w:val="22"/>
          <w:szCs w:val="22"/>
        </w:rPr>
      </w:pPr>
      <w:r w:rsidRPr="008030DD">
        <w:rPr>
          <w:sz w:val="22"/>
          <w:szCs w:val="22"/>
        </w:rPr>
        <w:t xml:space="preserve">I was also mindful of the additional barriers faced by Deaf people. In particular, there is a real risk that what appears to be agreement or consent may actually reflect misunderstanding. To address this, I arranged a decision specific capacity assessment with a clinical psychologist who had experience of working with Deaf people. I also ensured continuity of qualified BSL interpreters; that 2 was already familiar with and chose himself, so communication was consistent and trusted. These steps were not optional. They were necessary to meet the MCA duty to provide support to make a decision, and they reflected the Social Care Wales values of respecting rights, promoting voice and control, and working in a </w:t>
      </w:r>
      <w:r w:rsidRPr="00A762D1">
        <w:rPr>
          <w:sz w:val="22"/>
          <w:szCs w:val="22"/>
        </w:rPr>
        <w:t>strengths-based</w:t>
      </w:r>
      <w:r w:rsidRPr="008030DD">
        <w:rPr>
          <w:sz w:val="22"/>
          <w:szCs w:val="22"/>
        </w:rPr>
        <w:t xml:space="preserve"> way.</w:t>
      </w:r>
    </w:p>
    <w:p w14:paraId="2234E126" w14:textId="77777777" w:rsidR="00EE33D7" w:rsidRDefault="00EE33D7" w:rsidP="00A762D1">
      <w:pPr>
        <w:spacing w:after="160" w:line="480" w:lineRule="auto"/>
        <w:rPr>
          <w:sz w:val="22"/>
          <w:szCs w:val="22"/>
        </w:rPr>
      </w:pPr>
    </w:p>
    <w:p w14:paraId="0C4655C8" w14:textId="6E573263" w:rsidR="00A762D1" w:rsidRPr="00A762D1" w:rsidRDefault="00A762D1" w:rsidP="00A762D1">
      <w:pPr>
        <w:spacing w:after="160" w:line="480" w:lineRule="auto"/>
        <w:rPr>
          <w:sz w:val="22"/>
          <w:szCs w:val="22"/>
        </w:rPr>
      </w:pPr>
      <w:r w:rsidRPr="002B3033">
        <w:rPr>
          <w:sz w:val="22"/>
          <w:szCs w:val="22"/>
        </w:rPr>
        <w:t>The</w:t>
      </w:r>
      <w:r w:rsidRPr="00A762D1">
        <w:rPr>
          <w:sz w:val="22"/>
          <w:szCs w:val="22"/>
        </w:rPr>
        <w:t>se actions also</w:t>
      </w:r>
      <w:r w:rsidRPr="002B3033">
        <w:rPr>
          <w:sz w:val="22"/>
          <w:szCs w:val="22"/>
        </w:rPr>
        <w:t xml:space="preserve"> reflect the BSL</w:t>
      </w:r>
      <w:r w:rsidR="007700DA">
        <w:rPr>
          <w:sz w:val="22"/>
          <w:szCs w:val="22"/>
        </w:rPr>
        <w:t xml:space="preserve">A </w:t>
      </w:r>
      <w:r w:rsidRPr="002B3033">
        <w:rPr>
          <w:sz w:val="22"/>
          <w:szCs w:val="22"/>
        </w:rPr>
        <w:t xml:space="preserve">2022 and the Government Communication Service guidance which stress anticipating BSL access and planning for inclusive communication. </w:t>
      </w:r>
      <w:r w:rsidRPr="00A762D1">
        <w:rPr>
          <w:sz w:val="22"/>
          <w:szCs w:val="22"/>
        </w:rPr>
        <w:t xml:space="preserve">Although these focus on public communications, they reinforce wider expectations that services should anticipate and meet </w:t>
      </w:r>
      <w:r w:rsidRPr="00A762D1">
        <w:rPr>
          <w:sz w:val="22"/>
          <w:szCs w:val="22"/>
        </w:rPr>
        <w:lastRenderedPageBreak/>
        <w:t>communication needs. Social work literature is clear that communication and participation are central to empowerment and shared decision</w:t>
      </w:r>
      <w:r w:rsidRPr="00A762D1">
        <w:rPr>
          <w:sz w:val="22"/>
          <w:szCs w:val="22"/>
        </w:rPr>
        <w:noBreakHyphen/>
        <w:t>making, not optional extras (Koprowska, 2014; Warren, 2007). This approach reflects Social Care Wales principles by promoting people’s rights, meaningful involvement, and control over decisions affecting their lives.</w:t>
      </w:r>
    </w:p>
    <w:p w14:paraId="73CA0EC5" w14:textId="77777777" w:rsidR="00EE33D7" w:rsidRDefault="00EE33D7" w:rsidP="00A762D1">
      <w:pPr>
        <w:spacing w:after="160" w:line="480" w:lineRule="auto"/>
        <w:rPr>
          <w:sz w:val="22"/>
          <w:szCs w:val="22"/>
        </w:rPr>
      </w:pPr>
    </w:p>
    <w:p w14:paraId="0155A424" w14:textId="19DA7F0F" w:rsidR="00A762D1" w:rsidRPr="008030DD" w:rsidRDefault="00A762D1" w:rsidP="00A762D1">
      <w:pPr>
        <w:spacing w:after="160" w:line="480" w:lineRule="auto"/>
        <w:rPr>
          <w:sz w:val="22"/>
          <w:szCs w:val="22"/>
        </w:rPr>
      </w:pPr>
      <w:r w:rsidRPr="008030DD">
        <w:rPr>
          <w:sz w:val="22"/>
          <w:szCs w:val="22"/>
        </w:rPr>
        <w:t xml:space="preserve">While the “Active Offer” originates in Welsh language policy; More than Just Words </w:t>
      </w:r>
      <w:r w:rsidR="00631A74">
        <w:rPr>
          <w:sz w:val="22"/>
          <w:szCs w:val="22"/>
        </w:rPr>
        <w:t xml:space="preserve">(MTJW) </w:t>
      </w:r>
      <w:r w:rsidRPr="008030DD">
        <w:rPr>
          <w:sz w:val="22"/>
          <w:szCs w:val="22"/>
        </w:rPr>
        <w:t>2022, its proactive ethos of offering language/communication support without waiting to be asked, is highly transferable to BSL users’ rights to accessible communication. M</w:t>
      </w:r>
      <w:r w:rsidR="00631A74">
        <w:rPr>
          <w:sz w:val="22"/>
          <w:szCs w:val="22"/>
        </w:rPr>
        <w:t xml:space="preserve">TJW </w:t>
      </w:r>
      <w:r w:rsidRPr="008030DD">
        <w:rPr>
          <w:sz w:val="22"/>
          <w:szCs w:val="22"/>
        </w:rPr>
        <w:t>2022 frames language as a core component of quality, rights based, person centred care, therefore our approach treated BSL access similarly: essential, not optional. In this case, planning BSL access in assessment and review processes aligned with both the spirit of the Active Offer and the legal direction of travel on accessible communication</w:t>
      </w:r>
      <w:r w:rsidR="00D047EA">
        <w:rPr>
          <w:sz w:val="22"/>
          <w:szCs w:val="22"/>
        </w:rPr>
        <w:t xml:space="preserve"> (MTJW</w:t>
      </w:r>
      <w:r w:rsidR="00631A74">
        <w:rPr>
          <w:sz w:val="22"/>
          <w:szCs w:val="22"/>
        </w:rPr>
        <w:t>, 2022</w:t>
      </w:r>
      <w:r w:rsidR="00D047EA">
        <w:rPr>
          <w:sz w:val="22"/>
          <w:szCs w:val="22"/>
        </w:rPr>
        <w:t>)</w:t>
      </w:r>
      <w:r w:rsidRPr="008030DD">
        <w:rPr>
          <w:sz w:val="22"/>
          <w:szCs w:val="22"/>
        </w:rPr>
        <w:t>. Earlier in my career, I may have relied more on family or provider interpretation and shorter assessments to progress safeguarding action. In this case, my practice reflects increased confidence and professional development in recognising communication itself as a safeguarding intervention. By adapting the process to 2’s communication needs, I was actively reducing barriers rather than placing the responsibility on him to fit a system not designed for them.</w:t>
      </w:r>
    </w:p>
    <w:p w14:paraId="08FFA70D" w14:textId="77777777" w:rsidR="00631A74" w:rsidRDefault="00631A74" w:rsidP="00A762D1">
      <w:pPr>
        <w:spacing w:line="480" w:lineRule="auto"/>
        <w:rPr>
          <w:sz w:val="22"/>
          <w:szCs w:val="22"/>
        </w:rPr>
      </w:pPr>
    </w:p>
    <w:p w14:paraId="4D869B52" w14:textId="6E493192" w:rsidR="00A762D1" w:rsidRPr="00A762D1" w:rsidRDefault="00A762D1" w:rsidP="00A762D1">
      <w:pPr>
        <w:spacing w:line="480" w:lineRule="auto"/>
        <w:rPr>
          <w:sz w:val="22"/>
          <w:szCs w:val="22"/>
        </w:rPr>
      </w:pPr>
      <w:r w:rsidRPr="008030DD">
        <w:rPr>
          <w:sz w:val="22"/>
          <w:szCs w:val="22"/>
        </w:rPr>
        <w:t xml:space="preserve">For the purpose of the mental capacity assessment, the psychologist’s assessment was completed over several sessions with BSL facilitation, recognising 2’s Deaf identity and communication needs. The conclusion was that, at that time, 2 lacked capacity to manage his finances safely, which appropriately triggered a best interests process in line with the MCA 2005. As the practitioner, I was conscious of the ethical weight of restricting someone’s access to their own money and brought my discomfort into supervision. </w:t>
      </w:r>
    </w:p>
    <w:p w14:paraId="40017301" w14:textId="4CF62AE3" w:rsidR="00A762D1" w:rsidRPr="008030DD" w:rsidRDefault="00A762D1" w:rsidP="00A762D1">
      <w:pPr>
        <w:spacing w:after="160" w:line="480" w:lineRule="auto"/>
        <w:rPr>
          <w:sz w:val="22"/>
          <w:szCs w:val="22"/>
        </w:rPr>
      </w:pPr>
      <w:r w:rsidRPr="008030DD">
        <w:rPr>
          <w:sz w:val="22"/>
          <w:szCs w:val="22"/>
        </w:rPr>
        <w:t xml:space="preserve">Drawing on Schön’s concept of reflection in/on action, supervision provided a contained professional space to explore uncertainty, challenge assumptions and test my reasoning in real time (Schön, 2017). </w:t>
      </w:r>
      <w:r w:rsidRPr="008030DD">
        <w:rPr>
          <w:sz w:val="22"/>
          <w:szCs w:val="22"/>
        </w:rPr>
        <w:lastRenderedPageBreak/>
        <w:t xml:space="preserve">Contemporary supervision literature supported this use of supervision as a way of sustaining ethical curiosity and avoiding the twin risks of control on the one hand and passive risk tolerance on the other (Howe and Gray, 2013). </w:t>
      </w:r>
      <w:r w:rsidR="00002CF9" w:rsidRPr="00002CF9">
        <w:rPr>
          <w:sz w:val="22"/>
          <w:szCs w:val="22"/>
        </w:rPr>
        <w:t>This links to the COPP expectations for reflective and accountable practice, and to B</w:t>
      </w:r>
      <w:r w:rsidR="000E1304">
        <w:rPr>
          <w:sz w:val="22"/>
          <w:szCs w:val="22"/>
        </w:rPr>
        <w:t xml:space="preserve">ritish Association </w:t>
      </w:r>
      <w:r w:rsidR="000E43CD">
        <w:rPr>
          <w:sz w:val="22"/>
          <w:szCs w:val="22"/>
        </w:rPr>
        <w:t>of Social Worker</w:t>
      </w:r>
      <w:r w:rsidR="00002CF9" w:rsidRPr="00002CF9">
        <w:rPr>
          <w:sz w:val="22"/>
          <w:szCs w:val="22"/>
        </w:rPr>
        <w:t>’s focus on professional identity, emotional resilience and ethical decision</w:t>
      </w:r>
      <w:r w:rsidR="00002CF9" w:rsidRPr="00002CF9">
        <w:rPr>
          <w:sz w:val="22"/>
          <w:szCs w:val="22"/>
        </w:rPr>
        <w:noBreakHyphen/>
        <w:t>making</w:t>
      </w:r>
      <w:r w:rsidR="00002CF9">
        <w:rPr>
          <w:sz w:val="22"/>
          <w:szCs w:val="22"/>
        </w:rPr>
        <w:t xml:space="preserve"> </w:t>
      </w:r>
      <w:r w:rsidRPr="008030DD">
        <w:rPr>
          <w:sz w:val="22"/>
          <w:szCs w:val="22"/>
        </w:rPr>
        <w:t>(Social Care Wales, 2017; BASW 2018).</w:t>
      </w:r>
    </w:p>
    <w:p w14:paraId="06154BED" w14:textId="77777777" w:rsidR="00631A74" w:rsidRDefault="00631A74" w:rsidP="00A762D1">
      <w:pPr>
        <w:spacing w:after="160" w:line="480" w:lineRule="auto"/>
        <w:rPr>
          <w:sz w:val="22"/>
          <w:szCs w:val="22"/>
        </w:rPr>
      </w:pPr>
    </w:p>
    <w:p w14:paraId="12A5C6FB" w14:textId="52B85EAF" w:rsidR="00A762D1" w:rsidRPr="008030DD" w:rsidRDefault="00A762D1" w:rsidP="00A762D1">
      <w:pPr>
        <w:spacing w:after="160" w:line="480" w:lineRule="auto"/>
        <w:rPr>
          <w:sz w:val="22"/>
          <w:szCs w:val="22"/>
        </w:rPr>
      </w:pPr>
      <w:r w:rsidRPr="008030DD">
        <w:rPr>
          <w:sz w:val="22"/>
          <w:szCs w:val="22"/>
        </w:rPr>
        <w:t xml:space="preserve">In balancing safeguarding duties with 2’s rights, I was guided by values of dignity, autonomy and least restriction. Rather than imposing a fixed solution, safeguards were </w:t>
      </w:r>
      <w:r w:rsidRPr="00A762D1">
        <w:rPr>
          <w:sz w:val="22"/>
          <w:szCs w:val="22"/>
        </w:rPr>
        <w:t>co-produced</w:t>
      </w:r>
      <w:r w:rsidRPr="008030DD">
        <w:rPr>
          <w:sz w:val="22"/>
          <w:szCs w:val="22"/>
        </w:rPr>
        <w:t xml:space="preserve"> with 2 and deliberately designed to be limited, proportionate and reviewable. 2 was clear about his preferences: he wanted his parents, not his brothers, to support him; he did not want a cash only arrangement; and he wanted to retain some card and app access to preserve his independence. These preferences were respected wherever possible, ensuring the plan aligned with Article 8 rights and the MCA 2005 principle that any restriction must be the least restrictive option. The agreed financial arrangements included third party mandates, consolidation of benefits and bills into a primary account without 2’s direct access, and a standing order of £100 per week into a separate spending account with one active card. Clear review triggers were built in so that safeguards could be escalated or relaxed in response to changes in risk or capacity. </w:t>
      </w:r>
      <w:r w:rsidR="000C0BC4">
        <w:rPr>
          <w:sz w:val="22"/>
          <w:szCs w:val="22"/>
        </w:rPr>
        <w:t xml:space="preserve">In practice, this meant I was trying to manage risk </w:t>
      </w:r>
      <w:r w:rsidR="006A28E5">
        <w:rPr>
          <w:sz w:val="22"/>
          <w:szCs w:val="22"/>
        </w:rPr>
        <w:t>in a way that did not unnecessarily restrict his independence, drawing on both safeguarding guidance and strength</w:t>
      </w:r>
      <w:r w:rsidR="005D3DE3">
        <w:rPr>
          <w:sz w:val="22"/>
          <w:szCs w:val="22"/>
        </w:rPr>
        <w:t xml:space="preserve">s-based thinking to justify my decisions. </w:t>
      </w:r>
    </w:p>
    <w:p w14:paraId="15E80E19" w14:textId="77777777" w:rsidR="00631A74" w:rsidRDefault="00631A74" w:rsidP="00A762D1">
      <w:pPr>
        <w:spacing w:after="160" w:line="480" w:lineRule="auto"/>
        <w:rPr>
          <w:sz w:val="22"/>
          <w:szCs w:val="22"/>
        </w:rPr>
      </w:pPr>
    </w:p>
    <w:p w14:paraId="7CCF47F2" w14:textId="7A0E693C" w:rsidR="00A762D1" w:rsidRPr="008030DD" w:rsidRDefault="00A762D1" w:rsidP="00A762D1">
      <w:pPr>
        <w:spacing w:after="160" w:line="480" w:lineRule="auto"/>
        <w:rPr>
          <w:sz w:val="22"/>
          <w:szCs w:val="22"/>
        </w:rPr>
      </w:pPr>
      <w:r w:rsidRPr="008030DD">
        <w:rPr>
          <w:sz w:val="22"/>
          <w:szCs w:val="22"/>
        </w:rPr>
        <w:t>Any restriction on 2’s access to funds engaged Article 8 of the ECHR, which protects a person’s private life, home, and correspondence.</w:t>
      </w:r>
      <w:r w:rsidR="00B4673B">
        <w:rPr>
          <w:sz w:val="22"/>
          <w:szCs w:val="22"/>
        </w:rPr>
        <w:t xml:space="preserve"> I was </w:t>
      </w:r>
      <w:r w:rsidR="001805E9">
        <w:rPr>
          <w:sz w:val="22"/>
          <w:szCs w:val="22"/>
        </w:rPr>
        <w:t xml:space="preserve">aware that restricting access to finances would interfere with his Article 8 rights, </w:t>
      </w:r>
      <w:r w:rsidR="0031788F">
        <w:rPr>
          <w:sz w:val="22"/>
          <w:szCs w:val="22"/>
        </w:rPr>
        <w:t xml:space="preserve">therefore I had to be satisfied that any action was lawful, aimed at preventing </w:t>
      </w:r>
      <w:r w:rsidR="00FC308C">
        <w:rPr>
          <w:sz w:val="22"/>
          <w:szCs w:val="22"/>
        </w:rPr>
        <w:t>further harm, and no more restrictive than absolutely necessary</w:t>
      </w:r>
      <w:r w:rsidRPr="008030DD">
        <w:rPr>
          <w:sz w:val="22"/>
          <w:szCs w:val="22"/>
        </w:rPr>
        <w:t xml:space="preserve">. I therefore structured all proposals and </w:t>
      </w:r>
      <w:r w:rsidRPr="008030DD">
        <w:rPr>
          <w:sz w:val="22"/>
          <w:szCs w:val="22"/>
        </w:rPr>
        <w:lastRenderedPageBreak/>
        <w:t xml:space="preserve">reviews through this test, ensuring that safeguards were tightly focused, </w:t>
      </w:r>
      <w:r w:rsidRPr="00A762D1">
        <w:rPr>
          <w:sz w:val="22"/>
          <w:szCs w:val="22"/>
        </w:rPr>
        <w:t>co-produced</w:t>
      </w:r>
      <w:r w:rsidRPr="008030DD">
        <w:rPr>
          <w:sz w:val="22"/>
          <w:szCs w:val="22"/>
        </w:rPr>
        <w:t xml:space="preserve"> with 2, based on evidence, and kept under regular review promoting </w:t>
      </w:r>
      <w:r w:rsidRPr="00A762D1">
        <w:rPr>
          <w:sz w:val="22"/>
          <w:szCs w:val="22"/>
        </w:rPr>
        <w:t>rights-based</w:t>
      </w:r>
      <w:r w:rsidRPr="008030DD">
        <w:rPr>
          <w:sz w:val="22"/>
          <w:szCs w:val="22"/>
        </w:rPr>
        <w:t xml:space="preserve"> thinking (Equality and Human Rights Commission, 2021; Dunn, Clare and Holland, 2008).</w:t>
      </w:r>
    </w:p>
    <w:p w14:paraId="5931A061" w14:textId="77777777" w:rsidR="00631A74" w:rsidRDefault="00631A74" w:rsidP="00A762D1">
      <w:pPr>
        <w:spacing w:after="160" w:line="480" w:lineRule="auto"/>
        <w:rPr>
          <w:sz w:val="22"/>
          <w:szCs w:val="22"/>
        </w:rPr>
      </w:pPr>
    </w:p>
    <w:p w14:paraId="37081B08" w14:textId="02718CC2" w:rsidR="00A762D1" w:rsidRPr="008030DD" w:rsidRDefault="00A762D1" w:rsidP="00A762D1">
      <w:pPr>
        <w:spacing w:after="160" w:line="480" w:lineRule="auto"/>
        <w:rPr>
          <w:sz w:val="22"/>
          <w:szCs w:val="22"/>
        </w:rPr>
      </w:pPr>
      <w:r w:rsidRPr="008030DD">
        <w:rPr>
          <w:sz w:val="22"/>
          <w:szCs w:val="22"/>
        </w:rPr>
        <w:t xml:space="preserve">Alongside financial controls, I prioritised preventative support and enabling 2, so that safeguarding was experienced as supportive rather than a punishment. We invested in in person social participation that mattered to 2, including Deaf club activities, peer led digital safety sessions and monthly supported day trips chosen by him. This recognised the importance of Deaf culture, peer connection and community belonging, and reflects culturally responsive and </w:t>
      </w:r>
      <w:r w:rsidRPr="00A762D1">
        <w:rPr>
          <w:sz w:val="22"/>
          <w:szCs w:val="22"/>
        </w:rPr>
        <w:t>anti-oppressive</w:t>
      </w:r>
      <w:r w:rsidRPr="008030DD">
        <w:rPr>
          <w:sz w:val="22"/>
          <w:szCs w:val="22"/>
        </w:rPr>
        <w:t xml:space="preserve"> practice in line with Social Care Wales standards. The overall approach is consistent with Making Safeguarding Personal, which emphasises person led outcomes, strengths and proportionate responses (Adams, Dominelli and Payne, 2017).</w:t>
      </w:r>
    </w:p>
    <w:p w14:paraId="0FA340C1" w14:textId="77777777" w:rsidR="00631A74" w:rsidRDefault="00631A74" w:rsidP="00D34ABF">
      <w:pPr>
        <w:spacing w:after="160" w:line="480" w:lineRule="auto"/>
        <w:rPr>
          <w:sz w:val="22"/>
          <w:szCs w:val="22"/>
        </w:rPr>
      </w:pPr>
    </w:p>
    <w:p w14:paraId="5C699ACB" w14:textId="5FE28207" w:rsidR="00D34ABF" w:rsidRPr="00D34ABF" w:rsidRDefault="00D34ABF" w:rsidP="00D34ABF">
      <w:pPr>
        <w:spacing w:after="160" w:line="480" w:lineRule="auto"/>
        <w:rPr>
          <w:sz w:val="22"/>
          <w:szCs w:val="22"/>
        </w:rPr>
      </w:pPr>
      <w:r w:rsidRPr="00D34ABF">
        <w:rPr>
          <w:sz w:val="22"/>
          <w:szCs w:val="22"/>
        </w:rPr>
        <w:t>Overall, this work shows my ongoing commitment to safeguarding in a reflective, rights</w:t>
      </w:r>
      <w:r w:rsidRPr="00D34ABF">
        <w:rPr>
          <w:sz w:val="22"/>
          <w:szCs w:val="22"/>
        </w:rPr>
        <w:noBreakHyphen/>
        <w:t>based and culturally sensitive way, supported by supervision, theory and legislation. It also shows how my practice meets the Social Care Wales Professional Standards and the BASW Codes of Practice through ethical decision</w:t>
      </w:r>
      <w:r w:rsidRPr="00D34ABF">
        <w:rPr>
          <w:sz w:val="22"/>
          <w:szCs w:val="22"/>
        </w:rPr>
        <w:noBreakHyphen/>
        <w:t>making, co</w:t>
      </w:r>
      <w:r w:rsidRPr="00D34ABF">
        <w:rPr>
          <w:sz w:val="22"/>
          <w:szCs w:val="22"/>
        </w:rPr>
        <w:noBreakHyphen/>
        <w:t>production, proportionate action and lawful, person</w:t>
      </w:r>
      <w:r w:rsidRPr="00D34ABF">
        <w:rPr>
          <w:sz w:val="22"/>
          <w:szCs w:val="22"/>
        </w:rPr>
        <w:noBreakHyphen/>
        <w:t>centred practice.</w:t>
      </w:r>
    </w:p>
    <w:p w14:paraId="35C20496" w14:textId="77777777" w:rsidR="00631A74" w:rsidRDefault="00631A74" w:rsidP="00A762D1">
      <w:pPr>
        <w:spacing w:after="160" w:line="480" w:lineRule="auto"/>
        <w:rPr>
          <w:sz w:val="22"/>
          <w:szCs w:val="22"/>
        </w:rPr>
      </w:pPr>
    </w:p>
    <w:p w14:paraId="597515C9" w14:textId="04F7E969" w:rsidR="00A762D1" w:rsidRPr="008030DD" w:rsidRDefault="00A762D1" w:rsidP="00A762D1">
      <w:pPr>
        <w:spacing w:after="160" w:line="480" w:lineRule="auto"/>
        <w:rPr>
          <w:sz w:val="22"/>
          <w:szCs w:val="22"/>
        </w:rPr>
      </w:pPr>
      <w:r w:rsidRPr="008030DD">
        <w:rPr>
          <w:sz w:val="22"/>
          <w:szCs w:val="22"/>
        </w:rPr>
        <w:t xml:space="preserve">A clear timeline and strong evidence records were essential to making the actions and outcomes accurate and justifiable. SSWB(W)A 2014, Part 7, Volume 6 showed the route from the initial report, through enquiry, to action. I followed the same structure in my recording so that facts were clearly separated from opinion, and the link between evidence and decisions was easy to follow. My role included contributing professional analysis to records that could inform potential Court of Protection proceedings, ensuring that capacity evidence, best interests reasoning and least restrictive considerations were clearly documented and legally defensible. I placed clear emphasis on best </w:t>
      </w:r>
      <w:r w:rsidRPr="00A762D1">
        <w:rPr>
          <w:sz w:val="22"/>
          <w:szCs w:val="22"/>
        </w:rPr>
        <w:lastRenderedPageBreak/>
        <w:t>interests’</w:t>
      </w:r>
      <w:r w:rsidRPr="008030DD">
        <w:rPr>
          <w:sz w:val="22"/>
          <w:szCs w:val="22"/>
        </w:rPr>
        <w:t xml:space="preserve"> decision making, least restrictive options, and balancing human rights, in line with statutory guidance and professional standards (Welsh Government, 2019; EHRC Article 8 guidance; Rutter and Brown, 2015).</w:t>
      </w:r>
    </w:p>
    <w:p w14:paraId="23349C1D" w14:textId="77777777" w:rsidR="00631A74" w:rsidRDefault="00631A74" w:rsidP="00A762D1">
      <w:pPr>
        <w:spacing w:after="160" w:line="480" w:lineRule="auto"/>
        <w:rPr>
          <w:sz w:val="22"/>
          <w:szCs w:val="22"/>
        </w:rPr>
      </w:pPr>
    </w:p>
    <w:p w14:paraId="7BD19B34" w14:textId="6F36C51B" w:rsidR="00A762D1" w:rsidRPr="008030DD" w:rsidRDefault="00A762D1" w:rsidP="00A762D1">
      <w:pPr>
        <w:spacing w:after="160" w:line="480" w:lineRule="auto"/>
        <w:rPr>
          <w:sz w:val="22"/>
          <w:szCs w:val="22"/>
        </w:rPr>
      </w:pPr>
      <w:r w:rsidRPr="008030DD">
        <w:rPr>
          <w:sz w:val="22"/>
          <w:szCs w:val="22"/>
        </w:rPr>
        <w:t>Throughout, communication was treated as an ethical safeguard, not just a routine task. By ensuring Deaf aware practice such as qualified BSL interpreters, consistent professionals to build trust and rapport, and a clinician with experience of Deaf culture, the risk of agreement being mere compliance was reduced. This supported genuine understanding and informed participation rather than passive acceptance.</w:t>
      </w:r>
    </w:p>
    <w:p w14:paraId="5B01F469" w14:textId="77777777" w:rsidR="00631A74" w:rsidRDefault="00631A74" w:rsidP="00A762D1">
      <w:pPr>
        <w:spacing w:after="160" w:line="480" w:lineRule="auto"/>
        <w:rPr>
          <w:sz w:val="22"/>
          <w:szCs w:val="22"/>
        </w:rPr>
      </w:pPr>
    </w:p>
    <w:p w14:paraId="333C1C44" w14:textId="3455CF64" w:rsidR="00A762D1" w:rsidRPr="008030DD" w:rsidRDefault="00A762D1" w:rsidP="00A762D1">
      <w:pPr>
        <w:spacing w:after="160" w:line="480" w:lineRule="auto"/>
        <w:rPr>
          <w:sz w:val="22"/>
          <w:szCs w:val="22"/>
        </w:rPr>
      </w:pPr>
      <w:r w:rsidRPr="008030DD">
        <w:rPr>
          <w:sz w:val="22"/>
          <w:szCs w:val="22"/>
        </w:rPr>
        <w:t xml:space="preserve">Collaboration extended beyond routine letters or emails. I worked directly with 2, his parents, the supported living provider, specialist psychology services, qualified interpreters, advocacy, and where necessary; police and banking contacts. My role was to make sure everyone understood the legal basis for sharing information, to manage and negotiate conflicting opinions or disagreements, and to keep the focus on what mattered to 2. This included balancing parental concerns about financial risk with 2’s wish to keep some independence regarding his card access, ensuring his views remained central to decision making. Volume 6 of Working Together to Safeguard People (Welsh Government, 2019), makes clear that safeguarding should be proportionate, outcomes focused, and based on multi agency collaboration. Data protection legislation supports this approach by allowing information to be shared lawfully where it is necessary and in the public interest. Social work and </w:t>
      </w:r>
      <w:r w:rsidRPr="00A762D1">
        <w:rPr>
          <w:sz w:val="22"/>
          <w:szCs w:val="22"/>
        </w:rPr>
        <w:t>multi-agency</w:t>
      </w:r>
      <w:r w:rsidRPr="008030DD">
        <w:rPr>
          <w:sz w:val="22"/>
          <w:szCs w:val="22"/>
        </w:rPr>
        <w:t xml:space="preserve"> practice literature also highlights that effective safeguarding depends on clear coordination and shared responsibility across services (Welsh Government, 2019).</w:t>
      </w:r>
    </w:p>
    <w:p w14:paraId="2716EAEC" w14:textId="77777777" w:rsidR="00631A74" w:rsidRDefault="00631A74" w:rsidP="00A762D1">
      <w:pPr>
        <w:spacing w:after="160" w:line="480" w:lineRule="auto"/>
        <w:rPr>
          <w:sz w:val="22"/>
          <w:szCs w:val="22"/>
        </w:rPr>
      </w:pPr>
    </w:p>
    <w:p w14:paraId="241538A4" w14:textId="750A4C1D" w:rsidR="00A762D1" w:rsidRPr="008030DD" w:rsidRDefault="00A762D1" w:rsidP="00A762D1">
      <w:pPr>
        <w:spacing w:after="160" w:line="480" w:lineRule="auto"/>
        <w:rPr>
          <w:sz w:val="22"/>
          <w:szCs w:val="22"/>
        </w:rPr>
      </w:pPr>
      <w:r w:rsidRPr="008030DD">
        <w:rPr>
          <w:sz w:val="22"/>
          <w:szCs w:val="22"/>
        </w:rPr>
        <w:lastRenderedPageBreak/>
        <w:t>Professional judgement was exercised by bringing together the l</w:t>
      </w:r>
      <w:r w:rsidR="009C51AB">
        <w:rPr>
          <w:sz w:val="22"/>
          <w:szCs w:val="22"/>
        </w:rPr>
        <w:t>egal framework and</w:t>
      </w:r>
      <w:r w:rsidRPr="008030DD">
        <w:rPr>
          <w:sz w:val="22"/>
          <w:szCs w:val="22"/>
        </w:rPr>
        <w:t xml:space="preserve"> practice guidance, </w:t>
      </w:r>
      <w:r w:rsidR="009C51AB">
        <w:rPr>
          <w:sz w:val="22"/>
          <w:szCs w:val="22"/>
        </w:rPr>
        <w:t xml:space="preserve">alongside </w:t>
      </w:r>
      <w:r w:rsidRPr="008030DD">
        <w:rPr>
          <w:sz w:val="22"/>
          <w:szCs w:val="22"/>
        </w:rPr>
        <w:t xml:space="preserve">social work values, and 2’s own account of what was happening in his life. Responding to online romance fraud required ongoing and active safeguarding work rather than a </w:t>
      </w:r>
      <w:r w:rsidRPr="00A762D1">
        <w:rPr>
          <w:sz w:val="22"/>
          <w:szCs w:val="22"/>
        </w:rPr>
        <w:t>one-off</w:t>
      </w:r>
      <w:r w:rsidRPr="008030DD">
        <w:rPr>
          <w:sz w:val="22"/>
          <w:szCs w:val="22"/>
        </w:rPr>
        <w:t xml:space="preserve"> decision. This included repeated liaison with banks to request payment blocks or alerts where these were available, setting clear review points to reassess risk, and agreeing a contingency plan to escalate concerns if financial harm continued or if signs of coercion or exploitation emerged. This approach reflects safeguarding procedures under SSWB(W)A 2014 which emphasise proportionate, preventative, and </w:t>
      </w:r>
      <w:r w:rsidRPr="00A762D1">
        <w:rPr>
          <w:sz w:val="22"/>
          <w:szCs w:val="22"/>
        </w:rPr>
        <w:t>person-centred</w:t>
      </w:r>
      <w:r w:rsidRPr="008030DD">
        <w:rPr>
          <w:sz w:val="22"/>
          <w:szCs w:val="22"/>
        </w:rPr>
        <w:t xml:space="preserve"> responses to abuse or neglect. Safeguarding was understood as a dynamic process, with risks reviewed as circumstances changed, rather than fixed categories applied once. The literature on risk and protection supports this approach, highlighting the need for ongoing risk appraisal and balanced responses that reduce harm without unnecessarily restricting autonomy. At the same time, critical social work frameworks caution against slipping into restrictive practice that can undermine rights and </w:t>
      </w:r>
      <w:r w:rsidRPr="00A762D1">
        <w:rPr>
          <w:sz w:val="22"/>
          <w:szCs w:val="22"/>
        </w:rPr>
        <w:t>self-determination</w:t>
      </w:r>
      <w:r w:rsidRPr="008030DD">
        <w:rPr>
          <w:sz w:val="22"/>
          <w:szCs w:val="22"/>
        </w:rPr>
        <w:t xml:space="preserve"> (Hothersall and Maas Lowit, 2010; Adams, Dominelli and Payne, 2017).</w:t>
      </w:r>
    </w:p>
    <w:p w14:paraId="55850E97" w14:textId="77777777" w:rsidR="00631A74" w:rsidRDefault="00631A74" w:rsidP="00A762D1">
      <w:pPr>
        <w:spacing w:after="160" w:line="480" w:lineRule="auto"/>
        <w:rPr>
          <w:sz w:val="22"/>
          <w:szCs w:val="22"/>
        </w:rPr>
      </w:pPr>
    </w:p>
    <w:p w14:paraId="5D2AC08C" w14:textId="353F3946" w:rsidR="00A762D1" w:rsidRPr="008030DD" w:rsidRDefault="00A762D1" w:rsidP="00A762D1">
      <w:pPr>
        <w:spacing w:after="160" w:line="480" w:lineRule="auto"/>
        <w:rPr>
          <w:sz w:val="22"/>
          <w:szCs w:val="22"/>
        </w:rPr>
      </w:pPr>
      <w:r w:rsidRPr="008030DD">
        <w:rPr>
          <w:sz w:val="22"/>
          <w:szCs w:val="22"/>
        </w:rPr>
        <w:t xml:space="preserve">Looking back, my practice with 2 was shaped by a conscious effort to balance safety with his right to make choices. Rather than seeing risk and autonomy as opposites, I tried to hold them together. The </w:t>
      </w:r>
      <w:r w:rsidRPr="00A762D1">
        <w:rPr>
          <w:sz w:val="22"/>
          <w:szCs w:val="22"/>
        </w:rPr>
        <w:t>co-produced</w:t>
      </w:r>
      <w:r w:rsidRPr="008030DD">
        <w:rPr>
          <w:sz w:val="22"/>
          <w:szCs w:val="22"/>
        </w:rPr>
        <w:t xml:space="preserve"> plan focused on reducing foreseeable harm while protecting what mattered to 2, including his involvement in Deaf community activities, peer led online fraud awareness, and regular supported trips that he enjoyed. This felt consistent with Making Safeguarding Personal, as the emphasis remained on outcomes and quality of life rather than simply controlling risk (Preston Shoot and Cornish, 2014). I was particularly mindful of how easily safeguarding can become something that is done to people. With this in mind, staff were encouraged to approach the situation with curiosity rather than judgement. We explored what the online relationship gave 2 emotionally and how risks could be reduced through clearer boundaries and shared understanding of warning signs such as urgency, </w:t>
      </w:r>
      <w:r w:rsidRPr="008030DD">
        <w:rPr>
          <w:sz w:val="22"/>
          <w:szCs w:val="22"/>
        </w:rPr>
        <w:lastRenderedPageBreak/>
        <w:t>secrecy and pressure. This helped me reflect on how risk enablement can be more respectful and effective than restrictive responses alone.</w:t>
      </w:r>
    </w:p>
    <w:p w14:paraId="105BF2AA" w14:textId="77777777" w:rsidR="00631A74" w:rsidRDefault="00631A74" w:rsidP="00A762D1">
      <w:pPr>
        <w:spacing w:line="480" w:lineRule="auto"/>
        <w:rPr>
          <w:sz w:val="22"/>
          <w:szCs w:val="22"/>
        </w:rPr>
      </w:pPr>
    </w:p>
    <w:p w14:paraId="4C2993F3" w14:textId="6C8DA0BA" w:rsidR="00A762D1" w:rsidRPr="00A762D1" w:rsidRDefault="00A762D1" w:rsidP="00A762D1">
      <w:pPr>
        <w:spacing w:line="480" w:lineRule="auto"/>
        <w:rPr>
          <w:sz w:val="22"/>
          <w:szCs w:val="22"/>
        </w:rPr>
      </w:pPr>
      <w:r w:rsidRPr="008030DD">
        <w:rPr>
          <w:sz w:val="22"/>
          <w:szCs w:val="22"/>
        </w:rPr>
        <w:t>This case required sustained reflection on professional power and the risk of oppressive practice within safeguarding systems. As a statutory practitioner, I held significant authority to influence financial controls, information sharing and risk thresholds. Anti</w:t>
      </w:r>
      <w:r w:rsidRPr="00A762D1">
        <w:rPr>
          <w:sz w:val="22"/>
          <w:szCs w:val="22"/>
        </w:rPr>
        <w:t>-</w:t>
      </w:r>
      <w:r w:rsidRPr="008030DD">
        <w:rPr>
          <w:sz w:val="22"/>
          <w:szCs w:val="22"/>
        </w:rPr>
        <w:t>oppressive practice frameworks emphasise the need to actively recognise and mitigate these power imbalances, particularly when working with disabled adults whose choices are frequently subject to scrutiny. I was conscious that financial safeguarding can easily become a site where control is justified through risk discourse, potentially silencing the individual’s voice. I made deliberate efforts to separate disagreement from incapacity and risk from unacceptability. 2’s wish to maintain some financial independence was not treated as evidence of lack of insight, but as an expression of identity and adulthood. This required professional confidence to tolerate managed risk, supported by supervision and clear recording.</w:t>
      </w:r>
    </w:p>
    <w:p w14:paraId="6A7D2A77" w14:textId="77777777" w:rsidR="00631A74" w:rsidRDefault="00631A74" w:rsidP="00A762D1">
      <w:pPr>
        <w:spacing w:after="160" w:line="480" w:lineRule="auto"/>
        <w:rPr>
          <w:sz w:val="22"/>
          <w:szCs w:val="22"/>
        </w:rPr>
      </w:pPr>
    </w:p>
    <w:p w14:paraId="721DA9FD" w14:textId="3279173C" w:rsidR="00A762D1" w:rsidRPr="008030DD" w:rsidRDefault="00A762D1" w:rsidP="00A762D1">
      <w:pPr>
        <w:spacing w:after="160" w:line="480" w:lineRule="auto"/>
        <w:rPr>
          <w:sz w:val="22"/>
          <w:szCs w:val="22"/>
        </w:rPr>
      </w:pPr>
      <w:r w:rsidRPr="008030DD">
        <w:rPr>
          <w:sz w:val="22"/>
          <w:szCs w:val="22"/>
        </w:rPr>
        <w:t>Scragg and Mantell’s (2011) warning about over</w:t>
      </w:r>
      <w:r w:rsidRPr="00A762D1">
        <w:rPr>
          <w:sz w:val="22"/>
          <w:szCs w:val="22"/>
        </w:rPr>
        <w:t>-p</w:t>
      </w:r>
      <w:r w:rsidRPr="008030DD">
        <w:rPr>
          <w:sz w:val="22"/>
          <w:szCs w:val="22"/>
        </w:rPr>
        <w:t>rotective responses resonated strongly here, reminding me that excessive restriction can itself constitute harm. Ultimately, maintaining an anti</w:t>
      </w:r>
      <w:r w:rsidRPr="00A762D1">
        <w:rPr>
          <w:sz w:val="22"/>
          <w:szCs w:val="22"/>
        </w:rPr>
        <w:t>-</w:t>
      </w:r>
      <w:r w:rsidRPr="008030DD">
        <w:rPr>
          <w:sz w:val="22"/>
          <w:szCs w:val="22"/>
        </w:rPr>
        <w:t xml:space="preserve">oppressive stance meant prioritising transparency, explaining decisions clearly, and ensuring 2 remained involved even when decisions were made in his best interests. This approach strengthened trust and reduced the likelihood that safeguarding would be experienced as punitive or disempowering. </w:t>
      </w:r>
      <w:r w:rsidR="00F74C14" w:rsidRPr="00F74C14">
        <w:rPr>
          <w:sz w:val="22"/>
          <w:szCs w:val="22"/>
        </w:rPr>
        <w:t>Recognising that safeguarding can shift power away from the individual, I sought to preserve as much control for 2 as possible. He retained discretionary spending, limited card access and meaningful involvement in regular reviews. Article 8 of the ECHR, the M</w:t>
      </w:r>
      <w:r w:rsidR="00897A8F">
        <w:rPr>
          <w:sz w:val="22"/>
          <w:szCs w:val="22"/>
        </w:rPr>
        <w:t>CA</w:t>
      </w:r>
      <w:r w:rsidR="00F74C14" w:rsidRPr="00F74C14">
        <w:rPr>
          <w:sz w:val="22"/>
          <w:szCs w:val="22"/>
        </w:rPr>
        <w:t xml:space="preserve"> 2005 and the SSWBA 2014 reinforced the need for proportionality and least restrictive practice. Critical social work literature further supported this stance, reminding me that safeguarding should reduce harm without eliminating autonomy (Adams, </w:t>
      </w:r>
      <w:r w:rsidR="00F74C14" w:rsidRPr="00F74C14">
        <w:rPr>
          <w:sz w:val="22"/>
          <w:szCs w:val="22"/>
        </w:rPr>
        <w:lastRenderedPageBreak/>
        <w:t>Dominelli and Payne, 2017; Scragg and Mantell, 2011). This required ongoing reflection on the tension between protection and empowerment.</w:t>
      </w:r>
    </w:p>
    <w:p w14:paraId="63258FC5" w14:textId="77777777" w:rsidR="00631A74" w:rsidRDefault="00631A74" w:rsidP="00A762D1">
      <w:pPr>
        <w:spacing w:after="160" w:line="480" w:lineRule="auto"/>
        <w:rPr>
          <w:sz w:val="22"/>
          <w:szCs w:val="22"/>
        </w:rPr>
      </w:pPr>
    </w:p>
    <w:p w14:paraId="770F5182" w14:textId="5ED316FB" w:rsidR="00A762D1" w:rsidRPr="008030DD" w:rsidRDefault="00A762D1" w:rsidP="00A762D1">
      <w:pPr>
        <w:spacing w:after="160" w:line="480" w:lineRule="auto"/>
        <w:rPr>
          <w:sz w:val="22"/>
          <w:szCs w:val="22"/>
        </w:rPr>
      </w:pPr>
      <w:r w:rsidRPr="008030DD">
        <w:rPr>
          <w:sz w:val="22"/>
          <w:szCs w:val="22"/>
        </w:rPr>
        <w:t xml:space="preserve">With hindsight, there are areas I would strengthen. I would introduce time limited restrictions so safeguards do not drift into permanence, </w:t>
      </w:r>
      <w:r w:rsidRPr="00A762D1">
        <w:rPr>
          <w:sz w:val="22"/>
          <w:szCs w:val="22"/>
        </w:rPr>
        <w:t>co-produce</w:t>
      </w:r>
      <w:r w:rsidRPr="008030DD">
        <w:rPr>
          <w:sz w:val="22"/>
          <w:szCs w:val="22"/>
        </w:rPr>
        <w:t xml:space="preserve"> clearer outcome measures linked to what 2 wants for his life, and set clearer escalation thresholds so all agencies understand when safeguarding processes should be revisited. I would also place greater emphasis on accessible digital safety education developed with Deaf organisations. These reflections feel consistent with Wales’ </w:t>
      </w:r>
      <w:r w:rsidRPr="00A762D1">
        <w:rPr>
          <w:sz w:val="22"/>
          <w:szCs w:val="22"/>
        </w:rPr>
        <w:t>person-centred</w:t>
      </w:r>
      <w:r w:rsidRPr="008030DD">
        <w:rPr>
          <w:sz w:val="22"/>
          <w:szCs w:val="22"/>
        </w:rPr>
        <w:t xml:space="preserve"> safeguarding ethos, while strengthening accountability and proportionality in my practice.</w:t>
      </w:r>
    </w:p>
    <w:p w14:paraId="0B4E878E" w14:textId="77777777" w:rsidR="00631A74" w:rsidRDefault="00631A74" w:rsidP="0071106E">
      <w:pPr>
        <w:spacing w:line="480" w:lineRule="auto"/>
        <w:rPr>
          <w:sz w:val="22"/>
          <w:szCs w:val="22"/>
        </w:rPr>
      </w:pPr>
    </w:p>
    <w:p w14:paraId="615B11A3" w14:textId="33096AAF" w:rsidR="0071106E" w:rsidRPr="0071106E" w:rsidRDefault="00A762D1" w:rsidP="0071106E">
      <w:pPr>
        <w:spacing w:line="480" w:lineRule="auto"/>
        <w:rPr>
          <w:sz w:val="22"/>
          <w:szCs w:val="22"/>
        </w:rPr>
      </w:pPr>
      <w:r w:rsidRPr="008030DD">
        <w:rPr>
          <w:sz w:val="22"/>
          <w:szCs w:val="22"/>
        </w:rPr>
        <w:t xml:space="preserve">Evaluating outcomes was an important part of ensuring that safeguarding actions remained purposeful and proportionate. In the months following implementation of the financial safeguards, there was a measurable reduction in financial loss, stabilisation of rent payments, and improved nutritional intake and overall well-being. Equally significant, however, were qualitative outcomes identified through review meetings with 2. He reported feeling less anxious about money, more confident in managing his weekly spending, and more engaged in activities within the Deaf and hearing community. </w:t>
      </w:r>
      <w:r w:rsidR="0071106E" w:rsidRPr="0071106E">
        <w:rPr>
          <w:sz w:val="22"/>
          <w:szCs w:val="22"/>
        </w:rPr>
        <w:t>These outcomes showed a move away from crisis</w:t>
      </w:r>
      <w:r w:rsidR="0071106E" w:rsidRPr="0071106E">
        <w:rPr>
          <w:sz w:val="22"/>
          <w:szCs w:val="22"/>
        </w:rPr>
        <w:noBreakHyphen/>
        <w:t xml:space="preserve">led intervention towards greater stability and </w:t>
      </w:r>
      <w:r w:rsidR="003377BE">
        <w:rPr>
          <w:sz w:val="22"/>
          <w:szCs w:val="22"/>
        </w:rPr>
        <w:t xml:space="preserve">overall </w:t>
      </w:r>
      <w:r w:rsidR="0071106E" w:rsidRPr="0071106E">
        <w:rPr>
          <w:sz w:val="22"/>
          <w:szCs w:val="22"/>
        </w:rPr>
        <w:t>well</w:t>
      </w:r>
      <w:r w:rsidR="006276F4">
        <w:rPr>
          <w:sz w:val="22"/>
          <w:szCs w:val="22"/>
        </w:rPr>
        <w:t>-</w:t>
      </w:r>
      <w:r w:rsidR="0071106E" w:rsidRPr="0071106E">
        <w:rPr>
          <w:sz w:val="22"/>
          <w:szCs w:val="22"/>
        </w:rPr>
        <w:t>being</w:t>
      </w:r>
      <w:r w:rsidR="006276F4">
        <w:rPr>
          <w:sz w:val="22"/>
          <w:szCs w:val="22"/>
        </w:rPr>
        <w:t>, h</w:t>
      </w:r>
      <w:r w:rsidR="0071106E" w:rsidRPr="0071106E">
        <w:rPr>
          <w:sz w:val="22"/>
          <w:szCs w:val="22"/>
        </w:rPr>
        <w:t>owever, the evaluation also highlighted areas needing improvement. Although financial harm decreased, emotional vulnerability to online relationships continued, showing that safeguarding is an ongoing process rather than a one</w:t>
      </w:r>
      <w:r w:rsidR="0071106E" w:rsidRPr="0071106E">
        <w:rPr>
          <w:sz w:val="22"/>
          <w:szCs w:val="22"/>
        </w:rPr>
        <w:noBreakHyphen/>
        <w:t>off solution.</w:t>
      </w:r>
    </w:p>
    <w:p w14:paraId="160A9955" w14:textId="77777777" w:rsidR="00631A74" w:rsidRDefault="00631A74" w:rsidP="0071106E">
      <w:pPr>
        <w:spacing w:line="480" w:lineRule="auto"/>
        <w:rPr>
          <w:sz w:val="22"/>
          <w:szCs w:val="22"/>
        </w:rPr>
      </w:pPr>
    </w:p>
    <w:p w14:paraId="7EB53016" w14:textId="5EB30D1A" w:rsidR="00A762D1" w:rsidRPr="008030DD" w:rsidRDefault="00A762D1" w:rsidP="0071106E">
      <w:pPr>
        <w:spacing w:line="480" w:lineRule="auto"/>
        <w:rPr>
          <w:sz w:val="22"/>
          <w:szCs w:val="22"/>
        </w:rPr>
      </w:pPr>
      <w:r w:rsidRPr="008030DD">
        <w:rPr>
          <w:sz w:val="22"/>
          <w:szCs w:val="22"/>
        </w:rPr>
        <w:t xml:space="preserve">This learning has influenced my practice by strengthening my focus on preventative education, peer led support and early identification of grooming behaviours, particularly in digital contexts. This case has also shaped my professional development. It increased my confidence in applying legal literacy in complex situations, particularly in articulating proportionality and human rights reasoning within multi </w:t>
      </w:r>
      <w:r w:rsidRPr="008030DD">
        <w:rPr>
          <w:sz w:val="22"/>
          <w:szCs w:val="22"/>
        </w:rPr>
        <w:lastRenderedPageBreak/>
        <w:t>agency discussions. It reinforced the importance of accessible communication as a safeguarding tool and deepened my understanding of Deaf culture as integral to effective assessment, not an extra consideration (Ladd, 2003).</w:t>
      </w:r>
    </w:p>
    <w:p w14:paraId="019E4CFA" w14:textId="77777777" w:rsidR="00631A74" w:rsidRDefault="00631A74" w:rsidP="00A762D1">
      <w:pPr>
        <w:spacing w:line="480" w:lineRule="auto"/>
        <w:rPr>
          <w:sz w:val="22"/>
          <w:szCs w:val="22"/>
        </w:rPr>
      </w:pPr>
    </w:p>
    <w:p w14:paraId="0802BF6C" w14:textId="0FC9C057" w:rsidR="00A762D1" w:rsidRPr="00A762D1" w:rsidRDefault="00A762D1" w:rsidP="00A762D1">
      <w:pPr>
        <w:spacing w:line="480" w:lineRule="auto"/>
        <w:rPr>
          <w:sz w:val="22"/>
          <w:szCs w:val="22"/>
        </w:rPr>
      </w:pPr>
      <w:r w:rsidRPr="008030DD">
        <w:rPr>
          <w:sz w:val="22"/>
          <w:szCs w:val="22"/>
        </w:rPr>
        <w:t xml:space="preserve">Safeguarding practice was grounded in Part 7 of the </w:t>
      </w:r>
      <w:r w:rsidR="00D46173">
        <w:rPr>
          <w:sz w:val="22"/>
          <w:szCs w:val="22"/>
        </w:rPr>
        <w:t xml:space="preserve">SSWBA </w:t>
      </w:r>
      <w:r w:rsidRPr="008030DD">
        <w:rPr>
          <w:sz w:val="22"/>
          <w:szCs w:val="22"/>
        </w:rPr>
        <w:t>2014 and informed by Working Together to Safeguard People (Volume 6), ensuring that interventions were lawful, proportionate and outcome focused. The application of the M</w:t>
      </w:r>
      <w:r w:rsidR="00897A8F">
        <w:rPr>
          <w:sz w:val="22"/>
          <w:szCs w:val="22"/>
        </w:rPr>
        <w:t>CA</w:t>
      </w:r>
      <w:r w:rsidRPr="008030DD">
        <w:rPr>
          <w:sz w:val="22"/>
          <w:szCs w:val="22"/>
        </w:rPr>
        <w:t xml:space="preserve"> 2005, alongside Article 8 of the E</w:t>
      </w:r>
      <w:r w:rsidR="00284BFF">
        <w:rPr>
          <w:sz w:val="22"/>
          <w:szCs w:val="22"/>
        </w:rPr>
        <w:t>CHR</w:t>
      </w:r>
      <w:r w:rsidRPr="008030DD">
        <w:rPr>
          <w:sz w:val="22"/>
          <w:szCs w:val="22"/>
        </w:rPr>
        <w:t xml:space="preserve">, provided a robust framework for balancing protection with respect for autonomy and private life. Professional judgement in this case was exercised through careful threshold decision making, lawful information sharing, and collaborative multi agency working (Rutter and Brown, 2015). </w:t>
      </w:r>
    </w:p>
    <w:p w14:paraId="45F8E306" w14:textId="77777777" w:rsidR="00631A74" w:rsidRDefault="00631A74" w:rsidP="002F5F42">
      <w:pPr>
        <w:spacing w:line="480" w:lineRule="auto"/>
        <w:rPr>
          <w:sz w:val="22"/>
          <w:szCs w:val="22"/>
        </w:rPr>
      </w:pPr>
    </w:p>
    <w:p w14:paraId="67797CDF" w14:textId="30FBC672" w:rsidR="00413348" w:rsidRDefault="00A762D1" w:rsidP="002F5F42">
      <w:pPr>
        <w:spacing w:line="480" w:lineRule="auto"/>
        <w:rPr>
          <w:sz w:val="22"/>
          <w:szCs w:val="22"/>
        </w:rPr>
      </w:pPr>
      <w:r w:rsidRPr="008030DD">
        <w:rPr>
          <w:sz w:val="22"/>
          <w:szCs w:val="22"/>
        </w:rPr>
        <w:t xml:space="preserve">Social work theory strengthened analysis by reframing 2’s vulnerability as relational and situational, enabling interventions to address underlying emotional needs as well as observable risk. Trauma informed and </w:t>
      </w:r>
      <w:r w:rsidRPr="00A762D1">
        <w:rPr>
          <w:sz w:val="22"/>
          <w:szCs w:val="22"/>
        </w:rPr>
        <w:t>attachment-based</w:t>
      </w:r>
      <w:r w:rsidRPr="008030DD">
        <w:rPr>
          <w:sz w:val="22"/>
          <w:szCs w:val="22"/>
        </w:rPr>
        <w:t xml:space="preserve"> perspectives were particularly influential in shaping safeguarding responses that prioritised dignity, participation and least restrictive practice. Critical reflection highlighted the ethical tensions and power dynamics inherent in safeguarding adults, particularly where financial restrictions are considered. Supervision played a key role in supporting reflective decision making and mitigating the risks of </w:t>
      </w:r>
      <w:r w:rsidRPr="00A762D1">
        <w:rPr>
          <w:sz w:val="22"/>
          <w:szCs w:val="22"/>
        </w:rPr>
        <w:t>overprotective</w:t>
      </w:r>
      <w:r w:rsidRPr="008030DD">
        <w:rPr>
          <w:sz w:val="22"/>
          <w:szCs w:val="22"/>
        </w:rPr>
        <w:t xml:space="preserve"> or oppressive practice. Outcomes demonstrated reduced financial harm, increased stability and improved wellbeing, while also reinforcing that safeguarding is an ongoing, dynamic process rather than a </w:t>
      </w:r>
      <w:r w:rsidRPr="00A762D1">
        <w:rPr>
          <w:sz w:val="22"/>
          <w:szCs w:val="22"/>
        </w:rPr>
        <w:t>one-off</w:t>
      </w:r>
      <w:r w:rsidRPr="008030DD">
        <w:rPr>
          <w:sz w:val="22"/>
          <w:szCs w:val="22"/>
        </w:rPr>
        <w:t xml:space="preserve"> intervention. </w:t>
      </w:r>
    </w:p>
    <w:p w14:paraId="06F957AE" w14:textId="77777777" w:rsidR="00631A74" w:rsidRDefault="00631A74" w:rsidP="002F5F42">
      <w:pPr>
        <w:spacing w:line="480" w:lineRule="auto"/>
        <w:rPr>
          <w:sz w:val="22"/>
          <w:szCs w:val="22"/>
        </w:rPr>
      </w:pPr>
    </w:p>
    <w:p w14:paraId="2791E4D8" w14:textId="782A39D3" w:rsidR="002F5F42" w:rsidRPr="002F5F42" w:rsidRDefault="002F5F42" w:rsidP="002F5F42">
      <w:pPr>
        <w:spacing w:line="480" w:lineRule="auto"/>
        <w:rPr>
          <w:sz w:val="22"/>
          <w:szCs w:val="22"/>
        </w:rPr>
      </w:pPr>
      <w:r w:rsidRPr="002F5F42">
        <w:rPr>
          <w:sz w:val="22"/>
          <w:szCs w:val="22"/>
        </w:rPr>
        <w:t>Overall, this case has strengthened my understanding of what competent, rights</w:t>
      </w:r>
      <w:r w:rsidRPr="002F5F42">
        <w:rPr>
          <w:sz w:val="22"/>
          <w:szCs w:val="22"/>
        </w:rPr>
        <w:noBreakHyphen/>
        <w:t xml:space="preserve">based and culturally responsive safeguarding looks like in the Welsh context. </w:t>
      </w:r>
      <w:r w:rsidR="008D5093">
        <w:rPr>
          <w:sz w:val="22"/>
          <w:szCs w:val="22"/>
        </w:rPr>
        <w:t>Most significantly, it has changed how I approach situations where risk is repeated. Rather than asking, “How do I stop this?”</w:t>
      </w:r>
      <w:r w:rsidR="00D61552">
        <w:rPr>
          <w:sz w:val="22"/>
          <w:szCs w:val="22"/>
        </w:rPr>
        <w:t xml:space="preserve">, I now ask, “What need is this behaviour meeting, and how can safeguarding respond to that need without diminishing independence?” </w:t>
      </w:r>
      <w:r w:rsidR="00C47A72">
        <w:rPr>
          <w:sz w:val="22"/>
          <w:szCs w:val="22"/>
        </w:rPr>
        <w:t xml:space="preserve">This shift has altered not only my practice in this case, but my wider professional </w:t>
      </w:r>
      <w:r w:rsidR="00C47A72">
        <w:rPr>
          <w:sz w:val="22"/>
          <w:szCs w:val="22"/>
        </w:rPr>
        <w:lastRenderedPageBreak/>
        <w:t xml:space="preserve">judgement in complex adult safeguarding work. </w:t>
      </w:r>
      <w:r w:rsidRPr="002F5F42">
        <w:rPr>
          <w:sz w:val="22"/>
          <w:szCs w:val="22"/>
        </w:rPr>
        <w:t>It has helped me see how I can integrate law, policy, theory and values more confidently in complex situations, exercise accountable professional judgement, and balance safety with autonomy. The learning from this work will continue to shape my practice, deepening my focus on prevention, accessible communication and proportionate, person</w:t>
      </w:r>
      <w:r w:rsidRPr="002F5F42">
        <w:rPr>
          <w:sz w:val="22"/>
          <w:szCs w:val="22"/>
        </w:rPr>
        <w:noBreakHyphen/>
        <w:t>centred approaches to risk</w:t>
      </w:r>
      <w:r w:rsidR="00413348">
        <w:rPr>
          <w:sz w:val="22"/>
          <w:szCs w:val="22"/>
        </w:rPr>
        <w:t>.</w:t>
      </w:r>
    </w:p>
    <w:p w14:paraId="1F449FEF" w14:textId="77777777" w:rsidR="002F5F42" w:rsidRPr="00A762D1" w:rsidRDefault="002F5F42" w:rsidP="00A762D1">
      <w:pPr>
        <w:spacing w:line="480" w:lineRule="auto"/>
        <w:rPr>
          <w:sz w:val="22"/>
          <w:szCs w:val="22"/>
        </w:rPr>
      </w:pPr>
    </w:p>
    <w:p w14:paraId="00D6453B" w14:textId="77777777" w:rsidR="00A762D1" w:rsidRPr="00A762D1" w:rsidRDefault="00A762D1" w:rsidP="00A762D1">
      <w:pPr>
        <w:spacing w:line="480" w:lineRule="auto"/>
        <w:rPr>
          <w:sz w:val="22"/>
          <w:szCs w:val="22"/>
        </w:rPr>
      </w:pPr>
    </w:p>
    <w:p w14:paraId="242895F3" w14:textId="72C76CB2" w:rsidR="00D7092E" w:rsidRDefault="00A762D1" w:rsidP="00A762D1">
      <w:pPr>
        <w:spacing w:after="160" w:line="480" w:lineRule="auto"/>
        <w:rPr>
          <w:b/>
          <w:bCs/>
          <w:color w:val="auto"/>
          <w:sz w:val="22"/>
          <w:szCs w:val="22"/>
        </w:rPr>
      </w:pPr>
      <w:r w:rsidRPr="00A762D1">
        <w:rPr>
          <w:b/>
          <w:bCs/>
          <w:color w:val="auto"/>
          <w:sz w:val="22"/>
          <w:szCs w:val="22"/>
        </w:rPr>
        <w:t>Words: 4</w:t>
      </w:r>
      <w:r w:rsidR="00D46173">
        <w:rPr>
          <w:b/>
          <w:bCs/>
          <w:color w:val="auto"/>
          <w:sz w:val="22"/>
          <w:szCs w:val="22"/>
        </w:rPr>
        <w:t>3</w:t>
      </w:r>
      <w:r w:rsidR="000E43CD">
        <w:rPr>
          <w:b/>
          <w:bCs/>
          <w:color w:val="auto"/>
          <w:sz w:val="22"/>
          <w:szCs w:val="22"/>
        </w:rPr>
        <w:t>51</w:t>
      </w:r>
    </w:p>
    <w:p w14:paraId="5760F658" w14:textId="77777777" w:rsidR="00D46173" w:rsidRPr="00A762D1" w:rsidRDefault="00D46173" w:rsidP="00A762D1">
      <w:pPr>
        <w:spacing w:after="160" w:line="480" w:lineRule="auto"/>
        <w:rPr>
          <w:b/>
          <w:bCs/>
          <w:color w:val="auto"/>
          <w:sz w:val="22"/>
          <w:szCs w:val="22"/>
        </w:rPr>
      </w:pPr>
    </w:p>
    <w:sectPr w:rsidR="00D46173" w:rsidRPr="00A762D1"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44901" w14:textId="77777777" w:rsidR="0079403B" w:rsidRDefault="0079403B">
      <w:r>
        <w:separator/>
      </w:r>
    </w:p>
  </w:endnote>
  <w:endnote w:type="continuationSeparator" w:id="0">
    <w:p w14:paraId="2EADEB7F" w14:textId="77777777" w:rsidR="0079403B" w:rsidRDefault="007940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DD6D7" w14:textId="77777777" w:rsidR="0079403B" w:rsidRDefault="0079403B">
      <w:r>
        <w:separator/>
      </w:r>
    </w:p>
  </w:footnote>
  <w:footnote w:type="continuationSeparator" w:id="0">
    <w:p w14:paraId="2147D594" w14:textId="77777777" w:rsidR="0079403B" w:rsidRDefault="007940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2CF9"/>
    <w:rsid w:val="000045B8"/>
    <w:rsid w:val="00012B16"/>
    <w:rsid w:val="00020EEC"/>
    <w:rsid w:val="0002440E"/>
    <w:rsid w:val="0002759A"/>
    <w:rsid w:val="00027B1F"/>
    <w:rsid w:val="00027C58"/>
    <w:rsid w:val="0003088B"/>
    <w:rsid w:val="000325D9"/>
    <w:rsid w:val="000372B2"/>
    <w:rsid w:val="0004079F"/>
    <w:rsid w:val="000428F8"/>
    <w:rsid w:val="00042AAD"/>
    <w:rsid w:val="000432B5"/>
    <w:rsid w:val="00043543"/>
    <w:rsid w:val="00045B87"/>
    <w:rsid w:val="00045C07"/>
    <w:rsid w:val="00045C40"/>
    <w:rsid w:val="00046861"/>
    <w:rsid w:val="0005469E"/>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C25"/>
    <w:rsid w:val="000A4240"/>
    <w:rsid w:val="000A469A"/>
    <w:rsid w:val="000A4924"/>
    <w:rsid w:val="000A584A"/>
    <w:rsid w:val="000A6458"/>
    <w:rsid w:val="000A6B44"/>
    <w:rsid w:val="000C0679"/>
    <w:rsid w:val="000C0BC4"/>
    <w:rsid w:val="000C378F"/>
    <w:rsid w:val="000C4BBB"/>
    <w:rsid w:val="000C6892"/>
    <w:rsid w:val="000C6FFE"/>
    <w:rsid w:val="000D0BB6"/>
    <w:rsid w:val="000D2ED2"/>
    <w:rsid w:val="000D6653"/>
    <w:rsid w:val="000E0D51"/>
    <w:rsid w:val="000E1304"/>
    <w:rsid w:val="000E26B0"/>
    <w:rsid w:val="000E2C18"/>
    <w:rsid w:val="000E3478"/>
    <w:rsid w:val="000E37C2"/>
    <w:rsid w:val="000E38C3"/>
    <w:rsid w:val="000E43CD"/>
    <w:rsid w:val="000F1599"/>
    <w:rsid w:val="000F1769"/>
    <w:rsid w:val="000F1A97"/>
    <w:rsid w:val="000F42AE"/>
    <w:rsid w:val="000F6196"/>
    <w:rsid w:val="000F6BC3"/>
    <w:rsid w:val="0010312C"/>
    <w:rsid w:val="00105026"/>
    <w:rsid w:val="0010662B"/>
    <w:rsid w:val="00106DC7"/>
    <w:rsid w:val="00110361"/>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0659"/>
    <w:rsid w:val="00171418"/>
    <w:rsid w:val="001772BF"/>
    <w:rsid w:val="001772DE"/>
    <w:rsid w:val="001805E9"/>
    <w:rsid w:val="00191ADC"/>
    <w:rsid w:val="0019496C"/>
    <w:rsid w:val="00195E54"/>
    <w:rsid w:val="001961CF"/>
    <w:rsid w:val="001A59BB"/>
    <w:rsid w:val="001A607E"/>
    <w:rsid w:val="001A668C"/>
    <w:rsid w:val="001A6A51"/>
    <w:rsid w:val="001A79C4"/>
    <w:rsid w:val="001B331A"/>
    <w:rsid w:val="001C0237"/>
    <w:rsid w:val="001C0E74"/>
    <w:rsid w:val="001C4DB8"/>
    <w:rsid w:val="001C50B8"/>
    <w:rsid w:val="001D229F"/>
    <w:rsid w:val="001E2EB6"/>
    <w:rsid w:val="001F11FB"/>
    <w:rsid w:val="001F13B5"/>
    <w:rsid w:val="001F4552"/>
    <w:rsid w:val="002019EB"/>
    <w:rsid w:val="00204B58"/>
    <w:rsid w:val="00205051"/>
    <w:rsid w:val="00211F65"/>
    <w:rsid w:val="00214047"/>
    <w:rsid w:val="00216563"/>
    <w:rsid w:val="0021792F"/>
    <w:rsid w:val="002200E1"/>
    <w:rsid w:val="00220D06"/>
    <w:rsid w:val="00222595"/>
    <w:rsid w:val="002246A0"/>
    <w:rsid w:val="00230439"/>
    <w:rsid w:val="00230A7E"/>
    <w:rsid w:val="00232A09"/>
    <w:rsid w:val="00232C6E"/>
    <w:rsid w:val="00235176"/>
    <w:rsid w:val="00236061"/>
    <w:rsid w:val="0024100E"/>
    <w:rsid w:val="002411F4"/>
    <w:rsid w:val="00241C1B"/>
    <w:rsid w:val="0024288B"/>
    <w:rsid w:val="00243DB0"/>
    <w:rsid w:val="00247265"/>
    <w:rsid w:val="00260663"/>
    <w:rsid w:val="002657E9"/>
    <w:rsid w:val="0026665E"/>
    <w:rsid w:val="002676CC"/>
    <w:rsid w:val="0027007C"/>
    <w:rsid w:val="0027015B"/>
    <w:rsid w:val="0027147E"/>
    <w:rsid w:val="002761F4"/>
    <w:rsid w:val="002775E1"/>
    <w:rsid w:val="00277979"/>
    <w:rsid w:val="00284BFF"/>
    <w:rsid w:val="002917AA"/>
    <w:rsid w:val="00291ADD"/>
    <w:rsid w:val="002920DF"/>
    <w:rsid w:val="00292F3D"/>
    <w:rsid w:val="00295CA1"/>
    <w:rsid w:val="002A0E51"/>
    <w:rsid w:val="002A1A44"/>
    <w:rsid w:val="002A291A"/>
    <w:rsid w:val="002A2C54"/>
    <w:rsid w:val="002A2FB7"/>
    <w:rsid w:val="002A4E2E"/>
    <w:rsid w:val="002A5604"/>
    <w:rsid w:val="002B1701"/>
    <w:rsid w:val="002B23C3"/>
    <w:rsid w:val="002B33E9"/>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F42"/>
    <w:rsid w:val="003015C3"/>
    <w:rsid w:val="0030486F"/>
    <w:rsid w:val="003106DB"/>
    <w:rsid w:val="00312481"/>
    <w:rsid w:val="0031350A"/>
    <w:rsid w:val="00316815"/>
    <w:rsid w:val="003168CA"/>
    <w:rsid w:val="0031788F"/>
    <w:rsid w:val="00321255"/>
    <w:rsid w:val="0032230D"/>
    <w:rsid w:val="00322A0B"/>
    <w:rsid w:val="00330881"/>
    <w:rsid w:val="003318DA"/>
    <w:rsid w:val="00331CD2"/>
    <w:rsid w:val="00332426"/>
    <w:rsid w:val="00332C63"/>
    <w:rsid w:val="00335C41"/>
    <w:rsid w:val="00335FC5"/>
    <w:rsid w:val="0033771E"/>
    <w:rsid w:val="003377BE"/>
    <w:rsid w:val="00337FEF"/>
    <w:rsid w:val="00345772"/>
    <w:rsid w:val="00354B6D"/>
    <w:rsid w:val="00355210"/>
    <w:rsid w:val="00355CFD"/>
    <w:rsid w:val="00360571"/>
    <w:rsid w:val="00365DF9"/>
    <w:rsid w:val="0037066E"/>
    <w:rsid w:val="00372DB4"/>
    <w:rsid w:val="00373A36"/>
    <w:rsid w:val="0037419E"/>
    <w:rsid w:val="00375AF5"/>
    <w:rsid w:val="003761BD"/>
    <w:rsid w:val="00376832"/>
    <w:rsid w:val="00377448"/>
    <w:rsid w:val="00377884"/>
    <w:rsid w:val="0038146A"/>
    <w:rsid w:val="003826BD"/>
    <w:rsid w:val="00385414"/>
    <w:rsid w:val="00390074"/>
    <w:rsid w:val="00392F73"/>
    <w:rsid w:val="00393600"/>
    <w:rsid w:val="0039762B"/>
    <w:rsid w:val="003A0C37"/>
    <w:rsid w:val="003A1B6B"/>
    <w:rsid w:val="003A27CB"/>
    <w:rsid w:val="003A3C27"/>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4E9D"/>
    <w:rsid w:val="003E54CF"/>
    <w:rsid w:val="003E5FBA"/>
    <w:rsid w:val="003F1233"/>
    <w:rsid w:val="003F67A4"/>
    <w:rsid w:val="00400786"/>
    <w:rsid w:val="00401FDA"/>
    <w:rsid w:val="004046F0"/>
    <w:rsid w:val="00404F4B"/>
    <w:rsid w:val="0040668F"/>
    <w:rsid w:val="00411EF7"/>
    <w:rsid w:val="00412677"/>
    <w:rsid w:val="00413348"/>
    <w:rsid w:val="00422862"/>
    <w:rsid w:val="00425160"/>
    <w:rsid w:val="00430DE3"/>
    <w:rsid w:val="004324B2"/>
    <w:rsid w:val="004348AE"/>
    <w:rsid w:val="004376C0"/>
    <w:rsid w:val="0044223A"/>
    <w:rsid w:val="00446829"/>
    <w:rsid w:val="00450B67"/>
    <w:rsid w:val="00451851"/>
    <w:rsid w:val="0045189A"/>
    <w:rsid w:val="00453343"/>
    <w:rsid w:val="004538C3"/>
    <w:rsid w:val="004608B9"/>
    <w:rsid w:val="00463B55"/>
    <w:rsid w:val="00465947"/>
    <w:rsid w:val="00465C23"/>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410C"/>
    <w:rsid w:val="004A5A64"/>
    <w:rsid w:val="004B359C"/>
    <w:rsid w:val="004B5553"/>
    <w:rsid w:val="004B600B"/>
    <w:rsid w:val="004B6822"/>
    <w:rsid w:val="004B69F6"/>
    <w:rsid w:val="004C2D3A"/>
    <w:rsid w:val="004D03C4"/>
    <w:rsid w:val="004D0BF1"/>
    <w:rsid w:val="004D0F4E"/>
    <w:rsid w:val="004D1C07"/>
    <w:rsid w:val="004D24D7"/>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9A7"/>
    <w:rsid w:val="005113D4"/>
    <w:rsid w:val="0051287D"/>
    <w:rsid w:val="00513C7D"/>
    <w:rsid w:val="00516649"/>
    <w:rsid w:val="00521123"/>
    <w:rsid w:val="00521221"/>
    <w:rsid w:val="005223C4"/>
    <w:rsid w:val="0052250B"/>
    <w:rsid w:val="005305C6"/>
    <w:rsid w:val="00533BEC"/>
    <w:rsid w:val="00540EEC"/>
    <w:rsid w:val="005414F4"/>
    <w:rsid w:val="0054296B"/>
    <w:rsid w:val="00546187"/>
    <w:rsid w:val="00547B11"/>
    <w:rsid w:val="00557D77"/>
    <w:rsid w:val="00562EAA"/>
    <w:rsid w:val="00563B58"/>
    <w:rsid w:val="005640C4"/>
    <w:rsid w:val="0056649B"/>
    <w:rsid w:val="0056684C"/>
    <w:rsid w:val="00571279"/>
    <w:rsid w:val="00574A0C"/>
    <w:rsid w:val="0057780F"/>
    <w:rsid w:val="00580D72"/>
    <w:rsid w:val="00581E0A"/>
    <w:rsid w:val="00586D89"/>
    <w:rsid w:val="005877C8"/>
    <w:rsid w:val="00587923"/>
    <w:rsid w:val="00594F9F"/>
    <w:rsid w:val="005A1B4C"/>
    <w:rsid w:val="005A545C"/>
    <w:rsid w:val="005A6862"/>
    <w:rsid w:val="005B241F"/>
    <w:rsid w:val="005B271A"/>
    <w:rsid w:val="005B3A2D"/>
    <w:rsid w:val="005C1567"/>
    <w:rsid w:val="005C28D3"/>
    <w:rsid w:val="005C6CE5"/>
    <w:rsid w:val="005D3DE3"/>
    <w:rsid w:val="005D3F07"/>
    <w:rsid w:val="005D4A1E"/>
    <w:rsid w:val="005D4F72"/>
    <w:rsid w:val="005E13EA"/>
    <w:rsid w:val="005E17F1"/>
    <w:rsid w:val="005E51C7"/>
    <w:rsid w:val="005F5B6C"/>
    <w:rsid w:val="005F64AA"/>
    <w:rsid w:val="005F7851"/>
    <w:rsid w:val="00606E27"/>
    <w:rsid w:val="006108C9"/>
    <w:rsid w:val="00614DF7"/>
    <w:rsid w:val="006179BB"/>
    <w:rsid w:val="0062158D"/>
    <w:rsid w:val="006223FD"/>
    <w:rsid w:val="006276F4"/>
    <w:rsid w:val="00631A74"/>
    <w:rsid w:val="006326D1"/>
    <w:rsid w:val="00632E0A"/>
    <w:rsid w:val="00633165"/>
    <w:rsid w:val="0064048F"/>
    <w:rsid w:val="006447DE"/>
    <w:rsid w:val="00644889"/>
    <w:rsid w:val="00645631"/>
    <w:rsid w:val="0065276E"/>
    <w:rsid w:val="00653552"/>
    <w:rsid w:val="00654329"/>
    <w:rsid w:val="00654CEC"/>
    <w:rsid w:val="00655507"/>
    <w:rsid w:val="006579FD"/>
    <w:rsid w:val="0066319B"/>
    <w:rsid w:val="006635E3"/>
    <w:rsid w:val="006669F3"/>
    <w:rsid w:val="006712A7"/>
    <w:rsid w:val="00672CED"/>
    <w:rsid w:val="00674FC2"/>
    <w:rsid w:val="00676E35"/>
    <w:rsid w:val="00677E42"/>
    <w:rsid w:val="00682334"/>
    <w:rsid w:val="00684732"/>
    <w:rsid w:val="00684B16"/>
    <w:rsid w:val="00687016"/>
    <w:rsid w:val="006872A0"/>
    <w:rsid w:val="00691504"/>
    <w:rsid w:val="0069625A"/>
    <w:rsid w:val="00696A88"/>
    <w:rsid w:val="00696F65"/>
    <w:rsid w:val="00697572"/>
    <w:rsid w:val="0069774E"/>
    <w:rsid w:val="006A28E5"/>
    <w:rsid w:val="006B4496"/>
    <w:rsid w:val="006B5E67"/>
    <w:rsid w:val="006B6612"/>
    <w:rsid w:val="006C06E4"/>
    <w:rsid w:val="006C2EB5"/>
    <w:rsid w:val="006D18A3"/>
    <w:rsid w:val="006D5970"/>
    <w:rsid w:val="006E46FF"/>
    <w:rsid w:val="006E481E"/>
    <w:rsid w:val="006E795F"/>
    <w:rsid w:val="006F0862"/>
    <w:rsid w:val="006F1438"/>
    <w:rsid w:val="006F2A9E"/>
    <w:rsid w:val="006F5ED3"/>
    <w:rsid w:val="00700249"/>
    <w:rsid w:val="007069CD"/>
    <w:rsid w:val="00706BB5"/>
    <w:rsid w:val="0071106E"/>
    <w:rsid w:val="0071231A"/>
    <w:rsid w:val="00712E90"/>
    <w:rsid w:val="00713B7E"/>
    <w:rsid w:val="007230CA"/>
    <w:rsid w:val="0072678F"/>
    <w:rsid w:val="007276E5"/>
    <w:rsid w:val="00727C4C"/>
    <w:rsid w:val="007336E5"/>
    <w:rsid w:val="007341C2"/>
    <w:rsid w:val="00734809"/>
    <w:rsid w:val="0073714E"/>
    <w:rsid w:val="007374EF"/>
    <w:rsid w:val="00737583"/>
    <w:rsid w:val="007406E1"/>
    <w:rsid w:val="00743E40"/>
    <w:rsid w:val="00745016"/>
    <w:rsid w:val="0075031F"/>
    <w:rsid w:val="00751263"/>
    <w:rsid w:val="007544FC"/>
    <w:rsid w:val="00755427"/>
    <w:rsid w:val="00756548"/>
    <w:rsid w:val="0075673A"/>
    <w:rsid w:val="0075704F"/>
    <w:rsid w:val="00757323"/>
    <w:rsid w:val="00757630"/>
    <w:rsid w:val="00763B2D"/>
    <w:rsid w:val="00764C84"/>
    <w:rsid w:val="007700DA"/>
    <w:rsid w:val="007710AD"/>
    <w:rsid w:val="00772924"/>
    <w:rsid w:val="0078112D"/>
    <w:rsid w:val="00781DE0"/>
    <w:rsid w:val="007872F2"/>
    <w:rsid w:val="007873F9"/>
    <w:rsid w:val="007908E0"/>
    <w:rsid w:val="00793A24"/>
    <w:rsid w:val="00793EB3"/>
    <w:rsid w:val="0079403B"/>
    <w:rsid w:val="00794205"/>
    <w:rsid w:val="0079422A"/>
    <w:rsid w:val="00795BD9"/>
    <w:rsid w:val="007A1F6A"/>
    <w:rsid w:val="007A24F4"/>
    <w:rsid w:val="007A628F"/>
    <w:rsid w:val="007B0DE3"/>
    <w:rsid w:val="007B1BFD"/>
    <w:rsid w:val="007B7191"/>
    <w:rsid w:val="007C1D94"/>
    <w:rsid w:val="007C556F"/>
    <w:rsid w:val="007C5ABE"/>
    <w:rsid w:val="007C6A87"/>
    <w:rsid w:val="007D0A07"/>
    <w:rsid w:val="007D0F11"/>
    <w:rsid w:val="007D133D"/>
    <w:rsid w:val="007D27C5"/>
    <w:rsid w:val="007D3EB4"/>
    <w:rsid w:val="007D3F16"/>
    <w:rsid w:val="007E078F"/>
    <w:rsid w:val="007E4E42"/>
    <w:rsid w:val="007F10BD"/>
    <w:rsid w:val="007F312E"/>
    <w:rsid w:val="007F3F7E"/>
    <w:rsid w:val="007F4BA4"/>
    <w:rsid w:val="0080249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25F"/>
    <w:rsid w:val="00836FEC"/>
    <w:rsid w:val="00841F9D"/>
    <w:rsid w:val="008420E1"/>
    <w:rsid w:val="008428F0"/>
    <w:rsid w:val="00844D98"/>
    <w:rsid w:val="00846D84"/>
    <w:rsid w:val="00850233"/>
    <w:rsid w:val="008514A9"/>
    <w:rsid w:val="0085230E"/>
    <w:rsid w:val="008550A1"/>
    <w:rsid w:val="00861038"/>
    <w:rsid w:val="00865B58"/>
    <w:rsid w:val="00866B50"/>
    <w:rsid w:val="00867A63"/>
    <w:rsid w:val="0087043D"/>
    <w:rsid w:val="008708F1"/>
    <w:rsid w:val="00871960"/>
    <w:rsid w:val="0087369F"/>
    <w:rsid w:val="00880539"/>
    <w:rsid w:val="008859E8"/>
    <w:rsid w:val="0088737B"/>
    <w:rsid w:val="00891078"/>
    <w:rsid w:val="00892716"/>
    <w:rsid w:val="00893067"/>
    <w:rsid w:val="008933DE"/>
    <w:rsid w:val="008935D1"/>
    <w:rsid w:val="00895FCE"/>
    <w:rsid w:val="00897A8F"/>
    <w:rsid w:val="00897F3E"/>
    <w:rsid w:val="008A21B4"/>
    <w:rsid w:val="008A347A"/>
    <w:rsid w:val="008B07DE"/>
    <w:rsid w:val="008B1309"/>
    <w:rsid w:val="008B28E7"/>
    <w:rsid w:val="008B67F6"/>
    <w:rsid w:val="008C14C7"/>
    <w:rsid w:val="008C2FFB"/>
    <w:rsid w:val="008C633F"/>
    <w:rsid w:val="008C6EEA"/>
    <w:rsid w:val="008C7770"/>
    <w:rsid w:val="008C79C7"/>
    <w:rsid w:val="008D03B0"/>
    <w:rsid w:val="008D2150"/>
    <w:rsid w:val="008D5093"/>
    <w:rsid w:val="008D5813"/>
    <w:rsid w:val="008D5999"/>
    <w:rsid w:val="008D634E"/>
    <w:rsid w:val="008D778A"/>
    <w:rsid w:val="008D78C9"/>
    <w:rsid w:val="008E3195"/>
    <w:rsid w:val="008E5A35"/>
    <w:rsid w:val="008F127E"/>
    <w:rsid w:val="008F32D9"/>
    <w:rsid w:val="00902A65"/>
    <w:rsid w:val="00903932"/>
    <w:rsid w:val="009079BD"/>
    <w:rsid w:val="00910BD8"/>
    <w:rsid w:val="00912BD9"/>
    <w:rsid w:val="00916FB2"/>
    <w:rsid w:val="00920E5B"/>
    <w:rsid w:val="00926436"/>
    <w:rsid w:val="00926C53"/>
    <w:rsid w:val="0093018C"/>
    <w:rsid w:val="0094495F"/>
    <w:rsid w:val="009544C0"/>
    <w:rsid w:val="00954FA4"/>
    <w:rsid w:val="00956AE9"/>
    <w:rsid w:val="00964CC6"/>
    <w:rsid w:val="00967BFA"/>
    <w:rsid w:val="00973BE9"/>
    <w:rsid w:val="00981957"/>
    <w:rsid w:val="0098262C"/>
    <w:rsid w:val="0098427C"/>
    <w:rsid w:val="00985004"/>
    <w:rsid w:val="00986B43"/>
    <w:rsid w:val="00986C0B"/>
    <w:rsid w:val="00986D46"/>
    <w:rsid w:val="00991FDA"/>
    <w:rsid w:val="00992ACA"/>
    <w:rsid w:val="009A5F3B"/>
    <w:rsid w:val="009A5F79"/>
    <w:rsid w:val="009A6F87"/>
    <w:rsid w:val="009B0B61"/>
    <w:rsid w:val="009B28C0"/>
    <w:rsid w:val="009B3178"/>
    <w:rsid w:val="009B3E46"/>
    <w:rsid w:val="009B4F89"/>
    <w:rsid w:val="009B7136"/>
    <w:rsid w:val="009C337F"/>
    <w:rsid w:val="009C51AB"/>
    <w:rsid w:val="009C53E7"/>
    <w:rsid w:val="009C6092"/>
    <w:rsid w:val="009C7342"/>
    <w:rsid w:val="009D14D4"/>
    <w:rsid w:val="009D2117"/>
    <w:rsid w:val="009D4365"/>
    <w:rsid w:val="009D477B"/>
    <w:rsid w:val="009D4E3B"/>
    <w:rsid w:val="009D59C2"/>
    <w:rsid w:val="009D5D86"/>
    <w:rsid w:val="009D7BC9"/>
    <w:rsid w:val="009E122F"/>
    <w:rsid w:val="009E1982"/>
    <w:rsid w:val="009E4D2C"/>
    <w:rsid w:val="009F0978"/>
    <w:rsid w:val="009F3469"/>
    <w:rsid w:val="009F3AEC"/>
    <w:rsid w:val="009F6801"/>
    <w:rsid w:val="00A00081"/>
    <w:rsid w:val="00A00906"/>
    <w:rsid w:val="00A06422"/>
    <w:rsid w:val="00A10D56"/>
    <w:rsid w:val="00A12AAE"/>
    <w:rsid w:val="00A12F22"/>
    <w:rsid w:val="00A16DD1"/>
    <w:rsid w:val="00A21744"/>
    <w:rsid w:val="00A22441"/>
    <w:rsid w:val="00A23F3B"/>
    <w:rsid w:val="00A24406"/>
    <w:rsid w:val="00A25F64"/>
    <w:rsid w:val="00A275F6"/>
    <w:rsid w:val="00A303B9"/>
    <w:rsid w:val="00A31447"/>
    <w:rsid w:val="00A37416"/>
    <w:rsid w:val="00A40ED6"/>
    <w:rsid w:val="00A47621"/>
    <w:rsid w:val="00A479CD"/>
    <w:rsid w:val="00A50CFC"/>
    <w:rsid w:val="00A54D67"/>
    <w:rsid w:val="00A55A3F"/>
    <w:rsid w:val="00A5656A"/>
    <w:rsid w:val="00A60103"/>
    <w:rsid w:val="00A62DCF"/>
    <w:rsid w:val="00A652F6"/>
    <w:rsid w:val="00A65861"/>
    <w:rsid w:val="00A732EA"/>
    <w:rsid w:val="00A7489E"/>
    <w:rsid w:val="00A762D1"/>
    <w:rsid w:val="00A8015F"/>
    <w:rsid w:val="00A85039"/>
    <w:rsid w:val="00A906AA"/>
    <w:rsid w:val="00A94C5E"/>
    <w:rsid w:val="00AA252C"/>
    <w:rsid w:val="00AA5E5C"/>
    <w:rsid w:val="00AA5EE8"/>
    <w:rsid w:val="00AA666E"/>
    <w:rsid w:val="00AA7960"/>
    <w:rsid w:val="00AB5518"/>
    <w:rsid w:val="00AC1603"/>
    <w:rsid w:val="00AC3A0E"/>
    <w:rsid w:val="00AC4A04"/>
    <w:rsid w:val="00AC5679"/>
    <w:rsid w:val="00AD336F"/>
    <w:rsid w:val="00AD34EA"/>
    <w:rsid w:val="00AE134C"/>
    <w:rsid w:val="00AE1868"/>
    <w:rsid w:val="00AE2564"/>
    <w:rsid w:val="00AE301F"/>
    <w:rsid w:val="00AE3302"/>
    <w:rsid w:val="00AE5BA6"/>
    <w:rsid w:val="00AE6231"/>
    <w:rsid w:val="00AE7077"/>
    <w:rsid w:val="00AE7CA1"/>
    <w:rsid w:val="00AF61C2"/>
    <w:rsid w:val="00AF6CC6"/>
    <w:rsid w:val="00B0296A"/>
    <w:rsid w:val="00B037B0"/>
    <w:rsid w:val="00B0656F"/>
    <w:rsid w:val="00B07E79"/>
    <w:rsid w:val="00B12295"/>
    <w:rsid w:val="00B137BE"/>
    <w:rsid w:val="00B15998"/>
    <w:rsid w:val="00B17FA0"/>
    <w:rsid w:val="00B2292C"/>
    <w:rsid w:val="00B22C3C"/>
    <w:rsid w:val="00B24344"/>
    <w:rsid w:val="00B26769"/>
    <w:rsid w:val="00B26AB0"/>
    <w:rsid w:val="00B2754B"/>
    <w:rsid w:val="00B31C91"/>
    <w:rsid w:val="00B34544"/>
    <w:rsid w:val="00B3747F"/>
    <w:rsid w:val="00B42E76"/>
    <w:rsid w:val="00B43194"/>
    <w:rsid w:val="00B436BF"/>
    <w:rsid w:val="00B4673B"/>
    <w:rsid w:val="00B47734"/>
    <w:rsid w:val="00B50FBA"/>
    <w:rsid w:val="00B533C9"/>
    <w:rsid w:val="00B558EB"/>
    <w:rsid w:val="00B577D3"/>
    <w:rsid w:val="00B57B6E"/>
    <w:rsid w:val="00B60466"/>
    <w:rsid w:val="00B6548F"/>
    <w:rsid w:val="00B701C2"/>
    <w:rsid w:val="00B71A32"/>
    <w:rsid w:val="00B7323C"/>
    <w:rsid w:val="00B7502A"/>
    <w:rsid w:val="00B77305"/>
    <w:rsid w:val="00B774BD"/>
    <w:rsid w:val="00B82CC2"/>
    <w:rsid w:val="00B84A89"/>
    <w:rsid w:val="00B87745"/>
    <w:rsid w:val="00B91D31"/>
    <w:rsid w:val="00B9256C"/>
    <w:rsid w:val="00B92BEF"/>
    <w:rsid w:val="00B94443"/>
    <w:rsid w:val="00B9689A"/>
    <w:rsid w:val="00B97056"/>
    <w:rsid w:val="00BA2DF4"/>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3F2"/>
    <w:rsid w:val="00BF0D6C"/>
    <w:rsid w:val="00C01D14"/>
    <w:rsid w:val="00C01D97"/>
    <w:rsid w:val="00C025B4"/>
    <w:rsid w:val="00C02723"/>
    <w:rsid w:val="00C029EC"/>
    <w:rsid w:val="00C14FCA"/>
    <w:rsid w:val="00C161FD"/>
    <w:rsid w:val="00C17C9F"/>
    <w:rsid w:val="00C23F17"/>
    <w:rsid w:val="00C246F2"/>
    <w:rsid w:val="00C26D0D"/>
    <w:rsid w:val="00C27C95"/>
    <w:rsid w:val="00C300D2"/>
    <w:rsid w:val="00C3270F"/>
    <w:rsid w:val="00C3278B"/>
    <w:rsid w:val="00C33375"/>
    <w:rsid w:val="00C34C23"/>
    <w:rsid w:val="00C368FA"/>
    <w:rsid w:val="00C42005"/>
    <w:rsid w:val="00C44B7D"/>
    <w:rsid w:val="00C4664D"/>
    <w:rsid w:val="00C472AA"/>
    <w:rsid w:val="00C47A72"/>
    <w:rsid w:val="00C50A05"/>
    <w:rsid w:val="00C54AED"/>
    <w:rsid w:val="00C555FC"/>
    <w:rsid w:val="00C55E9B"/>
    <w:rsid w:val="00C56D09"/>
    <w:rsid w:val="00C57D24"/>
    <w:rsid w:val="00C604D6"/>
    <w:rsid w:val="00C6284C"/>
    <w:rsid w:val="00C63CAB"/>
    <w:rsid w:val="00C63D00"/>
    <w:rsid w:val="00C6441B"/>
    <w:rsid w:val="00C65921"/>
    <w:rsid w:val="00C7108B"/>
    <w:rsid w:val="00C754D3"/>
    <w:rsid w:val="00C75883"/>
    <w:rsid w:val="00C77FA5"/>
    <w:rsid w:val="00C8089F"/>
    <w:rsid w:val="00C80DA8"/>
    <w:rsid w:val="00C835FE"/>
    <w:rsid w:val="00C836CC"/>
    <w:rsid w:val="00C852D6"/>
    <w:rsid w:val="00C87A74"/>
    <w:rsid w:val="00C92C71"/>
    <w:rsid w:val="00C93F8F"/>
    <w:rsid w:val="00C968DC"/>
    <w:rsid w:val="00CA0894"/>
    <w:rsid w:val="00CA3593"/>
    <w:rsid w:val="00CA5726"/>
    <w:rsid w:val="00CA7E6A"/>
    <w:rsid w:val="00CB258E"/>
    <w:rsid w:val="00CB3C8F"/>
    <w:rsid w:val="00CC02F1"/>
    <w:rsid w:val="00CC1122"/>
    <w:rsid w:val="00CC11A6"/>
    <w:rsid w:val="00CC135E"/>
    <w:rsid w:val="00CC5F84"/>
    <w:rsid w:val="00CC7226"/>
    <w:rsid w:val="00CD0735"/>
    <w:rsid w:val="00CD345B"/>
    <w:rsid w:val="00CD45E3"/>
    <w:rsid w:val="00CD4771"/>
    <w:rsid w:val="00CD5089"/>
    <w:rsid w:val="00CD5D3F"/>
    <w:rsid w:val="00CD6BAC"/>
    <w:rsid w:val="00CD7E1F"/>
    <w:rsid w:val="00CE0682"/>
    <w:rsid w:val="00CE4BC4"/>
    <w:rsid w:val="00CE7B4E"/>
    <w:rsid w:val="00CE7DA2"/>
    <w:rsid w:val="00CF2F8A"/>
    <w:rsid w:val="00CF3DB3"/>
    <w:rsid w:val="00D0274B"/>
    <w:rsid w:val="00D047EA"/>
    <w:rsid w:val="00D0503D"/>
    <w:rsid w:val="00D052BC"/>
    <w:rsid w:val="00D07026"/>
    <w:rsid w:val="00D146AE"/>
    <w:rsid w:val="00D15734"/>
    <w:rsid w:val="00D22C8F"/>
    <w:rsid w:val="00D23922"/>
    <w:rsid w:val="00D3203C"/>
    <w:rsid w:val="00D32E66"/>
    <w:rsid w:val="00D33491"/>
    <w:rsid w:val="00D3442D"/>
    <w:rsid w:val="00D34ABF"/>
    <w:rsid w:val="00D36F00"/>
    <w:rsid w:val="00D44B67"/>
    <w:rsid w:val="00D44E64"/>
    <w:rsid w:val="00D44F8E"/>
    <w:rsid w:val="00D46173"/>
    <w:rsid w:val="00D50DBA"/>
    <w:rsid w:val="00D51FD5"/>
    <w:rsid w:val="00D55DE0"/>
    <w:rsid w:val="00D607EF"/>
    <w:rsid w:val="00D60F88"/>
    <w:rsid w:val="00D61552"/>
    <w:rsid w:val="00D646BD"/>
    <w:rsid w:val="00D65558"/>
    <w:rsid w:val="00D7092E"/>
    <w:rsid w:val="00D71201"/>
    <w:rsid w:val="00D720C7"/>
    <w:rsid w:val="00D84841"/>
    <w:rsid w:val="00D876E6"/>
    <w:rsid w:val="00D90958"/>
    <w:rsid w:val="00DA1025"/>
    <w:rsid w:val="00DA22EC"/>
    <w:rsid w:val="00DA5682"/>
    <w:rsid w:val="00DA5860"/>
    <w:rsid w:val="00DA5C0C"/>
    <w:rsid w:val="00DB0A70"/>
    <w:rsid w:val="00DB2767"/>
    <w:rsid w:val="00DC1B10"/>
    <w:rsid w:val="00DC2924"/>
    <w:rsid w:val="00DC4729"/>
    <w:rsid w:val="00DD31C5"/>
    <w:rsid w:val="00DD346F"/>
    <w:rsid w:val="00DD441F"/>
    <w:rsid w:val="00DD5020"/>
    <w:rsid w:val="00DD63BE"/>
    <w:rsid w:val="00DE4296"/>
    <w:rsid w:val="00DE4A74"/>
    <w:rsid w:val="00DF2469"/>
    <w:rsid w:val="00DF3D36"/>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79D"/>
    <w:rsid w:val="00E91F62"/>
    <w:rsid w:val="00E929FD"/>
    <w:rsid w:val="00E9309D"/>
    <w:rsid w:val="00E93240"/>
    <w:rsid w:val="00E9479B"/>
    <w:rsid w:val="00E94E22"/>
    <w:rsid w:val="00E9546B"/>
    <w:rsid w:val="00E95F08"/>
    <w:rsid w:val="00E97171"/>
    <w:rsid w:val="00EA4D48"/>
    <w:rsid w:val="00EA7ADF"/>
    <w:rsid w:val="00EB2173"/>
    <w:rsid w:val="00EB4D6A"/>
    <w:rsid w:val="00EB62E6"/>
    <w:rsid w:val="00EB695F"/>
    <w:rsid w:val="00EC3A85"/>
    <w:rsid w:val="00EC4B89"/>
    <w:rsid w:val="00EC59A5"/>
    <w:rsid w:val="00EC6E15"/>
    <w:rsid w:val="00EC7F0A"/>
    <w:rsid w:val="00ED1B30"/>
    <w:rsid w:val="00ED5D03"/>
    <w:rsid w:val="00EE01ED"/>
    <w:rsid w:val="00EE1AC1"/>
    <w:rsid w:val="00EE33D7"/>
    <w:rsid w:val="00EE39D6"/>
    <w:rsid w:val="00EE52AD"/>
    <w:rsid w:val="00EE5BC3"/>
    <w:rsid w:val="00EE6FAB"/>
    <w:rsid w:val="00EF1832"/>
    <w:rsid w:val="00EF328C"/>
    <w:rsid w:val="00EF68BB"/>
    <w:rsid w:val="00F01AD9"/>
    <w:rsid w:val="00F01F92"/>
    <w:rsid w:val="00F030D4"/>
    <w:rsid w:val="00F04053"/>
    <w:rsid w:val="00F06573"/>
    <w:rsid w:val="00F10A08"/>
    <w:rsid w:val="00F15354"/>
    <w:rsid w:val="00F15EF8"/>
    <w:rsid w:val="00F215F1"/>
    <w:rsid w:val="00F22AC5"/>
    <w:rsid w:val="00F254D1"/>
    <w:rsid w:val="00F32B82"/>
    <w:rsid w:val="00F34C86"/>
    <w:rsid w:val="00F4043E"/>
    <w:rsid w:val="00F41795"/>
    <w:rsid w:val="00F41BBC"/>
    <w:rsid w:val="00F444F0"/>
    <w:rsid w:val="00F446FF"/>
    <w:rsid w:val="00F45521"/>
    <w:rsid w:val="00F50847"/>
    <w:rsid w:val="00F53F27"/>
    <w:rsid w:val="00F542A9"/>
    <w:rsid w:val="00F546D1"/>
    <w:rsid w:val="00F60281"/>
    <w:rsid w:val="00F65564"/>
    <w:rsid w:val="00F66272"/>
    <w:rsid w:val="00F6651E"/>
    <w:rsid w:val="00F709C0"/>
    <w:rsid w:val="00F74C14"/>
    <w:rsid w:val="00F75619"/>
    <w:rsid w:val="00F81FEC"/>
    <w:rsid w:val="00F876D0"/>
    <w:rsid w:val="00F927A1"/>
    <w:rsid w:val="00F92E4D"/>
    <w:rsid w:val="00F95D08"/>
    <w:rsid w:val="00FA23BD"/>
    <w:rsid w:val="00FA30E5"/>
    <w:rsid w:val="00FA3764"/>
    <w:rsid w:val="00FA41C7"/>
    <w:rsid w:val="00FA4A79"/>
    <w:rsid w:val="00FA56ED"/>
    <w:rsid w:val="00FB05DD"/>
    <w:rsid w:val="00FB0F7C"/>
    <w:rsid w:val="00FB24EA"/>
    <w:rsid w:val="00FB5FA6"/>
    <w:rsid w:val="00FC0334"/>
    <w:rsid w:val="00FC1310"/>
    <w:rsid w:val="00FC2FF3"/>
    <w:rsid w:val="00FC308C"/>
    <w:rsid w:val="00FC3263"/>
    <w:rsid w:val="00FC51F9"/>
    <w:rsid w:val="00FC5B40"/>
    <w:rsid w:val="00FC5FF8"/>
    <w:rsid w:val="00FD1FCA"/>
    <w:rsid w:val="00FD271B"/>
    <w:rsid w:val="00FD3D7C"/>
    <w:rsid w:val="00FD3E1D"/>
    <w:rsid w:val="00FD4F8F"/>
    <w:rsid w:val="00FE0C16"/>
    <w:rsid w:val="00FE14B1"/>
    <w:rsid w:val="00FE4D97"/>
    <w:rsid w:val="00FE5F90"/>
    <w:rsid w:val="00FF0070"/>
    <w:rsid w:val="00FF07C3"/>
    <w:rsid w:val="00FF5F6A"/>
    <w:rsid w:val="00FF7784"/>
    <w:rsid w:val="00FF7EBB"/>
    <w:rsid w:val="0358B816"/>
    <w:rsid w:val="03CC700C"/>
    <w:rsid w:val="043642A2"/>
    <w:rsid w:val="04770B8A"/>
    <w:rsid w:val="04D3B2CE"/>
    <w:rsid w:val="06783AA2"/>
    <w:rsid w:val="06F34FBA"/>
    <w:rsid w:val="07AF858D"/>
    <w:rsid w:val="0895A14B"/>
    <w:rsid w:val="0A27561F"/>
    <w:rsid w:val="0CE8605B"/>
    <w:rsid w:val="0D80B037"/>
    <w:rsid w:val="0D8C05F9"/>
    <w:rsid w:val="0DD9300F"/>
    <w:rsid w:val="0EDBA8BD"/>
    <w:rsid w:val="0EF2F857"/>
    <w:rsid w:val="0F008B64"/>
    <w:rsid w:val="0F2B140F"/>
    <w:rsid w:val="0F77E214"/>
    <w:rsid w:val="102A3950"/>
    <w:rsid w:val="10904BF9"/>
    <w:rsid w:val="129BB562"/>
    <w:rsid w:val="14E55E54"/>
    <w:rsid w:val="15B21EA4"/>
    <w:rsid w:val="1661DBBC"/>
    <w:rsid w:val="16BDB770"/>
    <w:rsid w:val="178BEA44"/>
    <w:rsid w:val="18FA07C0"/>
    <w:rsid w:val="19A0B2E9"/>
    <w:rsid w:val="1B0FBC5A"/>
    <w:rsid w:val="1B73E917"/>
    <w:rsid w:val="1CC2A6DC"/>
    <w:rsid w:val="1D53B054"/>
    <w:rsid w:val="1D6670C0"/>
    <w:rsid w:val="1EA12677"/>
    <w:rsid w:val="21CFAFAE"/>
    <w:rsid w:val="22B3C5BB"/>
    <w:rsid w:val="230FA6B9"/>
    <w:rsid w:val="23933076"/>
    <w:rsid w:val="23DEE3D2"/>
    <w:rsid w:val="240100B1"/>
    <w:rsid w:val="247AB23F"/>
    <w:rsid w:val="24D4E93A"/>
    <w:rsid w:val="25644093"/>
    <w:rsid w:val="25F327FB"/>
    <w:rsid w:val="27737AC8"/>
    <w:rsid w:val="27B81414"/>
    <w:rsid w:val="283D1B77"/>
    <w:rsid w:val="289DDE72"/>
    <w:rsid w:val="28F1FF9E"/>
    <w:rsid w:val="2A42FEFC"/>
    <w:rsid w:val="2AEFC98A"/>
    <w:rsid w:val="2C030924"/>
    <w:rsid w:val="2CDFB560"/>
    <w:rsid w:val="2E55808E"/>
    <w:rsid w:val="2E5939F5"/>
    <w:rsid w:val="2F4E50CF"/>
    <w:rsid w:val="2F90E210"/>
    <w:rsid w:val="30A6948F"/>
    <w:rsid w:val="322513AD"/>
    <w:rsid w:val="3353280C"/>
    <w:rsid w:val="3498D05F"/>
    <w:rsid w:val="34A1032C"/>
    <w:rsid w:val="35083D97"/>
    <w:rsid w:val="350F702B"/>
    <w:rsid w:val="3517D1D9"/>
    <w:rsid w:val="361CFBCA"/>
    <w:rsid w:val="364AF8A5"/>
    <w:rsid w:val="38CC68F8"/>
    <w:rsid w:val="39C47EB7"/>
    <w:rsid w:val="3B2446CA"/>
    <w:rsid w:val="3B2C4091"/>
    <w:rsid w:val="3BE7216C"/>
    <w:rsid w:val="3C06DA9E"/>
    <w:rsid w:val="3CA50B99"/>
    <w:rsid w:val="3CD2139F"/>
    <w:rsid w:val="3D962690"/>
    <w:rsid w:val="3EE31E8D"/>
    <w:rsid w:val="412D2093"/>
    <w:rsid w:val="44105918"/>
    <w:rsid w:val="47DE5EA0"/>
    <w:rsid w:val="488A33B2"/>
    <w:rsid w:val="48BAA7DD"/>
    <w:rsid w:val="49FF326B"/>
    <w:rsid w:val="4A356110"/>
    <w:rsid w:val="4BCDE19D"/>
    <w:rsid w:val="4D2D8025"/>
    <w:rsid w:val="4DC29AFB"/>
    <w:rsid w:val="4E478861"/>
    <w:rsid w:val="4EC15626"/>
    <w:rsid w:val="4EC4A02F"/>
    <w:rsid w:val="4ECA4BBC"/>
    <w:rsid w:val="4ECF827F"/>
    <w:rsid w:val="5043E040"/>
    <w:rsid w:val="511C61E1"/>
    <w:rsid w:val="513585DA"/>
    <w:rsid w:val="5158DB01"/>
    <w:rsid w:val="51C116BA"/>
    <w:rsid w:val="51DB4887"/>
    <w:rsid w:val="5329D3D3"/>
    <w:rsid w:val="534A9052"/>
    <w:rsid w:val="540162A5"/>
    <w:rsid w:val="577E9AE8"/>
    <w:rsid w:val="57EFF0B7"/>
    <w:rsid w:val="59EF9C14"/>
    <w:rsid w:val="5A453747"/>
    <w:rsid w:val="5B3D790D"/>
    <w:rsid w:val="5C371BFF"/>
    <w:rsid w:val="5EE62511"/>
    <w:rsid w:val="61B20E53"/>
    <w:rsid w:val="623F2A43"/>
    <w:rsid w:val="63A0D8E5"/>
    <w:rsid w:val="63A1FAF3"/>
    <w:rsid w:val="6443A2F9"/>
    <w:rsid w:val="646558D5"/>
    <w:rsid w:val="6531D631"/>
    <w:rsid w:val="657D9FD6"/>
    <w:rsid w:val="66966D40"/>
    <w:rsid w:val="678A7E8E"/>
    <w:rsid w:val="69904927"/>
    <w:rsid w:val="69CA8342"/>
    <w:rsid w:val="6A473A9B"/>
    <w:rsid w:val="6A6BA477"/>
    <w:rsid w:val="6A854C79"/>
    <w:rsid w:val="6C6AD9C6"/>
    <w:rsid w:val="6D1724F2"/>
    <w:rsid w:val="6D1B720D"/>
    <w:rsid w:val="6D4748C2"/>
    <w:rsid w:val="6DBA418C"/>
    <w:rsid w:val="6E4F6729"/>
    <w:rsid w:val="6EEF356E"/>
    <w:rsid w:val="72B097EA"/>
    <w:rsid w:val="732985A0"/>
    <w:rsid w:val="7331E4ED"/>
    <w:rsid w:val="7368B423"/>
    <w:rsid w:val="745329EC"/>
    <w:rsid w:val="74773126"/>
    <w:rsid w:val="748B3D85"/>
    <w:rsid w:val="756EEE2D"/>
    <w:rsid w:val="7645D2F6"/>
    <w:rsid w:val="77387C12"/>
    <w:rsid w:val="77AB8118"/>
    <w:rsid w:val="79F82AFD"/>
    <w:rsid w:val="7AAB400D"/>
    <w:rsid w:val="7AC29F21"/>
    <w:rsid w:val="7B2CF1A9"/>
    <w:rsid w:val="7BCD8CA5"/>
    <w:rsid w:val="7C7FFFAE"/>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BE63F2"/>
    <w:rPr>
      <w:color w:val="954F72" w:themeColor="followedHyperlink"/>
      <w:u w:val="single"/>
    </w:rPr>
  </w:style>
  <w:style w:type="paragraph" w:styleId="NormalWeb">
    <w:name w:val="Normal (Web)"/>
    <w:basedOn w:val="Normal"/>
    <w:uiPriority w:val="99"/>
    <w:semiHidden/>
    <w:unhideWhenUsed/>
    <w:rsid w:val="00A0090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69170">
      <w:bodyDiv w:val="1"/>
      <w:marLeft w:val="0"/>
      <w:marRight w:val="0"/>
      <w:marTop w:val="0"/>
      <w:marBottom w:val="0"/>
      <w:divBdr>
        <w:top w:val="none" w:sz="0" w:space="0" w:color="auto"/>
        <w:left w:val="none" w:sz="0" w:space="0" w:color="auto"/>
        <w:bottom w:val="none" w:sz="0" w:space="0" w:color="auto"/>
        <w:right w:val="none" w:sz="0" w:space="0" w:color="auto"/>
      </w:divBdr>
      <w:divsChild>
        <w:div w:id="1406342970">
          <w:marLeft w:val="0"/>
          <w:marRight w:val="0"/>
          <w:marTop w:val="0"/>
          <w:marBottom w:val="0"/>
          <w:divBdr>
            <w:top w:val="none" w:sz="0" w:space="0" w:color="auto"/>
            <w:left w:val="none" w:sz="0" w:space="0" w:color="auto"/>
            <w:bottom w:val="none" w:sz="0" w:space="0" w:color="auto"/>
            <w:right w:val="none" w:sz="0" w:space="0" w:color="auto"/>
          </w:divBdr>
        </w:div>
      </w:divsChild>
    </w:div>
    <w:div w:id="153691814">
      <w:bodyDiv w:val="1"/>
      <w:marLeft w:val="0"/>
      <w:marRight w:val="0"/>
      <w:marTop w:val="0"/>
      <w:marBottom w:val="0"/>
      <w:divBdr>
        <w:top w:val="none" w:sz="0" w:space="0" w:color="auto"/>
        <w:left w:val="none" w:sz="0" w:space="0" w:color="auto"/>
        <w:bottom w:val="none" w:sz="0" w:space="0" w:color="auto"/>
        <w:right w:val="none" w:sz="0" w:space="0" w:color="auto"/>
      </w:divBdr>
    </w:div>
    <w:div w:id="224876194">
      <w:bodyDiv w:val="1"/>
      <w:marLeft w:val="0"/>
      <w:marRight w:val="0"/>
      <w:marTop w:val="0"/>
      <w:marBottom w:val="0"/>
      <w:divBdr>
        <w:top w:val="none" w:sz="0" w:space="0" w:color="auto"/>
        <w:left w:val="none" w:sz="0" w:space="0" w:color="auto"/>
        <w:bottom w:val="none" w:sz="0" w:space="0" w:color="auto"/>
        <w:right w:val="none" w:sz="0" w:space="0" w:color="auto"/>
      </w:divBdr>
      <w:divsChild>
        <w:div w:id="1404528684">
          <w:marLeft w:val="0"/>
          <w:marRight w:val="0"/>
          <w:marTop w:val="0"/>
          <w:marBottom w:val="0"/>
          <w:divBdr>
            <w:top w:val="none" w:sz="0" w:space="0" w:color="auto"/>
            <w:left w:val="none" w:sz="0" w:space="0" w:color="auto"/>
            <w:bottom w:val="none" w:sz="0" w:space="0" w:color="auto"/>
            <w:right w:val="none" w:sz="0" w:space="0" w:color="auto"/>
          </w:divBdr>
        </w:div>
      </w:divsChild>
    </w:div>
    <w:div w:id="227305567">
      <w:bodyDiv w:val="1"/>
      <w:marLeft w:val="0"/>
      <w:marRight w:val="0"/>
      <w:marTop w:val="0"/>
      <w:marBottom w:val="0"/>
      <w:divBdr>
        <w:top w:val="none" w:sz="0" w:space="0" w:color="auto"/>
        <w:left w:val="none" w:sz="0" w:space="0" w:color="auto"/>
        <w:bottom w:val="none" w:sz="0" w:space="0" w:color="auto"/>
        <w:right w:val="none" w:sz="0" w:space="0" w:color="auto"/>
      </w:divBdr>
      <w:divsChild>
        <w:div w:id="311644006">
          <w:marLeft w:val="0"/>
          <w:marRight w:val="0"/>
          <w:marTop w:val="0"/>
          <w:marBottom w:val="0"/>
          <w:divBdr>
            <w:top w:val="none" w:sz="0" w:space="0" w:color="auto"/>
            <w:left w:val="none" w:sz="0" w:space="0" w:color="auto"/>
            <w:bottom w:val="none" w:sz="0" w:space="0" w:color="auto"/>
            <w:right w:val="none" w:sz="0" w:space="0" w:color="auto"/>
          </w:divBdr>
        </w:div>
      </w:divsChild>
    </w:div>
    <w:div w:id="291179844">
      <w:bodyDiv w:val="1"/>
      <w:marLeft w:val="0"/>
      <w:marRight w:val="0"/>
      <w:marTop w:val="0"/>
      <w:marBottom w:val="0"/>
      <w:divBdr>
        <w:top w:val="none" w:sz="0" w:space="0" w:color="auto"/>
        <w:left w:val="none" w:sz="0" w:space="0" w:color="auto"/>
        <w:bottom w:val="none" w:sz="0" w:space="0" w:color="auto"/>
        <w:right w:val="none" w:sz="0" w:space="0" w:color="auto"/>
      </w:divBdr>
      <w:divsChild>
        <w:div w:id="1741636413">
          <w:marLeft w:val="0"/>
          <w:marRight w:val="0"/>
          <w:marTop w:val="0"/>
          <w:marBottom w:val="0"/>
          <w:divBdr>
            <w:top w:val="none" w:sz="0" w:space="0" w:color="auto"/>
            <w:left w:val="none" w:sz="0" w:space="0" w:color="auto"/>
            <w:bottom w:val="none" w:sz="0" w:space="0" w:color="auto"/>
            <w:right w:val="none" w:sz="0" w:space="0" w:color="auto"/>
          </w:divBdr>
        </w:div>
      </w:divsChild>
    </w:div>
    <w:div w:id="386488825">
      <w:bodyDiv w:val="1"/>
      <w:marLeft w:val="0"/>
      <w:marRight w:val="0"/>
      <w:marTop w:val="0"/>
      <w:marBottom w:val="0"/>
      <w:divBdr>
        <w:top w:val="none" w:sz="0" w:space="0" w:color="auto"/>
        <w:left w:val="none" w:sz="0" w:space="0" w:color="auto"/>
        <w:bottom w:val="none" w:sz="0" w:space="0" w:color="auto"/>
        <w:right w:val="none" w:sz="0" w:space="0" w:color="auto"/>
      </w:divBdr>
      <w:divsChild>
        <w:div w:id="684132573">
          <w:marLeft w:val="0"/>
          <w:marRight w:val="0"/>
          <w:marTop w:val="0"/>
          <w:marBottom w:val="0"/>
          <w:divBdr>
            <w:top w:val="none" w:sz="0" w:space="0" w:color="auto"/>
            <w:left w:val="none" w:sz="0" w:space="0" w:color="auto"/>
            <w:bottom w:val="none" w:sz="0" w:space="0" w:color="auto"/>
            <w:right w:val="none" w:sz="0" w:space="0" w:color="auto"/>
          </w:divBdr>
        </w:div>
      </w:divsChild>
    </w:div>
    <w:div w:id="427577476">
      <w:bodyDiv w:val="1"/>
      <w:marLeft w:val="0"/>
      <w:marRight w:val="0"/>
      <w:marTop w:val="0"/>
      <w:marBottom w:val="0"/>
      <w:divBdr>
        <w:top w:val="none" w:sz="0" w:space="0" w:color="auto"/>
        <w:left w:val="none" w:sz="0" w:space="0" w:color="auto"/>
        <w:bottom w:val="none" w:sz="0" w:space="0" w:color="auto"/>
        <w:right w:val="none" w:sz="0" w:space="0" w:color="auto"/>
      </w:divBdr>
      <w:divsChild>
        <w:div w:id="1424885878">
          <w:marLeft w:val="0"/>
          <w:marRight w:val="0"/>
          <w:marTop w:val="0"/>
          <w:marBottom w:val="0"/>
          <w:divBdr>
            <w:top w:val="none" w:sz="0" w:space="0" w:color="auto"/>
            <w:left w:val="none" w:sz="0" w:space="0" w:color="auto"/>
            <w:bottom w:val="none" w:sz="0" w:space="0" w:color="auto"/>
            <w:right w:val="none" w:sz="0" w:space="0" w:color="auto"/>
          </w:divBdr>
        </w:div>
      </w:divsChild>
    </w:div>
    <w:div w:id="470946528">
      <w:bodyDiv w:val="1"/>
      <w:marLeft w:val="0"/>
      <w:marRight w:val="0"/>
      <w:marTop w:val="0"/>
      <w:marBottom w:val="0"/>
      <w:divBdr>
        <w:top w:val="none" w:sz="0" w:space="0" w:color="auto"/>
        <w:left w:val="none" w:sz="0" w:space="0" w:color="auto"/>
        <w:bottom w:val="none" w:sz="0" w:space="0" w:color="auto"/>
        <w:right w:val="none" w:sz="0" w:space="0" w:color="auto"/>
      </w:divBdr>
      <w:divsChild>
        <w:div w:id="1325476227">
          <w:marLeft w:val="0"/>
          <w:marRight w:val="0"/>
          <w:marTop w:val="0"/>
          <w:marBottom w:val="0"/>
          <w:divBdr>
            <w:top w:val="none" w:sz="0" w:space="0" w:color="auto"/>
            <w:left w:val="none" w:sz="0" w:space="0" w:color="auto"/>
            <w:bottom w:val="none" w:sz="0" w:space="0" w:color="auto"/>
            <w:right w:val="none" w:sz="0" w:space="0" w:color="auto"/>
          </w:divBdr>
        </w:div>
      </w:divsChild>
    </w:div>
    <w:div w:id="587735712">
      <w:bodyDiv w:val="1"/>
      <w:marLeft w:val="0"/>
      <w:marRight w:val="0"/>
      <w:marTop w:val="0"/>
      <w:marBottom w:val="0"/>
      <w:divBdr>
        <w:top w:val="none" w:sz="0" w:space="0" w:color="auto"/>
        <w:left w:val="none" w:sz="0" w:space="0" w:color="auto"/>
        <w:bottom w:val="none" w:sz="0" w:space="0" w:color="auto"/>
        <w:right w:val="none" w:sz="0" w:space="0" w:color="auto"/>
      </w:divBdr>
      <w:divsChild>
        <w:div w:id="506750320">
          <w:marLeft w:val="0"/>
          <w:marRight w:val="0"/>
          <w:marTop w:val="0"/>
          <w:marBottom w:val="0"/>
          <w:divBdr>
            <w:top w:val="none" w:sz="0" w:space="0" w:color="auto"/>
            <w:left w:val="none" w:sz="0" w:space="0" w:color="auto"/>
            <w:bottom w:val="none" w:sz="0" w:space="0" w:color="auto"/>
            <w:right w:val="none" w:sz="0" w:space="0" w:color="auto"/>
          </w:divBdr>
        </w:div>
      </w:divsChild>
    </w:div>
    <w:div w:id="647709590">
      <w:bodyDiv w:val="1"/>
      <w:marLeft w:val="0"/>
      <w:marRight w:val="0"/>
      <w:marTop w:val="0"/>
      <w:marBottom w:val="0"/>
      <w:divBdr>
        <w:top w:val="none" w:sz="0" w:space="0" w:color="auto"/>
        <w:left w:val="none" w:sz="0" w:space="0" w:color="auto"/>
        <w:bottom w:val="none" w:sz="0" w:space="0" w:color="auto"/>
        <w:right w:val="none" w:sz="0" w:space="0" w:color="auto"/>
      </w:divBdr>
    </w:div>
    <w:div w:id="652174532">
      <w:bodyDiv w:val="1"/>
      <w:marLeft w:val="0"/>
      <w:marRight w:val="0"/>
      <w:marTop w:val="0"/>
      <w:marBottom w:val="0"/>
      <w:divBdr>
        <w:top w:val="none" w:sz="0" w:space="0" w:color="auto"/>
        <w:left w:val="none" w:sz="0" w:space="0" w:color="auto"/>
        <w:bottom w:val="none" w:sz="0" w:space="0" w:color="auto"/>
        <w:right w:val="none" w:sz="0" w:space="0" w:color="auto"/>
      </w:divBdr>
      <w:divsChild>
        <w:div w:id="1289161740">
          <w:marLeft w:val="0"/>
          <w:marRight w:val="0"/>
          <w:marTop w:val="0"/>
          <w:marBottom w:val="0"/>
          <w:divBdr>
            <w:top w:val="none" w:sz="0" w:space="0" w:color="auto"/>
            <w:left w:val="none" w:sz="0" w:space="0" w:color="auto"/>
            <w:bottom w:val="none" w:sz="0" w:space="0" w:color="auto"/>
            <w:right w:val="none" w:sz="0" w:space="0" w:color="auto"/>
          </w:divBdr>
        </w:div>
      </w:divsChild>
    </w:div>
    <w:div w:id="675352502">
      <w:bodyDiv w:val="1"/>
      <w:marLeft w:val="0"/>
      <w:marRight w:val="0"/>
      <w:marTop w:val="0"/>
      <w:marBottom w:val="0"/>
      <w:divBdr>
        <w:top w:val="none" w:sz="0" w:space="0" w:color="auto"/>
        <w:left w:val="none" w:sz="0" w:space="0" w:color="auto"/>
        <w:bottom w:val="none" w:sz="0" w:space="0" w:color="auto"/>
        <w:right w:val="none" w:sz="0" w:space="0" w:color="auto"/>
      </w:divBdr>
      <w:divsChild>
        <w:div w:id="1232807242">
          <w:marLeft w:val="0"/>
          <w:marRight w:val="0"/>
          <w:marTop w:val="0"/>
          <w:marBottom w:val="0"/>
          <w:divBdr>
            <w:top w:val="none" w:sz="0" w:space="0" w:color="auto"/>
            <w:left w:val="none" w:sz="0" w:space="0" w:color="auto"/>
            <w:bottom w:val="none" w:sz="0" w:space="0" w:color="auto"/>
            <w:right w:val="none" w:sz="0" w:space="0" w:color="auto"/>
          </w:divBdr>
        </w:div>
      </w:divsChild>
    </w:div>
    <w:div w:id="702171000">
      <w:bodyDiv w:val="1"/>
      <w:marLeft w:val="0"/>
      <w:marRight w:val="0"/>
      <w:marTop w:val="0"/>
      <w:marBottom w:val="0"/>
      <w:divBdr>
        <w:top w:val="none" w:sz="0" w:space="0" w:color="auto"/>
        <w:left w:val="none" w:sz="0" w:space="0" w:color="auto"/>
        <w:bottom w:val="none" w:sz="0" w:space="0" w:color="auto"/>
        <w:right w:val="none" w:sz="0" w:space="0" w:color="auto"/>
      </w:divBdr>
      <w:divsChild>
        <w:div w:id="805708176">
          <w:marLeft w:val="0"/>
          <w:marRight w:val="0"/>
          <w:marTop w:val="0"/>
          <w:marBottom w:val="0"/>
          <w:divBdr>
            <w:top w:val="none" w:sz="0" w:space="0" w:color="auto"/>
            <w:left w:val="none" w:sz="0" w:space="0" w:color="auto"/>
            <w:bottom w:val="none" w:sz="0" w:space="0" w:color="auto"/>
            <w:right w:val="none" w:sz="0" w:space="0" w:color="auto"/>
          </w:divBdr>
        </w:div>
      </w:divsChild>
    </w:div>
    <w:div w:id="702898283">
      <w:bodyDiv w:val="1"/>
      <w:marLeft w:val="0"/>
      <w:marRight w:val="0"/>
      <w:marTop w:val="0"/>
      <w:marBottom w:val="0"/>
      <w:divBdr>
        <w:top w:val="none" w:sz="0" w:space="0" w:color="auto"/>
        <w:left w:val="none" w:sz="0" w:space="0" w:color="auto"/>
        <w:bottom w:val="none" w:sz="0" w:space="0" w:color="auto"/>
        <w:right w:val="none" w:sz="0" w:space="0" w:color="auto"/>
      </w:divBdr>
    </w:div>
    <w:div w:id="730688628">
      <w:bodyDiv w:val="1"/>
      <w:marLeft w:val="0"/>
      <w:marRight w:val="0"/>
      <w:marTop w:val="0"/>
      <w:marBottom w:val="0"/>
      <w:divBdr>
        <w:top w:val="none" w:sz="0" w:space="0" w:color="auto"/>
        <w:left w:val="none" w:sz="0" w:space="0" w:color="auto"/>
        <w:bottom w:val="none" w:sz="0" w:space="0" w:color="auto"/>
        <w:right w:val="none" w:sz="0" w:space="0" w:color="auto"/>
      </w:divBdr>
      <w:divsChild>
        <w:div w:id="415249856">
          <w:marLeft w:val="0"/>
          <w:marRight w:val="0"/>
          <w:marTop w:val="0"/>
          <w:marBottom w:val="0"/>
          <w:divBdr>
            <w:top w:val="none" w:sz="0" w:space="0" w:color="auto"/>
            <w:left w:val="none" w:sz="0" w:space="0" w:color="auto"/>
            <w:bottom w:val="none" w:sz="0" w:space="0" w:color="auto"/>
            <w:right w:val="none" w:sz="0" w:space="0" w:color="auto"/>
          </w:divBdr>
        </w:div>
      </w:divsChild>
    </w:div>
    <w:div w:id="746390937">
      <w:bodyDiv w:val="1"/>
      <w:marLeft w:val="0"/>
      <w:marRight w:val="0"/>
      <w:marTop w:val="0"/>
      <w:marBottom w:val="0"/>
      <w:divBdr>
        <w:top w:val="none" w:sz="0" w:space="0" w:color="auto"/>
        <w:left w:val="none" w:sz="0" w:space="0" w:color="auto"/>
        <w:bottom w:val="none" w:sz="0" w:space="0" w:color="auto"/>
        <w:right w:val="none" w:sz="0" w:space="0" w:color="auto"/>
      </w:divBdr>
      <w:divsChild>
        <w:div w:id="225334956">
          <w:marLeft w:val="0"/>
          <w:marRight w:val="0"/>
          <w:marTop w:val="0"/>
          <w:marBottom w:val="0"/>
          <w:divBdr>
            <w:top w:val="none" w:sz="0" w:space="0" w:color="auto"/>
            <w:left w:val="none" w:sz="0" w:space="0" w:color="auto"/>
            <w:bottom w:val="none" w:sz="0" w:space="0" w:color="auto"/>
            <w:right w:val="none" w:sz="0" w:space="0" w:color="auto"/>
          </w:divBdr>
        </w:div>
      </w:divsChild>
    </w:div>
    <w:div w:id="866143759">
      <w:bodyDiv w:val="1"/>
      <w:marLeft w:val="0"/>
      <w:marRight w:val="0"/>
      <w:marTop w:val="0"/>
      <w:marBottom w:val="0"/>
      <w:divBdr>
        <w:top w:val="none" w:sz="0" w:space="0" w:color="auto"/>
        <w:left w:val="none" w:sz="0" w:space="0" w:color="auto"/>
        <w:bottom w:val="none" w:sz="0" w:space="0" w:color="auto"/>
        <w:right w:val="none" w:sz="0" w:space="0" w:color="auto"/>
      </w:divBdr>
      <w:divsChild>
        <w:div w:id="20400148">
          <w:marLeft w:val="0"/>
          <w:marRight w:val="0"/>
          <w:marTop w:val="0"/>
          <w:marBottom w:val="0"/>
          <w:divBdr>
            <w:top w:val="none" w:sz="0" w:space="0" w:color="auto"/>
            <w:left w:val="none" w:sz="0" w:space="0" w:color="auto"/>
            <w:bottom w:val="none" w:sz="0" w:space="0" w:color="auto"/>
            <w:right w:val="none" w:sz="0" w:space="0" w:color="auto"/>
          </w:divBdr>
        </w:div>
      </w:divsChild>
    </w:div>
    <w:div w:id="915474652">
      <w:bodyDiv w:val="1"/>
      <w:marLeft w:val="0"/>
      <w:marRight w:val="0"/>
      <w:marTop w:val="0"/>
      <w:marBottom w:val="0"/>
      <w:divBdr>
        <w:top w:val="none" w:sz="0" w:space="0" w:color="auto"/>
        <w:left w:val="none" w:sz="0" w:space="0" w:color="auto"/>
        <w:bottom w:val="none" w:sz="0" w:space="0" w:color="auto"/>
        <w:right w:val="none" w:sz="0" w:space="0" w:color="auto"/>
      </w:divBdr>
      <w:divsChild>
        <w:div w:id="488833536">
          <w:marLeft w:val="0"/>
          <w:marRight w:val="0"/>
          <w:marTop w:val="0"/>
          <w:marBottom w:val="0"/>
          <w:divBdr>
            <w:top w:val="none" w:sz="0" w:space="0" w:color="auto"/>
            <w:left w:val="none" w:sz="0" w:space="0" w:color="auto"/>
            <w:bottom w:val="none" w:sz="0" w:space="0" w:color="auto"/>
            <w:right w:val="none" w:sz="0" w:space="0" w:color="auto"/>
          </w:divBdr>
        </w:div>
      </w:divsChild>
    </w:div>
    <w:div w:id="934705065">
      <w:bodyDiv w:val="1"/>
      <w:marLeft w:val="0"/>
      <w:marRight w:val="0"/>
      <w:marTop w:val="0"/>
      <w:marBottom w:val="0"/>
      <w:divBdr>
        <w:top w:val="none" w:sz="0" w:space="0" w:color="auto"/>
        <w:left w:val="none" w:sz="0" w:space="0" w:color="auto"/>
        <w:bottom w:val="none" w:sz="0" w:space="0" w:color="auto"/>
        <w:right w:val="none" w:sz="0" w:space="0" w:color="auto"/>
      </w:divBdr>
      <w:divsChild>
        <w:div w:id="691960171">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6013340">
      <w:bodyDiv w:val="1"/>
      <w:marLeft w:val="0"/>
      <w:marRight w:val="0"/>
      <w:marTop w:val="0"/>
      <w:marBottom w:val="0"/>
      <w:divBdr>
        <w:top w:val="none" w:sz="0" w:space="0" w:color="auto"/>
        <w:left w:val="none" w:sz="0" w:space="0" w:color="auto"/>
        <w:bottom w:val="none" w:sz="0" w:space="0" w:color="auto"/>
        <w:right w:val="none" w:sz="0" w:space="0" w:color="auto"/>
      </w:divBdr>
      <w:divsChild>
        <w:div w:id="1231622233">
          <w:marLeft w:val="0"/>
          <w:marRight w:val="0"/>
          <w:marTop w:val="0"/>
          <w:marBottom w:val="0"/>
          <w:divBdr>
            <w:top w:val="none" w:sz="0" w:space="0" w:color="auto"/>
            <w:left w:val="none" w:sz="0" w:space="0" w:color="auto"/>
            <w:bottom w:val="none" w:sz="0" w:space="0" w:color="auto"/>
            <w:right w:val="none" w:sz="0" w:space="0" w:color="auto"/>
          </w:divBdr>
        </w:div>
      </w:divsChild>
    </w:div>
    <w:div w:id="1013800360">
      <w:bodyDiv w:val="1"/>
      <w:marLeft w:val="0"/>
      <w:marRight w:val="0"/>
      <w:marTop w:val="0"/>
      <w:marBottom w:val="0"/>
      <w:divBdr>
        <w:top w:val="none" w:sz="0" w:space="0" w:color="auto"/>
        <w:left w:val="none" w:sz="0" w:space="0" w:color="auto"/>
        <w:bottom w:val="none" w:sz="0" w:space="0" w:color="auto"/>
        <w:right w:val="none" w:sz="0" w:space="0" w:color="auto"/>
      </w:divBdr>
      <w:divsChild>
        <w:div w:id="1041130131">
          <w:marLeft w:val="0"/>
          <w:marRight w:val="0"/>
          <w:marTop w:val="0"/>
          <w:marBottom w:val="0"/>
          <w:divBdr>
            <w:top w:val="none" w:sz="0" w:space="0" w:color="auto"/>
            <w:left w:val="none" w:sz="0" w:space="0" w:color="auto"/>
            <w:bottom w:val="none" w:sz="0" w:space="0" w:color="auto"/>
            <w:right w:val="none" w:sz="0" w:space="0" w:color="auto"/>
          </w:divBdr>
        </w:div>
      </w:divsChild>
    </w:div>
    <w:div w:id="1053506012">
      <w:bodyDiv w:val="1"/>
      <w:marLeft w:val="0"/>
      <w:marRight w:val="0"/>
      <w:marTop w:val="0"/>
      <w:marBottom w:val="0"/>
      <w:divBdr>
        <w:top w:val="none" w:sz="0" w:space="0" w:color="auto"/>
        <w:left w:val="none" w:sz="0" w:space="0" w:color="auto"/>
        <w:bottom w:val="none" w:sz="0" w:space="0" w:color="auto"/>
        <w:right w:val="none" w:sz="0" w:space="0" w:color="auto"/>
      </w:divBdr>
      <w:divsChild>
        <w:div w:id="1904366846">
          <w:marLeft w:val="0"/>
          <w:marRight w:val="0"/>
          <w:marTop w:val="0"/>
          <w:marBottom w:val="0"/>
          <w:divBdr>
            <w:top w:val="none" w:sz="0" w:space="0" w:color="auto"/>
            <w:left w:val="none" w:sz="0" w:space="0" w:color="auto"/>
            <w:bottom w:val="none" w:sz="0" w:space="0" w:color="auto"/>
            <w:right w:val="none" w:sz="0" w:space="0" w:color="auto"/>
          </w:divBdr>
        </w:div>
      </w:divsChild>
    </w:div>
    <w:div w:id="1135224269">
      <w:bodyDiv w:val="1"/>
      <w:marLeft w:val="0"/>
      <w:marRight w:val="0"/>
      <w:marTop w:val="0"/>
      <w:marBottom w:val="0"/>
      <w:divBdr>
        <w:top w:val="none" w:sz="0" w:space="0" w:color="auto"/>
        <w:left w:val="none" w:sz="0" w:space="0" w:color="auto"/>
        <w:bottom w:val="none" w:sz="0" w:space="0" w:color="auto"/>
        <w:right w:val="none" w:sz="0" w:space="0" w:color="auto"/>
      </w:divBdr>
      <w:divsChild>
        <w:div w:id="565801754">
          <w:marLeft w:val="0"/>
          <w:marRight w:val="0"/>
          <w:marTop w:val="0"/>
          <w:marBottom w:val="0"/>
          <w:divBdr>
            <w:top w:val="none" w:sz="0" w:space="0" w:color="auto"/>
            <w:left w:val="none" w:sz="0" w:space="0" w:color="auto"/>
            <w:bottom w:val="none" w:sz="0" w:space="0" w:color="auto"/>
            <w:right w:val="none" w:sz="0" w:space="0" w:color="auto"/>
          </w:divBdr>
        </w:div>
      </w:divsChild>
    </w:div>
    <w:div w:id="1171800225">
      <w:bodyDiv w:val="1"/>
      <w:marLeft w:val="0"/>
      <w:marRight w:val="0"/>
      <w:marTop w:val="0"/>
      <w:marBottom w:val="0"/>
      <w:divBdr>
        <w:top w:val="none" w:sz="0" w:space="0" w:color="auto"/>
        <w:left w:val="none" w:sz="0" w:space="0" w:color="auto"/>
        <w:bottom w:val="none" w:sz="0" w:space="0" w:color="auto"/>
        <w:right w:val="none" w:sz="0" w:space="0" w:color="auto"/>
      </w:divBdr>
      <w:divsChild>
        <w:div w:id="989290311">
          <w:marLeft w:val="0"/>
          <w:marRight w:val="0"/>
          <w:marTop w:val="0"/>
          <w:marBottom w:val="0"/>
          <w:divBdr>
            <w:top w:val="none" w:sz="0" w:space="0" w:color="auto"/>
            <w:left w:val="none" w:sz="0" w:space="0" w:color="auto"/>
            <w:bottom w:val="none" w:sz="0" w:space="0" w:color="auto"/>
            <w:right w:val="none" w:sz="0" w:space="0" w:color="auto"/>
          </w:divBdr>
        </w:div>
      </w:divsChild>
    </w:div>
    <w:div w:id="1189179093">
      <w:bodyDiv w:val="1"/>
      <w:marLeft w:val="0"/>
      <w:marRight w:val="0"/>
      <w:marTop w:val="0"/>
      <w:marBottom w:val="0"/>
      <w:divBdr>
        <w:top w:val="none" w:sz="0" w:space="0" w:color="auto"/>
        <w:left w:val="none" w:sz="0" w:space="0" w:color="auto"/>
        <w:bottom w:val="none" w:sz="0" w:space="0" w:color="auto"/>
        <w:right w:val="none" w:sz="0" w:space="0" w:color="auto"/>
      </w:divBdr>
      <w:divsChild>
        <w:div w:id="21825034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9069642">
      <w:bodyDiv w:val="1"/>
      <w:marLeft w:val="0"/>
      <w:marRight w:val="0"/>
      <w:marTop w:val="0"/>
      <w:marBottom w:val="0"/>
      <w:divBdr>
        <w:top w:val="none" w:sz="0" w:space="0" w:color="auto"/>
        <w:left w:val="none" w:sz="0" w:space="0" w:color="auto"/>
        <w:bottom w:val="none" w:sz="0" w:space="0" w:color="auto"/>
        <w:right w:val="none" w:sz="0" w:space="0" w:color="auto"/>
      </w:divBdr>
      <w:divsChild>
        <w:div w:id="576600874">
          <w:marLeft w:val="0"/>
          <w:marRight w:val="0"/>
          <w:marTop w:val="0"/>
          <w:marBottom w:val="0"/>
          <w:divBdr>
            <w:top w:val="none" w:sz="0" w:space="0" w:color="auto"/>
            <w:left w:val="none" w:sz="0" w:space="0" w:color="auto"/>
            <w:bottom w:val="none" w:sz="0" w:space="0" w:color="auto"/>
            <w:right w:val="none" w:sz="0" w:space="0" w:color="auto"/>
          </w:divBdr>
        </w:div>
      </w:divsChild>
    </w:div>
    <w:div w:id="1241939544">
      <w:bodyDiv w:val="1"/>
      <w:marLeft w:val="0"/>
      <w:marRight w:val="0"/>
      <w:marTop w:val="0"/>
      <w:marBottom w:val="0"/>
      <w:divBdr>
        <w:top w:val="none" w:sz="0" w:space="0" w:color="auto"/>
        <w:left w:val="none" w:sz="0" w:space="0" w:color="auto"/>
        <w:bottom w:val="none" w:sz="0" w:space="0" w:color="auto"/>
        <w:right w:val="none" w:sz="0" w:space="0" w:color="auto"/>
      </w:divBdr>
      <w:divsChild>
        <w:div w:id="354621190">
          <w:marLeft w:val="0"/>
          <w:marRight w:val="0"/>
          <w:marTop w:val="0"/>
          <w:marBottom w:val="0"/>
          <w:divBdr>
            <w:top w:val="none" w:sz="0" w:space="0" w:color="auto"/>
            <w:left w:val="none" w:sz="0" w:space="0" w:color="auto"/>
            <w:bottom w:val="none" w:sz="0" w:space="0" w:color="auto"/>
            <w:right w:val="none" w:sz="0" w:space="0" w:color="auto"/>
          </w:divBdr>
        </w:div>
      </w:divsChild>
    </w:div>
    <w:div w:id="1268583458">
      <w:bodyDiv w:val="1"/>
      <w:marLeft w:val="0"/>
      <w:marRight w:val="0"/>
      <w:marTop w:val="0"/>
      <w:marBottom w:val="0"/>
      <w:divBdr>
        <w:top w:val="none" w:sz="0" w:space="0" w:color="auto"/>
        <w:left w:val="none" w:sz="0" w:space="0" w:color="auto"/>
        <w:bottom w:val="none" w:sz="0" w:space="0" w:color="auto"/>
        <w:right w:val="none" w:sz="0" w:space="0" w:color="auto"/>
      </w:divBdr>
      <w:divsChild>
        <w:div w:id="545721320">
          <w:marLeft w:val="0"/>
          <w:marRight w:val="0"/>
          <w:marTop w:val="0"/>
          <w:marBottom w:val="0"/>
          <w:divBdr>
            <w:top w:val="none" w:sz="0" w:space="0" w:color="auto"/>
            <w:left w:val="none" w:sz="0" w:space="0" w:color="auto"/>
            <w:bottom w:val="none" w:sz="0" w:space="0" w:color="auto"/>
            <w:right w:val="none" w:sz="0" w:space="0" w:color="auto"/>
          </w:divBdr>
        </w:div>
      </w:divsChild>
    </w:div>
    <w:div w:id="1343893697">
      <w:bodyDiv w:val="1"/>
      <w:marLeft w:val="0"/>
      <w:marRight w:val="0"/>
      <w:marTop w:val="0"/>
      <w:marBottom w:val="0"/>
      <w:divBdr>
        <w:top w:val="none" w:sz="0" w:space="0" w:color="auto"/>
        <w:left w:val="none" w:sz="0" w:space="0" w:color="auto"/>
        <w:bottom w:val="none" w:sz="0" w:space="0" w:color="auto"/>
        <w:right w:val="none" w:sz="0" w:space="0" w:color="auto"/>
      </w:divBdr>
    </w:div>
    <w:div w:id="1624844077">
      <w:bodyDiv w:val="1"/>
      <w:marLeft w:val="0"/>
      <w:marRight w:val="0"/>
      <w:marTop w:val="0"/>
      <w:marBottom w:val="0"/>
      <w:divBdr>
        <w:top w:val="none" w:sz="0" w:space="0" w:color="auto"/>
        <w:left w:val="none" w:sz="0" w:space="0" w:color="auto"/>
        <w:bottom w:val="none" w:sz="0" w:space="0" w:color="auto"/>
        <w:right w:val="none" w:sz="0" w:space="0" w:color="auto"/>
      </w:divBdr>
      <w:divsChild>
        <w:div w:id="1540170457">
          <w:marLeft w:val="0"/>
          <w:marRight w:val="0"/>
          <w:marTop w:val="0"/>
          <w:marBottom w:val="0"/>
          <w:divBdr>
            <w:top w:val="none" w:sz="0" w:space="0" w:color="auto"/>
            <w:left w:val="none" w:sz="0" w:space="0" w:color="auto"/>
            <w:bottom w:val="none" w:sz="0" w:space="0" w:color="auto"/>
            <w:right w:val="none" w:sz="0" w:space="0" w:color="auto"/>
          </w:divBdr>
        </w:div>
      </w:divsChild>
    </w:div>
    <w:div w:id="1666516025">
      <w:bodyDiv w:val="1"/>
      <w:marLeft w:val="0"/>
      <w:marRight w:val="0"/>
      <w:marTop w:val="0"/>
      <w:marBottom w:val="0"/>
      <w:divBdr>
        <w:top w:val="none" w:sz="0" w:space="0" w:color="auto"/>
        <w:left w:val="none" w:sz="0" w:space="0" w:color="auto"/>
        <w:bottom w:val="none" w:sz="0" w:space="0" w:color="auto"/>
        <w:right w:val="none" w:sz="0" w:space="0" w:color="auto"/>
      </w:divBdr>
      <w:divsChild>
        <w:div w:id="104470095">
          <w:marLeft w:val="0"/>
          <w:marRight w:val="0"/>
          <w:marTop w:val="0"/>
          <w:marBottom w:val="0"/>
          <w:divBdr>
            <w:top w:val="none" w:sz="0" w:space="0" w:color="auto"/>
            <w:left w:val="none" w:sz="0" w:space="0" w:color="auto"/>
            <w:bottom w:val="none" w:sz="0" w:space="0" w:color="auto"/>
            <w:right w:val="none" w:sz="0" w:space="0" w:color="auto"/>
          </w:divBdr>
        </w:div>
      </w:divsChild>
    </w:div>
    <w:div w:id="1804619878">
      <w:bodyDiv w:val="1"/>
      <w:marLeft w:val="0"/>
      <w:marRight w:val="0"/>
      <w:marTop w:val="0"/>
      <w:marBottom w:val="0"/>
      <w:divBdr>
        <w:top w:val="none" w:sz="0" w:space="0" w:color="auto"/>
        <w:left w:val="none" w:sz="0" w:space="0" w:color="auto"/>
        <w:bottom w:val="none" w:sz="0" w:space="0" w:color="auto"/>
        <w:right w:val="none" w:sz="0" w:space="0" w:color="auto"/>
      </w:divBdr>
      <w:divsChild>
        <w:div w:id="689255951">
          <w:marLeft w:val="0"/>
          <w:marRight w:val="0"/>
          <w:marTop w:val="0"/>
          <w:marBottom w:val="0"/>
          <w:divBdr>
            <w:top w:val="none" w:sz="0" w:space="0" w:color="auto"/>
            <w:left w:val="none" w:sz="0" w:space="0" w:color="auto"/>
            <w:bottom w:val="none" w:sz="0" w:space="0" w:color="auto"/>
            <w:right w:val="none" w:sz="0" w:space="0" w:color="auto"/>
          </w:divBdr>
        </w:div>
      </w:divsChild>
    </w:div>
    <w:div w:id="1835337021">
      <w:bodyDiv w:val="1"/>
      <w:marLeft w:val="0"/>
      <w:marRight w:val="0"/>
      <w:marTop w:val="0"/>
      <w:marBottom w:val="0"/>
      <w:divBdr>
        <w:top w:val="none" w:sz="0" w:space="0" w:color="auto"/>
        <w:left w:val="none" w:sz="0" w:space="0" w:color="auto"/>
        <w:bottom w:val="none" w:sz="0" w:space="0" w:color="auto"/>
        <w:right w:val="none" w:sz="0" w:space="0" w:color="auto"/>
      </w:divBdr>
      <w:divsChild>
        <w:div w:id="1523786253">
          <w:marLeft w:val="0"/>
          <w:marRight w:val="0"/>
          <w:marTop w:val="0"/>
          <w:marBottom w:val="0"/>
          <w:divBdr>
            <w:top w:val="none" w:sz="0" w:space="0" w:color="auto"/>
            <w:left w:val="none" w:sz="0" w:space="0" w:color="auto"/>
            <w:bottom w:val="none" w:sz="0" w:space="0" w:color="auto"/>
            <w:right w:val="none" w:sz="0" w:space="0" w:color="auto"/>
          </w:divBdr>
        </w:div>
      </w:divsChild>
    </w:div>
    <w:div w:id="1844393487">
      <w:bodyDiv w:val="1"/>
      <w:marLeft w:val="0"/>
      <w:marRight w:val="0"/>
      <w:marTop w:val="0"/>
      <w:marBottom w:val="0"/>
      <w:divBdr>
        <w:top w:val="none" w:sz="0" w:space="0" w:color="auto"/>
        <w:left w:val="none" w:sz="0" w:space="0" w:color="auto"/>
        <w:bottom w:val="none" w:sz="0" w:space="0" w:color="auto"/>
        <w:right w:val="none" w:sz="0" w:space="0" w:color="auto"/>
      </w:divBdr>
      <w:divsChild>
        <w:div w:id="81533546">
          <w:marLeft w:val="0"/>
          <w:marRight w:val="0"/>
          <w:marTop w:val="0"/>
          <w:marBottom w:val="0"/>
          <w:divBdr>
            <w:top w:val="none" w:sz="0" w:space="0" w:color="auto"/>
            <w:left w:val="none" w:sz="0" w:space="0" w:color="auto"/>
            <w:bottom w:val="none" w:sz="0" w:space="0" w:color="auto"/>
            <w:right w:val="none" w:sz="0" w:space="0" w:color="auto"/>
          </w:divBdr>
        </w:div>
      </w:divsChild>
    </w:div>
    <w:div w:id="1879194032">
      <w:bodyDiv w:val="1"/>
      <w:marLeft w:val="0"/>
      <w:marRight w:val="0"/>
      <w:marTop w:val="0"/>
      <w:marBottom w:val="0"/>
      <w:divBdr>
        <w:top w:val="none" w:sz="0" w:space="0" w:color="auto"/>
        <w:left w:val="none" w:sz="0" w:space="0" w:color="auto"/>
        <w:bottom w:val="none" w:sz="0" w:space="0" w:color="auto"/>
        <w:right w:val="none" w:sz="0" w:space="0" w:color="auto"/>
      </w:divBdr>
      <w:divsChild>
        <w:div w:id="705831694">
          <w:marLeft w:val="0"/>
          <w:marRight w:val="0"/>
          <w:marTop w:val="0"/>
          <w:marBottom w:val="0"/>
          <w:divBdr>
            <w:top w:val="none" w:sz="0" w:space="0" w:color="auto"/>
            <w:left w:val="none" w:sz="0" w:space="0" w:color="auto"/>
            <w:bottom w:val="none" w:sz="0" w:space="0" w:color="auto"/>
            <w:right w:val="none" w:sz="0" w:space="0" w:color="auto"/>
          </w:divBdr>
        </w:div>
      </w:divsChild>
    </w:div>
    <w:div w:id="2009289700">
      <w:bodyDiv w:val="1"/>
      <w:marLeft w:val="0"/>
      <w:marRight w:val="0"/>
      <w:marTop w:val="0"/>
      <w:marBottom w:val="0"/>
      <w:divBdr>
        <w:top w:val="none" w:sz="0" w:space="0" w:color="auto"/>
        <w:left w:val="none" w:sz="0" w:space="0" w:color="auto"/>
        <w:bottom w:val="none" w:sz="0" w:space="0" w:color="auto"/>
        <w:right w:val="none" w:sz="0" w:space="0" w:color="auto"/>
      </w:divBdr>
    </w:div>
    <w:div w:id="2026714580">
      <w:bodyDiv w:val="1"/>
      <w:marLeft w:val="0"/>
      <w:marRight w:val="0"/>
      <w:marTop w:val="0"/>
      <w:marBottom w:val="0"/>
      <w:divBdr>
        <w:top w:val="none" w:sz="0" w:space="0" w:color="auto"/>
        <w:left w:val="none" w:sz="0" w:space="0" w:color="auto"/>
        <w:bottom w:val="none" w:sz="0" w:space="0" w:color="auto"/>
        <w:right w:val="none" w:sz="0" w:space="0" w:color="auto"/>
      </w:divBdr>
      <w:divsChild>
        <w:div w:id="167283254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162895">
      <w:bodyDiv w:val="1"/>
      <w:marLeft w:val="0"/>
      <w:marRight w:val="0"/>
      <w:marTop w:val="0"/>
      <w:marBottom w:val="0"/>
      <w:divBdr>
        <w:top w:val="none" w:sz="0" w:space="0" w:color="auto"/>
        <w:left w:val="none" w:sz="0" w:space="0" w:color="auto"/>
        <w:bottom w:val="none" w:sz="0" w:space="0" w:color="auto"/>
        <w:right w:val="none" w:sz="0" w:space="0" w:color="auto"/>
      </w:divBdr>
      <w:divsChild>
        <w:div w:id="830562721">
          <w:marLeft w:val="0"/>
          <w:marRight w:val="0"/>
          <w:marTop w:val="0"/>
          <w:marBottom w:val="0"/>
          <w:divBdr>
            <w:top w:val="none" w:sz="0" w:space="0" w:color="auto"/>
            <w:left w:val="none" w:sz="0" w:space="0" w:color="auto"/>
            <w:bottom w:val="none" w:sz="0" w:space="0" w:color="auto"/>
            <w:right w:val="none" w:sz="0" w:space="0" w:color="auto"/>
          </w:divBdr>
        </w:div>
      </w:divsChild>
    </w:div>
    <w:div w:id="2053965486">
      <w:bodyDiv w:val="1"/>
      <w:marLeft w:val="0"/>
      <w:marRight w:val="0"/>
      <w:marTop w:val="0"/>
      <w:marBottom w:val="0"/>
      <w:divBdr>
        <w:top w:val="none" w:sz="0" w:space="0" w:color="auto"/>
        <w:left w:val="none" w:sz="0" w:space="0" w:color="auto"/>
        <w:bottom w:val="none" w:sz="0" w:space="0" w:color="auto"/>
        <w:right w:val="none" w:sz="0" w:space="0" w:color="auto"/>
      </w:divBdr>
      <w:divsChild>
        <w:div w:id="1336879904">
          <w:marLeft w:val="0"/>
          <w:marRight w:val="0"/>
          <w:marTop w:val="0"/>
          <w:marBottom w:val="0"/>
          <w:divBdr>
            <w:top w:val="none" w:sz="0" w:space="0" w:color="auto"/>
            <w:left w:val="none" w:sz="0" w:space="0" w:color="auto"/>
            <w:bottom w:val="none" w:sz="0" w:space="0" w:color="auto"/>
            <w:right w:val="none" w:sz="0" w:space="0" w:color="auto"/>
          </w:divBdr>
        </w:div>
      </w:divsChild>
    </w:div>
    <w:div w:id="2054848267">
      <w:bodyDiv w:val="1"/>
      <w:marLeft w:val="0"/>
      <w:marRight w:val="0"/>
      <w:marTop w:val="0"/>
      <w:marBottom w:val="0"/>
      <w:divBdr>
        <w:top w:val="none" w:sz="0" w:space="0" w:color="auto"/>
        <w:left w:val="none" w:sz="0" w:space="0" w:color="auto"/>
        <w:bottom w:val="none" w:sz="0" w:space="0" w:color="auto"/>
        <w:right w:val="none" w:sz="0" w:space="0" w:color="auto"/>
      </w:divBdr>
      <w:divsChild>
        <w:div w:id="794102411">
          <w:marLeft w:val="0"/>
          <w:marRight w:val="0"/>
          <w:marTop w:val="0"/>
          <w:marBottom w:val="0"/>
          <w:divBdr>
            <w:top w:val="none" w:sz="0" w:space="0" w:color="auto"/>
            <w:left w:val="none" w:sz="0" w:space="0" w:color="auto"/>
            <w:bottom w:val="none" w:sz="0" w:space="0" w:color="auto"/>
            <w:right w:val="none" w:sz="0" w:space="0" w:color="auto"/>
          </w:divBdr>
        </w:div>
      </w:divsChild>
    </w:div>
    <w:div w:id="2088262320">
      <w:bodyDiv w:val="1"/>
      <w:marLeft w:val="0"/>
      <w:marRight w:val="0"/>
      <w:marTop w:val="0"/>
      <w:marBottom w:val="0"/>
      <w:divBdr>
        <w:top w:val="none" w:sz="0" w:space="0" w:color="auto"/>
        <w:left w:val="none" w:sz="0" w:space="0" w:color="auto"/>
        <w:bottom w:val="none" w:sz="0" w:space="0" w:color="auto"/>
        <w:right w:val="none" w:sz="0" w:space="0" w:color="auto"/>
      </w:divBdr>
      <w:divsChild>
        <w:div w:id="98181596">
          <w:marLeft w:val="0"/>
          <w:marRight w:val="0"/>
          <w:marTop w:val="0"/>
          <w:marBottom w:val="0"/>
          <w:divBdr>
            <w:top w:val="none" w:sz="0" w:space="0" w:color="auto"/>
            <w:left w:val="none" w:sz="0" w:space="0" w:color="auto"/>
            <w:bottom w:val="none" w:sz="0" w:space="0" w:color="auto"/>
            <w:right w:val="none" w:sz="0" w:space="0" w:color="auto"/>
          </w:divBdr>
        </w:div>
      </w:divsChild>
    </w:div>
    <w:div w:id="2098745928">
      <w:bodyDiv w:val="1"/>
      <w:marLeft w:val="0"/>
      <w:marRight w:val="0"/>
      <w:marTop w:val="0"/>
      <w:marBottom w:val="0"/>
      <w:divBdr>
        <w:top w:val="none" w:sz="0" w:space="0" w:color="auto"/>
        <w:left w:val="none" w:sz="0" w:space="0" w:color="auto"/>
        <w:bottom w:val="none" w:sz="0" w:space="0" w:color="auto"/>
        <w:right w:val="none" w:sz="0" w:space="0" w:color="auto"/>
      </w:divBdr>
      <w:divsChild>
        <w:div w:id="866794940">
          <w:marLeft w:val="0"/>
          <w:marRight w:val="0"/>
          <w:marTop w:val="0"/>
          <w:marBottom w:val="0"/>
          <w:divBdr>
            <w:top w:val="none" w:sz="0" w:space="0" w:color="auto"/>
            <w:left w:val="none" w:sz="0" w:space="0" w:color="auto"/>
            <w:bottom w:val="none" w:sz="0" w:space="0" w:color="auto"/>
            <w:right w:val="none" w:sz="0" w:space="0" w:color="auto"/>
          </w:divBdr>
        </w:div>
      </w:divsChild>
    </w:div>
    <w:div w:id="2107144420">
      <w:bodyDiv w:val="1"/>
      <w:marLeft w:val="0"/>
      <w:marRight w:val="0"/>
      <w:marTop w:val="0"/>
      <w:marBottom w:val="0"/>
      <w:divBdr>
        <w:top w:val="none" w:sz="0" w:space="0" w:color="auto"/>
        <w:left w:val="none" w:sz="0" w:space="0" w:color="auto"/>
        <w:bottom w:val="none" w:sz="0" w:space="0" w:color="auto"/>
        <w:right w:val="none" w:sz="0" w:space="0" w:color="auto"/>
      </w:divBdr>
    </w:div>
    <w:div w:id="2128237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9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F0B331A3592484994A33F735A963EF1" ma:contentTypeVersion="6" ma:contentTypeDescription="Create a new document." ma:contentTypeScope="" ma:versionID="e00d530d8ef3ab336976edb20ed66033">
  <xsd:schema xmlns:xsd="http://www.w3.org/2001/XMLSchema" xmlns:xs="http://www.w3.org/2001/XMLSchema" xmlns:p="http://schemas.microsoft.com/office/2006/metadata/properties" xmlns:ns2="c524e033-9d3a-460b-9b7d-ff25581b02f5" xmlns:ns3="3dd42fbc-72c6-46a7-98de-79ca0768b3bf" targetNamespace="http://schemas.microsoft.com/office/2006/metadata/properties" ma:root="true" ma:fieldsID="059a41ccaac05b7119862e62b48a3e45" ns2:_="" ns3:_="">
    <xsd:import namespace="c524e033-9d3a-460b-9b7d-ff25581b02f5"/>
    <xsd:import namespace="3dd42fbc-72c6-46a7-98de-79ca0768b3b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24e033-9d3a-460b-9b7d-ff25581b02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d42fbc-72c6-46a7-98de-79ca0768b3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D5338049-350C-474F-8DC2-F887315A8D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24e033-9d3a-460b-9b7d-ff25581b02f5"/>
    <ds:schemaRef ds:uri="3dd42fbc-72c6-46a7-98de-79ca0768b3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2EE4910C-2E5A-4B6E-8ED3-17BC3294DBE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17</Pages>
  <Words>4569</Words>
  <Characters>27324</Characters>
  <Application>Microsoft Office Word</Application>
  <DocSecurity>0</DocSecurity>
  <Lines>414</Lines>
  <Paragraphs>62</Paragraphs>
  <ScaleCrop>false</ScaleCrop>
  <Company>Powys County Council</Company>
  <LinksUpToDate>false</LinksUpToDate>
  <CharactersWithSpaces>31831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Kelsey</cp:lastModifiedBy>
  <cp:revision>66</cp:revision>
  <cp:lastPrinted>2020-02-11T19:20:00Z</cp:lastPrinted>
  <dcterms:created xsi:type="dcterms:W3CDTF">2026-02-11T16:45:00Z</dcterms:created>
  <dcterms:modified xsi:type="dcterms:W3CDTF">2026-02-11T17:58:00Z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0x010100FF0B331A3592484994A33F735A963EF1</vt:lpwstr>
  </property>
</Properties>
</file>