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0E61" w:rsidRDefault="00BF5185">
      <w:pPr>
        <w:rPr>
          <w:b/>
          <w:sz w:val="24"/>
          <w:u w:val="single"/>
        </w:rPr>
      </w:pPr>
      <w:r>
        <w:rPr>
          <w:b/>
          <w:sz w:val="24"/>
          <w:u w:val="single"/>
        </w:rPr>
        <w:t xml:space="preserve">To what extent can </w:t>
      </w:r>
      <w:r w:rsidR="00740E61">
        <w:rPr>
          <w:b/>
          <w:sz w:val="24"/>
          <w:u w:val="single"/>
        </w:rPr>
        <w:t xml:space="preserve">Augustan art, architecture and literature show motifs </w:t>
      </w:r>
      <w:proofErr w:type="gramStart"/>
      <w:r w:rsidR="00740E61">
        <w:rPr>
          <w:b/>
          <w:sz w:val="24"/>
          <w:u w:val="single"/>
        </w:rPr>
        <w:t>alluding</w:t>
      </w:r>
      <w:proofErr w:type="gramEnd"/>
      <w:r w:rsidR="00740E61">
        <w:rPr>
          <w:b/>
          <w:sz w:val="24"/>
          <w:u w:val="single"/>
        </w:rPr>
        <w:t xml:space="preserve"> to that of a ‘Golden age’ of Rome brought about by the emperor Augustus, or were these distractions for a power-hungry tyrant?</w:t>
      </w:r>
    </w:p>
    <w:p w:rsidR="00BF5185" w:rsidRDefault="00BF5185">
      <w:pPr>
        <w:rPr>
          <w:b/>
          <w:sz w:val="24"/>
          <w:u w:val="single"/>
        </w:rPr>
      </w:pPr>
    </w:p>
    <w:p w:rsidR="00BF5185" w:rsidRDefault="00BF5185">
      <w:pPr>
        <w:rPr>
          <w:b/>
          <w:sz w:val="24"/>
          <w:u w:val="single"/>
        </w:rPr>
      </w:pPr>
      <w:r>
        <w:rPr>
          <w:b/>
          <w:sz w:val="24"/>
          <w:u w:val="single"/>
        </w:rPr>
        <w:t>Abstract:</w:t>
      </w:r>
    </w:p>
    <w:p w:rsidR="00BF5185" w:rsidRDefault="00A1078F">
      <w:pPr>
        <w:rPr>
          <w:sz w:val="24"/>
        </w:rPr>
      </w:pPr>
      <w:r>
        <w:rPr>
          <w:sz w:val="24"/>
        </w:rPr>
        <w:t>The 1</w:t>
      </w:r>
      <w:r w:rsidRPr="00A1078F">
        <w:rPr>
          <w:sz w:val="24"/>
          <w:vertAlign w:val="superscript"/>
        </w:rPr>
        <w:t>st</w:t>
      </w:r>
      <w:r>
        <w:rPr>
          <w:sz w:val="24"/>
        </w:rPr>
        <w:t xml:space="preserve"> century B.C. was characterised by civil war after civil war. </w:t>
      </w:r>
      <w:r w:rsidR="00C91835">
        <w:rPr>
          <w:sz w:val="24"/>
        </w:rPr>
        <w:t>Therefore,</w:t>
      </w:r>
      <w:r>
        <w:rPr>
          <w:sz w:val="24"/>
        </w:rPr>
        <w:t xml:space="preserve"> you could be excused in thinking 40 years</w:t>
      </w:r>
      <w:r w:rsidR="00166B63">
        <w:rPr>
          <w:sz w:val="24"/>
        </w:rPr>
        <w:t xml:space="preserve"> of peace would characterise Augustus</w:t>
      </w:r>
      <w:bookmarkStart w:id="0" w:name="_GoBack"/>
      <w:bookmarkEnd w:id="0"/>
      <w:r>
        <w:rPr>
          <w:sz w:val="24"/>
        </w:rPr>
        <w:t xml:space="preserve"> as a ‘good’ emperor, and would lead to the visual and literary motifs of </w:t>
      </w:r>
      <w:r w:rsidR="00C91835">
        <w:rPr>
          <w:sz w:val="24"/>
        </w:rPr>
        <w:t>a ‘golden age’ throughout the empire. However, t</w:t>
      </w:r>
      <w:r w:rsidR="00BF5185">
        <w:rPr>
          <w:sz w:val="24"/>
        </w:rPr>
        <w:t>here has been much scholarly debate to whether Augustus did in fact bring around a ‘golden age’ back to Rome as Anchises announces in Virgil’s “Aeneid”, a time of peace, security and prosperity throughout Rome and the empire.</w:t>
      </w:r>
      <w:r w:rsidR="004B2A78">
        <w:rPr>
          <w:sz w:val="24"/>
        </w:rPr>
        <w:t xml:space="preserve"> Tacitus, in his annals however, speaks of Augustus in a less than savoury manner in comparison to contemporary authors such as Virgil and Horace, he states that “</w:t>
      </w:r>
      <w:r w:rsidR="004B2A78" w:rsidRPr="004B2A78">
        <w:rPr>
          <w:i/>
          <w:sz w:val="24"/>
        </w:rPr>
        <w:t>Augustus seduced the army with bonuses and his cheap food policy was successful bait for civilians</w:t>
      </w:r>
      <w:r w:rsidR="004B2A78">
        <w:rPr>
          <w:sz w:val="24"/>
        </w:rPr>
        <w:t>”</w:t>
      </w:r>
      <w:r w:rsidR="004B2A78">
        <w:rPr>
          <w:rStyle w:val="FootnoteReference"/>
          <w:sz w:val="24"/>
        </w:rPr>
        <w:footnoteReference w:id="1"/>
      </w:r>
      <w:r w:rsidR="004B2A78">
        <w:rPr>
          <w:sz w:val="24"/>
        </w:rPr>
        <w:t xml:space="preserve">. </w:t>
      </w:r>
      <w:r w:rsidR="00613439">
        <w:rPr>
          <w:sz w:val="24"/>
        </w:rPr>
        <w:t>In this essay I shall attempt to show how Augustus did in fact bring around a ‘golden age’ to Rome by using ancient architecture and art such as the ‘Ara Pacis’, ‘Prima Porta statue’ and Virgil’s “Aeneid” to name a few examples.</w:t>
      </w:r>
      <w:r w:rsidR="00AF149E">
        <w:rPr>
          <w:sz w:val="24"/>
        </w:rPr>
        <w:t xml:space="preserve"> </w:t>
      </w:r>
      <w:r w:rsidR="00A725E7">
        <w:rPr>
          <w:sz w:val="24"/>
        </w:rPr>
        <w:t xml:space="preserve">Most of these mediums however were most likely the results of the adaption of Hellenization. Paul Zanker writes how Augustus fiddled with his public image </w:t>
      </w:r>
      <w:r w:rsidR="007B3052">
        <w:rPr>
          <w:sz w:val="24"/>
        </w:rPr>
        <w:t>to</w:t>
      </w:r>
      <w:r w:rsidR="00A725E7">
        <w:rPr>
          <w:sz w:val="24"/>
        </w:rPr>
        <w:t xml:space="preserve"> solidify his reign by building up his relationship with Julius Caesar.</w:t>
      </w:r>
      <w:r w:rsidR="007B3052">
        <w:rPr>
          <w:sz w:val="24"/>
        </w:rPr>
        <w:t xml:space="preserve"> However, Roman art is often accompanied with controversy to what the actual scene for example means, is it being used as propaganda? For </w:t>
      </w:r>
      <w:r w:rsidR="00EB39BE">
        <w:rPr>
          <w:sz w:val="24"/>
        </w:rPr>
        <w:t>example,</w:t>
      </w:r>
      <w:r w:rsidR="007B3052">
        <w:rPr>
          <w:sz w:val="24"/>
        </w:rPr>
        <w:t xml:space="preserve"> the frieze on the Ara Pacis Augustae (13 – 9 B.C.) thought to depict the goddess Tellus, or mother earth has recently been thought to be Venus Genetrix (mother of Aeneas) and a personification of peace which would fit with the name of the altar, which translates to ‘Altar of Augustan peace’.</w:t>
      </w:r>
      <w:r w:rsidR="00EB39BE">
        <w:rPr>
          <w:sz w:val="24"/>
        </w:rPr>
        <w:t xml:space="preserve"> These are just some of the problems that we face in trying to decipher the real meaning behind </w:t>
      </w:r>
      <w:r w:rsidR="00F83A49">
        <w:rPr>
          <w:sz w:val="24"/>
        </w:rPr>
        <w:t>the scenes in Roman art and architecture.</w:t>
      </w:r>
      <w:r w:rsidR="00BF1C40">
        <w:rPr>
          <w:sz w:val="24"/>
        </w:rPr>
        <w:t xml:space="preserve"> Even this was breaking from a norm, from building triumphal arches, or buildings for victorious campaigns or generals in war to c</w:t>
      </w:r>
      <w:r w:rsidR="002E19E4">
        <w:rPr>
          <w:sz w:val="24"/>
        </w:rPr>
        <w:t xml:space="preserve">elebrating peace and prosperity, at least by celebrating this through his monuments shows a powerful propaganda </w:t>
      </w:r>
      <w:r w:rsidR="000E05D6">
        <w:rPr>
          <w:sz w:val="24"/>
        </w:rPr>
        <w:t>campaign that lasted millenniums.</w:t>
      </w:r>
      <w:r w:rsidR="002E19E4">
        <w:rPr>
          <w:sz w:val="24"/>
        </w:rPr>
        <w:t xml:space="preserve"> </w:t>
      </w:r>
    </w:p>
    <w:p w:rsidR="00180C04" w:rsidRDefault="00180C04">
      <w:pPr>
        <w:rPr>
          <w:sz w:val="24"/>
        </w:rPr>
      </w:pPr>
    </w:p>
    <w:p w:rsidR="00180C04" w:rsidRDefault="00180C04">
      <w:pPr>
        <w:rPr>
          <w:b/>
          <w:sz w:val="24"/>
          <w:u w:val="single"/>
        </w:rPr>
      </w:pPr>
      <w:r w:rsidRPr="00180C04">
        <w:rPr>
          <w:b/>
          <w:sz w:val="24"/>
          <w:u w:val="single"/>
        </w:rPr>
        <w:t>Draft Structure</w:t>
      </w:r>
      <w:r>
        <w:rPr>
          <w:b/>
          <w:sz w:val="24"/>
          <w:u w:val="single"/>
        </w:rPr>
        <w:t>:</w:t>
      </w:r>
    </w:p>
    <w:p w:rsidR="00180C04" w:rsidRDefault="00180C04">
      <w:pPr>
        <w:rPr>
          <w:sz w:val="24"/>
          <w:u w:val="single"/>
        </w:rPr>
      </w:pPr>
      <w:r w:rsidRPr="00180C04">
        <w:rPr>
          <w:sz w:val="24"/>
          <w:u w:val="single"/>
        </w:rPr>
        <w:t>Introduction:</w:t>
      </w:r>
    </w:p>
    <w:p w:rsidR="00180C04" w:rsidRPr="00180C04" w:rsidRDefault="00180C04" w:rsidP="00180C04">
      <w:pPr>
        <w:pStyle w:val="ListParagraph"/>
        <w:numPr>
          <w:ilvl w:val="0"/>
          <w:numId w:val="1"/>
        </w:numPr>
        <w:rPr>
          <w:sz w:val="24"/>
          <w:u w:val="single"/>
        </w:rPr>
      </w:pPr>
      <w:r>
        <w:rPr>
          <w:sz w:val="24"/>
        </w:rPr>
        <w:t>Give a brief overview of Augustus and his reign including assassination of Julius Caesar, Philippi (42 B.C.), Second triumvirate, Actium (31BC), the Princeps and how they contributed to his shaping of the empire and himself as an emperor.</w:t>
      </w:r>
    </w:p>
    <w:p w:rsidR="00180C04" w:rsidRPr="007D352A" w:rsidRDefault="00180C04" w:rsidP="00180C04">
      <w:pPr>
        <w:pStyle w:val="ListParagraph"/>
        <w:numPr>
          <w:ilvl w:val="0"/>
          <w:numId w:val="1"/>
        </w:numPr>
        <w:rPr>
          <w:sz w:val="24"/>
          <w:u w:val="single"/>
        </w:rPr>
      </w:pPr>
      <w:r>
        <w:rPr>
          <w:sz w:val="24"/>
        </w:rPr>
        <w:t>Introduce the debates between ancient and modern scholarship and identify any bias and weakness in their argument, and then state what my view and argument will be.</w:t>
      </w:r>
    </w:p>
    <w:p w:rsidR="007D352A" w:rsidRPr="00901B27" w:rsidRDefault="007D352A" w:rsidP="00180C04">
      <w:pPr>
        <w:pStyle w:val="ListParagraph"/>
        <w:numPr>
          <w:ilvl w:val="0"/>
          <w:numId w:val="1"/>
        </w:numPr>
        <w:rPr>
          <w:sz w:val="24"/>
          <w:u w:val="single"/>
        </w:rPr>
      </w:pPr>
      <w:r>
        <w:rPr>
          <w:sz w:val="24"/>
        </w:rPr>
        <w:lastRenderedPageBreak/>
        <w:t xml:space="preserve">State the various </w:t>
      </w:r>
      <w:r w:rsidR="00901B27">
        <w:rPr>
          <w:sz w:val="24"/>
        </w:rPr>
        <w:t>architecture, literature, art and coinage I shall be assessing with brief descriptions of each.</w:t>
      </w:r>
    </w:p>
    <w:p w:rsidR="00901B27" w:rsidRDefault="00901B27" w:rsidP="00901B27">
      <w:pPr>
        <w:rPr>
          <w:sz w:val="24"/>
          <w:u w:val="single"/>
        </w:rPr>
      </w:pPr>
    </w:p>
    <w:p w:rsidR="00901B27" w:rsidRDefault="00901B27" w:rsidP="00901B27">
      <w:pPr>
        <w:rPr>
          <w:sz w:val="24"/>
          <w:u w:val="single"/>
        </w:rPr>
      </w:pPr>
      <w:r>
        <w:rPr>
          <w:sz w:val="24"/>
          <w:u w:val="single"/>
        </w:rPr>
        <w:t>Section 1: Golden age motifs and Pax Romana</w:t>
      </w:r>
    </w:p>
    <w:p w:rsidR="00901B27" w:rsidRPr="001D32A7" w:rsidRDefault="00901B27" w:rsidP="00901B27">
      <w:pPr>
        <w:pStyle w:val="ListParagraph"/>
        <w:numPr>
          <w:ilvl w:val="0"/>
          <w:numId w:val="2"/>
        </w:numPr>
        <w:rPr>
          <w:sz w:val="24"/>
          <w:u w:val="single"/>
        </w:rPr>
      </w:pPr>
      <w:r>
        <w:rPr>
          <w:sz w:val="24"/>
        </w:rPr>
        <w:t>Explain the various motifs and ideology Augustus wanted to express through his vast building programme (Forum Augustum, Prima Porta, Ara Pacis</w:t>
      </w:r>
      <w:r w:rsidR="00096A31">
        <w:rPr>
          <w:sz w:val="24"/>
        </w:rPr>
        <w:t>, Belvedere Altar</w:t>
      </w:r>
      <w:r>
        <w:rPr>
          <w:sz w:val="24"/>
        </w:rPr>
        <w:t>), social and religious reforms (Lex Papia Poppaea, Cura Annonae, ‘revival of traditional religion’)</w:t>
      </w:r>
    </w:p>
    <w:p w:rsidR="001D32A7" w:rsidRPr="000E05D6" w:rsidRDefault="001D32A7" w:rsidP="00901B27">
      <w:pPr>
        <w:pStyle w:val="ListParagraph"/>
        <w:numPr>
          <w:ilvl w:val="0"/>
          <w:numId w:val="2"/>
        </w:numPr>
        <w:rPr>
          <w:sz w:val="24"/>
          <w:u w:val="single"/>
        </w:rPr>
      </w:pPr>
      <w:r>
        <w:rPr>
          <w:sz w:val="24"/>
        </w:rPr>
        <w:t>Civil wars in the 1</w:t>
      </w:r>
      <w:r w:rsidRPr="001D32A7">
        <w:rPr>
          <w:sz w:val="24"/>
          <w:vertAlign w:val="superscript"/>
        </w:rPr>
        <w:t>st</w:t>
      </w:r>
      <w:r>
        <w:rPr>
          <w:sz w:val="24"/>
        </w:rPr>
        <w:t xml:space="preserve"> century B.C. plagued the male population. Pax Romana – 200-year period of peace started by Augustus. Depicitons of Pax in art.</w:t>
      </w:r>
    </w:p>
    <w:p w:rsidR="000E05D6" w:rsidRDefault="000E05D6" w:rsidP="000E05D6">
      <w:pPr>
        <w:rPr>
          <w:sz w:val="24"/>
          <w:u w:val="single"/>
        </w:rPr>
      </w:pPr>
      <w:r>
        <w:rPr>
          <w:sz w:val="24"/>
          <w:u w:val="single"/>
        </w:rPr>
        <w:t>Section 2: How Augustus’ program of renewal was/is shown in art and architecture</w:t>
      </w:r>
      <w:r w:rsidR="00096A31">
        <w:rPr>
          <w:sz w:val="24"/>
          <w:u w:val="single"/>
        </w:rPr>
        <w:t xml:space="preserve"> and numismatics </w:t>
      </w:r>
    </w:p>
    <w:p w:rsidR="000E05D6" w:rsidRPr="00096A31" w:rsidRDefault="009B2F83" w:rsidP="000E05D6">
      <w:pPr>
        <w:pStyle w:val="ListParagraph"/>
        <w:numPr>
          <w:ilvl w:val="0"/>
          <w:numId w:val="3"/>
        </w:numPr>
        <w:rPr>
          <w:sz w:val="24"/>
          <w:u w:val="single"/>
        </w:rPr>
      </w:pPr>
      <w:r>
        <w:rPr>
          <w:sz w:val="24"/>
        </w:rPr>
        <w:t xml:space="preserve">Augustus’ program of renewal </w:t>
      </w:r>
      <w:r w:rsidR="00096A31">
        <w:rPr>
          <w:sz w:val="24"/>
        </w:rPr>
        <w:t>branched to most spheres of Roman culture. Social and religious policies were at the forefront of his propaganda campaign especially on his monuments. It also encompassed some of Greek culture and is often compared to the early Hellenistic period and is shown as Greek sculpture, painting, and mosaics were prominent in the public and private spheres of society</w:t>
      </w:r>
      <w:r w:rsidR="00096A31">
        <w:rPr>
          <w:rStyle w:val="FootnoteReference"/>
          <w:sz w:val="24"/>
        </w:rPr>
        <w:footnoteReference w:id="2"/>
      </w:r>
      <w:r w:rsidR="00096A31">
        <w:rPr>
          <w:sz w:val="24"/>
        </w:rPr>
        <w:t>.</w:t>
      </w:r>
    </w:p>
    <w:p w:rsidR="00096A31" w:rsidRPr="00A85166" w:rsidRDefault="00096A31" w:rsidP="000E05D6">
      <w:pPr>
        <w:pStyle w:val="ListParagraph"/>
        <w:numPr>
          <w:ilvl w:val="0"/>
          <w:numId w:val="3"/>
        </w:numPr>
        <w:rPr>
          <w:sz w:val="24"/>
          <w:u w:val="single"/>
        </w:rPr>
      </w:pPr>
      <w:r>
        <w:rPr>
          <w:sz w:val="24"/>
        </w:rPr>
        <w:t xml:space="preserve">Augustus’ principate </w:t>
      </w:r>
      <w:r w:rsidR="00A85166">
        <w:rPr>
          <w:sz w:val="24"/>
        </w:rPr>
        <w:t>was the turning point for ever</w:t>
      </w:r>
      <w:r w:rsidR="00B469B7">
        <w:rPr>
          <w:sz w:val="24"/>
        </w:rPr>
        <w:t>y kind of visual medium</w:t>
      </w:r>
      <w:r w:rsidR="00A85166">
        <w:rPr>
          <w:rStyle w:val="FootnoteReference"/>
          <w:sz w:val="24"/>
        </w:rPr>
        <w:footnoteReference w:id="3"/>
      </w:r>
      <w:r w:rsidR="00A85166">
        <w:rPr>
          <w:sz w:val="24"/>
        </w:rPr>
        <w:t>, show a comparison to what architecture and art was like in a republican Rome compared to a now imperial Rome.</w:t>
      </w:r>
    </w:p>
    <w:p w:rsidR="00A85166" w:rsidRDefault="00EE3BFA" w:rsidP="00A85166">
      <w:pPr>
        <w:rPr>
          <w:sz w:val="24"/>
          <w:u w:val="single"/>
        </w:rPr>
      </w:pPr>
      <w:r>
        <w:rPr>
          <w:sz w:val="24"/>
          <w:u w:val="single"/>
        </w:rPr>
        <w:t>Section 3: How Augustus is portrayed in the literature (Virgil, Horace, Tacitus</w:t>
      </w:r>
      <w:r w:rsidR="00F86A1B">
        <w:rPr>
          <w:sz w:val="24"/>
          <w:u w:val="single"/>
        </w:rPr>
        <w:t>, Propertius</w:t>
      </w:r>
      <w:r>
        <w:rPr>
          <w:sz w:val="24"/>
          <w:u w:val="single"/>
        </w:rPr>
        <w:t>)</w:t>
      </w:r>
    </w:p>
    <w:p w:rsidR="00F86A1B" w:rsidRPr="00F86A1B" w:rsidRDefault="00F86A1B" w:rsidP="00EE3BFA">
      <w:pPr>
        <w:pStyle w:val="ListParagraph"/>
        <w:numPr>
          <w:ilvl w:val="0"/>
          <w:numId w:val="4"/>
        </w:numPr>
        <w:rPr>
          <w:sz w:val="24"/>
          <w:u w:val="single"/>
        </w:rPr>
      </w:pPr>
      <w:r>
        <w:rPr>
          <w:sz w:val="24"/>
        </w:rPr>
        <w:t xml:space="preserve">What bias does a reader face when reading the likes of Virgil, Horace, Tacitus, and Propertius? </w:t>
      </w:r>
      <w:r w:rsidR="00DB457B">
        <w:rPr>
          <w:sz w:val="24"/>
        </w:rPr>
        <w:t>More importantly why are we faced with them.</w:t>
      </w:r>
    </w:p>
    <w:p w:rsidR="00EE3BFA" w:rsidRPr="00DB457B" w:rsidRDefault="0007506E" w:rsidP="00EE3BFA">
      <w:pPr>
        <w:pStyle w:val="ListParagraph"/>
        <w:numPr>
          <w:ilvl w:val="0"/>
          <w:numId w:val="4"/>
        </w:numPr>
        <w:rPr>
          <w:sz w:val="24"/>
          <w:u w:val="single"/>
        </w:rPr>
      </w:pPr>
      <w:r>
        <w:rPr>
          <w:sz w:val="24"/>
        </w:rPr>
        <w:t>Assess t</w:t>
      </w:r>
      <w:r w:rsidR="00F86A1B">
        <w:rPr>
          <w:sz w:val="24"/>
        </w:rPr>
        <w:t>he Aeneid as a pro-Augustan epic, how it portrays Augustus, the Julian-line, and Rome and in comparison, to that of the visual mediums.</w:t>
      </w:r>
      <w:r w:rsidR="00DB457B">
        <w:rPr>
          <w:sz w:val="24"/>
        </w:rPr>
        <w:t xml:space="preserve"> Is Aeneas’ killing of Turnus an allusion to Augustus’ proscriptions and him as a merciless killer</w:t>
      </w:r>
      <w:r w:rsidR="00DB457B">
        <w:rPr>
          <w:rStyle w:val="FootnoteReference"/>
          <w:sz w:val="24"/>
        </w:rPr>
        <w:footnoteReference w:id="4"/>
      </w:r>
      <w:r w:rsidR="00DB457B">
        <w:rPr>
          <w:sz w:val="24"/>
        </w:rPr>
        <w:t>?</w:t>
      </w:r>
    </w:p>
    <w:p w:rsidR="00DB457B" w:rsidRPr="00DB457B" w:rsidRDefault="00DB457B" w:rsidP="00DB457B">
      <w:pPr>
        <w:rPr>
          <w:sz w:val="24"/>
          <w:u w:val="single"/>
        </w:rPr>
      </w:pPr>
      <w:r>
        <w:rPr>
          <w:sz w:val="24"/>
          <w:u w:val="single"/>
        </w:rPr>
        <w:t>Conclusion:</w:t>
      </w:r>
    </w:p>
    <w:p w:rsidR="00BF5185" w:rsidRPr="00DB457B" w:rsidRDefault="00740E61" w:rsidP="00DB457B">
      <w:pPr>
        <w:pStyle w:val="ListParagraph"/>
        <w:numPr>
          <w:ilvl w:val="0"/>
          <w:numId w:val="5"/>
        </w:numPr>
        <w:rPr>
          <w:b/>
          <w:sz w:val="24"/>
          <w:u w:val="single"/>
        </w:rPr>
      </w:pPr>
      <w:r>
        <w:rPr>
          <w:sz w:val="24"/>
        </w:rPr>
        <w:t xml:space="preserve">Summarise, elaborate on and conclude the assessments made in sections 1,2 and 3 about Augustus’ portrayal in the literature and architecture and how they help provide evidence for Augustus bringing about a ‘golden age’ to Rome. </w:t>
      </w:r>
    </w:p>
    <w:p w:rsidR="008B5B98" w:rsidRDefault="008B5B98">
      <w:pPr>
        <w:rPr>
          <w:b/>
          <w:sz w:val="24"/>
          <w:u w:val="single"/>
        </w:rPr>
      </w:pPr>
    </w:p>
    <w:p w:rsidR="00C41CAB" w:rsidRDefault="00C6507F">
      <w:pPr>
        <w:rPr>
          <w:b/>
          <w:sz w:val="24"/>
          <w:u w:val="single"/>
        </w:rPr>
      </w:pPr>
      <w:r w:rsidRPr="00C6507F">
        <w:rPr>
          <w:b/>
          <w:sz w:val="24"/>
          <w:u w:val="single"/>
        </w:rPr>
        <w:t>Bibliography:</w:t>
      </w:r>
    </w:p>
    <w:p w:rsidR="00C6507F" w:rsidRDefault="00C6507F">
      <w:pPr>
        <w:rPr>
          <w:b/>
          <w:sz w:val="24"/>
          <w:u w:val="single"/>
        </w:rPr>
      </w:pPr>
    </w:p>
    <w:p w:rsidR="00C6507F" w:rsidRDefault="00C6507F">
      <w:pPr>
        <w:rPr>
          <w:sz w:val="24"/>
          <w:u w:val="single"/>
        </w:rPr>
      </w:pPr>
      <w:r>
        <w:rPr>
          <w:sz w:val="24"/>
          <w:u w:val="single"/>
        </w:rPr>
        <w:lastRenderedPageBreak/>
        <w:t>Ancient sources:</w:t>
      </w:r>
    </w:p>
    <w:p w:rsidR="00326B26" w:rsidRDefault="00326B26">
      <w:pPr>
        <w:rPr>
          <w:sz w:val="24"/>
        </w:rPr>
      </w:pPr>
      <w:r>
        <w:rPr>
          <w:sz w:val="24"/>
        </w:rPr>
        <w:t xml:space="preserve">Augustus. </w:t>
      </w:r>
      <w:r w:rsidRPr="006E2D0B">
        <w:rPr>
          <w:i/>
          <w:sz w:val="24"/>
        </w:rPr>
        <w:t>Res Gestae Divi Augusti</w:t>
      </w:r>
      <w:r>
        <w:rPr>
          <w:i/>
          <w:sz w:val="24"/>
        </w:rPr>
        <w:t xml:space="preserve">. </w:t>
      </w:r>
      <w:r>
        <w:rPr>
          <w:sz w:val="24"/>
        </w:rPr>
        <w:t>Alison E. Cooley (trans). 2009. New York: Cambridge University Press.</w:t>
      </w:r>
    </w:p>
    <w:p w:rsidR="00326B26" w:rsidRDefault="00326B26">
      <w:pPr>
        <w:rPr>
          <w:rFonts w:cstheme="minorHAnsi"/>
          <w:sz w:val="24"/>
          <w:szCs w:val="24"/>
          <w:shd w:val="clear" w:color="auto" w:fill="FFFFFF"/>
        </w:rPr>
      </w:pPr>
      <w:r>
        <w:rPr>
          <w:sz w:val="24"/>
        </w:rPr>
        <w:t>Figure 1</w:t>
      </w:r>
      <w:r w:rsidRPr="00DE5A3D">
        <w:rPr>
          <w:rFonts w:cstheme="minorHAnsi"/>
          <w:sz w:val="24"/>
          <w:szCs w:val="24"/>
        </w:rPr>
        <w:t>…:</w:t>
      </w:r>
      <w:r>
        <w:rPr>
          <w:rFonts w:cstheme="minorHAnsi"/>
          <w:sz w:val="24"/>
          <w:szCs w:val="24"/>
        </w:rPr>
        <w:t xml:space="preserve"> Becker, J. </w:t>
      </w:r>
      <w:r w:rsidRPr="00D175F5">
        <w:rPr>
          <w:rFonts w:cstheme="minorHAnsi"/>
          <w:i/>
          <w:sz w:val="24"/>
          <w:szCs w:val="24"/>
        </w:rPr>
        <w:t>Ara Pacis</w:t>
      </w:r>
      <w:r>
        <w:rPr>
          <w:rFonts w:cstheme="minorHAnsi"/>
          <w:sz w:val="24"/>
          <w:szCs w:val="24"/>
        </w:rPr>
        <w:t>.</w:t>
      </w:r>
      <w:r w:rsidRPr="00DE5A3D">
        <w:rPr>
          <w:rFonts w:cstheme="minorHAnsi"/>
          <w:sz w:val="24"/>
          <w:szCs w:val="24"/>
        </w:rPr>
        <w:t xml:space="preserve"> </w:t>
      </w:r>
      <w:r w:rsidRPr="00DE5A3D">
        <w:rPr>
          <w:rFonts w:cstheme="minorHAnsi"/>
          <w:sz w:val="24"/>
          <w:szCs w:val="24"/>
          <w:shd w:val="clear" w:color="auto" w:fill="FFFFFF"/>
        </w:rPr>
        <w:t>Sacrifice Panel, Ara Pacis Augustae (Altar of Augustan Peace) 9 B.C.E. (Ara Pacis Museum, Rome)</w:t>
      </w:r>
      <w:r>
        <w:rPr>
          <w:rFonts w:cstheme="minorHAnsi"/>
          <w:sz w:val="24"/>
          <w:szCs w:val="24"/>
          <w:shd w:val="clear" w:color="auto" w:fill="FFFFFF"/>
        </w:rPr>
        <w:t xml:space="preserve">. </w:t>
      </w:r>
      <w:r w:rsidRPr="00DE5A3D">
        <w:rPr>
          <w:rFonts w:cstheme="minorHAnsi"/>
          <w:sz w:val="24"/>
          <w:szCs w:val="24"/>
          <w:shd w:val="clear" w:color="auto" w:fill="FFFFFF"/>
        </w:rPr>
        <w:t>(photo: </w:t>
      </w:r>
      <w:r w:rsidRPr="00DE5A3D">
        <w:rPr>
          <w:rFonts w:cstheme="minorHAnsi"/>
          <w:sz w:val="24"/>
          <w:szCs w:val="24"/>
          <w:bdr w:val="none" w:sz="0" w:space="0" w:color="auto" w:frame="1"/>
          <w:shd w:val="clear" w:color="auto" w:fill="FFFFFF"/>
        </w:rPr>
        <w:t>Steven Zucker</w:t>
      </w:r>
      <w:r w:rsidRPr="00DE5A3D">
        <w:rPr>
          <w:rFonts w:cstheme="minorHAnsi"/>
          <w:sz w:val="24"/>
          <w:szCs w:val="24"/>
          <w:shd w:val="clear" w:color="auto" w:fill="FFFFFF"/>
        </w:rPr>
        <w:t>, CC BY-NC-SA 2.0)</w:t>
      </w:r>
      <w:r>
        <w:rPr>
          <w:rFonts w:cstheme="minorHAnsi"/>
          <w:sz w:val="24"/>
          <w:szCs w:val="24"/>
          <w:shd w:val="clear" w:color="auto" w:fill="FFFFFF"/>
        </w:rPr>
        <w:t xml:space="preserve"> </w:t>
      </w:r>
      <w:r w:rsidRPr="00DE5A3D">
        <w:rPr>
          <w:rFonts w:cstheme="minorHAnsi"/>
          <w:sz w:val="24"/>
          <w:szCs w:val="24"/>
          <w:shd w:val="clear" w:color="auto" w:fill="FFFFFF"/>
        </w:rPr>
        <w:t>https://www.khanacademy.org/humanities/ancient-art-civilizations/roman/early-empire/a/ara-pacis</w:t>
      </w:r>
      <w:r>
        <w:rPr>
          <w:rFonts w:cstheme="minorHAnsi"/>
          <w:sz w:val="24"/>
          <w:szCs w:val="24"/>
          <w:shd w:val="clear" w:color="auto" w:fill="FFFFFF"/>
        </w:rPr>
        <w:t>. (Date accessed: 22</w:t>
      </w:r>
      <w:r w:rsidRPr="00DE5A3D">
        <w:rPr>
          <w:rFonts w:cstheme="minorHAnsi"/>
          <w:sz w:val="24"/>
          <w:szCs w:val="24"/>
          <w:shd w:val="clear" w:color="auto" w:fill="FFFFFF"/>
          <w:vertAlign w:val="superscript"/>
        </w:rPr>
        <w:t>nd</w:t>
      </w:r>
      <w:r>
        <w:rPr>
          <w:rFonts w:cstheme="minorHAnsi"/>
          <w:sz w:val="24"/>
          <w:szCs w:val="24"/>
          <w:shd w:val="clear" w:color="auto" w:fill="FFFFFF"/>
        </w:rPr>
        <w:t xml:space="preserve"> February 2018.).</w:t>
      </w:r>
    </w:p>
    <w:p w:rsidR="00326B26" w:rsidRPr="002D16E5" w:rsidRDefault="00326B26">
      <w:pPr>
        <w:rPr>
          <w:rFonts w:cstheme="minorHAnsi"/>
          <w:sz w:val="24"/>
          <w:szCs w:val="24"/>
        </w:rPr>
      </w:pPr>
      <w:r>
        <w:rPr>
          <w:rFonts w:cstheme="minorHAnsi"/>
          <w:sz w:val="24"/>
          <w:szCs w:val="24"/>
          <w:shd w:val="clear" w:color="auto" w:fill="FFFFFF"/>
        </w:rPr>
        <w:t>Figure 2…: Becker, J</w:t>
      </w:r>
      <w:r w:rsidRPr="002D16E5">
        <w:rPr>
          <w:rFonts w:cstheme="minorHAnsi"/>
          <w:i/>
          <w:sz w:val="24"/>
          <w:szCs w:val="24"/>
          <w:shd w:val="clear" w:color="auto" w:fill="FFFFFF"/>
        </w:rPr>
        <w:t xml:space="preserve">. </w:t>
      </w:r>
      <w:r w:rsidRPr="002D16E5">
        <w:rPr>
          <w:rFonts w:cstheme="minorHAnsi"/>
          <w:i/>
          <w:sz w:val="24"/>
          <w:szCs w:val="24"/>
          <w:shd w:val="clear" w:color="auto" w:fill="FFFFFF"/>
        </w:rPr>
        <w:t>Tellus (or Pax) Panel, Ara Pacis Augustae (Altar of Augustan Peace) 9 B.C.E. (Ara Pacis Museum, Rome) (photo: </w:t>
      </w:r>
      <w:r w:rsidRPr="002D16E5">
        <w:rPr>
          <w:rFonts w:cstheme="minorHAnsi"/>
          <w:i/>
          <w:sz w:val="24"/>
          <w:szCs w:val="24"/>
          <w:bdr w:val="none" w:sz="0" w:space="0" w:color="auto" w:frame="1"/>
          <w:shd w:val="clear" w:color="auto" w:fill="FFFFFF"/>
        </w:rPr>
        <w:t>Steven Zucker</w:t>
      </w:r>
      <w:r w:rsidRPr="002D16E5">
        <w:rPr>
          <w:rFonts w:cstheme="minorHAnsi"/>
          <w:i/>
          <w:sz w:val="24"/>
          <w:szCs w:val="24"/>
          <w:shd w:val="clear" w:color="auto" w:fill="FFFFFF"/>
        </w:rPr>
        <w:t>, CC BY-NC-SA 2.0)</w:t>
      </w:r>
      <w:r>
        <w:rPr>
          <w:rFonts w:cstheme="minorHAnsi"/>
          <w:sz w:val="24"/>
          <w:szCs w:val="24"/>
          <w:shd w:val="clear" w:color="auto" w:fill="FFFFFF"/>
        </w:rPr>
        <w:t xml:space="preserve">. </w:t>
      </w:r>
      <w:r w:rsidRPr="002D16E5">
        <w:rPr>
          <w:rFonts w:cstheme="minorHAnsi"/>
          <w:sz w:val="24"/>
          <w:szCs w:val="24"/>
          <w:shd w:val="clear" w:color="auto" w:fill="FFFFFF"/>
        </w:rPr>
        <w:t>https://www.khanacademy.org/humanities/ancient-art-civilizations/roman/early-empire/a/ara-pacis</w:t>
      </w:r>
      <w:r>
        <w:rPr>
          <w:rFonts w:cstheme="minorHAnsi"/>
          <w:sz w:val="24"/>
          <w:szCs w:val="24"/>
          <w:shd w:val="clear" w:color="auto" w:fill="FFFFFF"/>
        </w:rPr>
        <w:t>.</w:t>
      </w:r>
      <w:r>
        <w:rPr>
          <w:rFonts w:cstheme="minorHAnsi"/>
          <w:sz w:val="24"/>
          <w:szCs w:val="24"/>
          <w:shd w:val="clear" w:color="auto" w:fill="FFFFFF"/>
        </w:rPr>
        <w:t xml:space="preserve"> (Date accessed: 23</w:t>
      </w:r>
      <w:r w:rsidRPr="002D16E5">
        <w:rPr>
          <w:rFonts w:cstheme="minorHAnsi"/>
          <w:sz w:val="24"/>
          <w:szCs w:val="24"/>
          <w:shd w:val="clear" w:color="auto" w:fill="FFFFFF"/>
          <w:vertAlign w:val="superscript"/>
        </w:rPr>
        <w:t>rd</w:t>
      </w:r>
      <w:r>
        <w:rPr>
          <w:rFonts w:cstheme="minorHAnsi"/>
          <w:sz w:val="24"/>
          <w:szCs w:val="24"/>
          <w:shd w:val="clear" w:color="auto" w:fill="FFFFFF"/>
        </w:rPr>
        <w:t xml:space="preserve"> February 2018).</w:t>
      </w:r>
    </w:p>
    <w:p w:rsidR="00326B26" w:rsidRDefault="00326B26">
      <w:pPr>
        <w:rPr>
          <w:sz w:val="24"/>
        </w:rPr>
      </w:pPr>
      <w:r>
        <w:rPr>
          <w:sz w:val="24"/>
        </w:rPr>
        <w:t xml:space="preserve">Suetonius. </w:t>
      </w:r>
      <w:r w:rsidRPr="003F510A">
        <w:rPr>
          <w:i/>
          <w:sz w:val="24"/>
        </w:rPr>
        <w:t>The Twelve Caesars</w:t>
      </w:r>
      <w:r>
        <w:rPr>
          <w:sz w:val="24"/>
        </w:rPr>
        <w:t xml:space="preserve">. R. Graves (trans.). 2007. London: Penguin Classics. </w:t>
      </w:r>
    </w:p>
    <w:p w:rsidR="00326B26" w:rsidRDefault="00326B26">
      <w:pPr>
        <w:rPr>
          <w:sz w:val="24"/>
        </w:rPr>
      </w:pPr>
      <w:r>
        <w:rPr>
          <w:sz w:val="24"/>
        </w:rPr>
        <w:t xml:space="preserve">Virgil. </w:t>
      </w:r>
      <w:r>
        <w:rPr>
          <w:i/>
          <w:sz w:val="24"/>
        </w:rPr>
        <w:t xml:space="preserve">The Aeneid. </w:t>
      </w:r>
      <w:r>
        <w:rPr>
          <w:sz w:val="24"/>
        </w:rPr>
        <w:t>David West (trans.). 1990. London: Penguin Classics.</w:t>
      </w:r>
    </w:p>
    <w:p w:rsidR="00C6507F" w:rsidRDefault="00C6507F">
      <w:pPr>
        <w:rPr>
          <w:sz w:val="24"/>
          <w:u w:val="single"/>
        </w:rPr>
      </w:pPr>
    </w:p>
    <w:p w:rsidR="00C6507F" w:rsidRDefault="00C6507F">
      <w:pPr>
        <w:rPr>
          <w:sz w:val="24"/>
          <w:u w:val="single"/>
        </w:rPr>
      </w:pPr>
    </w:p>
    <w:p w:rsidR="00C6507F" w:rsidRDefault="00C6507F">
      <w:pPr>
        <w:rPr>
          <w:sz w:val="24"/>
          <w:u w:val="single"/>
        </w:rPr>
      </w:pPr>
      <w:r>
        <w:rPr>
          <w:sz w:val="24"/>
          <w:u w:val="single"/>
        </w:rPr>
        <w:t>Modern scholarship:</w:t>
      </w:r>
    </w:p>
    <w:p w:rsidR="00326B26" w:rsidRDefault="00326B26">
      <w:pPr>
        <w:rPr>
          <w:sz w:val="24"/>
        </w:rPr>
      </w:pPr>
      <w:r>
        <w:rPr>
          <w:sz w:val="24"/>
        </w:rPr>
        <w:t xml:space="preserve">Beard, M. 2015. </w:t>
      </w:r>
      <w:r w:rsidRPr="006A5E6A">
        <w:rPr>
          <w:i/>
          <w:sz w:val="24"/>
        </w:rPr>
        <w:t>SPQR: A History of Ancient Rome</w:t>
      </w:r>
      <w:r>
        <w:rPr>
          <w:i/>
          <w:sz w:val="24"/>
        </w:rPr>
        <w:t xml:space="preserve">. </w:t>
      </w:r>
      <w:r>
        <w:rPr>
          <w:sz w:val="24"/>
        </w:rPr>
        <w:t>London: Profile Books Ltd.</w:t>
      </w:r>
    </w:p>
    <w:p w:rsidR="00326B26" w:rsidRDefault="00326B26">
      <w:pPr>
        <w:rPr>
          <w:rFonts w:cstheme="minorHAnsi"/>
          <w:sz w:val="24"/>
          <w:szCs w:val="24"/>
          <w:shd w:val="clear" w:color="auto" w:fill="FFFFFF"/>
        </w:rPr>
      </w:pPr>
      <w:r>
        <w:rPr>
          <w:sz w:val="24"/>
        </w:rPr>
        <w:t xml:space="preserve">Bianchi, E. 1998. </w:t>
      </w:r>
      <w:r w:rsidRPr="00DE72CD">
        <w:rPr>
          <w:i/>
          <w:sz w:val="24"/>
        </w:rPr>
        <w:t>Ara Pacis Augustae</w:t>
      </w:r>
      <w:r>
        <w:rPr>
          <w:sz w:val="24"/>
        </w:rPr>
        <w:t xml:space="preserve">. </w:t>
      </w:r>
      <w:r w:rsidRPr="00DE72CD">
        <w:rPr>
          <w:rFonts w:cstheme="minorHAnsi"/>
          <w:sz w:val="24"/>
          <w:szCs w:val="24"/>
          <w:shd w:val="clear" w:color="auto" w:fill="FFFFFF"/>
        </w:rPr>
        <w:t>Roma: F.lli Palombi</w:t>
      </w:r>
      <w:r>
        <w:rPr>
          <w:rFonts w:cstheme="minorHAnsi"/>
          <w:sz w:val="24"/>
          <w:szCs w:val="24"/>
          <w:shd w:val="clear" w:color="auto" w:fill="FFFFFF"/>
        </w:rPr>
        <w:t>.</w:t>
      </w:r>
    </w:p>
    <w:p w:rsidR="00326B26" w:rsidRDefault="00326B26">
      <w:pPr>
        <w:rPr>
          <w:sz w:val="24"/>
        </w:rPr>
      </w:pPr>
      <w:r>
        <w:rPr>
          <w:sz w:val="24"/>
        </w:rPr>
        <w:t xml:space="preserve">Cline, E.H &amp; Graham, M.W. 2011. </w:t>
      </w:r>
      <w:r w:rsidRPr="00D16F69">
        <w:rPr>
          <w:i/>
          <w:sz w:val="24"/>
        </w:rPr>
        <w:t>Ancient Empires: From Mesopotamia to the Rise of Islam</w:t>
      </w:r>
      <w:r>
        <w:rPr>
          <w:sz w:val="24"/>
        </w:rPr>
        <w:t>. Cambridge: Cambridge University Press.</w:t>
      </w:r>
    </w:p>
    <w:p w:rsidR="00326B26" w:rsidRDefault="00326B26">
      <w:pPr>
        <w:rPr>
          <w:sz w:val="24"/>
        </w:rPr>
      </w:pPr>
      <w:r>
        <w:rPr>
          <w:sz w:val="24"/>
        </w:rPr>
        <w:t xml:space="preserve">Cornwell, H. 2017. </w:t>
      </w:r>
      <w:r w:rsidRPr="006A5E6A">
        <w:rPr>
          <w:i/>
          <w:sz w:val="24"/>
        </w:rPr>
        <w:t>Pax and the Politics of Peace: Republic to Principate.</w:t>
      </w:r>
      <w:r>
        <w:rPr>
          <w:i/>
          <w:sz w:val="24"/>
        </w:rPr>
        <w:t xml:space="preserve"> </w:t>
      </w:r>
      <w:r>
        <w:rPr>
          <w:sz w:val="24"/>
        </w:rPr>
        <w:t>Oxford: Oxford University Press.</w:t>
      </w:r>
    </w:p>
    <w:p w:rsidR="00326B26" w:rsidRDefault="00326B26">
      <w:pPr>
        <w:rPr>
          <w:rFonts w:cstheme="minorHAnsi"/>
          <w:sz w:val="24"/>
          <w:szCs w:val="24"/>
          <w:shd w:val="clear" w:color="auto" w:fill="FFFFFF"/>
        </w:rPr>
      </w:pPr>
      <w:proofErr w:type="spellStart"/>
      <w:r>
        <w:rPr>
          <w:rFonts w:cstheme="minorHAnsi"/>
          <w:sz w:val="24"/>
          <w:szCs w:val="24"/>
          <w:shd w:val="clear" w:color="auto" w:fill="FFFFFF"/>
        </w:rPr>
        <w:t>D’ambra</w:t>
      </w:r>
      <w:proofErr w:type="spellEnd"/>
      <w:r>
        <w:rPr>
          <w:rFonts w:cstheme="minorHAnsi"/>
          <w:sz w:val="24"/>
          <w:szCs w:val="24"/>
          <w:shd w:val="clear" w:color="auto" w:fill="FFFFFF"/>
        </w:rPr>
        <w:t xml:space="preserve">, E. 1993. </w:t>
      </w:r>
      <w:r w:rsidRPr="00D175F5">
        <w:rPr>
          <w:rFonts w:cstheme="minorHAnsi"/>
          <w:i/>
          <w:sz w:val="24"/>
          <w:szCs w:val="24"/>
          <w:shd w:val="clear" w:color="auto" w:fill="FFFFFF"/>
        </w:rPr>
        <w:t>Roman Art in Context: An Anthology.</w:t>
      </w:r>
      <w:r>
        <w:rPr>
          <w:rFonts w:cstheme="minorHAnsi"/>
          <w:i/>
          <w:sz w:val="24"/>
          <w:szCs w:val="24"/>
          <w:shd w:val="clear" w:color="auto" w:fill="FFFFFF"/>
        </w:rPr>
        <w:t xml:space="preserve"> </w:t>
      </w:r>
      <w:r>
        <w:rPr>
          <w:rFonts w:cstheme="minorHAnsi"/>
          <w:sz w:val="24"/>
          <w:szCs w:val="24"/>
          <w:shd w:val="clear" w:color="auto" w:fill="FFFFFF"/>
        </w:rPr>
        <w:t>New Jersey: Prentice Hall.</w:t>
      </w:r>
    </w:p>
    <w:p w:rsidR="00326B26" w:rsidRDefault="00326B26">
      <w:pPr>
        <w:rPr>
          <w:sz w:val="24"/>
        </w:rPr>
      </w:pPr>
      <w:proofErr w:type="spellStart"/>
      <w:r>
        <w:rPr>
          <w:sz w:val="24"/>
        </w:rPr>
        <w:t>Galinsky</w:t>
      </w:r>
      <w:proofErr w:type="spellEnd"/>
      <w:r>
        <w:rPr>
          <w:sz w:val="24"/>
        </w:rPr>
        <w:t xml:space="preserve">, K. 1996. </w:t>
      </w:r>
      <w:r w:rsidRPr="00B14B24">
        <w:rPr>
          <w:i/>
          <w:sz w:val="24"/>
        </w:rPr>
        <w:t>Augustan Culture</w:t>
      </w:r>
      <w:r>
        <w:rPr>
          <w:sz w:val="24"/>
        </w:rPr>
        <w:t>. Princeton: Princeton University Press.</w:t>
      </w:r>
    </w:p>
    <w:p w:rsidR="00326B26" w:rsidRDefault="00326B26">
      <w:pPr>
        <w:rPr>
          <w:sz w:val="24"/>
        </w:rPr>
      </w:pPr>
      <w:r>
        <w:rPr>
          <w:sz w:val="24"/>
        </w:rPr>
        <w:t xml:space="preserve">Goldsworthy, A. 2014. </w:t>
      </w:r>
      <w:r w:rsidRPr="003F510A">
        <w:rPr>
          <w:i/>
          <w:sz w:val="24"/>
        </w:rPr>
        <w:t>Augustus: From Revolutionary to Emperor</w:t>
      </w:r>
      <w:r>
        <w:rPr>
          <w:sz w:val="24"/>
        </w:rPr>
        <w:t>. London: Weidenfeld &amp; Nicolson.</w:t>
      </w:r>
    </w:p>
    <w:p w:rsidR="00326B26" w:rsidRDefault="00326B26">
      <w:pPr>
        <w:rPr>
          <w:sz w:val="24"/>
        </w:rPr>
      </w:pPr>
      <w:r>
        <w:rPr>
          <w:sz w:val="24"/>
        </w:rPr>
        <w:t xml:space="preserve">Holmes, T. R. 1931. </w:t>
      </w:r>
      <w:r w:rsidRPr="00B12EB3">
        <w:rPr>
          <w:i/>
          <w:sz w:val="24"/>
        </w:rPr>
        <w:t>The Architect of the Roman Empire 27 B.C. – A.D. 14</w:t>
      </w:r>
      <w:r>
        <w:rPr>
          <w:i/>
          <w:sz w:val="24"/>
        </w:rPr>
        <w:t xml:space="preserve">. </w:t>
      </w:r>
      <w:r>
        <w:rPr>
          <w:sz w:val="24"/>
        </w:rPr>
        <w:t>Oxford: Clarendon Press.</w:t>
      </w:r>
    </w:p>
    <w:p w:rsidR="00326B26" w:rsidRPr="00B52213" w:rsidRDefault="00326B26">
      <w:pPr>
        <w:rPr>
          <w:sz w:val="24"/>
        </w:rPr>
      </w:pPr>
      <w:proofErr w:type="spellStart"/>
      <w:r>
        <w:rPr>
          <w:rFonts w:cstheme="minorHAnsi"/>
          <w:sz w:val="24"/>
          <w:szCs w:val="24"/>
          <w:shd w:val="clear" w:color="auto" w:fill="FFFFFF"/>
        </w:rPr>
        <w:t>Lowrie</w:t>
      </w:r>
      <w:proofErr w:type="spellEnd"/>
      <w:r>
        <w:rPr>
          <w:rFonts w:cstheme="minorHAnsi"/>
          <w:sz w:val="24"/>
          <w:szCs w:val="24"/>
          <w:shd w:val="clear" w:color="auto" w:fill="FFFFFF"/>
        </w:rPr>
        <w:t>, M. 2007. ‘Horace and Augustus’ in Harrison, S. (</w:t>
      </w:r>
      <w:proofErr w:type="spellStart"/>
      <w:r>
        <w:rPr>
          <w:rFonts w:cstheme="minorHAnsi"/>
          <w:sz w:val="24"/>
          <w:szCs w:val="24"/>
          <w:shd w:val="clear" w:color="auto" w:fill="FFFFFF"/>
        </w:rPr>
        <w:t>eds</w:t>
      </w:r>
      <w:proofErr w:type="spellEnd"/>
      <w:r>
        <w:rPr>
          <w:rFonts w:cstheme="minorHAnsi"/>
          <w:sz w:val="24"/>
          <w:szCs w:val="24"/>
          <w:shd w:val="clear" w:color="auto" w:fill="FFFFFF"/>
        </w:rPr>
        <w:t xml:space="preserve">). </w:t>
      </w:r>
      <w:r>
        <w:rPr>
          <w:rFonts w:cstheme="minorHAnsi"/>
          <w:i/>
          <w:sz w:val="24"/>
          <w:szCs w:val="24"/>
          <w:shd w:val="clear" w:color="auto" w:fill="FFFFFF"/>
        </w:rPr>
        <w:t xml:space="preserve">The Cambridge Companion to Horace. </w:t>
      </w:r>
      <w:r>
        <w:rPr>
          <w:rFonts w:cstheme="minorHAnsi"/>
          <w:sz w:val="24"/>
          <w:szCs w:val="24"/>
          <w:shd w:val="clear" w:color="auto" w:fill="FFFFFF"/>
        </w:rPr>
        <w:t>New York: Cambridge University Press.</w:t>
      </w:r>
    </w:p>
    <w:p w:rsidR="00326B26" w:rsidRDefault="00326B26">
      <w:pPr>
        <w:rPr>
          <w:rFonts w:cstheme="minorHAnsi"/>
          <w:sz w:val="24"/>
          <w:szCs w:val="24"/>
          <w:shd w:val="clear" w:color="auto" w:fill="FFFFFF"/>
        </w:rPr>
      </w:pPr>
      <w:r>
        <w:rPr>
          <w:rFonts w:cstheme="minorHAnsi"/>
          <w:sz w:val="24"/>
          <w:szCs w:val="24"/>
          <w:shd w:val="clear" w:color="auto" w:fill="FFFFFF"/>
        </w:rPr>
        <w:t xml:space="preserve">Nisbet, R.G.M &amp; Rudd, N. 2004. </w:t>
      </w:r>
      <w:r w:rsidRPr="00B52213">
        <w:rPr>
          <w:rFonts w:cstheme="minorHAnsi"/>
          <w:i/>
          <w:sz w:val="24"/>
          <w:szCs w:val="24"/>
          <w:shd w:val="clear" w:color="auto" w:fill="FFFFFF"/>
        </w:rPr>
        <w:t>A Commentary on Horace, Odes, Book III.</w:t>
      </w:r>
      <w:r>
        <w:rPr>
          <w:rFonts w:cstheme="minorHAnsi"/>
          <w:i/>
          <w:sz w:val="24"/>
          <w:szCs w:val="24"/>
          <w:shd w:val="clear" w:color="auto" w:fill="FFFFFF"/>
        </w:rPr>
        <w:t xml:space="preserve"> </w:t>
      </w:r>
      <w:r>
        <w:rPr>
          <w:rFonts w:cstheme="minorHAnsi"/>
          <w:sz w:val="24"/>
          <w:szCs w:val="24"/>
          <w:shd w:val="clear" w:color="auto" w:fill="FFFFFF"/>
        </w:rPr>
        <w:t>New York: Oxford University Press</w:t>
      </w:r>
    </w:p>
    <w:p w:rsidR="00326B26" w:rsidRDefault="00326B26">
      <w:pPr>
        <w:rPr>
          <w:sz w:val="24"/>
        </w:rPr>
      </w:pPr>
      <w:r>
        <w:rPr>
          <w:sz w:val="24"/>
        </w:rPr>
        <w:t>Stahl, H-P. 2015</w:t>
      </w:r>
      <w:r w:rsidRPr="00AA3531">
        <w:rPr>
          <w:i/>
          <w:sz w:val="24"/>
        </w:rPr>
        <w:t>. Poetry underpinning power: Vergil’s Aeneid: The Epic for Emperor Augustus, A Recovery Study.</w:t>
      </w:r>
      <w:r>
        <w:rPr>
          <w:sz w:val="24"/>
        </w:rPr>
        <w:t xml:space="preserve"> Swansea: The Classical Press of Wales.</w:t>
      </w:r>
    </w:p>
    <w:p w:rsidR="00326B26" w:rsidRDefault="00326B26">
      <w:pPr>
        <w:rPr>
          <w:sz w:val="24"/>
        </w:rPr>
      </w:pPr>
      <w:r>
        <w:rPr>
          <w:sz w:val="24"/>
        </w:rPr>
        <w:lastRenderedPageBreak/>
        <w:t>Strong, E. ‘The Art of the Augustan age’ in Cook, S. A. &amp; Adcock, F. E. &amp; Charlesworth, M. P. (</w:t>
      </w:r>
      <w:proofErr w:type="spellStart"/>
      <w:r>
        <w:rPr>
          <w:sz w:val="24"/>
        </w:rPr>
        <w:t>eds</w:t>
      </w:r>
      <w:proofErr w:type="spellEnd"/>
      <w:r>
        <w:rPr>
          <w:sz w:val="24"/>
        </w:rPr>
        <w:t xml:space="preserve">). </w:t>
      </w:r>
      <w:r w:rsidRPr="00D16F69">
        <w:rPr>
          <w:i/>
          <w:sz w:val="24"/>
        </w:rPr>
        <w:t>The Cambridge Ancient History, Volume X: The Augustan Empire 44 B.C. – A.D. 70.</w:t>
      </w:r>
      <w:r>
        <w:rPr>
          <w:sz w:val="24"/>
        </w:rPr>
        <w:t xml:space="preserve"> London: Cambridge University Press.</w:t>
      </w:r>
    </w:p>
    <w:p w:rsidR="00326B26" w:rsidRDefault="00326B26">
      <w:pPr>
        <w:rPr>
          <w:sz w:val="24"/>
        </w:rPr>
      </w:pPr>
      <w:proofErr w:type="spellStart"/>
      <w:r>
        <w:rPr>
          <w:sz w:val="24"/>
        </w:rPr>
        <w:t>Yavetz</w:t>
      </w:r>
      <w:proofErr w:type="spellEnd"/>
      <w:r>
        <w:rPr>
          <w:sz w:val="24"/>
        </w:rPr>
        <w:t xml:space="preserve">, Z. [x]. ‘The Res Gestae and Augustus’ Public Image’ in F. Millar and E. Segal (eds.). </w:t>
      </w:r>
      <w:r w:rsidRPr="00B12EB3">
        <w:rPr>
          <w:i/>
          <w:sz w:val="24"/>
        </w:rPr>
        <w:t>Caesar Augustus: Seven Aspects</w:t>
      </w:r>
      <w:r>
        <w:rPr>
          <w:sz w:val="24"/>
        </w:rPr>
        <w:t>. Oxford: Oxford University Press.</w:t>
      </w:r>
    </w:p>
    <w:p w:rsidR="00326B26" w:rsidRDefault="00326B26">
      <w:pPr>
        <w:rPr>
          <w:sz w:val="24"/>
        </w:rPr>
      </w:pPr>
      <w:r>
        <w:rPr>
          <w:sz w:val="24"/>
        </w:rPr>
        <w:t xml:space="preserve">Zanker, P. 1990. </w:t>
      </w:r>
      <w:r w:rsidRPr="00C6507F">
        <w:rPr>
          <w:i/>
          <w:sz w:val="24"/>
        </w:rPr>
        <w:t xml:space="preserve">The power </w:t>
      </w:r>
      <w:r>
        <w:rPr>
          <w:i/>
          <w:sz w:val="24"/>
        </w:rPr>
        <w:t xml:space="preserve">of images in the age of Augustus. </w:t>
      </w:r>
      <w:r>
        <w:rPr>
          <w:sz w:val="24"/>
        </w:rPr>
        <w:t xml:space="preserve">Alan </w:t>
      </w:r>
      <w:proofErr w:type="spellStart"/>
      <w:r>
        <w:rPr>
          <w:sz w:val="24"/>
        </w:rPr>
        <w:t>Sharpio</w:t>
      </w:r>
      <w:proofErr w:type="spellEnd"/>
      <w:r>
        <w:rPr>
          <w:sz w:val="24"/>
        </w:rPr>
        <w:t xml:space="preserve"> (trans.). Michigan: The University of Michigan Press.</w:t>
      </w:r>
    </w:p>
    <w:sectPr w:rsidR="00326B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43BB" w:rsidRDefault="00B543BB" w:rsidP="00BF5185">
      <w:pPr>
        <w:spacing w:after="0" w:line="240" w:lineRule="auto"/>
      </w:pPr>
      <w:r>
        <w:separator/>
      </w:r>
    </w:p>
  </w:endnote>
  <w:endnote w:type="continuationSeparator" w:id="0">
    <w:p w:rsidR="00B543BB" w:rsidRDefault="00B543BB" w:rsidP="00BF5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43BB" w:rsidRDefault="00B543BB" w:rsidP="00BF5185">
      <w:pPr>
        <w:spacing w:after="0" w:line="240" w:lineRule="auto"/>
      </w:pPr>
      <w:r>
        <w:separator/>
      </w:r>
    </w:p>
  </w:footnote>
  <w:footnote w:type="continuationSeparator" w:id="0">
    <w:p w:rsidR="00B543BB" w:rsidRDefault="00B543BB" w:rsidP="00BF5185">
      <w:pPr>
        <w:spacing w:after="0" w:line="240" w:lineRule="auto"/>
      </w:pPr>
      <w:r>
        <w:continuationSeparator/>
      </w:r>
    </w:p>
  </w:footnote>
  <w:footnote w:id="1">
    <w:p w:rsidR="004B2A78" w:rsidRDefault="004B2A78">
      <w:pPr>
        <w:pStyle w:val="FootnoteText"/>
      </w:pPr>
      <w:r>
        <w:rPr>
          <w:rStyle w:val="FootnoteReference"/>
        </w:rPr>
        <w:footnoteRef/>
      </w:r>
      <w:r>
        <w:t xml:space="preserve"> </w:t>
      </w:r>
      <w:r w:rsidR="008B5B98">
        <w:t>Tacitus. The Annals of Imperial Rome. 1.1.</w:t>
      </w:r>
    </w:p>
  </w:footnote>
  <w:footnote w:id="2">
    <w:p w:rsidR="00096A31" w:rsidRDefault="00096A31">
      <w:pPr>
        <w:pStyle w:val="FootnoteText"/>
      </w:pPr>
      <w:r>
        <w:rPr>
          <w:rStyle w:val="FootnoteReference"/>
        </w:rPr>
        <w:footnoteRef/>
      </w:r>
      <w:r>
        <w:t xml:space="preserve"> </w:t>
      </w:r>
      <w:r w:rsidR="008B5B98">
        <w:t>Zanker, P. 1990. The power of images in the age of Augustus. P.337.</w:t>
      </w:r>
    </w:p>
  </w:footnote>
  <w:footnote w:id="3">
    <w:p w:rsidR="00A85166" w:rsidRDefault="00A85166">
      <w:pPr>
        <w:pStyle w:val="FootnoteText"/>
      </w:pPr>
      <w:r>
        <w:rPr>
          <w:rStyle w:val="FootnoteReference"/>
        </w:rPr>
        <w:footnoteRef/>
      </w:r>
      <w:r>
        <w:t xml:space="preserve"> </w:t>
      </w:r>
      <w:r w:rsidR="008B5B98">
        <w:t xml:space="preserve">Zanker, P. 1990. The power of images </w:t>
      </w:r>
      <w:r w:rsidR="008B5B98">
        <w:t>in the age of Augustus. P.335.</w:t>
      </w:r>
    </w:p>
  </w:footnote>
  <w:footnote w:id="4">
    <w:p w:rsidR="00DB457B" w:rsidRDefault="00DB457B">
      <w:pPr>
        <w:pStyle w:val="FootnoteText"/>
      </w:pPr>
      <w:r>
        <w:rPr>
          <w:rStyle w:val="FootnoteReference"/>
        </w:rPr>
        <w:footnoteRef/>
      </w:r>
      <w:r>
        <w:t xml:space="preserve"> </w:t>
      </w:r>
      <w:r w:rsidR="008B5B98">
        <w:t>Stahl, H.P. 2016. Poetry Underpinning Power Vergil’s Aeneid: The Epic for Augustus. P.1.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76E5C"/>
    <w:multiLevelType w:val="hybridMultilevel"/>
    <w:tmpl w:val="F7D42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8499E"/>
    <w:multiLevelType w:val="hybridMultilevel"/>
    <w:tmpl w:val="037E4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435841"/>
    <w:multiLevelType w:val="hybridMultilevel"/>
    <w:tmpl w:val="0AB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63C02"/>
    <w:multiLevelType w:val="hybridMultilevel"/>
    <w:tmpl w:val="AA82B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B17968"/>
    <w:multiLevelType w:val="hybridMultilevel"/>
    <w:tmpl w:val="CB76E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507F"/>
    <w:rsid w:val="0007506E"/>
    <w:rsid w:val="00096A31"/>
    <w:rsid w:val="000E05D6"/>
    <w:rsid w:val="00166B63"/>
    <w:rsid w:val="00180C04"/>
    <w:rsid w:val="001D32A7"/>
    <w:rsid w:val="002635EE"/>
    <w:rsid w:val="002D16E5"/>
    <w:rsid w:val="002E19E4"/>
    <w:rsid w:val="00326B26"/>
    <w:rsid w:val="003F510A"/>
    <w:rsid w:val="00471F01"/>
    <w:rsid w:val="004B2A78"/>
    <w:rsid w:val="00613439"/>
    <w:rsid w:val="006A5E6A"/>
    <w:rsid w:val="006E2D0B"/>
    <w:rsid w:val="00740E61"/>
    <w:rsid w:val="00772304"/>
    <w:rsid w:val="007B3052"/>
    <w:rsid w:val="007B7CCC"/>
    <w:rsid w:val="007D352A"/>
    <w:rsid w:val="007E5347"/>
    <w:rsid w:val="00802CBD"/>
    <w:rsid w:val="00821A37"/>
    <w:rsid w:val="00835310"/>
    <w:rsid w:val="00890B5C"/>
    <w:rsid w:val="008A1B8C"/>
    <w:rsid w:val="008B5B98"/>
    <w:rsid w:val="00901B27"/>
    <w:rsid w:val="00910104"/>
    <w:rsid w:val="00934722"/>
    <w:rsid w:val="009B2F83"/>
    <w:rsid w:val="00A1078F"/>
    <w:rsid w:val="00A725E7"/>
    <w:rsid w:val="00A85166"/>
    <w:rsid w:val="00A97A20"/>
    <w:rsid w:val="00AA3531"/>
    <w:rsid w:val="00AF149E"/>
    <w:rsid w:val="00B12EB3"/>
    <w:rsid w:val="00B14B24"/>
    <w:rsid w:val="00B469B7"/>
    <w:rsid w:val="00B52213"/>
    <w:rsid w:val="00B543BB"/>
    <w:rsid w:val="00BF1C40"/>
    <w:rsid w:val="00BF5185"/>
    <w:rsid w:val="00C6507F"/>
    <w:rsid w:val="00C91835"/>
    <w:rsid w:val="00D16F69"/>
    <w:rsid w:val="00D175F5"/>
    <w:rsid w:val="00D509F4"/>
    <w:rsid w:val="00DB457B"/>
    <w:rsid w:val="00DE5A3D"/>
    <w:rsid w:val="00DE72CD"/>
    <w:rsid w:val="00EB39BE"/>
    <w:rsid w:val="00EE3BFA"/>
    <w:rsid w:val="00F41704"/>
    <w:rsid w:val="00F83A49"/>
    <w:rsid w:val="00F86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AEC02"/>
  <w15:chartTrackingRefBased/>
  <w15:docId w15:val="{470FDF97-F5E8-435E-B0BC-7F08A0F08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5A3D"/>
    <w:rPr>
      <w:color w:val="0000FF"/>
      <w:u w:val="single"/>
    </w:rPr>
  </w:style>
  <w:style w:type="character" w:styleId="UnresolvedMention">
    <w:name w:val="Unresolved Mention"/>
    <w:basedOn w:val="DefaultParagraphFont"/>
    <w:uiPriority w:val="99"/>
    <w:semiHidden/>
    <w:unhideWhenUsed/>
    <w:rsid w:val="00DE5A3D"/>
    <w:rPr>
      <w:color w:val="808080"/>
      <w:shd w:val="clear" w:color="auto" w:fill="E6E6E6"/>
    </w:rPr>
  </w:style>
  <w:style w:type="paragraph" w:styleId="FootnoteText">
    <w:name w:val="footnote text"/>
    <w:basedOn w:val="Normal"/>
    <w:link w:val="FootnoteTextChar"/>
    <w:uiPriority w:val="99"/>
    <w:semiHidden/>
    <w:unhideWhenUsed/>
    <w:rsid w:val="00BF51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5185"/>
    <w:rPr>
      <w:sz w:val="20"/>
      <w:szCs w:val="20"/>
    </w:rPr>
  </w:style>
  <w:style w:type="character" w:styleId="FootnoteReference">
    <w:name w:val="footnote reference"/>
    <w:basedOn w:val="DefaultParagraphFont"/>
    <w:uiPriority w:val="99"/>
    <w:semiHidden/>
    <w:unhideWhenUsed/>
    <w:rsid w:val="00BF5185"/>
    <w:rPr>
      <w:vertAlign w:val="superscript"/>
    </w:rPr>
  </w:style>
  <w:style w:type="paragraph" w:styleId="ListParagraph">
    <w:name w:val="List Paragraph"/>
    <w:basedOn w:val="Normal"/>
    <w:uiPriority w:val="34"/>
    <w:qFormat/>
    <w:rsid w:val="00180C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0A002A-7767-4225-AC55-3403E690B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4</Pages>
  <Words>1079</Words>
  <Characters>6155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dc:creator>
  <cp:keywords/>
  <dc:description/>
  <cp:lastModifiedBy>james mills</cp:lastModifiedBy>
  <cp:revision>26</cp:revision>
  <dcterms:created xsi:type="dcterms:W3CDTF">2018-02-22T12:56:00Z</dcterms:created>
  <dcterms:modified xsi:type="dcterms:W3CDTF">2018-02-23T18:12:00Z</dcterms:modified>
</cp:coreProperties>
</file>