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F64B7" w14:textId="77777777" w:rsidR="00D95B43" w:rsidRPr="00F42993" w:rsidRDefault="00D95B43" w:rsidP="00D95B43">
      <w:pPr>
        <w:autoSpaceDE w:val="0"/>
        <w:autoSpaceDN w:val="0"/>
        <w:adjustRightInd w:val="0"/>
        <w:spacing w:after="0" w:line="480" w:lineRule="auto"/>
        <w:jc w:val="both"/>
        <w:rPr>
          <w:rFonts w:ascii="Times New Roman" w:hAnsi="Times New Roman" w:cs="Times New Roman"/>
          <w:b/>
          <w:sz w:val="40"/>
          <w:szCs w:val="24"/>
        </w:rPr>
      </w:pPr>
      <w:r w:rsidRPr="00F42993">
        <w:rPr>
          <w:rFonts w:ascii="Times New Roman" w:hAnsi="Times New Roman" w:cs="Times New Roman"/>
          <w:b/>
          <w:sz w:val="40"/>
          <w:szCs w:val="24"/>
        </w:rPr>
        <w:t>Introduction to Public Health</w:t>
      </w:r>
    </w:p>
    <w:p w14:paraId="2DD77A8D" w14:textId="5E248184" w:rsidR="00D95B43" w:rsidRDefault="00D95B43" w:rsidP="00D95B4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Julianah</w:t>
      </w:r>
      <w:proofErr w:type="spellEnd"/>
      <w:r>
        <w:rPr>
          <w:rFonts w:ascii="Times New Roman" w:hAnsi="Times New Roman" w:cs="Times New Roman"/>
          <w:sz w:val="24"/>
          <w:szCs w:val="24"/>
        </w:rPr>
        <w:t xml:space="preserve"> Iwalaiye </w:t>
      </w:r>
    </w:p>
    <w:p w14:paraId="398985E9" w14:textId="01FB44E1" w:rsidR="00634E08" w:rsidRDefault="00634E08" w:rsidP="00D95B4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Student ID: 2133902</w:t>
      </w:r>
    </w:p>
    <w:p w14:paraId="3E85444C" w14:textId="08FEC754" w:rsidR="00D95B43" w:rsidRDefault="00D95B43" w:rsidP="00D95B4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Topic: </w:t>
      </w:r>
      <w:r w:rsidR="00634E08">
        <w:rPr>
          <w:rFonts w:ascii="Times New Roman" w:hAnsi="Times New Roman" w:cs="Times New Roman"/>
          <w:sz w:val="24"/>
          <w:szCs w:val="24"/>
        </w:rPr>
        <w:t>Measles</w:t>
      </w:r>
      <w:bookmarkStart w:id="0" w:name="_GoBack"/>
      <w:bookmarkEnd w:id="0"/>
    </w:p>
    <w:p w14:paraId="1999DF9E" w14:textId="77777777" w:rsidR="00D95B43" w:rsidRDefault="00D95B43" w:rsidP="00D95B4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Module Code: LCHS4004</w:t>
      </w:r>
    </w:p>
    <w:p w14:paraId="754B9530" w14:textId="77777777" w:rsidR="00D95B43" w:rsidRDefault="00D95B43" w:rsidP="00D95B4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Lecturer: Laila </w:t>
      </w:r>
      <w:proofErr w:type="spellStart"/>
      <w:r>
        <w:rPr>
          <w:rFonts w:ascii="Times New Roman" w:hAnsi="Times New Roman" w:cs="Times New Roman"/>
          <w:sz w:val="24"/>
          <w:szCs w:val="24"/>
        </w:rPr>
        <w:t>Surani</w:t>
      </w:r>
      <w:proofErr w:type="spellEnd"/>
    </w:p>
    <w:p w14:paraId="479B57F7" w14:textId="77777777" w:rsidR="00D95B43" w:rsidRDefault="00D95B43">
      <w:pPr>
        <w:spacing w:line="360" w:lineRule="auto"/>
        <w:jc w:val="both"/>
        <w:rPr>
          <w:rFonts w:ascii="Arial" w:eastAsia="Arial" w:hAnsi="Arial" w:cs="Arial"/>
          <w:b/>
        </w:rPr>
      </w:pPr>
    </w:p>
    <w:p w14:paraId="3393D279" w14:textId="77777777" w:rsidR="00D95B43" w:rsidRDefault="00D95B43">
      <w:pPr>
        <w:spacing w:line="360" w:lineRule="auto"/>
        <w:jc w:val="both"/>
        <w:rPr>
          <w:rFonts w:ascii="Arial" w:eastAsia="Arial" w:hAnsi="Arial" w:cs="Arial"/>
          <w:b/>
        </w:rPr>
      </w:pPr>
    </w:p>
    <w:p w14:paraId="5A86DA49" w14:textId="77777777" w:rsidR="00D95B43" w:rsidRDefault="00D95B43">
      <w:pPr>
        <w:spacing w:line="360" w:lineRule="auto"/>
        <w:jc w:val="both"/>
        <w:rPr>
          <w:rFonts w:ascii="Arial" w:eastAsia="Arial" w:hAnsi="Arial" w:cs="Arial"/>
          <w:b/>
        </w:rPr>
      </w:pPr>
    </w:p>
    <w:p w14:paraId="445D1DC8" w14:textId="77777777" w:rsidR="00D95B43" w:rsidRDefault="00D95B43">
      <w:pPr>
        <w:spacing w:line="360" w:lineRule="auto"/>
        <w:jc w:val="both"/>
        <w:rPr>
          <w:rFonts w:ascii="Arial" w:eastAsia="Arial" w:hAnsi="Arial" w:cs="Arial"/>
          <w:b/>
        </w:rPr>
      </w:pPr>
    </w:p>
    <w:p w14:paraId="64D4AEFF" w14:textId="77777777" w:rsidR="00D95B43" w:rsidRDefault="00D95B43">
      <w:pPr>
        <w:spacing w:line="360" w:lineRule="auto"/>
        <w:jc w:val="both"/>
        <w:rPr>
          <w:rFonts w:ascii="Arial" w:eastAsia="Arial" w:hAnsi="Arial" w:cs="Arial"/>
          <w:b/>
        </w:rPr>
      </w:pPr>
    </w:p>
    <w:p w14:paraId="1704F3E0" w14:textId="77777777" w:rsidR="00D95B43" w:rsidRDefault="00D95B43">
      <w:pPr>
        <w:spacing w:line="360" w:lineRule="auto"/>
        <w:jc w:val="both"/>
        <w:rPr>
          <w:rFonts w:ascii="Arial" w:eastAsia="Arial" w:hAnsi="Arial" w:cs="Arial"/>
          <w:b/>
        </w:rPr>
      </w:pPr>
    </w:p>
    <w:p w14:paraId="64602DB2" w14:textId="77777777" w:rsidR="00D95B43" w:rsidRDefault="00D95B43">
      <w:pPr>
        <w:spacing w:line="360" w:lineRule="auto"/>
        <w:jc w:val="both"/>
        <w:rPr>
          <w:rFonts w:ascii="Arial" w:eastAsia="Arial" w:hAnsi="Arial" w:cs="Arial"/>
          <w:b/>
        </w:rPr>
      </w:pPr>
    </w:p>
    <w:p w14:paraId="3DC81F3F" w14:textId="77777777" w:rsidR="00D95B43" w:rsidRDefault="00D95B43">
      <w:pPr>
        <w:spacing w:line="360" w:lineRule="auto"/>
        <w:jc w:val="both"/>
        <w:rPr>
          <w:rFonts w:ascii="Arial" w:eastAsia="Arial" w:hAnsi="Arial" w:cs="Arial"/>
          <w:b/>
        </w:rPr>
      </w:pPr>
    </w:p>
    <w:p w14:paraId="2274D36D" w14:textId="77777777" w:rsidR="00D95B43" w:rsidRDefault="00D95B43">
      <w:pPr>
        <w:spacing w:line="360" w:lineRule="auto"/>
        <w:jc w:val="both"/>
        <w:rPr>
          <w:rFonts w:ascii="Arial" w:eastAsia="Arial" w:hAnsi="Arial" w:cs="Arial"/>
          <w:b/>
        </w:rPr>
      </w:pPr>
    </w:p>
    <w:p w14:paraId="01FC11D7" w14:textId="77777777" w:rsidR="00D95B43" w:rsidRDefault="00D95B43">
      <w:pPr>
        <w:spacing w:line="360" w:lineRule="auto"/>
        <w:jc w:val="both"/>
        <w:rPr>
          <w:rFonts w:ascii="Arial" w:eastAsia="Arial" w:hAnsi="Arial" w:cs="Arial"/>
          <w:b/>
        </w:rPr>
      </w:pPr>
    </w:p>
    <w:p w14:paraId="7CAD13B6" w14:textId="77777777" w:rsidR="00D95B43" w:rsidRDefault="00D95B43">
      <w:pPr>
        <w:spacing w:line="360" w:lineRule="auto"/>
        <w:jc w:val="both"/>
        <w:rPr>
          <w:rFonts w:ascii="Arial" w:eastAsia="Arial" w:hAnsi="Arial" w:cs="Arial"/>
          <w:b/>
        </w:rPr>
      </w:pPr>
    </w:p>
    <w:p w14:paraId="4C3D06C6" w14:textId="77777777" w:rsidR="00D95B43" w:rsidRDefault="00D95B43">
      <w:pPr>
        <w:spacing w:line="360" w:lineRule="auto"/>
        <w:jc w:val="both"/>
        <w:rPr>
          <w:rFonts w:ascii="Arial" w:eastAsia="Arial" w:hAnsi="Arial" w:cs="Arial"/>
          <w:b/>
        </w:rPr>
      </w:pPr>
    </w:p>
    <w:p w14:paraId="2BE087AE" w14:textId="77777777" w:rsidR="00D95B43" w:rsidRDefault="00D95B43">
      <w:pPr>
        <w:spacing w:line="360" w:lineRule="auto"/>
        <w:jc w:val="both"/>
        <w:rPr>
          <w:rFonts w:ascii="Arial" w:eastAsia="Arial" w:hAnsi="Arial" w:cs="Arial"/>
          <w:b/>
        </w:rPr>
      </w:pPr>
    </w:p>
    <w:p w14:paraId="2E5BC7A6" w14:textId="77777777" w:rsidR="00D95B43" w:rsidRDefault="00D95B43">
      <w:pPr>
        <w:spacing w:line="360" w:lineRule="auto"/>
        <w:jc w:val="both"/>
        <w:rPr>
          <w:rFonts w:ascii="Arial" w:eastAsia="Arial" w:hAnsi="Arial" w:cs="Arial"/>
          <w:b/>
        </w:rPr>
      </w:pPr>
    </w:p>
    <w:p w14:paraId="2E88FA37" w14:textId="77777777" w:rsidR="00D95B43" w:rsidRDefault="00D95B43">
      <w:pPr>
        <w:spacing w:line="360" w:lineRule="auto"/>
        <w:jc w:val="both"/>
        <w:rPr>
          <w:rFonts w:ascii="Arial" w:eastAsia="Arial" w:hAnsi="Arial" w:cs="Arial"/>
          <w:b/>
        </w:rPr>
      </w:pPr>
    </w:p>
    <w:p w14:paraId="0B5174A8" w14:textId="77777777" w:rsidR="00634E08" w:rsidRDefault="00634E08" w:rsidP="00D95B43">
      <w:pPr>
        <w:autoSpaceDE w:val="0"/>
        <w:autoSpaceDN w:val="0"/>
        <w:adjustRightInd w:val="0"/>
        <w:spacing w:after="0" w:line="480" w:lineRule="auto"/>
        <w:jc w:val="both"/>
        <w:rPr>
          <w:rFonts w:ascii="Times New Roman" w:hAnsi="Times New Roman" w:cs="Times New Roman"/>
          <w:sz w:val="36"/>
          <w:szCs w:val="24"/>
        </w:rPr>
      </w:pPr>
    </w:p>
    <w:p w14:paraId="1834C2B2" w14:textId="27DE0423" w:rsidR="00D95B43" w:rsidRDefault="00D95B43" w:rsidP="00D95B43">
      <w:pPr>
        <w:autoSpaceDE w:val="0"/>
        <w:autoSpaceDN w:val="0"/>
        <w:adjustRightInd w:val="0"/>
        <w:spacing w:after="0" w:line="480" w:lineRule="auto"/>
        <w:jc w:val="both"/>
        <w:rPr>
          <w:rFonts w:ascii="Times New Roman" w:hAnsi="Times New Roman" w:cs="Times New Roman"/>
          <w:sz w:val="36"/>
          <w:szCs w:val="24"/>
        </w:rPr>
      </w:pPr>
      <w:r w:rsidRPr="00655466">
        <w:rPr>
          <w:rFonts w:ascii="Times New Roman" w:hAnsi="Times New Roman" w:cs="Times New Roman"/>
          <w:sz w:val="36"/>
          <w:szCs w:val="24"/>
        </w:rPr>
        <w:lastRenderedPageBreak/>
        <w:t xml:space="preserve">Table of Contents </w:t>
      </w:r>
    </w:p>
    <w:p w14:paraId="3B1DD6B2" w14:textId="1A0B4103" w:rsidR="00D95B43" w:rsidRPr="00655466" w:rsidRDefault="00D95B43" w:rsidP="00D95B43">
      <w:pPr>
        <w:autoSpaceDE w:val="0"/>
        <w:autoSpaceDN w:val="0"/>
        <w:adjustRightInd w:val="0"/>
        <w:spacing w:after="0" w:line="480" w:lineRule="auto"/>
        <w:jc w:val="both"/>
        <w:rPr>
          <w:rFonts w:ascii="Times New Roman" w:hAnsi="Times New Roman" w:cs="Times New Roman"/>
          <w:sz w:val="28"/>
          <w:szCs w:val="24"/>
        </w:rPr>
      </w:pPr>
      <w:r w:rsidRPr="00655466">
        <w:rPr>
          <w:rFonts w:ascii="Times New Roman" w:hAnsi="Times New Roman" w:cs="Times New Roman"/>
          <w:sz w:val="28"/>
          <w:szCs w:val="24"/>
        </w:rPr>
        <w:t>Introduction………………………</w:t>
      </w:r>
      <w:r>
        <w:rPr>
          <w:rFonts w:ascii="Times New Roman" w:hAnsi="Times New Roman" w:cs="Times New Roman"/>
          <w:sz w:val="28"/>
          <w:szCs w:val="24"/>
        </w:rPr>
        <w:t>………………………………</w:t>
      </w:r>
      <w:r w:rsidR="00634E08">
        <w:rPr>
          <w:rFonts w:ascii="Times New Roman" w:hAnsi="Times New Roman" w:cs="Times New Roman"/>
          <w:sz w:val="28"/>
          <w:szCs w:val="24"/>
        </w:rPr>
        <w:t>….</w:t>
      </w:r>
      <w:r>
        <w:rPr>
          <w:rFonts w:ascii="Times New Roman" w:hAnsi="Times New Roman" w:cs="Times New Roman"/>
          <w:sz w:val="28"/>
          <w:szCs w:val="24"/>
        </w:rPr>
        <w:t xml:space="preserve"> Page 3</w:t>
      </w:r>
    </w:p>
    <w:p w14:paraId="02C22EB4" w14:textId="3195EF3B" w:rsidR="00D95B43" w:rsidRPr="00655466" w:rsidRDefault="00634E08" w:rsidP="00D95B43">
      <w:pPr>
        <w:autoSpaceDE w:val="0"/>
        <w:autoSpaceDN w:val="0"/>
        <w:adjustRightInd w:val="0"/>
        <w:spacing w:after="0" w:line="480" w:lineRule="auto"/>
        <w:jc w:val="both"/>
        <w:rPr>
          <w:rFonts w:ascii="Times New Roman" w:hAnsi="Times New Roman" w:cs="Times New Roman"/>
          <w:sz w:val="28"/>
          <w:szCs w:val="28"/>
        </w:rPr>
      </w:pPr>
      <w:r>
        <w:rPr>
          <w:rFonts w:ascii="Times New Roman" w:hAnsi="Times New Roman" w:cs="Times New Roman"/>
          <w:sz w:val="28"/>
          <w:szCs w:val="28"/>
        </w:rPr>
        <w:t>Public Health Measures Available</w:t>
      </w:r>
      <w:r w:rsidR="00D95B43">
        <w:rPr>
          <w:rFonts w:ascii="Times New Roman" w:hAnsi="Times New Roman" w:cs="Times New Roman"/>
          <w:sz w:val="28"/>
          <w:szCs w:val="28"/>
        </w:rPr>
        <w:t>………</w:t>
      </w:r>
      <w:r>
        <w:rPr>
          <w:rFonts w:ascii="Times New Roman" w:hAnsi="Times New Roman" w:cs="Times New Roman"/>
          <w:sz w:val="28"/>
          <w:szCs w:val="28"/>
        </w:rPr>
        <w:t>……………………………</w:t>
      </w:r>
      <w:r w:rsidR="00D95B43">
        <w:rPr>
          <w:rFonts w:ascii="Times New Roman" w:hAnsi="Times New Roman" w:cs="Times New Roman"/>
          <w:sz w:val="28"/>
          <w:szCs w:val="28"/>
        </w:rPr>
        <w:t xml:space="preserve"> Page 3</w:t>
      </w:r>
      <w:r>
        <w:rPr>
          <w:rFonts w:ascii="Times New Roman" w:hAnsi="Times New Roman" w:cs="Times New Roman"/>
          <w:sz w:val="28"/>
          <w:szCs w:val="28"/>
        </w:rPr>
        <w:t>-5</w:t>
      </w:r>
    </w:p>
    <w:p w14:paraId="69419DC4" w14:textId="2709D5AE" w:rsidR="00634E08" w:rsidRPr="00634E08" w:rsidRDefault="00634E08" w:rsidP="00634E08">
      <w:pPr>
        <w:autoSpaceDE w:val="0"/>
        <w:autoSpaceDN w:val="0"/>
        <w:adjustRightInd w:val="0"/>
        <w:spacing w:after="0" w:line="480" w:lineRule="auto"/>
        <w:jc w:val="both"/>
        <w:rPr>
          <w:rFonts w:ascii="Times New Roman" w:hAnsi="Times New Roman" w:cs="Times New Roman"/>
          <w:sz w:val="28"/>
          <w:szCs w:val="28"/>
        </w:rPr>
      </w:pPr>
      <w:r>
        <w:rPr>
          <w:rFonts w:ascii="Times New Roman" w:hAnsi="Times New Roman" w:cs="Times New Roman"/>
          <w:sz w:val="28"/>
          <w:szCs w:val="28"/>
        </w:rPr>
        <w:t xml:space="preserve">Risk Factor </w:t>
      </w:r>
      <w:r w:rsidR="00D95B43">
        <w:rPr>
          <w:rFonts w:ascii="Times New Roman" w:hAnsi="Times New Roman" w:cs="Times New Roman"/>
          <w:sz w:val="28"/>
          <w:szCs w:val="28"/>
        </w:rPr>
        <w:t>……….</w:t>
      </w:r>
      <w:r>
        <w:rPr>
          <w:rFonts w:ascii="Times New Roman" w:hAnsi="Times New Roman" w:cs="Times New Roman"/>
          <w:sz w:val="28"/>
          <w:szCs w:val="28"/>
        </w:rPr>
        <w:t>…………………………………………………. Page</w:t>
      </w:r>
      <w:r w:rsidR="00D95B43">
        <w:rPr>
          <w:rFonts w:ascii="Times New Roman" w:hAnsi="Times New Roman" w:cs="Times New Roman"/>
          <w:sz w:val="28"/>
          <w:szCs w:val="28"/>
        </w:rPr>
        <w:t xml:space="preserve"> </w:t>
      </w:r>
      <w:r>
        <w:rPr>
          <w:rFonts w:ascii="Times New Roman" w:hAnsi="Times New Roman" w:cs="Times New Roman"/>
          <w:sz w:val="28"/>
          <w:szCs w:val="28"/>
        </w:rPr>
        <w:t>5-6</w:t>
      </w:r>
    </w:p>
    <w:p w14:paraId="154E5C7F" w14:textId="718978AB" w:rsidR="00634E08" w:rsidRPr="00634E08" w:rsidRDefault="00634E08" w:rsidP="00634E08">
      <w:pPr>
        <w:autoSpaceDE w:val="0"/>
        <w:autoSpaceDN w:val="0"/>
        <w:adjustRightInd w:val="0"/>
        <w:spacing w:after="0" w:line="480" w:lineRule="auto"/>
        <w:jc w:val="both"/>
        <w:rPr>
          <w:rFonts w:ascii="Times New Roman" w:hAnsi="Times New Roman" w:cs="Times New Roman"/>
          <w:sz w:val="28"/>
          <w:szCs w:val="28"/>
        </w:rPr>
      </w:pPr>
      <w:r w:rsidRPr="00634E08">
        <w:rPr>
          <w:rFonts w:ascii="Times New Roman" w:eastAsia="Arial" w:hAnsi="Times New Roman" w:cs="Times New Roman"/>
          <w:sz w:val="28"/>
        </w:rPr>
        <w:t xml:space="preserve">Short term and </w:t>
      </w:r>
      <w:r w:rsidRPr="00634E08">
        <w:rPr>
          <w:rFonts w:ascii="Times New Roman" w:eastAsia="Arial" w:hAnsi="Times New Roman" w:cs="Times New Roman"/>
          <w:sz w:val="28"/>
        </w:rPr>
        <w:t>Long-term</w:t>
      </w:r>
      <w:r w:rsidRPr="00634E08">
        <w:rPr>
          <w:rFonts w:ascii="Times New Roman" w:eastAsia="Arial" w:hAnsi="Times New Roman" w:cs="Times New Roman"/>
          <w:sz w:val="28"/>
        </w:rPr>
        <w:t xml:space="preserve"> public health consequences of measles in health and social care settings</w:t>
      </w:r>
      <w:r>
        <w:rPr>
          <w:rFonts w:ascii="Times New Roman" w:hAnsi="Times New Roman" w:cs="Times New Roman"/>
          <w:sz w:val="28"/>
          <w:szCs w:val="28"/>
        </w:rPr>
        <w:t>………...</w:t>
      </w:r>
      <w:r>
        <w:rPr>
          <w:rFonts w:ascii="Times New Roman" w:hAnsi="Times New Roman" w:cs="Times New Roman"/>
          <w:sz w:val="28"/>
          <w:szCs w:val="28"/>
        </w:rPr>
        <w:t>.............................................................................</w:t>
      </w:r>
      <w:r>
        <w:rPr>
          <w:rFonts w:ascii="Times New Roman" w:hAnsi="Times New Roman" w:cs="Times New Roman"/>
          <w:sz w:val="28"/>
          <w:szCs w:val="28"/>
        </w:rPr>
        <w:t xml:space="preserve">Page </w:t>
      </w:r>
      <w:r>
        <w:rPr>
          <w:rFonts w:ascii="Times New Roman" w:hAnsi="Times New Roman" w:cs="Times New Roman"/>
          <w:sz w:val="28"/>
          <w:szCs w:val="28"/>
        </w:rPr>
        <w:t>6-7</w:t>
      </w:r>
    </w:p>
    <w:p w14:paraId="6C114631" w14:textId="1DE60865" w:rsidR="00D95B43" w:rsidRPr="00655466" w:rsidRDefault="00D95B43" w:rsidP="00D95B43">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Conclusion</w:t>
      </w:r>
      <w:r>
        <w:rPr>
          <w:rFonts w:ascii="Times New Roman" w:hAnsi="Times New Roman" w:cs="Times New Roman"/>
          <w:sz w:val="28"/>
          <w:szCs w:val="28"/>
        </w:rPr>
        <w:t>………………………………………………………</w:t>
      </w:r>
      <w:r w:rsidR="00634E08">
        <w:rPr>
          <w:rFonts w:ascii="Times New Roman" w:hAnsi="Times New Roman" w:cs="Times New Roman"/>
          <w:sz w:val="28"/>
          <w:szCs w:val="28"/>
        </w:rPr>
        <w:t>……...</w:t>
      </w:r>
      <w:r>
        <w:rPr>
          <w:rFonts w:ascii="Times New Roman" w:hAnsi="Times New Roman" w:cs="Times New Roman"/>
          <w:sz w:val="28"/>
          <w:szCs w:val="28"/>
        </w:rPr>
        <w:t xml:space="preserve"> Page </w:t>
      </w:r>
      <w:r w:rsidR="00634E08">
        <w:rPr>
          <w:rFonts w:ascii="Times New Roman" w:hAnsi="Times New Roman" w:cs="Times New Roman"/>
          <w:sz w:val="28"/>
          <w:szCs w:val="28"/>
        </w:rPr>
        <w:t>7</w:t>
      </w:r>
    </w:p>
    <w:p w14:paraId="6DBEAACD" w14:textId="7C370899" w:rsidR="00D95B43" w:rsidRPr="00655466" w:rsidRDefault="00D95B43" w:rsidP="00D95B43">
      <w:pPr>
        <w:autoSpaceDE w:val="0"/>
        <w:autoSpaceDN w:val="0"/>
        <w:adjustRightInd w:val="0"/>
        <w:spacing w:after="0" w:line="480" w:lineRule="auto"/>
        <w:jc w:val="both"/>
        <w:rPr>
          <w:rFonts w:ascii="Times New Roman" w:hAnsi="Times New Roman" w:cs="Times New Roman"/>
          <w:sz w:val="28"/>
          <w:szCs w:val="28"/>
        </w:rPr>
      </w:pPr>
      <w:r w:rsidRPr="00655466">
        <w:rPr>
          <w:rFonts w:ascii="Times New Roman" w:hAnsi="Times New Roman" w:cs="Times New Roman"/>
          <w:sz w:val="28"/>
          <w:szCs w:val="28"/>
        </w:rPr>
        <w:t xml:space="preserve">References </w:t>
      </w:r>
      <w:r>
        <w:rPr>
          <w:rFonts w:ascii="Times New Roman" w:hAnsi="Times New Roman" w:cs="Times New Roman"/>
          <w:sz w:val="28"/>
          <w:szCs w:val="28"/>
        </w:rPr>
        <w:t>………………………………………………………</w:t>
      </w:r>
      <w:r w:rsidR="00634E08">
        <w:rPr>
          <w:rFonts w:ascii="Times New Roman" w:hAnsi="Times New Roman" w:cs="Times New Roman"/>
          <w:sz w:val="28"/>
          <w:szCs w:val="28"/>
        </w:rPr>
        <w:t>……...</w:t>
      </w:r>
      <w:r>
        <w:rPr>
          <w:rFonts w:ascii="Times New Roman" w:hAnsi="Times New Roman" w:cs="Times New Roman"/>
          <w:sz w:val="28"/>
          <w:szCs w:val="28"/>
        </w:rPr>
        <w:t xml:space="preserve"> Page </w:t>
      </w:r>
      <w:r w:rsidR="00634E08">
        <w:rPr>
          <w:rFonts w:ascii="Times New Roman" w:hAnsi="Times New Roman" w:cs="Times New Roman"/>
          <w:sz w:val="28"/>
          <w:szCs w:val="28"/>
        </w:rPr>
        <w:t>8-9</w:t>
      </w:r>
    </w:p>
    <w:p w14:paraId="3AB39A6D" w14:textId="77777777" w:rsidR="00D95B43" w:rsidRPr="00655466" w:rsidRDefault="00D95B43" w:rsidP="00634E08">
      <w:pPr>
        <w:autoSpaceDE w:val="0"/>
        <w:autoSpaceDN w:val="0"/>
        <w:adjustRightInd w:val="0"/>
        <w:spacing w:after="0" w:line="480" w:lineRule="auto"/>
        <w:jc w:val="center"/>
        <w:rPr>
          <w:rFonts w:ascii="Times New Roman" w:hAnsi="Times New Roman" w:cs="Times New Roman"/>
          <w:b/>
          <w:sz w:val="24"/>
          <w:szCs w:val="24"/>
        </w:rPr>
      </w:pPr>
    </w:p>
    <w:p w14:paraId="412D682E" w14:textId="77777777" w:rsidR="00D95B43" w:rsidRDefault="00D95B43">
      <w:pPr>
        <w:spacing w:line="360" w:lineRule="auto"/>
        <w:jc w:val="both"/>
        <w:rPr>
          <w:rFonts w:ascii="Arial" w:eastAsia="Arial" w:hAnsi="Arial" w:cs="Arial"/>
          <w:b/>
        </w:rPr>
      </w:pPr>
    </w:p>
    <w:p w14:paraId="2991C52A" w14:textId="77777777" w:rsidR="00D95B43" w:rsidRDefault="00D95B43">
      <w:pPr>
        <w:spacing w:line="360" w:lineRule="auto"/>
        <w:jc w:val="both"/>
        <w:rPr>
          <w:rFonts w:ascii="Arial" w:eastAsia="Arial" w:hAnsi="Arial" w:cs="Arial"/>
          <w:b/>
        </w:rPr>
      </w:pPr>
    </w:p>
    <w:p w14:paraId="02B8ADAB" w14:textId="77777777" w:rsidR="00D95B43" w:rsidRDefault="00D95B43">
      <w:pPr>
        <w:spacing w:line="360" w:lineRule="auto"/>
        <w:jc w:val="both"/>
        <w:rPr>
          <w:rFonts w:ascii="Arial" w:eastAsia="Arial" w:hAnsi="Arial" w:cs="Arial"/>
          <w:b/>
        </w:rPr>
      </w:pPr>
    </w:p>
    <w:p w14:paraId="342971A1" w14:textId="77777777" w:rsidR="00D95B43" w:rsidRDefault="00D95B43">
      <w:pPr>
        <w:spacing w:line="360" w:lineRule="auto"/>
        <w:jc w:val="both"/>
        <w:rPr>
          <w:rFonts w:ascii="Arial" w:eastAsia="Arial" w:hAnsi="Arial" w:cs="Arial"/>
          <w:b/>
        </w:rPr>
      </w:pPr>
    </w:p>
    <w:p w14:paraId="5197B9CD" w14:textId="77777777" w:rsidR="00D95B43" w:rsidRDefault="00D95B43">
      <w:pPr>
        <w:spacing w:line="360" w:lineRule="auto"/>
        <w:jc w:val="both"/>
        <w:rPr>
          <w:rFonts w:ascii="Arial" w:eastAsia="Arial" w:hAnsi="Arial" w:cs="Arial"/>
          <w:b/>
        </w:rPr>
      </w:pPr>
    </w:p>
    <w:p w14:paraId="0C599938" w14:textId="77777777" w:rsidR="00D95B43" w:rsidRDefault="00D95B43">
      <w:pPr>
        <w:spacing w:line="360" w:lineRule="auto"/>
        <w:jc w:val="both"/>
        <w:rPr>
          <w:rFonts w:ascii="Arial" w:eastAsia="Arial" w:hAnsi="Arial" w:cs="Arial"/>
          <w:b/>
        </w:rPr>
      </w:pPr>
    </w:p>
    <w:p w14:paraId="15C3E0FA" w14:textId="77777777" w:rsidR="00D95B43" w:rsidRDefault="00D95B43">
      <w:pPr>
        <w:spacing w:line="360" w:lineRule="auto"/>
        <w:jc w:val="both"/>
        <w:rPr>
          <w:rFonts w:ascii="Arial" w:eastAsia="Arial" w:hAnsi="Arial" w:cs="Arial"/>
          <w:b/>
        </w:rPr>
      </w:pPr>
    </w:p>
    <w:p w14:paraId="433F45B1" w14:textId="77777777" w:rsidR="00D95B43" w:rsidRDefault="00D95B43">
      <w:pPr>
        <w:spacing w:line="360" w:lineRule="auto"/>
        <w:jc w:val="both"/>
        <w:rPr>
          <w:rFonts w:ascii="Arial" w:eastAsia="Arial" w:hAnsi="Arial" w:cs="Arial"/>
          <w:b/>
        </w:rPr>
      </w:pPr>
    </w:p>
    <w:p w14:paraId="55D3B91A" w14:textId="77777777" w:rsidR="00D95B43" w:rsidRDefault="00D95B43">
      <w:pPr>
        <w:spacing w:line="360" w:lineRule="auto"/>
        <w:jc w:val="both"/>
        <w:rPr>
          <w:rFonts w:ascii="Arial" w:eastAsia="Arial" w:hAnsi="Arial" w:cs="Arial"/>
          <w:b/>
        </w:rPr>
      </w:pPr>
    </w:p>
    <w:p w14:paraId="29BC7F23" w14:textId="77777777" w:rsidR="00D95B43" w:rsidRDefault="00D95B43">
      <w:pPr>
        <w:spacing w:line="360" w:lineRule="auto"/>
        <w:jc w:val="both"/>
        <w:rPr>
          <w:rFonts w:ascii="Arial" w:eastAsia="Arial" w:hAnsi="Arial" w:cs="Arial"/>
          <w:b/>
        </w:rPr>
      </w:pPr>
    </w:p>
    <w:p w14:paraId="4D6CA643" w14:textId="77777777" w:rsidR="00D95B43" w:rsidRDefault="00D95B43">
      <w:pPr>
        <w:spacing w:line="360" w:lineRule="auto"/>
        <w:jc w:val="both"/>
        <w:rPr>
          <w:rFonts w:ascii="Arial" w:eastAsia="Arial" w:hAnsi="Arial" w:cs="Arial"/>
          <w:b/>
        </w:rPr>
      </w:pPr>
    </w:p>
    <w:p w14:paraId="5B936375" w14:textId="77777777" w:rsidR="00D95B43" w:rsidRDefault="00D95B43">
      <w:pPr>
        <w:spacing w:line="360" w:lineRule="auto"/>
        <w:jc w:val="both"/>
        <w:rPr>
          <w:rFonts w:ascii="Arial" w:eastAsia="Arial" w:hAnsi="Arial" w:cs="Arial"/>
          <w:b/>
        </w:rPr>
      </w:pPr>
    </w:p>
    <w:p w14:paraId="00000001" w14:textId="67D4291F" w:rsidR="00103C1C" w:rsidRDefault="001A490E">
      <w:pPr>
        <w:spacing w:line="360" w:lineRule="auto"/>
        <w:jc w:val="both"/>
        <w:rPr>
          <w:rFonts w:ascii="Arial" w:eastAsia="Arial" w:hAnsi="Arial" w:cs="Arial"/>
          <w:b/>
        </w:rPr>
      </w:pPr>
      <w:r>
        <w:rPr>
          <w:rFonts w:ascii="Arial" w:eastAsia="Arial" w:hAnsi="Arial" w:cs="Arial"/>
          <w:b/>
        </w:rPr>
        <w:lastRenderedPageBreak/>
        <w:t>Introduction</w:t>
      </w:r>
    </w:p>
    <w:p w14:paraId="00000002" w14:textId="77777777" w:rsidR="00103C1C" w:rsidRDefault="001A490E">
      <w:pPr>
        <w:spacing w:line="360" w:lineRule="auto"/>
        <w:jc w:val="both"/>
        <w:rPr>
          <w:rFonts w:ascii="Arial" w:eastAsia="Arial" w:hAnsi="Arial" w:cs="Arial"/>
        </w:rPr>
      </w:pPr>
      <w:r>
        <w:rPr>
          <w:rFonts w:ascii="Arial" w:eastAsia="Arial" w:hAnsi="Arial" w:cs="Arial"/>
        </w:rPr>
        <w:t>The measles virus, which causes the sickness, is exceedingly contagious and most frequently affects children. Maculopapular rash, fever (more than 400 C), cough, coryza, and conjunctivitis are some of its prominent symptoms. The illness is extremely contag</w:t>
      </w:r>
      <w:r>
        <w:rPr>
          <w:rFonts w:ascii="Arial" w:eastAsia="Arial" w:hAnsi="Arial" w:cs="Arial"/>
        </w:rPr>
        <w:t>ious and airborne, disseminating through droplets of an infected person's nasal, oral, and throat secretions. After being exposed to the measles virus for 10–12 days, it appears in more than 90% of susceptible individuals (Caserta, 2014).</w:t>
      </w:r>
    </w:p>
    <w:p w14:paraId="00000003" w14:textId="77777777" w:rsidR="00103C1C" w:rsidRDefault="001A490E">
      <w:pPr>
        <w:spacing w:line="360" w:lineRule="auto"/>
        <w:jc w:val="both"/>
        <w:rPr>
          <w:rFonts w:ascii="Arial" w:eastAsia="Arial" w:hAnsi="Arial" w:cs="Arial"/>
        </w:rPr>
      </w:pPr>
      <w:r>
        <w:rPr>
          <w:rFonts w:ascii="Arial" w:eastAsia="Arial" w:hAnsi="Arial" w:cs="Arial"/>
        </w:rPr>
        <w:t>Before the measle</w:t>
      </w:r>
      <w:r>
        <w:rPr>
          <w:rFonts w:ascii="Arial" w:eastAsia="Arial" w:hAnsi="Arial" w:cs="Arial"/>
        </w:rPr>
        <w:t xml:space="preserve">s vaccination was developed, the disease alone killed more than 2 million children each year. In 2000, there were 145 cases of measles worldwide per million people, but because to the swift global adoption of immunization programs, cases have dropped from </w:t>
      </w:r>
      <w:r>
        <w:rPr>
          <w:rFonts w:ascii="Arial" w:eastAsia="Arial" w:hAnsi="Arial" w:cs="Arial"/>
        </w:rPr>
        <w:t>83% to 25% (</w:t>
      </w:r>
      <w:proofErr w:type="spellStart"/>
      <w:r>
        <w:rPr>
          <w:rFonts w:ascii="Arial" w:eastAsia="Arial" w:hAnsi="Arial" w:cs="Arial"/>
        </w:rPr>
        <w:t>Dabbagh</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2018). Globally, 109,000 measles-related deaths were anticipated in 2017, compared to 545,000 deaths from the disease in 2000. Worldwide, immunization efforts averted over 21.1 million deaths from 2000 to 2017 (</w:t>
      </w:r>
      <w:proofErr w:type="spellStart"/>
      <w:r>
        <w:rPr>
          <w:rFonts w:ascii="Arial" w:eastAsia="Arial" w:hAnsi="Arial" w:cs="Arial"/>
        </w:rPr>
        <w:t>Dabbagh</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w:t>
      </w:r>
      <w:r>
        <w:rPr>
          <w:rFonts w:ascii="Arial" w:eastAsia="Arial" w:hAnsi="Arial" w:cs="Arial"/>
        </w:rPr>
        <w:t xml:space="preserve">018). More than 140,000 people died from the illness in 2018, an increase from the historic low of less than 100,000 deaths in 2016 (Patel </w:t>
      </w:r>
      <w:r>
        <w:rPr>
          <w:rFonts w:ascii="Arial" w:eastAsia="Arial" w:hAnsi="Arial" w:cs="Arial"/>
          <w:i/>
        </w:rPr>
        <w:t>et al</w:t>
      </w:r>
      <w:r>
        <w:rPr>
          <w:rFonts w:ascii="Arial" w:eastAsia="Arial" w:hAnsi="Arial" w:cs="Arial"/>
        </w:rPr>
        <w:t xml:space="preserve">., 2019). In comparison to 2016, there were 167% more measles cases worldwide in 2018 (Patel </w:t>
      </w:r>
      <w:r>
        <w:rPr>
          <w:rFonts w:ascii="Arial" w:eastAsia="Arial" w:hAnsi="Arial" w:cs="Arial"/>
          <w:i/>
        </w:rPr>
        <w:t>et al</w:t>
      </w:r>
      <w:r>
        <w:rPr>
          <w:rFonts w:ascii="Arial" w:eastAsia="Arial" w:hAnsi="Arial" w:cs="Arial"/>
        </w:rPr>
        <w:t>., 2019). Begi</w:t>
      </w:r>
      <w:r>
        <w:rPr>
          <w:rFonts w:ascii="Arial" w:eastAsia="Arial" w:hAnsi="Arial" w:cs="Arial"/>
        </w:rPr>
        <w:t>nning in the year 2000, there were only about 100 confirmed cases of the measles per year in England. Since then, the number has grown, peaking at 1330 instances in 2008; in 2011, there were 1067 cases (1.7 per 100,000 population). Numerous minor outbreaks</w:t>
      </w:r>
      <w:r>
        <w:rPr>
          <w:rFonts w:ascii="Arial" w:eastAsia="Arial" w:hAnsi="Arial" w:cs="Arial"/>
        </w:rPr>
        <w:t xml:space="preserve"> have occurred throughout over the past ten years, mostly in communities of travelers.</w:t>
      </w:r>
    </w:p>
    <w:p w14:paraId="00000004" w14:textId="77777777" w:rsidR="00103C1C" w:rsidRDefault="001A490E">
      <w:pPr>
        <w:spacing w:line="360" w:lineRule="auto"/>
        <w:jc w:val="both"/>
        <w:rPr>
          <w:rFonts w:ascii="Arial" w:eastAsia="Arial" w:hAnsi="Arial" w:cs="Arial"/>
          <w:b/>
        </w:rPr>
      </w:pPr>
      <w:r>
        <w:rPr>
          <w:rFonts w:ascii="Arial" w:eastAsia="Arial" w:hAnsi="Arial" w:cs="Arial"/>
          <w:b/>
        </w:rPr>
        <w:t xml:space="preserve">Public Health measures available </w:t>
      </w:r>
    </w:p>
    <w:p w14:paraId="00000005" w14:textId="77777777" w:rsidR="00103C1C" w:rsidRDefault="001A490E">
      <w:pPr>
        <w:numPr>
          <w:ilvl w:val="0"/>
          <w:numId w:val="1"/>
        </w:numPr>
        <w:pBdr>
          <w:top w:val="nil"/>
          <w:left w:val="nil"/>
          <w:bottom w:val="nil"/>
          <w:right w:val="nil"/>
          <w:between w:val="nil"/>
        </w:pBdr>
        <w:spacing w:line="360" w:lineRule="auto"/>
        <w:jc w:val="both"/>
        <w:rPr>
          <w:b/>
          <w:color w:val="000000"/>
        </w:rPr>
      </w:pPr>
      <w:r>
        <w:rPr>
          <w:rFonts w:ascii="Arial" w:eastAsia="Arial" w:hAnsi="Arial" w:cs="Arial"/>
          <w:b/>
          <w:color w:val="000000"/>
        </w:rPr>
        <w:t xml:space="preserve">Maintaining high routine coverage of a single dose of vaccine </w:t>
      </w:r>
    </w:p>
    <w:p w14:paraId="00000006" w14:textId="77777777" w:rsidR="00103C1C" w:rsidRDefault="001A490E">
      <w:pPr>
        <w:spacing w:line="360" w:lineRule="auto"/>
        <w:jc w:val="both"/>
        <w:rPr>
          <w:rFonts w:ascii="Arial" w:eastAsia="Arial" w:hAnsi="Arial" w:cs="Arial"/>
        </w:rPr>
      </w:pPr>
      <w:r>
        <w:rPr>
          <w:rFonts w:ascii="Arial" w:eastAsia="Arial" w:hAnsi="Arial" w:cs="Arial"/>
        </w:rPr>
        <w:t xml:space="preserve">This was the policy that had been advocated by the WHO in the past, and </w:t>
      </w:r>
      <w:r>
        <w:rPr>
          <w:rFonts w:ascii="Arial" w:eastAsia="Arial" w:hAnsi="Arial" w:cs="Arial"/>
        </w:rPr>
        <w:t>by the late 1970s, it had been implemented in the majority of nations in the European Region. This strategy has the potential to eradicate measles and substantially cut down on the morbidity and fatality rates associated with the disease. In areas where va</w:t>
      </w:r>
      <w:r>
        <w:rPr>
          <w:rFonts w:ascii="Arial" w:eastAsia="Arial" w:hAnsi="Arial" w:cs="Arial"/>
        </w:rPr>
        <w:t>ccination rates are poor (less than 90 percent), measles will continue to spread, and epidemics will break out at regular intervals of three to four years. According to the standards that were in place before vaccination, the magnitude of the epidemics wil</w:t>
      </w:r>
      <w:r>
        <w:rPr>
          <w:rFonts w:ascii="Arial" w:eastAsia="Arial" w:hAnsi="Arial" w:cs="Arial"/>
        </w:rPr>
        <w:t>l be minimal, and it will be possible to achieve significant reductions in the number of cases and deaths even if coverage falls short of 90% (Miller, 1983)</w:t>
      </w:r>
    </w:p>
    <w:p w14:paraId="00000007" w14:textId="77777777" w:rsidR="00103C1C" w:rsidRDefault="001A490E">
      <w:pPr>
        <w:spacing w:line="360" w:lineRule="auto"/>
        <w:jc w:val="both"/>
        <w:rPr>
          <w:rFonts w:ascii="Arial" w:eastAsia="Arial" w:hAnsi="Arial" w:cs="Arial"/>
        </w:rPr>
      </w:pPr>
      <w:r>
        <w:rPr>
          <w:rFonts w:ascii="Arial" w:eastAsia="Arial" w:hAnsi="Arial" w:cs="Arial"/>
        </w:rPr>
        <w:lastRenderedPageBreak/>
        <w:t>To maintain control with a single dose, additional efforts must be made to optimize vaccine coverag</w:t>
      </w:r>
      <w:r>
        <w:rPr>
          <w:rFonts w:ascii="Arial" w:eastAsia="Arial" w:hAnsi="Arial" w:cs="Arial"/>
        </w:rPr>
        <w:t xml:space="preserve">e as well as to target and clean up pockets of low vaccine coverage. These pockets could serve as a center for the spread of measles into the general population if they are not addressed.                                         </w:t>
      </w:r>
    </w:p>
    <w:p w14:paraId="00000008" w14:textId="77777777" w:rsidR="00103C1C" w:rsidRDefault="001A490E">
      <w:pPr>
        <w:numPr>
          <w:ilvl w:val="0"/>
          <w:numId w:val="1"/>
        </w:numPr>
        <w:pBdr>
          <w:top w:val="nil"/>
          <w:left w:val="nil"/>
          <w:bottom w:val="nil"/>
          <w:right w:val="nil"/>
          <w:between w:val="nil"/>
        </w:pBdr>
        <w:spacing w:line="360" w:lineRule="auto"/>
        <w:jc w:val="both"/>
        <w:rPr>
          <w:b/>
          <w:color w:val="000000"/>
        </w:rPr>
      </w:pPr>
      <w:r>
        <w:rPr>
          <w:rFonts w:ascii="Arial" w:eastAsia="Arial" w:hAnsi="Arial" w:cs="Arial"/>
          <w:b/>
          <w:color w:val="000000"/>
        </w:rPr>
        <w:t>Two dose schedules</w:t>
      </w:r>
    </w:p>
    <w:p w14:paraId="00000009" w14:textId="77777777" w:rsidR="00103C1C" w:rsidRDefault="001A490E">
      <w:pPr>
        <w:spacing w:line="360" w:lineRule="auto"/>
        <w:jc w:val="both"/>
        <w:rPr>
          <w:rFonts w:ascii="Arial" w:eastAsia="Arial" w:hAnsi="Arial" w:cs="Arial"/>
        </w:rPr>
      </w:pPr>
      <w:r>
        <w:rPr>
          <w:rFonts w:ascii="Arial" w:eastAsia="Arial" w:hAnsi="Arial" w:cs="Arial"/>
        </w:rPr>
        <w:t xml:space="preserve"> The adm</w:t>
      </w:r>
      <w:r>
        <w:rPr>
          <w:rFonts w:ascii="Arial" w:eastAsia="Arial" w:hAnsi="Arial" w:cs="Arial"/>
        </w:rPr>
        <w:t>inistration of a second dose of a vaccine that contains measles can result in an improvement in the control of measles, and several nations have been able to stop the transmission of measles by reaching a high vaccination coverage for both doses (WHO, 1983</w:t>
      </w:r>
      <w:r>
        <w:rPr>
          <w:rFonts w:ascii="Arial" w:eastAsia="Arial" w:hAnsi="Arial" w:cs="Arial"/>
        </w:rPr>
        <w:t>). The second dose provides a second opportunity for vaccination children who were not previously immunized, as well as a second chance to protect children who did not seroconvert after receiving a single dose of the vaccine (primary vaccine failures). Des</w:t>
      </w:r>
      <w:r>
        <w:rPr>
          <w:rFonts w:ascii="Arial" w:eastAsia="Arial" w:hAnsi="Arial" w:cs="Arial"/>
        </w:rPr>
        <w:t xml:space="preserve">pite the fact that primary vaccine failures account for less than 10% of children who have been immunized after the age of 12 </w:t>
      </w:r>
      <w:proofErr w:type="gramStart"/>
      <w:r>
        <w:rPr>
          <w:rFonts w:ascii="Arial" w:eastAsia="Arial" w:hAnsi="Arial" w:cs="Arial"/>
        </w:rPr>
        <w:t>months,(</w:t>
      </w:r>
      <w:proofErr w:type="gramEnd"/>
      <w:r>
        <w:rPr>
          <w:rFonts w:ascii="Arial" w:eastAsia="Arial" w:hAnsi="Arial" w:cs="Arial"/>
        </w:rPr>
        <w:t xml:space="preserve">Brown </w:t>
      </w:r>
      <w:r>
        <w:rPr>
          <w:rFonts w:ascii="Arial" w:eastAsia="Arial" w:hAnsi="Arial" w:cs="Arial"/>
          <w:i/>
        </w:rPr>
        <w:t>et al</w:t>
      </w:r>
      <w:r>
        <w:rPr>
          <w:rFonts w:ascii="Arial" w:eastAsia="Arial" w:hAnsi="Arial" w:cs="Arial"/>
        </w:rPr>
        <w:t xml:space="preserve">., 1994) experience has shown that these children can contribute to the maintenance of measles transmission in </w:t>
      </w:r>
      <w:r>
        <w:rPr>
          <w:rFonts w:ascii="Arial" w:eastAsia="Arial" w:hAnsi="Arial" w:cs="Arial"/>
        </w:rPr>
        <w:t xml:space="preserve">settings where there is a high coverage rate for a single dose. 18 However, in order to obtain the desired level of efficacy with a two-dose regimen, the coverage of both the initial dose and the subsequent dose must be substantial. It is quite improbable </w:t>
      </w:r>
      <w:r>
        <w:rPr>
          <w:rFonts w:ascii="Arial" w:eastAsia="Arial" w:hAnsi="Arial" w:cs="Arial"/>
        </w:rPr>
        <w:t>that a method including two doses will be successful when the coverage of the first dosage is low (</w:t>
      </w:r>
      <w:proofErr w:type="spellStart"/>
      <w:r>
        <w:rPr>
          <w:rFonts w:ascii="Arial" w:eastAsia="Arial" w:hAnsi="Arial" w:cs="Arial"/>
        </w:rPr>
        <w:t>Cutts</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1991).           </w:t>
      </w:r>
    </w:p>
    <w:p w14:paraId="0000000A" w14:textId="77777777" w:rsidR="00103C1C" w:rsidRDefault="001A490E">
      <w:pPr>
        <w:numPr>
          <w:ilvl w:val="0"/>
          <w:numId w:val="1"/>
        </w:numPr>
        <w:pBdr>
          <w:top w:val="nil"/>
          <w:left w:val="nil"/>
          <w:bottom w:val="nil"/>
          <w:right w:val="nil"/>
          <w:between w:val="nil"/>
        </w:pBdr>
        <w:spacing w:line="360" w:lineRule="auto"/>
        <w:jc w:val="both"/>
        <w:rPr>
          <w:b/>
          <w:color w:val="000000"/>
        </w:rPr>
      </w:pPr>
      <w:r>
        <w:rPr>
          <w:rFonts w:ascii="Arial" w:eastAsia="Arial" w:hAnsi="Arial" w:cs="Arial"/>
          <w:b/>
          <w:color w:val="000000"/>
        </w:rPr>
        <w:t xml:space="preserve">Mass “catch-up” campaigns </w:t>
      </w:r>
    </w:p>
    <w:p w14:paraId="0000000B" w14:textId="77777777" w:rsidR="00103C1C" w:rsidRDefault="001A490E">
      <w:pPr>
        <w:spacing w:line="360" w:lineRule="auto"/>
        <w:jc w:val="both"/>
        <w:rPr>
          <w:rFonts w:ascii="Arial" w:eastAsia="Arial" w:hAnsi="Arial" w:cs="Arial"/>
        </w:rPr>
      </w:pPr>
      <w:r>
        <w:rPr>
          <w:rFonts w:ascii="Arial" w:eastAsia="Arial" w:hAnsi="Arial" w:cs="Arial"/>
        </w:rPr>
        <w:t xml:space="preserve">The challenges of maintaining high coverage rates1 and the concerns of outbreaks arising in older </w:t>
      </w:r>
      <w:r>
        <w:rPr>
          <w:rFonts w:ascii="Arial" w:eastAsia="Arial" w:hAnsi="Arial" w:cs="Arial"/>
        </w:rPr>
        <w:t>children have spurred the introduction of novel ways for the delivery of the measles vaccine (Clement, 1994). This tactic calls for the implementation of a widespread "catch-up" campaign, as well as "mop-up" and "follow up" efforts that are specifically ta</w:t>
      </w:r>
      <w:r>
        <w:rPr>
          <w:rFonts w:ascii="Arial" w:eastAsia="Arial" w:hAnsi="Arial" w:cs="Arial"/>
        </w:rPr>
        <w:t xml:space="preserve">rgeted at groups with limited coverage. Since 1986, when Cuba first implemented such a plan, the country has been successful in preventing the spread of measles (De </w:t>
      </w:r>
      <w:proofErr w:type="spellStart"/>
      <w:r>
        <w:rPr>
          <w:rFonts w:ascii="Arial" w:eastAsia="Arial" w:hAnsi="Arial" w:cs="Arial"/>
        </w:rPr>
        <w:t>Quadros</w:t>
      </w:r>
      <w:r>
        <w:rPr>
          <w:rFonts w:ascii="Arial" w:eastAsia="Arial" w:hAnsi="Arial" w:cs="Arial"/>
          <w:i/>
        </w:rPr>
        <w:t>et</w:t>
      </w:r>
      <w:proofErr w:type="spellEnd"/>
      <w:r>
        <w:rPr>
          <w:rFonts w:ascii="Arial" w:eastAsia="Arial" w:hAnsi="Arial" w:cs="Arial"/>
          <w:i/>
        </w:rPr>
        <w:t xml:space="preserve"> al</w:t>
      </w:r>
      <w:r>
        <w:rPr>
          <w:rFonts w:ascii="Arial" w:eastAsia="Arial" w:hAnsi="Arial" w:cs="Arial"/>
        </w:rPr>
        <w:t xml:space="preserve">., 1996). During the course of the campaign, vaccination was made available to </w:t>
      </w:r>
      <w:r>
        <w:rPr>
          <w:rFonts w:ascii="Arial" w:eastAsia="Arial" w:hAnsi="Arial" w:cs="Arial"/>
        </w:rPr>
        <w:t xml:space="preserve">all children aged one to fourteen, regardless of whether or not they had had it in the past. Even in populations who might have trouble gaining access to normal immunization services, it is possible to obtain high coverage by focusing all of one's efforts </w:t>
      </w:r>
      <w:r>
        <w:rPr>
          <w:rFonts w:ascii="Arial" w:eastAsia="Arial" w:hAnsi="Arial" w:cs="Arial"/>
        </w:rPr>
        <w:t>on a single campaign and working together. Campaigns of a similar nature have recently taken place in a number of other Latin American nations, including Chile, the English-speaking Caribbean, and other Latin American nations.</w:t>
      </w:r>
    </w:p>
    <w:p w14:paraId="0000000C" w14:textId="77777777" w:rsidR="00103C1C" w:rsidRDefault="001A490E">
      <w:pPr>
        <w:spacing w:line="360" w:lineRule="auto"/>
        <w:jc w:val="both"/>
        <w:rPr>
          <w:rFonts w:ascii="Arial" w:eastAsia="Arial" w:hAnsi="Arial" w:cs="Arial"/>
        </w:rPr>
      </w:pPr>
      <w:r>
        <w:rPr>
          <w:rFonts w:ascii="Arial" w:eastAsia="Arial" w:hAnsi="Arial" w:cs="Arial"/>
        </w:rPr>
        <w:lastRenderedPageBreak/>
        <w:t>However, after the campaign i</w:t>
      </w:r>
      <w:r>
        <w:rPr>
          <w:rFonts w:ascii="Arial" w:eastAsia="Arial" w:hAnsi="Arial" w:cs="Arial"/>
        </w:rPr>
        <w:t xml:space="preserve">s over, new groups of youngsters who are susceptible to the disease will continue to emerge. It is imperative that attempts to keep or improve coverage of the initial dose of vaccine are continued if this accumulation is to be slowed. In addition, because </w:t>
      </w:r>
      <w:r>
        <w:rPr>
          <w:rFonts w:ascii="Arial" w:eastAsia="Arial" w:hAnsi="Arial" w:cs="Arial"/>
        </w:rPr>
        <w:t>only a small percentage of children do not respond to a single dose of the vaccine (referred to as primary vaccine failures), it will be necessary to conduct additional mass vaccination campaigns or to implement a routine second dose of the vaccine in orde</w:t>
      </w:r>
      <w:r>
        <w:rPr>
          <w:rFonts w:ascii="Arial" w:eastAsia="Arial" w:hAnsi="Arial" w:cs="Arial"/>
        </w:rPr>
        <w:t>r to forestall future outbreaks.</w:t>
      </w:r>
    </w:p>
    <w:p w14:paraId="0000000D" w14:textId="77777777" w:rsidR="00103C1C" w:rsidRDefault="001A490E">
      <w:pPr>
        <w:spacing w:line="360" w:lineRule="auto"/>
        <w:jc w:val="both"/>
        <w:rPr>
          <w:rFonts w:ascii="Arial" w:eastAsia="Arial" w:hAnsi="Arial" w:cs="Arial"/>
          <w:b/>
        </w:rPr>
      </w:pPr>
      <w:bookmarkStart w:id="1" w:name="_gjdgxs" w:colFirst="0" w:colLast="0"/>
      <w:bookmarkEnd w:id="1"/>
      <w:r>
        <w:rPr>
          <w:rFonts w:ascii="Arial" w:eastAsia="Arial" w:hAnsi="Arial" w:cs="Arial"/>
          <w:b/>
        </w:rPr>
        <w:t>Risk Factor</w:t>
      </w:r>
    </w:p>
    <w:p w14:paraId="0000000E" w14:textId="77777777" w:rsidR="00103C1C" w:rsidRDefault="001A490E">
      <w:pPr>
        <w:spacing w:line="360" w:lineRule="auto"/>
        <w:jc w:val="both"/>
        <w:rPr>
          <w:rFonts w:ascii="Arial" w:eastAsia="Arial" w:hAnsi="Arial" w:cs="Arial"/>
        </w:rPr>
      </w:pPr>
      <w:r>
        <w:rPr>
          <w:rFonts w:ascii="Arial" w:eastAsia="Arial" w:hAnsi="Arial" w:cs="Arial"/>
        </w:rPr>
        <w:t>In addition to a lack of MMR vaccination or an incomplete dose, other risk factors for measles infection in children included an age of less than 24 months (80.9% of cases) and a history of travel to countries w</w:t>
      </w:r>
      <w:r>
        <w:rPr>
          <w:rFonts w:ascii="Arial" w:eastAsia="Arial" w:hAnsi="Arial" w:cs="Arial"/>
        </w:rPr>
        <w:t>here there was a confirmed outbreak of measles. It is likely that healthcare settings play a key role in exposure to measles as well as transmission and spread of the disease, particularly among hospital inpatients. This hypothesis is confirmed by the desc</w:t>
      </w:r>
      <w:r>
        <w:rPr>
          <w:rFonts w:ascii="Arial" w:eastAsia="Arial" w:hAnsi="Arial" w:cs="Arial"/>
        </w:rPr>
        <w:t>riptive epidemiology of the outbreak. 8</w:t>
      </w:r>
    </w:p>
    <w:p w14:paraId="0000000F" w14:textId="77777777" w:rsidR="00103C1C" w:rsidRDefault="001A490E">
      <w:pPr>
        <w:spacing w:line="360" w:lineRule="auto"/>
        <w:jc w:val="both"/>
        <w:rPr>
          <w:rFonts w:ascii="Arial" w:eastAsia="Arial" w:hAnsi="Arial" w:cs="Arial"/>
        </w:rPr>
      </w:pPr>
      <w:r>
        <w:rPr>
          <w:rFonts w:ascii="Arial" w:eastAsia="Arial" w:hAnsi="Arial" w:cs="Arial"/>
        </w:rPr>
        <w:t>The following are some additional common risk factors for measles:</w:t>
      </w:r>
    </w:p>
    <w:p w14:paraId="00000010" w14:textId="77777777" w:rsidR="00103C1C" w:rsidRDefault="001A490E">
      <w:pPr>
        <w:spacing w:line="360" w:lineRule="auto"/>
        <w:jc w:val="both"/>
        <w:rPr>
          <w:rFonts w:ascii="Arial" w:eastAsia="Arial" w:hAnsi="Arial" w:cs="Arial"/>
        </w:rPr>
      </w:pPr>
      <w:r>
        <w:rPr>
          <w:rFonts w:ascii="Arial" w:eastAsia="Arial" w:hAnsi="Arial" w:cs="Arial"/>
        </w:rPr>
        <w:t xml:space="preserve">• Infants who are too young to receive vaccinations due of their age: The measles vaccine is ineffective in infants because their immune systems are </w:t>
      </w:r>
      <w:r>
        <w:rPr>
          <w:rFonts w:ascii="Arial" w:eastAsia="Arial" w:hAnsi="Arial" w:cs="Arial"/>
        </w:rPr>
        <w:t>not mature enough to generate the necessary protective immunologic response to the vaccine. This response is required for the vaccine to be effective. It is recommended that infants who are going to be traveling outside of the country receive one dose of t</w:t>
      </w:r>
      <w:r>
        <w:rPr>
          <w:rFonts w:ascii="Arial" w:eastAsia="Arial" w:hAnsi="Arial" w:cs="Arial"/>
        </w:rPr>
        <w:t>heir MMR vaccine between the ages of 6 and 11 months, rather than waiting until the traditional age range of 12 to 15 months. This is because infants are more susceptible to contracting infectious diseases when they are in unfamiliar environments. 9</w:t>
      </w:r>
    </w:p>
    <w:p w14:paraId="00000011" w14:textId="77777777" w:rsidR="00103C1C" w:rsidRDefault="001A490E">
      <w:pPr>
        <w:spacing w:line="360" w:lineRule="auto"/>
        <w:jc w:val="both"/>
        <w:rPr>
          <w:rFonts w:ascii="Arial" w:eastAsia="Arial" w:hAnsi="Arial" w:cs="Arial"/>
        </w:rPr>
      </w:pPr>
      <w:r>
        <w:rPr>
          <w:rFonts w:ascii="Arial" w:eastAsia="Arial" w:hAnsi="Arial" w:cs="Arial"/>
        </w:rPr>
        <w:t>• Indi</w:t>
      </w:r>
      <w:r>
        <w:rPr>
          <w:rFonts w:ascii="Arial" w:eastAsia="Arial" w:hAnsi="Arial" w:cs="Arial"/>
        </w:rPr>
        <w:t>viduals who are unable to receive the MMR vaccine due to medical conditions: Some individuals are unable to receive the MMR vaccine due to medical conditions such as being immunocompromised or the fact that they are taking specific medications, such as hig</w:t>
      </w:r>
      <w:r>
        <w:rPr>
          <w:rFonts w:ascii="Arial" w:eastAsia="Arial" w:hAnsi="Arial" w:cs="Arial"/>
        </w:rPr>
        <w:t>h doses of steroids or chemotherapy for cancer.</w:t>
      </w:r>
    </w:p>
    <w:p w14:paraId="00000012" w14:textId="77777777" w:rsidR="00103C1C" w:rsidRDefault="001A490E">
      <w:pPr>
        <w:spacing w:line="360" w:lineRule="auto"/>
        <w:jc w:val="both"/>
        <w:rPr>
          <w:rFonts w:ascii="Arial" w:eastAsia="Arial" w:hAnsi="Arial" w:cs="Arial"/>
        </w:rPr>
      </w:pPr>
      <w:r>
        <w:rPr>
          <w:rFonts w:ascii="Arial" w:eastAsia="Arial" w:hAnsi="Arial" w:cs="Arial"/>
        </w:rPr>
        <w:t>• Not having gotten a second booster dose of the MMR vaccine: Individuals who have not had a second booster dose of the MMR vaccine do not have complete protection to measles. The majority of children don't g</w:t>
      </w:r>
      <w:r>
        <w:rPr>
          <w:rFonts w:ascii="Arial" w:eastAsia="Arial" w:hAnsi="Arial" w:cs="Arial"/>
        </w:rPr>
        <w:t>et their booster injection until they are between the ages of 4 and 6.</w:t>
      </w:r>
    </w:p>
    <w:p w14:paraId="00000013" w14:textId="77777777" w:rsidR="00103C1C" w:rsidRDefault="001A490E">
      <w:pPr>
        <w:spacing w:line="360" w:lineRule="auto"/>
        <w:jc w:val="both"/>
        <w:rPr>
          <w:rFonts w:ascii="Arial" w:eastAsia="Arial" w:hAnsi="Arial" w:cs="Arial"/>
        </w:rPr>
      </w:pPr>
      <w:r>
        <w:rPr>
          <w:rFonts w:ascii="Arial" w:eastAsia="Arial" w:hAnsi="Arial" w:cs="Arial"/>
        </w:rPr>
        <w:t>• Receiving all of the recommended vaccinations but yet not gaining immunity: This occurs in around 3% of people who are immunized.</w:t>
      </w:r>
    </w:p>
    <w:p w14:paraId="00000014" w14:textId="77777777" w:rsidR="00103C1C" w:rsidRDefault="001A490E">
      <w:pPr>
        <w:spacing w:line="360" w:lineRule="auto"/>
        <w:jc w:val="both"/>
        <w:rPr>
          <w:rFonts w:ascii="Arial" w:eastAsia="Arial" w:hAnsi="Arial" w:cs="Arial"/>
        </w:rPr>
      </w:pPr>
      <w:r>
        <w:rPr>
          <w:rFonts w:ascii="Arial" w:eastAsia="Arial" w:hAnsi="Arial" w:cs="Arial"/>
        </w:rPr>
        <w:lastRenderedPageBreak/>
        <w:t xml:space="preserve">• Individuals who lack a healthy immune system: This </w:t>
      </w:r>
      <w:r>
        <w:rPr>
          <w:rFonts w:ascii="Arial" w:eastAsia="Arial" w:hAnsi="Arial" w:cs="Arial"/>
        </w:rPr>
        <w:t>is the case regardless of whether or not they had previously been vaccinated with the MMR combination.</w:t>
      </w:r>
    </w:p>
    <w:p w14:paraId="00000015" w14:textId="77777777" w:rsidR="00103C1C" w:rsidRDefault="001A490E">
      <w:pPr>
        <w:spacing w:line="360" w:lineRule="auto"/>
        <w:jc w:val="both"/>
        <w:rPr>
          <w:rFonts w:ascii="Arial" w:eastAsia="Arial" w:hAnsi="Arial" w:cs="Arial"/>
        </w:rPr>
      </w:pPr>
      <w:r>
        <w:rPr>
          <w:rFonts w:ascii="Arial" w:eastAsia="Arial" w:hAnsi="Arial" w:cs="Arial"/>
        </w:rPr>
        <w:t>• A lack of vitamin A is a cause for concern because it raises the risk of contracting measles and makes the disease more severe when it does occur (Sudf</w:t>
      </w:r>
      <w:r>
        <w:rPr>
          <w:rFonts w:ascii="Arial" w:eastAsia="Arial" w:hAnsi="Arial" w:cs="Arial"/>
        </w:rPr>
        <w:t xml:space="preserve">eld </w:t>
      </w:r>
      <w:r>
        <w:rPr>
          <w:rFonts w:ascii="Arial" w:eastAsia="Arial" w:hAnsi="Arial" w:cs="Arial"/>
          <w:i/>
        </w:rPr>
        <w:t>et al</w:t>
      </w:r>
      <w:r>
        <w:rPr>
          <w:rFonts w:ascii="Arial" w:eastAsia="Arial" w:hAnsi="Arial" w:cs="Arial"/>
        </w:rPr>
        <w:t>., 2010).</w:t>
      </w:r>
    </w:p>
    <w:p w14:paraId="00000016" w14:textId="77777777" w:rsidR="00103C1C" w:rsidRDefault="001A490E">
      <w:pPr>
        <w:spacing w:line="360" w:lineRule="auto"/>
        <w:jc w:val="both"/>
        <w:rPr>
          <w:rFonts w:ascii="Arial" w:eastAsia="Arial" w:hAnsi="Arial" w:cs="Arial"/>
          <w:b/>
        </w:rPr>
      </w:pPr>
      <w:r>
        <w:rPr>
          <w:rFonts w:ascii="Arial" w:eastAsia="Arial" w:hAnsi="Arial" w:cs="Arial"/>
          <w:b/>
        </w:rPr>
        <w:t xml:space="preserve">Short term and </w:t>
      </w:r>
      <w:proofErr w:type="gramStart"/>
      <w:r>
        <w:rPr>
          <w:rFonts w:ascii="Arial" w:eastAsia="Arial" w:hAnsi="Arial" w:cs="Arial"/>
          <w:b/>
        </w:rPr>
        <w:t>Long term</w:t>
      </w:r>
      <w:proofErr w:type="gramEnd"/>
      <w:r>
        <w:rPr>
          <w:rFonts w:ascii="Arial" w:eastAsia="Arial" w:hAnsi="Arial" w:cs="Arial"/>
          <w:b/>
        </w:rPr>
        <w:t xml:space="preserve"> public health consequences of measles in health and social care settings</w:t>
      </w:r>
    </w:p>
    <w:p w14:paraId="00000017" w14:textId="77777777" w:rsidR="00103C1C" w:rsidRDefault="001A490E">
      <w:pPr>
        <w:spacing w:line="360" w:lineRule="auto"/>
        <w:jc w:val="both"/>
        <w:rPr>
          <w:rFonts w:ascii="Arial" w:eastAsia="Arial" w:hAnsi="Arial" w:cs="Arial"/>
        </w:rPr>
      </w:pPr>
      <w:r>
        <w:rPr>
          <w:rFonts w:ascii="Arial" w:eastAsia="Arial" w:hAnsi="Arial" w:cs="Arial"/>
        </w:rPr>
        <w:t>The measles is the most infectious of the diseases that can be prevented through vaccination (</w:t>
      </w:r>
      <w:proofErr w:type="spellStart"/>
      <w:r>
        <w:rPr>
          <w:rFonts w:ascii="Arial" w:eastAsia="Arial" w:hAnsi="Arial" w:cs="Arial"/>
        </w:rPr>
        <w:t>Strebel</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2008). Patients are infectious from four days before the rash appears to four days after it appears. After the patient has left the location, the virus could still be present in the air for as long as two hours. It is estimated that the measles componen</w:t>
      </w:r>
      <w:r>
        <w:rPr>
          <w:rFonts w:ascii="Arial" w:eastAsia="Arial" w:hAnsi="Arial" w:cs="Arial"/>
        </w:rPr>
        <w:t>t of the MMR vaccine has an effectiveness of roughly 93% for one dose and 97% for two doses (</w:t>
      </w:r>
      <w:proofErr w:type="spellStart"/>
      <w:r>
        <w:rPr>
          <w:rFonts w:ascii="Arial" w:eastAsia="Arial" w:hAnsi="Arial" w:cs="Arial"/>
        </w:rPr>
        <w:t>Strebel</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2008). The Advisory Committee on Immunization Practices (ACIP) suggests that all Healthcare workers have presumptive proof of immunity to measles i</w:t>
      </w:r>
      <w:r>
        <w:rPr>
          <w:rFonts w:ascii="Arial" w:eastAsia="Arial" w:hAnsi="Arial" w:cs="Arial"/>
        </w:rPr>
        <w:t xml:space="preserve">n order to protect Healthcare workers from contracting measles (CDC, 2011). This recommendation was made in order to protect Healthcare workers from contracting measles. It is possible to simplify the process of documenting this in a healthcare context by </w:t>
      </w:r>
      <w:r>
        <w:rPr>
          <w:rFonts w:ascii="Arial" w:eastAsia="Arial" w:hAnsi="Arial" w:cs="Arial"/>
        </w:rPr>
        <w:t>ensuring that accurate Healthcare workers vaccination records, particularly electronic records, are kept. Despite any presumptive evidence of immunity to measles, the Advisory Committee on Immunization Practices (ACIP) recommended in 2011 that all healthca</w:t>
      </w:r>
      <w:r>
        <w:rPr>
          <w:rFonts w:ascii="Arial" w:eastAsia="Arial" w:hAnsi="Arial" w:cs="Arial"/>
        </w:rPr>
        <w:t>re personnel caring for patients with suspected or confirmed measles should wear respiratory protection that is at least as protective as a N95 respirator (CDC, 2011). This was done for the purpose of providing additional protection for Healthcare workers.</w:t>
      </w:r>
      <w:r>
        <w:rPr>
          <w:rFonts w:ascii="Arial" w:eastAsia="Arial" w:hAnsi="Arial" w:cs="Arial"/>
        </w:rPr>
        <w:t xml:space="preserve"> This is due to the fact that transmission has taken place in healthcare workers who have serologic evidence of immunity or who have received two doses of the vaccine, despite the fact that this is an extremely uncommon event (Rota </w:t>
      </w:r>
      <w:r>
        <w:rPr>
          <w:rFonts w:ascii="Arial" w:eastAsia="Arial" w:hAnsi="Arial" w:cs="Arial"/>
          <w:i/>
        </w:rPr>
        <w:t>et al</w:t>
      </w:r>
      <w:r>
        <w:rPr>
          <w:rFonts w:ascii="Arial" w:eastAsia="Arial" w:hAnsi="Arial" w:cs="Arial"/>
        </w:rPr>
        <w:t>., 2011).</w:t>
      </w:r>
    </w:p>
    <w:p w14:paraId="00000018" w14:textId="77777777" w:rsidR="00103C1C" w:rsidRDefault="001A490E">
      <w:pPr>
        <w:spacing w:line="360" w:lineRule="auto"/>
        <w:jc w:val="both"/>
        <w:rPr>
          <w:rFonts w:ascii="Arial" w:eastAsia="Arial" w:hAnsi="Arial" w:cs="Arial"/>
        </w:rPr>
      </w:pPr>
      <w:r>
        <w:rPr>
          <w:rFonts w:ascii="Arial" w:eastAsia="Arial" w:hAnsi="Arial" w:cs="Arial"/>
        </w:rPr>
        <w:t>It has be</w:t>
      </w:r>
      <w:r>
        <w:rPr>
          <w:rFonts w:ascii="Arial" w:eastAsia="Arial" w:hAnsi="Arial" w:cs="Arial"/>
        </w:rPr>
        <w:t>en proposed that a reduced severity of measles-related respiratory symptoms, notably a cough, may result in a lower infectivity. A cough in particular has been singled out as a potential indicator of this. People who are unable to develop MMR immunity desp</w:t>
      </w:r>
      <w:r>
        <w:rPr>
          <w:rFonts w:ascii="Arial" w:eastAsia="Arial" w:hAnsi="Arial" w:cs="Arial"/>
        </w:rPr>
        <w:t>ite receiving two doses of the vaccine may be less infectious and transmit less. There is no indication that individuals whose measles virus infections are either changed or inapparent shed measles virus, according to several investigations that were condu</w:t>
      </w:r>
      <w:r>
        <w:rPr>
          <w:rFonts w:ascii="Arial" w:eastAsia="Arial" w:hAnsi="Arial" w:cs="Arial"/>
        </w:rPr>
        <w:t>cted in the past (</w:t>
      </w:r>
      <w:proofErr w:type="spellStart"/>
      <w:r>
        <w:rPr>
          <w:rFonts w:ascii="Arial" w:eastAsia="Arial" w:hAnsi="Arial" w:cs="Arial"/>
        </w:rPr>
        <w:t>Lievano</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2004). Despite this, there have been sporadic reports of secondary and even tertiary transmission of measles in non-</w:t>
      </w:r>
      <w:r>
        <w:rPr>
          <w:rFonts w:ascii="Arial" w:eastAsia="Arial" w:hAnsi="Arial" w:cs="Arial"/>
        </w:rPr>
        <w:lastRenderedPageBreak/>
        <w:t>healthcare settings among people who have not responded adequately to two doses of the MMR vaccine and who</w:t>
      </w:r>
      <w:r>
        <w:rPr>
          <w:rFonts w:ascii="Arial" w:eastAsia="Arial" w:hAnsi="Arial" w:cs="Arial"/>
        </w:rPr>
        <w:t xml:space="preserve"> have had characteristic measles symptoms.</w:t>
      </w:r>
    </w:p>
    <w:p w14:paraId="00000019" w14:textId="77777777" w:rsidR="00103C1C" w:rsidRDefault="001A490E">
      <w:pPr>
        <w:spacing w:line="360" w:lineRule="auto"/>
        <w:jc w:val="both"/>
        <w:rPr>
          <w:rFonts w:ascii="Arial" w:eastAsia="Arial" w:hAnsi="Arial" w:cs="Arial"/>
        </w:rPr>
      </w:pPr>
      <w:r>
        <w:rPr>
          <w:rFonts w:ascii="Arial" w:eastAsia="Arial" w:hAnsi="Arial" w:cs="Arial"/>
        </w:rPr>
        <w:t>However, so long as measles continues to be widespread in other regions of the world, the virus that causes measles will continue to be brought into the United States. These imports and subsequent exposures have t</w:t>
      </w:r>
      <w:r>
        <w:rPr>
          <w:rFonts w:ascii="Arial" w:eastAsia="Arial" w:hAnsi="Arial" w:cs="Arial"/>
        </w:rPr>
        <w:t>he potential to cause catastrophic or fatal effects in those who are vulnerable to the risk and are at a high risk. Additionally, there is the possibility that healthcare facilities could experience considerable disruptions, which would result in substanti</w:t>
      </w:r>
      <w:r>
        <w:rPr>
          <w:rFonts w:ascii="Arial" w:eastAsia="Arial" w:hAnsi="Arial" w:cs="Arial"/>
        </w:rPr>
        <w:t xml:space="preserve">al additional expenses associated with the response. Healthcare workers continue to be at risk for exposure to measles as a result of the fact that many people who are infected with measles seek medical treatment. </w:t>
      </w:r>
      <w:proofErr w:type="gramStart"/>
      <w:r>
        <w:rPr>
          <w:rFonts w:ascii="Arial" w:eastAsia="Arial" w:hAnsi="Arial" w:cs="Arial"/>
        </w:rPr>
        <w:t>A</w:t>
      </w:r>
      <w:proofErr w:type="gramEnd"/>
      <w:r>
        <w:rPr>
          <w:rFonts w:ascii="Arial" w:eastAsia="Arial" w:hAnsi="Arial" w:cs="Arial"/>
        </w:rPr>
        <w:t xml:space="preserve"> HCP should be familiar with the signs an</w:t>
      </w:r>
      <w:r>
        <w:rPr>
          <w:rFonts w:ascii="Arial" w:eastAsia="Arial" w:hAnsi="Arial" w:cs="Arial"/>
        </w:rPr>
        <w:t>d symptoms of measles and should collect a travel history in patients who appear with a rash and fever. Measles is contagious and can be fatal in children. It is essential to quickly identify cases and put airborne measures into place. This includes the us</w:t>
      </w:r>
      <w:r>
        <w:rPr>
          <w:rFonts w:ascii="Arial" w:eastAsia="Arial" w:hAnsi="Arial" w:cs="Arial"/>
        </w:rPr>
        <w:t xml:space="preserve">e of respiratory protection at least as protective as </w:t>
      </w:r>
      <w:proofErr w:type="gramStart"/>
      <w:r>
        <w:rPr>
          <w:rFonts w:ascii="Arial" w:eastAsia="Arial" w:hAnsi="Arial" w:cs="Arial"/>
        </w:rPr>
        <w:t>an</w:t>
      </w:r>
      <w:proofErr w:type="gramEnd"/>
      <w:r>
        <w:rPr>
          <w:rFonts w:ascii="Arial" w:eastAsia="Arial" w:hAnsi="Arial" w:cs="Arial"/>
        </w:rPr>
        <w:t xml:space="preserve"> NIOSH certified N-95 respirator when providing care to patients (CDC, 2011).</w:t>
      </w:r>
    </w:p>
    <w:p w14:paraId="0000001A" w14:textId="77777777" w:rsidR="00103C1C" w:rsidRDefault="001A490E">
      <w:pPr>
        <w:spacing w:line="360" w:lineRule="auto"/>
        <w:jc w:val="both"/>
        <w:rPr>
          <w:rFonts w:ascii="Arial" w:eastAsia="Arial" w:hAnsi="Arial" w:cs="Arial"/>
          <w:b/>
        </w:rPr>
      </w:pPr>
      <w:r>
        <w:rPr>
          <w:rFonts w:ascii="Arial" w:eastAsia="Arial" w:hAnsi="Arial" w:cs="Arial"/>
          <w:b/>
        </w:rPr>
        <w:t>Conclusion</w:t>
      </w:r>
    </w:p>
    <w:p w14:paraId="0000001B" w14:textId="77777777" w:rsidR="00103C1C" w:rsidRDefault="001A490E">
      <w:pPr>
        <w:spacing w:line="360" w:lineRule="auto"/>
        <w:jc w:val="both"/>
        <w:rPr>
          <w:rFonts w:ascii="Arial" w:eastAsia="Arial" w:hAnsi="Arial" w:cs="Arial"/>
        </w:rPr>
      </w:pPr>
      <w:r>
        <w:rPr>
          <w:rFonts w:ascii="Arial" w:eastAsia="Arial" w:hAnsi="Arial" w:cs="Arial"/>
        </w:rPr>
        <w:t>Even countries that say they have eliminated measles completely could potentially have outbreaks of the disease</w:t>
      </w:r>
      <w:r>
        <w:rPr>
          <w:rFonts w:ascii="Arial" w:eastAsia="Arial" w:hAnsi="Arial" w:cs="Arial"/>
        </w:rPr>
        <w:t xml:space="preserve"> as long as there remain people in other populations who are susceptible to it. It is possible to become infected with the measles by traveling through these nations. When measles breaks out, it places a significant financial strain on the economy. Vaccine</w:t>
      </w:r>
      <w:r>
        <w:rPr>
          <w:rFonts w:ascii="Arial" w:eastAsia="Arial" w:hAnsi="Arial" w:cs="Arial"/>
        </w:rPr>
        <w:t xml:space="preserve"> refusal is still the primary obstacle stopping the elimination of measles, despite the fact that vaccination rates have skyrocketed in the past decade thanks to global efforts to raise awareness and improve surveillance. In light of the fact that measles </w:t>
      </w:r>
      <w:r>
        <w:rPr>
          <w:rFonts w:ascii="Arial" w:eastAsia="Arial" w:hAnsi="Arial" w:cs="Arial"/>
        </w:rPr>
        <w:t>is linked to the development of complications resulting from secondary infections, government-sponsored programs ought to be required to provide adequate supportive therapy in the form of vitamin A supplementation and antibiotics in order to effectively an</w:t>
      </w:r>
      <w:r>
        <w:rPr>
          <w:rFonts w:ascii="Arial" w:eastAsia="Arial" w:hAnsi="Arial" w:cs="Arial"/>
        </w:rPr>
        <w:t>d adequately manage measles-associated mortality.</w:t>
      </w:r>
    </w:p>
    <w:p w14:paraId="0000001C" w14:textId="77777777" w:rsidR="00103C1C" w:rsidRDefault="001A490E">
      <w:pPr>
        <w:spacing w:line="360" w:lineRule="auto"/>
        <w:jc w:val="both"/>
        <w:rPr>
          <w:rFonts w:ascii="Arial" w:eastAsia="Arial" w:hAnsi="Arial" w:cs="Arial"/>
        </w:rPr>
      </w:pPr>
      <w:r>
        <w:rPr>
          <w:rFonts w:ascii="Arial" w:eastAsia="Arial" w:hAnsi="Arial" w:cs="Arial"/>
        </w:rPr>
        <w:t>In spite of the fact that an efficient vaccination is available, measles outbreaks continue to put a strain on our health care system. In fact, outbreaks can still take place in regions where groups of indi</w:t>
      </w:r>
      <w:r>
        <w:rPr>
          <w:rFonts w:ascii="Arial" w:eastAsia="Arial" w:hAnsi="Arial" w:cs="Arial"/>
        </w:rPr>
        <w:t>viduals do not get vaccinated against the disease.</w:t>
      </w:r>
    </w:p>
    <w:p w14:paraId="61A41864" w14:textId="77777777" w:rsidR="00634E08" w:rsidRDefault="00634E08">
      <w:pPr>
        <w:spacing w:line="360" w:lineRule="auto"/>
        <w:jc w:val="both"/>
        <w:rPr>
          <w:rFonts w:ascii="Arial" w:eastAsia="Arial" w:hAnsi="Arial" w:cs="Arial"/>
          <w:b/>
        </w:rPr>
      </w:pPr>
    </w:p>
    <w:p w14:paraId="4E1572B2" w14:textId="77777777" w:rsidR="00634E08" w:rsidRDefault="00634E08">
      <w:pPr>
        <w:spacing w:line="360" w:lineRule="auto"/>
        <w:jc w:val="both"/>
        <w:rPr>
          <w:rFonts w:ascii="Arial" w:eastAsia="Arial" w:hAnsi="Arial" w:cs="Arial"/>
          <w:b/>
        </w:rPr>
      </w:pPr>
    </w:p>
    <w:p w14:paraId="0000001D" w14:textId="6F4891FC" w:rsidR="00103C1C" w:rsidRDefault="001A490E">
      <w:pPr>
        <w:spacing w:line="360" w:lineRule="auto"/>
        <w:jc w:val="both"/>
        <w:rPr>
          <w:rFonts w:ascii="Arial" w:eastAsia="Arial" w:hAnsi="Arial" w:cs="Arial"/>
          <w:b/>
        </w:rPr>
      </w:pPr>
      <w:r>
        <w:rPr>
          <w:rFonts w:ascii="Arial" w:eastAsia="Arial" w:hAnsi="Arial" w:cs="Arial"/>
          <w:b/>
        </w:rPr>
        <w:lastRenderedPageBreak/>
        <w:t>References</w:t>
      </w:r>
    </w:p>
    <w:p w14:paraId="0000001E" w14:textId="77777777" w:rsidR="00103C1C" w:rsidRDefault="001A490E">
      <w:pPr>
        <w:spacing w:line="360" w:lineRule="auto"/>
        <w:ind w:left="360" w:hanging="360"/>
        <w:jc w:val="both"/>
        <w:rPr>
          <w:rFonts w:ascii="Arial" w:eastAsia="Arial" w:hAnsi="Arial" w:cs="Arial"/>
        </w:rPr>
      </w:pPr>
      <w:r>
        <w:rPr>
          <w:rFonts w:ascii="Arial" w:eastAsia="Arial" w:hAnsi="Arial" w:cs="Arial"/>
        </w:rPr>
        <w:t>Advisory Committee on Immunization Practices and Centers for Disease Control and Prevention (CDC, 2011. Immunization of health-care personnel: recommendations of the Advisory Committee on Immuni</w:t>
      </w:r>
      <w:r>
        <w:rPr>
          <w:rFonts w:ascii="Arial" w:eastAsia="Arial" w:hAnsi="Arial" w:cs="Arial"/>
        </w:rPr>
        <w:t>zation Practices (ACIP). MMWR. Recommendations and reports: Morbidity and mortality weekly report. Recommendations and reports, 60(RR-7), pp.1-45.</w:t>
      </w:r>
    </w:p>
    <w:p w14:paraId="0000001F" w14:textId="77777777" w:rsidR="00103C1C" w:rsidRDefault="001A490E">
      <w:pPr>
        <w:spacing w:line="360" w:lineRule="auto"/>
        <w:ind w:left="360" w:hanging="360"/>
        <w:jc w:val="both"/>
        <w:rPr>
          <w:rFonts w:ascii="Arial" w:eastAsia="Arial" w:hAnsi="Arial" w:cs="Arial"/>
        </w:rPr>
      </w:pPr>
      <w:r>
        <w:rPr>
          <w:rFonts w:ascii="Arial" w:eastAsia="Arial" w:hAnsi="Arial" w:cs="Arial"/>
        </w:rPr>
        <w:t>Brown, D.W., Ramsay, M.E., Richards, A.F. and Miller, E., 1994. Salivary diagnosis of measles: a study of not</w:t>
      </w:r>
      <w:r>
        <w:rPr>
          <w:rFonts w:ascii="Arial" w:eastAsia="Arial" w:hAnsi="Arial" w:cs="Arial"/>
        </w:rPr>
        <w:t xml:space="preserve">ified cases in the United Kingdom, 1991-3. </w:t>
      </w:r>
      <w:proofErr w:type="spellStart"/>
      <w:r>
        <w:rPr>
          <w:rFonts w:ascii="Arial" w:eastAsia="Arial" w:hAnsi="Arial" w:cs="Arial"/>
        </w:rPr>
        <w:t>bmj</w:t>
      </w:r>
      <w:proofErr w:type="spellEnd"/>
      <w:r>
        <w:rPr>
          <w:rFonts w:ascii="Arial" w:eastAsia="Arial" w:hAnsi="Arial" w:cs="Arial"/>
        </w:rPr>
        <w:t>, 308(6935), pp.1015-1017.</w:t>
      </w:r>
    </w:p>
    <w:p w14:paraId="00000020" w14:textId="77777777" w:rsidR="00103C1C" w:rsidRDefault="001A490E">
      <w:pPr>
        <w:spacing w:line="360" w:lineRule="auto"/>
        <w:ind w:left="360" w:hanging="360"/>
        <w:jc w:val="both"/>
        <w:rPr>
          <w:rFonts w:ascii="Arial" w:eastAsia="Arial" w:hAnsi="Arial" w:cs="Arial"/>
        </w:rPr>
      </w:pPr>
      <w:r>
        <w:rPr>
          <w:rFonts w:ascii="Arial" w:eastAsia="Arial" w:hAnsi="Arial" w:cs="Arial"/>
        </w:rPr>
        <w:t>Clements, C.J., 1994. Role of mass campaigns in global measles control. Lancet, 344(8916), pp.174-175.</w:t>
      </w:r>
    </w:p>
    <w:p w14:paraId="00000021" w14:textId="77777777" w:rsidR="00103C1C" w:rsidRDefault="001A490E">
      <w:pPr>
        <w:spacing w:line="360" w:lineRule="auto"/>
        <w:ind w:left="360" w:hanging="360"/>
        <w:jc w:val="both"/>
        <w:rPr>
          <w:rFonts w:ascii="Arial" w:eastAsia="Arial" w:hAnsi="Arial" w:cs="Arial"/>
        </w:rPr>
      </w:pPr>
      <w:proofErr w:type="spellStart"/>
      <w:r>
        <w:rPr>
          <w:rFonts w:ascii="Arial" w:eastAsia="Arial" w:hAnsi="Arial" w:cs="Arial"/>
        </w:rPr>
        <w:t>Cutts</w:t>
      </w:r>
      <w:proofErr w:type="spellEnd"/>
      <w:r>
        <w:rPr>
          <w:rFonts w:ascii="Arial" w:eastAsia="Arial" w:hAnsi="Arial" w:cs="Arial"/>
        </w:rPr>
        <w:t xml:space="preserve">, F.T., Henderson, R.H., Clements, C.J., Chen, R.T. and </w:t>
      </w:r>
      <w:proofErr w:type="spellStart"/>
      <w:r>
        <w:rPr>
          <w:rFonts w:ascii="Arial" w:eastAsia="Arial" w:hAnsi="Arial" w:cs="Arial"/>
        </w:rPr>
        <w:t>Patriarca</w:t>
      </w:r>
      <w:proofErr w:type="spellEnd"/>
      <w:r>
        <w:rPr>
          <w:rFonts w:ascii="Arial" w:eastAsia="Arial" w:hAnsi="Arial" w:cs="Arial"/>
        </w:rPr>
        <w:t>, P.A., 19</w:t>
      </w:r>
      <w:r>
        <w:rPr>
          <w:rFonts w:ascii="Arial" w:eastAsia="Arial" w:hAnsi="Arial" w:cs="Arial"/>
        </w:rPr>
        <w:t>91. Principles of measles control. Bulletin of the World Health Organization, 69(1), p.1.</w:t>
      </w:r>
    </w:p>
    <w:p w14:paraId="00000022" w14:textId="77777777" w:rsidR="00103C1C" w:rsidRDefault="001A490E">
      <w:pPr>
        <w:spacing w:line="360" w:lineRule="auto"/>
        <w:ind w:left="360" w:hanging="360"/>
        <w:jc w:val="both"/>
        <w:rPr>
          <w:rFonts w:ascii="Arial" w:eastAsia="Arial" w:hAnsi="Arial" w:cs="Arial"/>
        </w:rPr>
      </w:pPr>
      <w:proofErr w:type="spellStart"/>
      <w:r>
        <w:rPr>
          <w:rFonts w:ascii="Arial" w:eastAsia="Arial" w:hAnsi="Arial" w:cs="Arial"/>
        </w:rPr>
        <w:t>Dabbagh</w:t>
      </w:r>
      <w:proofErr w:type="spellEnd"/>
      <w:r>
        <w:rPr>
          <w:rFonts w:ascii="Arial" w:eastAsia="Arial" w:hAnsi="Arial" w:cs="Arial"/>
        </w:rPr>
        <w:t xml:space="preserve">, A., Laws, R.L., </w:t>
      </w:r>
      <w:proofErr w:type="spellStart"/>
      <w:r>
        <w:rPr>
          <w:rFonts w:ascii="Arial" w:eastAsia="Arial" w:hAnsi="Arial" w:cs="Arial"/>
        </w:rPr>
        <w:t>Steulet</w:t>
      </w:r>
      <w:proofErr w:type="spellEnd"/>
      <w:r>
        <w:rPr>
          <w:rFonts w:ascii="Arial" w:eastAsia="Arial" w:hAnsi="Arial" w:cs="Arial"/>
        </w:rPr>
        <w:t xml:space="preserve">, C., </w:t>
      </w:r>
      <w:proofErr w:type="spellStart"/>
      <w:r>
        <w:rPr>
          <w:rFonts w:ascii="Arial" w:eastAsia="Arial" w:hAnsi="Arial" w:cs="Arial"/>
        </w:rPr>
        <w:t>Dumolard</w:t>
      </w:r>
      <w:proofErr w:type="spellEnd"/>
      <w:r>
        <w:rPr>
          <w:rFonts w:ascii="Arial" w:eastAsia="Arial" w:hAnsi="Arial" w:cs="Arial"/>
        </w:rPr>
        <w:t xml:space="preserve">, L., Mulders, M.N., </w:t>
      </w:r>
      <w:proofErr w:type="spellStart"/>
      <w:r>
        <w:rPr>
          <w:rFonts w:ascii="Arial" w:eastAsia="Arial" w:hAnsi="Arial" w:cs="Arial"/>
        </w:rPr>
        <w:t>Kretsinger</w:t>
      </w:r>
      <w:proofErr w:type="spellEnd"/>
      <w:r>
        <w:rPr>
          <w:rFonts w:ascii="Arial" w:eastAsia="Arial" w:hAnsi="Arial" w:cs="Arial"/>
        </w:rPr>
        <w:t>, K., Alexander, J.P., Rota, P.A. and Goodson, J.L., 2018. Progress toward regional measl</w:t>
      </w:r>
      <w:r>
        <w:rPr>
          <w:rFonts w:ascii="Arial" w:eastAsia="Arial" w:hAnsi="Arial" w:cs="Arial"/>
        </w:rPr>
        <w:t>es elimination—worldwide, 2000–2017. Morbidity and Mortality Weekly Report, 67(47), p.1323.</w:t>
      </w:r>
    </w:p>
    <w:p w14:paraId="00000023" w14:textId="77777777" w:rsidR="00103C1C" w:rsidRDefault="001A490E">
      <w:pPr>
        <w:spacing w:line="360" w:lineRule="auto"/>
        <w:ind w:left="360" w:hanging="360"/>
        <w:jc w:val="both"/>
        <w:rPr>
          <w:rFonts w:ascii="Arial" w:eastAsia="Arial" w:hAnsi="Arial" w:cs="Arial"/>
        </w:rPr>
      </w:pPr>
      <w:r>
        <w:rPr>
          <w:rFonts w:ascii="Arial" w:eastAsia="Arial" w:hAnsi="Arial" w:cs="Arial"/>
        </w:rPr>
        <w:t xml:space="preserve">De </w:t>
      </w:r>
      <w:proofErr w:type="spellStart"/>
      <w:r>
        <w:rPr>
          <w:rFonts w:ascii="Arial" w:eastAsia="Arial" w:hAnsi="Arial" w:cs="Arial"/>
        </w:rPr>
        <w:t>Quadros</w:t>
      </w:r>
      <w:proofErr w:type="spellEnd"/>
      <w:r>
        <w:rPr>
          <w:rFonts w:ascii="Arial" w:eastAsia="Arial" w:hAnsi="Arial" w:cs="Arial"/>
        </w:rPr>
        <w:t xml:space="preserve">, C.A., </w:t>
      </w:r>
      <w:proofErr w:type="spellStart"/>
      <w:r>
        <w:rPr>
          <w:rFonts w:ascii="Arial" w:eastAsia="Arial" w:hAnsi="Arial" w:cs="Arial"/>
        </w:rPr>
        <w:t>Olivé</w:t>
      </w:r>
      <w:proofErr w:type="spellEnd"/>
      <w:r>
        <w:rPr>
          <w:rFonts w:ascii="Arial" w:eastAsia="Arial" w:hAnsi="Arial" w:cs="Arial"/>
        </w:rPr>
        <w:t xml:space="preserve">, J.M., Hersh, B.S., </w:t>
      </w:r>
      <w:proofErr w:type="spellStart"/>
      <w:r>
        <w:rPr>
          <w:rFonts w:ascii="Arial" w:eastAsia="Arial" w:hAnsi="Arial" w:cs="Arial"/>
        </w:rPr>
        <w:t>Strassburg</w:t>
      </w:r>
      <w:proofErr w:type="spellEnd"/>
      <w:r>
        <w:rPr>
          <w:rFonts w:ascii="Arial" w:eastAsia="Arial" w:hAnsi="Arial" w:cs="Arial"/>
        </w:rPr>
        <w:t>, M.A., Henderson, D.A., Brandling-Bennett, D. and Alleyne, G.A., 1996. Measles elimination in the Americas: e</w:t>
      </w:r>
      <w:r>
        <w:rPr>
          <w:rFonts w:ascii="Arial" w:eastAsia="Arial" w:hAnsi="Arial" w:cs="Arial"/>
        </w:rPr>
        <w:t>volving strategies. Jama, 275(3), pp.224-229.</w:t>
      </w:r>
    </w:p>
    <w:p w14:paraId="00000024" w14:textId="77777777" w:rsidR="00103C1C" w:rsidRDefault="001A490E">
      <w:pPr>
        <w:spacing w:line="360" w:lineRule="auto"/>
        <w:ind w:left="360" w:hanging="360"/>
        <w:jc w:val="both"/>
        <w:rPr>
          <w:rFonts w:ascii="Arial" w:eastAsia="Arial" w:hAnsi="Arial" w:cs="Arial"/>
        </w:rPr>
      </w:pPr>
      <w:proofErr w:type="spellStart"/>
      <w:r>
        <w:rPr>
          <w:rFonts w:ascii="Arial" w:eastAsia="Arial" w:hAnsi="Arial" w:cs="Arial"/>
        </w:rPr>
        <w:t>Lievano</w:t>
      </w:r>
      <w:proofErr w:type="spellEnd"/>
      <w:r>
        <w:rPr>
          <w:rFonts w:ascii="Arial" w:eastAsia="Arial" w:hAnsi="Arial" w:cs="Arial"/>
        </w:rPr>
        <w:t xml:space="preserve">, F.A., Helfand, R.F., </w:t>
      </w:r>
      <w:proofErr w:type="spellStart"/>
      <w:r>
        <w:rPr>
          <w:rFonts w:ascii="Arial" w:eastAsia="Arial" w:hAnsi="Arial" w:cs="Arial"/>
        </w:rPr>
        <w:t>Harpaz</w:t>
      </w:r>
      <w:proofErr w:type="spellEnd"/>
      <w:r>
        <w:rPr>
          <w:rFonts w:ascii="Arial" w:eastAsia="Arial" w:hAnsi="Arial" w:cs="Arial"/>
        </w:rPr>
        <w:t xml:space="preserve">, R., Walls, L., Katz, R.S., Williams, I., </w:t>
      </w:r>
      <w:proofErr w:type="spellStart"/>
      <w:r>
        <w:rPr>
          <w:rFonts w:ascii="Arial" w:eastAsia="Arial" w:hAnsi="Arial" w:cs="Arial"/>
        </w:rPr>
        <w:t>Villamarzo</w:t>
      </w:r>
      <w:proofErr w:type="spellEnd"/>
      <w:r>
        <w:rPr>
          <w:rFonts w:ascii="Arial" w:eastAsia="Arial" w:hAnsi="Arial" w:cs="Arial"/>
        </w:rPr>
        <w:t xml:space="preserve">, Y.S., Rota, P.A. and Bellini, W.J., 2004. Lack of evidence of measles virus shedding in people with inapparent measles </w:t>
      </w:r>
      <w:r>
        <w:rPr>
          <w:rFonts w:ascii="Arial" w:eastAsia="Arial" w:hAnsi="Arial" w:cs="Arial"/>
        </w:rPr>
        <w:t xml:space="preserve">virus infections. The Journal of infectious diseases, 189(Supplement_1), </w:t>
      </w:r>
      <w:proofErr w:type="gramStart"/>
      <w:r>
        <w:rPr>
          <w:rFonts w:ascii="Arial" w:eastAsia="Arial" w:hAnsi="Arial" w:cs="Arial"/>
        </w:rPr>
        <w:t>pp.S</w:t>
      </w:r>
      <w:proofErr w:type="gramEnd"/>
      <w:r>
        <w:rPr>
          <w:rFonts w:ascii="Arial" w:eastAsia="Arial" w:hAnsi="Arial" w:cs="Arial"/>
        </w:rPr>
        <w:t>165-S170.</w:t>
      </w:r>
    </w:p>
    <w:p w14:paraId="00000025" w14:textId="77777777" w:rsidR="00103C1C" w:rsidRDefault="001A490E">
      <w:pPr>
        <w:spacing w:line="360" w:lineRule="auto"/>
        <w:ind w:left="360" w:hanging="360"/>
        <w:jc w:val="both"/>
        <w:rPr>
          <w:rFonts w:ascii="Arial" w:eastAsia="Arial" w:hAnsi="Arial" w:cs="Arial"/>
        </w:rPr>
      </w:pPr>
      <w:r>
        <w:rPr>
          <w:rFonts w:ascii="Arial" w:eastAsia="Arial" w:hAnsi="Arial" w:cs="Arial"/>
        </w:rPr>
        <w:t>Miller, C.L., 1983. Current impact of measles in the United Kingdom. Reviews of Infectious Diseases, 5(3), pp.427-432.</w:t>
      </w:r>
    </w:p>
    <w:p w14:paraId="00000026" w14:textId="77777777" w:rsidR="00103C1C" w:rsidRDefault="001A490E">
      <w:pPr>
        <w:spacing w:line="360" w:lineRule="auto"/>
        <w:ind w:left="360" w:hanging="360"/>
        <w:jc w:val="both"/>
        <w:rPr>
          <w:rFonts w:ascii="Arial" w:eastAsia="Arial" w:hAnsi="Arial" w:cs="Arial"/>
        </w:rPr>
      </w:pPr>
      <w:r>
        <w:rPr>
          <w:rFonts w:ascii="Arial" w:eastAsia="Arial" w:hAnsi="Arial" w:cs="Arial"/>
        </w:rPr>
        <w:t xml:space="preserve">Patel, M.K., </w:t>
      </w:r>
      <w:proofErr w:type="spellStart"/>
      <w:r>
        <w:rPr>
          <w:rFonts w:ascii="Arial" w:eastAsia="Arial" w:hAnsi="Arial" w:cs="Arial"/>
        </w:rPr>
        <w:t>Dumolard</w:t>
      </w:r>
      <w:proofErr w:type="spellEnd"/>
      <w:r>
        <w:rPr>
          <w:rFonts w:ascii="Arial" w:eastAsia="Arial" w:hAnsi="Arial" w:cs="Arial"/>
        </w:rPr>
        <w:t xml:space="preserve">, L., </w:t>
      </w:r>
      <w:proofErr w:type="spellStart"/>
      <w:r>
        <w:rPr>
          <w:rFonts w:ascii="Arial" w:eastAsia="Arial" w:hAnsi="Arial" w:cs="Arial"/>
        </w:rPr>
        <w:t>Nedelec</w:t>
      </w:r>
      <w:proofErr w:type="spellEnd"/>
      <w:r>
        <w:rPr>
          <w:rFonts w:ascii="Arial" w:eastAsia="Arial" w:hAnsi="Arial" w:cs="Arial"/>
        </w:rPr>
        <w:t xml:space="preserve">, Y., </w:t>
      </w:r>
      <w:proofErr w:type="spellStart"/>
      <w:r>
        <w:rPr>
          <w:rFonts w:ascii="Arial" w:eastAsia="Arial" w:hAnsi="Arial" w:cs="Arial"/>
        </w:rPr>
        <w:t>Sodha</w:t>
      </w:r>
      <w:proofErr w:type="spellEnd"/>
      <w:r>
        <w:rPr>
          <w:rFonts w:ascii="Arial" w:eastAsia="Arial" w:hAnsi="Arial" w:cs="Arial"/>
        </w:rPr>
        <w:t>, S.V</w:t>
      </w:r>
      <w:r>
        <w:rPr>
          <w:rFonts w:ascii="Arial" w:eastAsia="Arial" w:hAnsi="Arial" w:cs="Arial"/>
        </w:rPr>
        <w:t xml:space="preserve">., </w:t>
      </w:r>
      <w:proofErr w:type="spellStart"/>
      <w:r>
        <w:rPr>
          <w:rFonts w:ascii="Arial" w:eastAsia="Arial" w:hAnsi="Arial" w:cs="Arial"/>
        </w:rPr>
        <w:t>Steulet</w:t>
      </w:r>
      <w:proofErr w:type="spellEnd"/>
      <w:r>
        <w:rPr>
          <w:rFonts w:ascii="Arial" w:eastAsia="Arial" w:hAnsi="Arial" w:cs="Arial"/>
        </w:rPr>
        <w:t xml:space="preserve">, C., </w:t>
      </w:r>
      <w:proofErr w:type="spellStart"/>
      <w:r>
        <w:rPr>
          <w:rFonts w:ascii="Arial" w:eastAsia="Arial" w:hAnsi="Arial" w:cs="Arial"/>
        </w:rPr>
        <w:t>Gacic-Dobo</w:t>
      </w:r>
      <w:proofErr w:type="spellEnd"/>
      <w:r>
        <w:rPr>
          <w:rFonts w:ascii="Arial" w:eastAsia="Arial" w:hAnsi="Arial" w:cs="Arial"/>
        </w:rPr>
        <w:t xml:space="preserve">, M., </w:t>
      </w:r>
      <w:proofErr w:type="spellStart"/>
      <w:r>
        <w:rPr>
          <w:rFonts w:ascii="Arial" w:eastAsia="Arial" w:hAnsi="Arial" w:cs="Arial"/>
        </w:rPr>
        <w:t>Kretsinger</w:t>
      </w:r>
      <w:proofErr w:type="spellEnd"/>
      <w:r>
        <w:rPr>
          <w:rFonts w:ascii="Arial" w:eastAsia="Arial" w:hAnsi="Arial" w:cs="Arial"/>
        </w:rPr>
        <w:t>, K., McFarland, J., Rota, P.A. and Goodson, J.L., 2019. Progress toward regional measles elimination—worldwide, 2000–2018. Morbidity and Mortality Weekly Report, 68(48), p.1105.</w:t>
      </w:r>
    </w:p>
    <w:p w14:paraId="00000027" w14:textId="77777777" w:rsidR="00103C1C" w:rsidRDefault="001A490E">
      <w:pPr>
        <w:spacing w:line="360" w:lineRule="auto"/>
        <w:ind w:left="360" w:hanging="360"/>
        <w:jc w:val="both"/>
        <w:rPr>
          <w:rFonts w:ascii="Arial" w:eastAsia="Arial" w:hAnsi="Arial" w:cs="Arial"/>
        </w:rPr>
      </w:pPr>
      <w:r>
        <w:rPr>
          <w:rFonts w:ascii="Arial" w:eastAsia="Arial" w:hAnsi="Arial" w:cs="Arial"/>
        </w:rPr>
        <w:t xml:space="preserve">Rota, J.S., Hickman, C.J., Sowers, </w:t>
      </w:r>
      <w:r>
        <w:rPr>
          <w:rFonts w:ascii="Arial" w:eastAsia="Arial" w:hAnsi="Arial" w:cs="Arial"/>
        </w:rPr>
        <w:t xml:space="preserve">S.B., Rota, P.A., Mercader, S. and Bellini, W.J., 2011. Two case studies of modified measles in vaccinated physicians exposed to primary measles cases: </w:t>
      </w:r>
      <w:r>
        <w:rPr>
          <w:rFonts w:ascii="Arial" w:eastAsia="Arial" w:hAnsi="Arial" w:cs="Arial"/>
        </w:rPr>
        <w:lastRenderedPageBreak/>
        <w:t xml:space="preserve">high risk of infection but low risk of transmission. The Journal of infectious diseases, 204(suppl_1), </w:t>
      </w:r>
      <w:proofErr w:type="gramStart"/>
      <w:r>
        <w:rPr>
          <w:rFonts w:ascii="Arial" w:eastAsia="Arial" w:hAnsi="Arial" w:cs="Arial"/>
        </w:rPr>
        <w:t>p</w:t>
      </w:r>
      <w:r>
        <w:rPr>
          <w:rFonts w:ascii="Arial" w:eastAsia="Arial" w:hAnsi="Arial" w:cs="Arial"/>
        </w:rPr>
        <w:t>p.S</w:t>
      </w:r>
      <w:proofErr w:type="gramEnd"/>
      <w:r>
        <w:rPr>
          <w:rFonts w:ascii="Arial" w:eastAsia="Arial" w:hAnsi="Arial" w:cs="Arial"/>
        </w:rPr>
        <w:t>559-S563.</w:t>
      </w:r>
    </w:p>
    <w:p w14:paraId="00000028" w14:textId="77777777" w:rsidR="00103C1C" w:rsidRDefault="001A490E">
      <w:pPr>
        <w:spacing w:line="360" w:lineRule="auto"/>
        <w:ind w:left="360" w:hanging="360"/>
        <w:jc w:val="both"/>
        <w:rPr>
          <w:rFonts w:ascii="Arial" w:eastAsia="Arial" w:hAnsi="Arial" w:cs="Arial"/>
        </w:rPr>
      </w:pPr>
      <w:proofErr w:type="spellStart"/>
      <w:r>
        <w:rPr>
          <w:rFonts w:ascii="Arial" w:eastAsia="Arial" w:hAnsi="Arial" w:cs="Arial"/>
        </w:rPr>
        <w:t>Strebel</w:t>
      </w:r>
      <w:proofErr w:type="spellEnd"/>
      <w:r>
        <w:rPr>
          <w:rFonts w:ascii="Arial" w:eastAsia="Arial" w:hAnsi="Arial" w:cs="Arial"/>
        </w:rPr>
        <w:t xml:space="preserve">, P.M., </w:t>
      </w:r>
      <w:proofErr w:type="spellStart"/>
      <w:r>
        <w:rPr>
          <w:rFonts w:ascii="Arial" w:eastAsia="Arial" w:hAnsi="Arial" w:cs="Arial"/>
        </w:rPr>
        <w:t>Papania</w:t>
      </w:r>
      <w:proofErr w:type="spellEnd"/>
      <w:r>
        <w:rPr>
          <w:rFonts w:ascii="Arial" w:eastAsia="Arial" w:hAnsi="Arial" w:cs="Arial"/>
        </w:rPr>
        <w:t>, M.J., Dayan, G.H. and Halsey, N.A., 2008. Measles vaccines. Vaccines.</w:t>
      </w:r>
    </w:p>
    <w:p w14:paraId="00000029" w14:textId="77777777" w:rsidR="00103C1C" w:rsidRDefault="001A490E">
      <w:pPr>
        <w:spacing w:line="360" w:lineRule="auto"/>
        <w:ind w:left="360" w:hanging="360"/>
        <w:jc w:val="both"/>
        <w:rPr>
          <w:rFonts w:ascii="Arial" w:eastAsia="Arial" w:hAnsi="Arial" w:cs="Arial"/>
        </w:rPr>
      </w:pPr>
      <w:r>
        <w:rPr>
          <w:rFonts w:ascii="Arial" w:eastAsia="Arial" w:hAnsi="Arial" w:cs="Arial"/>
        </w:rPr>
        <w:t xml:space="preserve">Sudfeld, C.R., </w:t>
      </w:r>
      <w:proofErr w:type="spellStart"/>
      <w:r>
        <w:rPr>
          <w:rFonts w:ascii="Arial" w:eastAsia="Arial" w:hAnsi="Arial" w:cs="Arial"/>
        </w:rPr>
        <w:t>Navar</w:t>
      </w:r>
      <w:proofErr w:type="spellEnd"/>
      <w:r>
        <w:rPr>
          <w:rFonts w:ascii="Arial" w:eastAsia="Arial" w:hAnsi="Arial" w:cs="Arial"/>
        </w:rPr>
        <w:t>, A.M. and Halsey, N.A., 2010. Effectiveness of measles vaccination and vitamin A treatment. International journal of epidemiolog</w:t>
      </w:r>
      <w:r>
        <w:rPr>
          <w:rFonts w:ascii="Arial" w:eastAsia="Arial" w:hAnsi="Arial" w:cs="Arial"/>
        </w:rPr>
        <w:t xml:space="preserve">y, 39(suppl_1), </w:t>
      </w:r>
      <w:proofErr w:type="gramStart"/>
      <w:r>
        <w:rPr>
          <w:rFonts w:ascii="Arial" w:eastAsia="Arial" w:hAnsi="Arial" w:cs="Arial"/>
        </w:rPr>
        <w:t>pp.i</w:t>
      </w:r>
      <w:proofErr w:type="gramEnd"/>
      <w:r>
        <w:rPr>
          <w:rFonts w:ascii="Arial" w:eastAsia="Arial" w:hAnsi="Arial" w:cs="Arial"/>
        </w:rPr>
        <w:t>48-i55.</w:t>
      </w:r>
    </w:p>
    <w:p w14:paraId="0000002A" w14:textId="77777777" w:rsidR="00103C1C" w:rsidRDefault="001A490E">
      <w:pPr>
        <w:spacing w:line="360" w:lineRule="auto"/>
        <w:ind w:left="360" w:hanging="360"/>
        <w:jc w:val="both"/>
        <w:rPr>
          <w:rFonts w:ascii="Arial" w:eastAsia="Arial" w:hAnsi="Arial" w:cs="Arial"/>
        </w:rPr>
      </w:pPr>
      <w:r>
        <w:rPr>
          <w:rFonts w:ascii="Arial" w:eastAsia="Arial" w:hAnsi="Arial" w:cs="Arial"/>
        </w:rPr>
        <w:t xml:space="preserve">World Health Organization, 1983. MEASLES SURVEILLANCE: Interruption of Natural Transmission. Weekly Epidemiological Record= </w:t>
      </w:r>
      <w:proofErr w:type="spellStart"/>
      <w:r>
        <w:rPr>
          <w:rFonts w:ascii="Arial" w:eastAsia="Arial" w:hAnsi="Arial" w:cs="Arial"/>
        </w:rPr>
        <w:t>Relevé</w:t>
      </w:r>
      <w:proofErr w:type="spellEnd"/>
      <w:r>
        <w:rPr>
          <w:rFonts w:ascii="Arial" w:eastAsia="Arial" w:hAnsi="Arial" w:cs="Arial"/>
        </w:rPr>
        <w:t xml:space="preserve"> </w:t>
      </w:r>
      <w:proofErr w:type="spellStart"/>
      <w:r>
        <w:rPr>
          <w:rFonts w:ascii="Arial" w:eastAsia="Arial" w:hAnsi="Arial" w:cs="Arial"/>
        </w:rPr>
        <w:t>épidémiologique</w:t>
      </w:r>
      <w:proofErr w:type="spellEnd"/>
      <w:r>
        <w:rPr>
          <w:rFonts w:ascii="Arial" w:eastAsia="Arial" w:hAnsi="Arial" w:cs="Arial"/>
        </w:rPr>
        <w:t xml:space="preserve"> </w:t>
      </w:r>
      <w:proofErr w:type="spellStart"/>
      <w:r>
        <w:rPr>
          <w:rFonts w:ascii="Arial" w:eastAsia="Arial" w:hAnsi="Arial" w:cs="Arial"/>
        </w:rPr>
        <w:t>hebdomadaire</w:t>
      </w:r>
      <w:proofErr w:type="spellEnd"/>
      <w:r>
        <w:rPr>
          <w:rFonts w:ascii="Arial" w:eastAsia="Arial" w:hAnsi="Arial" w:cs="Arial"/>
        </w:rPr>
        <w:t>, 58(12), pp.85-86.</w:t>
      </w:r>
    </w:p>
    <w:p w14:paraId="0000002B" w14:textId="77777777" w:rsidR="00103C1C" w:rsidRDefault="00103C1C">
      <w:pPr>
        <w:spacing w:line="360" w:lineRule="auto"/>
        <w:jc w:val="both"/>
        <w:rPr>
          <w:rFonts w:ascii="Arial" w:eastAsia="Arial" w:hAnsi="Arial" w:cs="Arial"/>
          <w:b/>
        </w:rPr>
      </w:pPr>
    </w:p>
    <w:sectPr w:rsidR="00103C1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04E66" w14:textId="77777777" w:rsidR="001A490E" w:rsidRDefault="001A490E" w:rsidP="00D95B43">
      <w:pPr>
        <w:spacing w:after="0" w:line="240" w:lineRule="auto"/>
      </w:pPr>
      <w:r>
        <w:separator/>
      </w:r>
    </w:p>
  </w:endnote>
  <w:endnote w:type="continuationSeparator" w:id="0">
    <w:p w14:paraId="1F28D7E4" w14:textId="77777777" w:rsidR="001A490E" w:rsidRDefault="001A490E" w:rsidP="00D95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20002A87" w:usb1="00000000" w:usb2="00000000" w:usb3="00000000" w:csb0="000001F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456792"/>
      <w:docPartObj>
        <w:docPartGallery w:val="Page Numbers (Bottom of Page)"/>
        <w:docPartUnique/>
      </w:docPartObj>
    </w:sdtPr>
    <w:sdtEndPr>
      <w:rPr>
        <w:color w:val="7F7F7F" w:themeColor="background1" w:themeShade="7F"/>
        <w:spacing w:val="60"/>
      </w:rPr>
    </w:sdtEndPr>
    <w:sdtContent>
      <w:p w14:paraId="638B190C" w14:textId="1E6591CD" w:rsidR="00D95B43" w:rsidRDefault="00D95B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2607B0" w14:textId="77777777" w:rsidR="00D95B43" w:rsidRDefault="00D95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5ED3E" w14:textId="77777777" w:rsidR="001A490E" w:rsidRDefault="001A490E" w:rsidP="00D95B43">
      <w:pPr>
        <w:spacing w:after="0" w:line="240" w:lineRule="auto"/>
      </w:pPr>
      <w:r>
        <w:separator/>
      </w:r>
    </w:p>
  </w:footnote>
  <w:footnote w:type="continuationSeparator" w:id="0">
    <w:p w14:paraId="0B8A5C8D" w14:textId="77777777" w:rsidR="001A490E" w:rsidRDefault="001A490E" w:rsidP="00D95B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B924D1"/>
    <w:multiLevelType w:val="multilevel"/>
    <w:tmpl w:val="53AC41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C1C"/>
    <w:rsid w:val="00103C1C"/>
    <w:rsid w:val="001A490E"/>
    <w:rsid w:val="00634E08"/>
    <w:rsid w:val="00D9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29956"/>
  <w15:docId w15:val="{856996C0-2D1B-4C4B-BDBC-6FCBB8E2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D95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B43"/>
  </w:style>
  <w:style w:type="paragraph" w:styleId="Footer">
    <w:name w:val="footer"/>
    <w:basedOn w:val="Normal"/>
    <w:link w:val="FooterChar"/>
    <w:uiPriority w:val="99"/>
    <w:unhideWhenUsed/>
    <w:rsid w:val="00D95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B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Iwalaiye, Michael</dc:creator>
  <cp:lastModifiedBy>Iwalaiye, Michael</cp:lastModifiedBy>
  <cp:revision>2</cp:revision>
  <dcterms:created xsi:type="dcterms:W3CDTF">2023-01-06T23:41:00Z</dcterms:created>
  <dcterms:modified xsi:type="dcterms:W3CDTF">2023-01-06T23:41:00Z</dcterms:modified>
</cp:coreProperties>
</file>