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080779" w14:textId="719D4B7D" w:rsidR="00140B32" w:rsidRPr="00662A75" w:rsidRDefault="00140B32" w:rsidP="00662A75">
      <w:pPr>
        <w:pStyle w:val="Title"/>
      </w:pPr>
      <w:r w:rsidRPr="00662A75">
        <w:t>Proposal</w:t>
      </w:r>
    </w:p>
    <w:p w14:paraId="0E4BF1BB" w14:textId="77777777" w:rsidR="008A591E" w:rsidRPr="00662A75" w:rsidRDefault="008A591E" w:rsidP="00662A75">
      <w:pPr>
        <w:pStyle w:val="Heading2"/>
        <w:spacing w:line="360" w:lineRule="auto"/>
        <w:rPr>
          <w:rFonts w:ascii="Arial" w:eastAsia="Times New Roman" w:hAnsi="Arial" w:cs="Arial"/>
          <w:sz w:val="22"/>
          <w:szCs w:val="22"/>
          <w:lang w:eastAsia="en-GB"/>
        </w:rPr>
      </w:pPr>
    </w:p>
    <w:p w14:paraId="29137531" w14:textId="5D512D83" w:rsidR="00140B32" w:rsidRPr="00662A75" w:rsidRDefault="00140B32" w:rsidP="00662A75">
      <w:pPr>
        <w:pStyle w:val="Heading2"/>
        <w:spacing w:line="360" w:lineRule="auto"/>
        <w:rPr>
          <w:rFonts w:ascii="Arial" w:eastAsia="Times New Roman" w:hAnsi="Arial" w:cs="Arial"/>
          <w:sz w:val="22"/>
          <w:szCs w:val="22"/>
          <w:lang w:eastAsia="en-GB"/>
        </w:rPr>
      </w:pPr>
      <w:r w:rsidRPr="00662A75">
        <w:rPr>
          <w:rFonts w:ascii="Arial" w:eastAsia="Times New Roman" w:hAnsi="Arial" w:cs="Arial"/>
          <w:sz w:val="22"/>
          <w:szCs w:val="22"/>
          <w:lang w:eastAsia="en-GB"/>
        </w:rPr>
        <w:t>Context</w:t>
      </w:r>
    </w:p>
    <w:p w14:paraId="6A83902C" w14:textId="5F6C5482" w:rsidR="00140B32" w:rsidRPr="00140B32" w:rsidRDefault="00140B32" w:rsidP="00662A75">
      <w:pPr>
        <w:spacing w:line="360" w:lineRule="auto"/>
        <w:rPr>
          <w:rFonts w:ascii="Arial" w:eastAsia="Times New Roman" w:hAnsi="Arial" w:cs="Arial"/>
          <w:kern w:val="0"/>
          <w:lang w:eastAsia="en-GB"/>
          <w14:ligatures w14:val="none"/>
        </w:rPr>
      </w:pPr>
      <w:r w:rsidRPr="00140B32">
        <w:rPr>
          <w:rFonts w:ascii="Arial" w:eastAsia="Times New Roman" w:hAnsi="Arial" w:cs="Arial"/>
          <w:color w:val="000000"/>
          <w:kern w:val="0"/>
          <w:lang w:eastAsia="en-GB"/>
          <w14:ligatures w14:val="none"/>
        </w:rPr>
        <w:t>The Purpose of this study is</w:t>
      </w:r>
      <w:r w:rsidR="00EA3CF9" w:rsidRPr="00662A75">
        <w:rPr>
          <w:rFonts w:ascii="Arial" w:eastAsia="Times New Roman" w:hAnsi="Arial" w:cs="Arial"/>
          <w:color w:val="000000"/>
          <w:kern w:val="0"/>
          <w:lang w:eastAsia="en-GB"/>
          <w14:ligatures w14:val="none"/>
        </w:rPr>
        <w:t xml:space="preserve"> </w:t>
      </w:r>
      <w:r w:rsidRPr="00140B32">
        <w:rPr>
          <w:rFonts w:ascii="Arial" w:eastAsia="Times New Roman" w:hAnsi="Arial" w:cs="Arial"/>
          <w:color w:val="000000"/>
          <w:kern w:val="0"/>
          <w:lang w:eastAsia="en-GB"/>
          <w14:ligatures w14:val="none"/>
        </w:rPr>
        <w:t>to answer the following:   </w:t>
      </w:r>
    </w:p>
    <w:p w14:paraId="7829B77E" w14:textId="4FF324C5" w:rsidR="00556A1D" w:rsidRPr="00140B32" w:rsidRDefault="00140B32" w:rsidP="00C92B12">
      <w:pPr>
        <w:spacing w:line="360" w:lineRule="auto"/>
        <w:rPr>
          <w:rFonts w:ascii="Arial" w:hAnsi="Arial" w:cs="Arial"/>
          <w:b/>
          <w:bCs/>
          <w:color w:val="000000"/>
        </w:rPr>
      </w:pPr>
      <w:bookmarkStart w:id="0" w:name="_Hlk191344624"/>
      <w:r w:rsidRPr="00140B32">
        <w:rPr>
          <w:rFonts w:ascii="Arial" w:eastAsia="Times New Roman" w:hAnsi="Arial" w:cs="Arial"/>
          <w:b/>
          <w:bCs/>
          <w:color w:val="000000"/>
          <w:kern w:val="0"/>
          <w:lang w:eastAsia="en-GB"/>
          <w14:ligatures w14:val="none"/>
        </w:rPr>
        <w:t xml:space="preserve">What is the learning experience of </w:t>
      </w:r>
      <w:r w:rsidR="00300653" w:rsidRPr="00662A75">
        <w:rPr>
          <w:rFonts w:ascii="Arial" w:eastAsia="Times New Roman" w:hAnsi="Arial" w:cs="Arial"/>
          <w:b/>
          <w:bCs/>
          <w:color w:val="000000"/>
          <w:kern w:val="0"/>
          <w:lang w:eastAsia="en-GB"/>
          <w14:ligatures w14:val="none"/>
        </w:rPr>
        <w:t>Children</w:t>
      </w:r>
      <w:r w:rsidRPr="00140B32">
        <w:rPr>
          <w:rFonts w:ascii="Arial" w:eastAsia="Times New Roman" w:hAnsi="Arial" w:cs="Arial"/>
          <w:b/>
          <w:bCs/>
          <w:color w:val="000000"/>
          <w:kern w:val="0"/>
          <w:lang w:eastAsia="en-GB"/>
          <w14:ligatures w14:val="none"/>
        </w:rPr>
        <w:t xml:space="preserve"> with dyslexia in a one to one singing lesson: </w:t>
      </w:r>
      <w:r w:rsidR="005C78BA" w:rsidRPr="00662A75">
        <w:rPr>
          <w:rFonts w:ascii="Arial" w:eastAsia="Times New Roman" w:hAnsi="Arial" w:cs="Arial"/>
          <w:b/>
          <w:bCs/>
          <w:i/>
          <w:iCs/>
          <w:color w:val="000000"/>
        </w:rPr>
        <w:t xml:space="preserve">A UK based Qualitative Analysis of Questionnaires and Case study </w:t>
      </w:r>
    </w:p>
    <w:bookmarkEnd w:id="0"/>
    <w:p w14:paraId="73ABDCF8" w14:textId="66512DFA" w:rsidR="00140B32" w:rsidRPr="00140B32" w:rsidRDefault="00700719" w:rsidP="00C92B12">
      <w:pPr>
        <w:pStyle w:val="NormalWeb"/>
        <w:spacing w:line="360" w:lineRule="auto"/>
        <w:rPr>
          <w:rFonts w:ascii="Arial" w:hAnsi="Arial" w:cs="Arial"/>
          <w:sz w:val="22"/>
          <w:szCs w:val="22"/>
        </w:rPr>
      </w:pPr>
      <w:r w:rsidRPr="00662A75">
        <w:rPr>
          <w:rFonts w:ascii="Arial" w:hAnsi="Arial" w:cs="Arial"/>
          <w:sz w:val="22"/>
          <w:szCs w:val="22"/>
        </w:rPr>
        <w:t xml:space="preserve">This research will explore the impact of dyslexia on children in one-to-one singing lessons in the UK. Conducting the study </w:t>
      </w:r>
      <w:r w:rsidR="00EA3CF9" w:rsidRPr="00662A75">
        <w:rPr>
          <w:rFonts w:ascii="Arial" w:hAnsi="Arial" w:cs="Arial"/>
          <w:sz w:val="22"/>
          <w:szCs w:val="22"/>
        </w:rPr>
        <w:t xml:space="preserve">mainly </w:t>
      </w:r>
      <w:r w:rsidRPr="00662A75">
        <w:rPr>
          <w:rFonts w:ascii="Arial" w:hAnsi="Arial" w:cs="Arial"/>
          <w:sz w:val="22"/>
          <w:szCs w:val="22"/>
        </w:rPr>
        <w:t xml:space="preserve">online will widen the sample population and reduce geographical bias. </w:t>
      </w:r>
      <w:r w:rsidR="00EA3CF9" w:rsidRPr="00662A75">
        <w:rPr>
          <w:rFonts w:ascii="Arial" w:hAnsi="Arial" w:cs="Arial"/>
          <w:sz w:val="22"/>
          <w:szCs w:val="22"/>
        </w:rPr>
        <w:t>D</w:t>
      </w:r>
      <w:r w:rsidRPr="00662A75">
        <w:rPr>
          <w:rFonts w:ascii="Arial" w:hAnsi="Arial" w:cs="Arial"/>
          <w:sz w:val="22"/>
          <w:szCs w:val="22"/>
        </w:rPr>
        <w:t xml:space="preserve">yslexia support in the UK varies across Local Education Authorities, this approach minimizes potential bias related to differing levels of support </w:t>
      </w:r>
      <w:r w:rsidR="00EA3CF9" w:rsidRPr="00662A75">
        <w:rPr>
          <w:rFonts w:ascii="Arial" w:hAnsi="Arial" w:cs="Arial"/>
          <w:sz w:val="22"/>
          <w:szCs w:val="22"/>
        </w:rPr>
        <w:t>across the UK</w:t>
      </w:r>
      <w:r w:rsidRPr="00662A75">
        <w:rPr>
          <w:rFonts w:ascii="Arial" w:hAnsi="Arial" w:cs="Arial"/>
          <w:sz w:val="22"/>
          <w:szCs w:val="22"/>
        </w:rPr>
        <w:t>.</w:t>
      </w:r>
    </w:p>
    <w:p w14:paraId="2348FCAC" w14:textId="77777777" w:rsidR="00140B32" w:rsidRPr="00662A75" w:rsidRDefault="00140B32" w:rsidP="00662A75">
      <w:pPr>
        <w:pStyle w:val="Heading2"/>
        <w:spacing w:line="360" w:lineRule="auto"/>
        <w:rPr>
          <w:rFonts w:ascii="Arial" w:eastAsia="Times New Roman" w:hAnsi="Arial" w:cs="Arial"/>
          <w:sz w:val="22"/>
          <w:szCs w:val="22"/>
          <w:lang w:eastAsia="en-GB"/>
        </w:rPr>
      </w:pPr>
      <w:r w:rsidRPr="00662A75">
        <w:rPr>
          <w:rFonts w:ascii="Arial" w:eastAsia="Times New Roman" w:hAnsi="Arial" w:cs="Arial"/>
          <w:sz w:val="22"/>
          <w:szCs w:val="22"/>
          <w:lang w:eastAsia="en-GB"/>
        </w:rPr>
        <w:t>Justification for this Study</w:t>
      </w:r>
    </w:p>
    <w:p w14:paraId="1A6F4D8D" w14:textId="5A8F98AB" w:rsidR="00EA3CF9" w:rsidRPr="00662A75" w:rsidRDefault="00EA3CF9" w:rsidP="00662A75">
      <w:pPr>
        <w:pStyle w:val="NormalWeb"/>
        <w:spacing w:line="360" w:lineRule="auto"/>
        <w:rPr>
          <w:rFonts w:ascii="Arial" w:hAnsi="Arial" w:cs="Arial"/>
          <w:sz w:val="22"/>
          <w:szCs w:val="22"/>
        </w:rPr>
      </w:pPr>
      <w:r w:rsidRPr="00662A75">
        <w:rPr>
          <w:rFonts w:ascii="Arial" w:hAnsi="Arial" w:cs="Arial"/>
          <w:sz w:val="22"/>
          <w:szCs w:val="22"/>
        </w:rPr>
        <w:t xml:space="preserve">Dyslexia affects around 10% of the population (British Dyslexia Association, 2024) and creates significant learning barriers (Appendix 1). While pedagogy research has grown, especially following </w:t>
      </w:r>
      <w:r w:rsidRPr="00662A75">
        <w:rPr>
          <w:rStyle w:val="Emphasis"/>
          <w:rFonts w:ascii="Arial" w:hAnsi="Arial" w:cs="Arial"/>
          <w:sz w:val="22"/>
          <w:szCs w:val="22"/>
        </w:rPr>
        <w:t>Music and Dyslexia</w:t>
      </w:r>
      <w:r w:rsidRPr="00662A75">
        <w:rPr>
          <w:rFonts w:ascii="Arial" w:hAnsi="Arial" w:cs="Arial"/>
          <w:sz w:val="22"/>
          <w:szCs w:val="22"/>
        </w:rPr>
        <w:t xml:space="preserve"> (</w:t>
      </w:r>
      <w:r w:rsidR="00680D94" w:rsidRPr="00662A75">
        <w:rPr>
          <w:rFonts w:ascii="Arial" w:hAnsi="Arial" w:cs="Arial"/>
          <w:sz w:val="22"/>
          <w:szCs w:val="22"/>
        </w:rPr>
        <w:t>Vance. K.O, 2004</w:t>
      </w:r>
      <w:r w:rsidRPr="00662A75">
        <w:rPr>
          <w:rFonts w:ascii="Arial" w:hAnsi="Arial" w:cs="Arial"/>
          <w:sz w:val="22"/>
          <w:szCs w:val="22"/>
        </w:rPr>
        <w:t>), voice and singing education remains underexplored. Although studies on musical interventions for dyslexia are inconclusive (Heikkila</w:t>
      </w:r>
      <w:r w:rsidR="000E0F46" w:rsidRPr="00662A75">
        <w:rPr>
          <w:rFonts w:ascii="Arial" w:hAnsi="Arial" w:cs="Arial"/>
          <w:sz w:val="22"/>
          <w:szCs w:val="22"/>
        </w:rPr>
        <w:t xml:space="preserve">. </w:t>
      </w:r>
      <w:proofErr w:type="spellStart"/>
      <w:r w:rsidR="000E0F46" w:rsidRPr="00662A75">
        <w:rPr>
          <w:rFonts w:ascii="Arial" w:hAnsi="Arial" w:cs="Arial"/>
          <w:sz w:val="22"/>
          <w:szCs w:val="22"/>
        </w:rPr>
        <w:t>E.</w:t>
      </w:r>
      <w:r w:rsidR="00475B10" w:rsidRPr="00662A75">
        <w:rPr>
          <w:rFonts w:ascii="Arial" w:hAnsi="Arial" w:cs="Arial"/>
          <w:sz w:val="22"/>
          <w:szCs w:val="22"/>
        </w:rPr>
        <w:t>,</w:t>
      </w:r>
      <w:r w:rsidRPr="00662A75">
        <w:rPr>
          <w:rFonts w:ascii="Arial" w:hAnsi="Arial" w:cs="Arial"/>
          <w:sz w:val="22"/>
          <w:szCs w:val="22"/>
        </w:rPr>
        <w:t>Knight</w:t>
      </w:r>
      <w:proofErr w:type="spellEnd"/>
      <w:r w:rsidR="00475B10" w:rsidRPr="00662A75">
        <w:rPr>
          <w:rFonts w:ascii="Arial" w:hAnsi="Arial" w:cs="Arial"/>
          <w:sz w:val="22"/>
          <w:szCs w:val="22"/>
        </w:rPr>
        <w:t>. A., 2012</w:t>
      </w:r>
      <w:r w:rsidRPr="00662A75">
        <w:rPr>
          <w:rFonts w:ascii="Arial" w:hAnsi="Arial" w:cs="Arial"/>
          <w:sz w:val="22"/>
          <w:szCs w:val="22"/>
        </w:rPr>
        <w:t>), singing teachers are likely to encounter dyslexic students, highlighting the need for this research. Existing studies, such as Nelson and Hourigan (2016), lack a singing-specific approach, showing a gap in the field.</w:t>
      </w:r>
    </w:p>
    <w:p w14:paraId="3AFED438" w14:textId="77F835B0" w:rsidR="00EA3CF9" w:rsidRPr="00662A75" w:rsidRDefault="00EA3CF9" w:rsidP="00662A75">
      <w:pPr>
        <w:pStyle w:val="NormalWeb"/>
        <w:spacing w:line="360" w:lineRule="auto"/>
        <w:rPr>
          <w:rFonts w:ascii="Arial" w:hAnsi="Arial" w:cs="Arial"/>
          <w:sz w:val="22"/>
          <w:szCs w:val="22"/>
        </w:rPr>
      </w:pPr>
      <w:r w:rsidRPr="00662A75">
        <w:rPr>
          <w:rFonts w:ascii="Arial" w:hAnsi="Arial" w:cs="Arial"/>
          <w:sz w:val="22"/>
          <w:szCs w:val="22"/>
        </w:rPr>
        <w:t>Recent UK data shows an 8.08% rise in students declaring disabilities in higher education (</w:t>
      </w:r>
      <w:r w:rsidR="00FB1655" w:rsidRPr="00662A75">
        <w:rPr>
          <w:rFonts w:ascii="Arial" w:hAnsi="Arial" w:cs="Arial"/>
          <w:sz w:val="22"/>
          <w:szCs w:val="22"/>
        </w:rPr>
        <w:t>HESA, 2024</w:t>
      </w:r>
      <w:r w:rsidRPr="00662A75">
        <w:rPr>
          <w:rFonts w:ascii="Arial" w:hAnsi="Arial" w:cs="Arial"/>
          <w:sz w:val="22"/>
          <w:szCs w:val="22"/>
        </w:rPr>
        <w:t>) and significant investment in SEND services (</w:t>
      </w:r>
      <w:r w:rsidR="00FB1655" w:rsidRPr="00662A75">
        <w:rPr>
          <w:rFonts w:ascii="Arial" w:hAnsi="Arial" w:cs="Arial"/>
          <w:sz w:val="22"/>
          <w:szCs w:val="22"/>
        </w:rPr>
        <w:t>Gov.UK, 2024</w:t>
      </w:r>
      <w:r w:rsidRPr="00662A75">
        <w:rPr>
          <w:rFonts w:ascii="Arial" w:hAnsi="Arial" w:cs="Arial"/>
          <w:sz w:val="22"/>
          <w:szCs w:val="22"/>
        </w:rPr>
        <w:t xml:space="preserve">), reinforcing the focus on inclusive pedagogy. </w:t>
      </w:r>
    </w:p>
    <w:p w14:paraId="3CB8FF68" w14:textId="77777777" w:rsidR="00140B32" w:rsidRPr="00662A75" w:rsidRDefault="00140B32" w:rsidP="00662A75">
      <w:pPr>
        <w:pStyle w:val="Heading2"/>
        <w:spacing w:line="360" w:lineRule="auto"/>
        <w:rPr>
          <w:rFonts w:ascii="Arial" w:eastAsia="Times New Roman" w:hAnsi="Arial" w:cs="Arial"/>
          <w:sz w:val="22"/>
          <w:szCs w:val="22"/>
          <w:lang w:eastAsia="en-GB"/>
        </w:rPr>
      </w:pPr>
      <w:r w:rsidRPr="00662A75">
        <w:rPr>
          <w:rFonts w:ascii="Arial" w:eastAsia="Times New Roman" w:hAnsi="Arial" w:cs="Arial"/>
          <w:sz w:val="22"/>
          <w:szCs w:val="22"/>
          <w:lang w:eastAsia="en-GB"/>
        </w:rPr>
        <w:t>Intended Impact </w:t>
      </w:r>
    </w:p>
    <w:p w14:paraId="248AF8E1" w14:textId="03C5E6D1" w:rsidR="001A48C5" w:rsidRPr="00662A75" w:rsidRDefault="001A48C5" w:rsidP="00662A75">
      <w:pPr>
        <w:pStyle w:val="NormalWeb"/>
        <w:spacing w:line="360" w:lineRule="auto"/>
        <w:rPr>
          <w:rFonts w:ascii="Arial" w:hAnsi="Arial" w:cs="Arial"/>
          <w:sz w:val="22"/>
          <w:szCs w:val="22"/>
        </w:rPr>
      </w:pPr>
      <w:r w:rsidRPr="00662A75">
        <w:rPr>
          <w:rFonts w:ascii="Arial" w:hAnsi="Arial" w:cs="Arial"/>
          <w:sz w:val="22"/>
          <w:szCs w:val="22"/>
        </w:rPr>
        <w:t>This research aims to gather qualitative data on the learning experiences, identifying potential themes across this population. These themes could guide further research into inform</w:t>
      </w:r>
      <w:r w:rsidR="004206D7" w:rsidRPr="00662A75">
        <w:rPr>
          <w:rFonts w:ascii="Arial" w:hAnsi="Arial" w:cs="Arial"/>
          <w:sz w:val="22"/>
          <w:szCs w:val="22"/>
        </w:rPr>
        <w:t>ing</w:t>
      </w:r>
      <w:r w:rsidRPr="00662A75">
        <w:rPr>
          <w:rFonts w:ascii="Arial" w:hAnsi="Arial" w:cs="Arial"/>
          <w:sz w:val="22"/>
          <w:szCs w:val="22"/>
        </w:rPr>
        <w:t xml:space="preserve"> lesson strategies tailored to this group,</w:t>
      </w:r>
      <w:r w:rsidR="00EA3CF9" w:rsidRPr="00662A75">
        <w:rPr>
          <w:rFonts w:ascii="Arial" w:hAnsi="Arial" w:cs="Arial"/>
          <w:sz w:val="22"/>
          <w:szCs w:val="22"/>
        </w:rPr>
        <w:t xml:space="preserve"> potentially</w:t>
      </w:r>
      <w:r w:rsidRPr="00662A75">
        <w:rPr>
          <w:rFonts w:ascii="Arial" w:hAnsi="Arial" w:cs="Arial"/>
          <w:sz w:val="22"/>
          <w:szCs w:val="22"/>
        </w:rPr>
        <w:t xml:space="preserve"> representing an estimated 10% of the UK population </w:t>
      </w:r>
      <w:r w:rsidR="00106DB2" w:rsidRPr="00662A75">
        <w:rPr>
          <w:rFonts w:ascii="Arial" w:hAnsi="Arial" w:cs="Arial"/>
          <w:sz w:val="22"/>
          <w:szCs w:val="22"/>
        </w:rPr>
        <w:t>affected by</w:t>
      </w:r>
      <w:r w:rsidRPr="00662A75">
        <w:rPr>
          <w:rFonts w:ascii="Arial" w:hAnsi="Arial" w:cs="Arial"/>
          <w:sz w:val="22"/>
          <w:szCs w:val="22"/>
        </w:rPr>
        <w:t xml:space="preserve"> dyslexia.</w:t>
      </w:r>
      <w:r w:rsidR="00EA3CF9" w:rsidRPr="00662A75">
        <w:rPr>
          <w:rFonts w:ascii="Arial" w:hAnsi="Arial" w:cs="Arial"/>
          <w:sz w:val="22"/>
          <w:szCs w:val="22"/>
        </w:rPr>
        <w:t xml:space="preserve"> </w:t>
      </w:r>
    </w:p>
    <w:p w14:paraId="027A8ADC" w14:textId="77777777" w:rsidR="001A48C5" w:rsidRPr="00662A75" w:rsidRDefault="001A48C5" w:rsidP="00662A75">
      <w:pPr>
        <w:pStyle w:val="NormalWeb"/>
        <w:spacing w:line="360" w:lineRule="auto"/>
        <w:rPr>
          <w:rFonts w:ascii="Arial" w:hAnsi="Arial" w:cs="Arial"/>
          <w:sz w:val="22"/>
          <w:szCs w:val="22"/>
        </w:rPr>
      </w:pPr>
      <w:r w:rsidRPr="00662A75">
        <w:rPr>
          <w:rFonts w:ascii="Arial" w:hAnsi="Arial" w:cs="Arial"/>
          <w:sz w:val="22"/>
          <w:szCs w:val="22"/>
        </w:rPr>
        <w:t>Addressing potential learning barriers through adapted teaching techniques could improve retention in extracurricular music lessons, supporting longer-term engagement and career potential (Shuler, 2011). Such strategies could also create a more accessible environment for a broader range of students, benefiting others with similar neurodiverse characteristics.</w:t>
      </w:r>
    </w:p>
    <w:p w14:paraId="5C677652" w14:textId="34E337E7" w:rsidR="00140B32" w:rsidRPr="00662A75" w:rsidRDefault="00140B32" w:rsidP="00662A75">
      <w:pPr>
        <w:pStyle w:val="Heading2"/>
        <w:spacing w:line="360" w:lineRule="auto"/>
        <w:rPr>
          <w:rFonts w:ascii="Arial" w:eastAsia="Times New Roman" w:hAnsi="Arial" w:cs="Arial"/>
          <w:sz w:val="22"/>
          <w:szCs w:val="22"/>
          <w:lang w:eastAsia="en-GB"/>
        </w:rPr>
      </w:pPr>
      <w:r w:rsidRPr="00662A75">
        <w:rPr>
          <w:rFonts w:ascii="Arial" w:eastAsia="Times New Roman" w:hAnsi="Arial" w:cs="Arial"/>
          <w:sz w:val="22"/>
          <w:szCs w:val="22"/>
          <w:lang w:eastAsia="en-GB"/>
        </w:rPr>
        <w:lastRenderedPageBreak/>
        <w:t>Outline Intentions </w:t>
      </w:r>
    </w:p>
    <w:p w14:paraId="4872AA95" w14:textId="0FC3A2C5" w:rsidR="00EA3CF9" w:rsidRPr="00662A75" w:rsidRDefault="00EA3CF9" w:rsidP="00662A75">
      <w:pPr>
        <w:pStyle w:val="NormalWeb"/>
        <w:spacing w:line="360" w:lineRule="auto"/>
        <w:rPr>
          <w:rFonts w:ascii="Arial" w:hAnsi="Arial" w:cs="Arial"/>
          <w:sz w:val="22"/>
          <w:szCs w:val="22"/>
        </w:rPr>
      </w:pPr>
      <w:r w:rsidRPr="00662A75">
        <w:rPr>
          <w:rFonts w:ascii="Arial" w:hAnsi="Arial" w:cs="Arial"/>
          <w:sz w:val="22"/>
          <w:szCs w:val="22"/>
        </w:rPr>
        <w:t>This research aims to explore the collective experiences of individuals with dyslexia, identifying emerging themes through qualitative data. I will base the analysis on data-driven findings, avoiding preconceived biases while acknowledging my insider researcher status.</w:t>
      </w:r>
      <w:r w:rsidR="00F92D7E" w:rsidRPr="00662A75">
        <w:rPr>
          <w:rFonts w:ascii="Arial" w:hAnsi="Arial" w:cs="Arial"/>
          <w:sz w:val="22"/>
          <w:szCs w:val="22"/>
        </w:rPr>
        <w:t xml:space="preserve"> I will use that to my advantage; drawing on my experience as both a singing teacher and neurodiverse individual to create a suitable methodology.</w:t>
      </w:r>
    </w:p>
    <w:p w14:paraId="7D647CBE" w14:textId="77777777" w:rsidR="00EA3CF9" w:rsidRPr="00662A75" w:rsidRDefault="00EA3CF9" w:rsidP="00662A75">
      <w:pPr>
        <w:pStyle w:val="NormalWeb"/>
        <w:spacing w:line="360" w:lineRule="auto"/>
        <w:rPr>
          <w:rFonts w:ascii="Arial" w:hAnsi="Arial" w:cs="Arial"/>
          <w:sz w:val="22"/>
          <w:szCs w:val="22"/>
        </w:rPr>
      </w:pPr>
      <w:r w:rsidRPr="00662A75">
        <w:rPr>
          <w:rFonts w:ascii="Arial" w:hAnsi="Arial" w:cs="Arial"/>
          <w:sz w:val="22"/>
          <w:szCs w:val="22"/>
        </w:rPr>
        <w:t>This study adopts an interpretivist paradigm, using a reflexive, inductive approach to identify patterns within the dyslexic community (Gioia et al., 2013). A literature review will inform the development of questionnaires and case studies. The online questionnaire, distributed via singing teacher networks, will gather data from dyslexic individuals in one-to-one singing lessons, ensuring accessibility (Swanson &amp; Wexler, 2017) and informed consent.</w:t>
      </w:r>
    </w:p>
    <w:p w14:paraId="11D17082" w14:textId="5FE5E166" w:rsidR="00EA3CF9" w:rsidRPr="00662A75" w:rsidRDefault="00EA3CF9" w:rsidP="00662A75">
      <w:pPr>
        <w:pStyle w:val="NormalWeb"/>
        <w:spacing w:line="360" w:lineRule="auto"/>
        <w:rPr>
          <w:rFonts w:ascii="Arial" w:hAnsi="Arial" w:cs="Arial"/>
          <w:sz w:val="22"/>
          <w:szCs w:val="22"/>
        </w:rPr>
      </w:pPr>
      <w:r w:rsidRPr="00662A75">
        <w:rPr>
          <w:rFonts w:ascii="Arial" w:hAnsi="Arial" w:cs="Arial"/>
          <w:sz w:val="22"/>
          <w:szCs w:val="22"/>
        </w:rPr>
        <w:t>The case study will involve 3-5 participants in recorded singing lessons, analysed for behaviour and engagement (</w:t>
      </w:r>
      <w:proofErr w:type="spellStart"/>
      <w:r w:rsidRPr="00662A75">
        <w:rPr>
          <w:rFonts w:ascii="Arial" w:hAnsi="Arial" w:cs="Arial"/>
          <w:sz w:val="22"/>
          <w:szCs w:val="22"/>
        </w:rPr>
        <w:t>Walda</w:t>
      </w:r>
      <w:proofErr w:type="spellEnd"/>
      <w:r w:rsidRPr="00662A75">
        <w:rPr>
          <w:rFonts w:ascii="Arial" w:hAnsi="Arial" w:cs="Arial"/>
          <w:sz w:val="22"/>
          <w:szCs w:val="22"/>
        </w:rPr>
        <w:t xml:space="preserve"> et al., 2022). A semi-structured interview, conducted within two weeks, will capture emotional and learning experiences. The delay ensures better responses, as dyslexic individuals may struggle with verbal skills when fatigued (</w:t>
      </w:r>
      <w:proofErr w:type="spellStart"/>
      <w:r w:rsidR="007344A3" w:rsidRPr="00662A75">
        <w:rPr>
          <w:rFonts w:ascii="Arial" w:hAnsi="Arial" w:cs="Arial"/>
          <w:sz w:val="22"/>
          <w:szCs w:val="22"/>
        </w:rPr>
        <w:t>Reid.</w:t>
      </w:r>
      <w:r w:rsidR="008B63C3" w:rsidRPr="00662A75">
        <w:rPr>
          <w:rFonts w:ascii="Arial" w:hAnsi="Arial" w:cs="Arial"/>
          <w:sz w:val="22"/>
          <w:szCs w:val="22"/>
        </w:rPr>
        <w:t>G</w:t>
      </w:r>
      <w:proofErr w:type="spellEnd"/>
      <w:r w:rsidR="008B63C3" w:rsidRPr="00662A75">
        <w:rPr>
          <w:rFonts w:ascii="Arial" w:hAnsi="Arial" w:cs="Arial"/>
          <w:sz w:val="22"/>
          <w:szCs w:val="22"/>
        </w:rPr>
        <w:t>. 2020</w:t>
      </w:r>
      <w:r w:rsidRPr="00662A75">
        <w:rPr>
          <w:rFonts w:ascii="Arial" w:hAnsi="Arial" w:cs="Arial"/>
          <w:sz w:val="22"/>
          <w:szCs w:val="22"/>
        </w:rPr>
        <w:t>).</w:t>
      </w:r>
    </w:p>
    <w:p w14:paraId="2AD5D902" w14:textId="6933640D" w:rsidR="00EA3CF9" w:rsidRPr="00662A75" w:rsidRDefault="00EA3CF9" w:rsidP="00662A75">
      <w:pPr>
        <w:pStyle w:val="NormalWeb"/>
        <w:spacing w:line="360" w:lineRule="auto"/>
        <w:rPr>
          <w:rFonts w:ascii="Arial" w:hAnsi="Arial" w:cs="Arial"/>
          <w:sz w:val="22"/>
          <w:szCs w:val="22"/>
        </w:rPr>
      </w:pPr>
      <w:r w:rsidRPr="00662A75">
        <w:rPr>
          <w:rFonts w:ascii="Arial" w:hAnsi="Arial" w:cs="Arial"/>
          <w:sz w:val="22"/>
          <w:szCs w:val="22"/>
        </w:rPr>
        <w:t>This approach provides valuable insights, despite the limited sample size, allowing for in-depth analysis within the project's timeline, following precedents in similar research (</w:t>
      </w:r>
      <w:r w:rsidR="00312F83" w:rsidRPr="00662A75">
        <w:rPr>
          <w:rFonts w:ascii="Arial" w:hAnsi="Arial" w:cs="Arial"/>
          <w:sz w:val="22"/>
          <w:szCs w:val="22"/>
        </w:rPr>
        <w:t>Nelson, K.P. and Hourigan, R.M. ,2016</w:t>
      </w:r>
      <w:r w:rsidRPr="00662A75">
        <w:rPr>
          <w:rFonts w:ascii="Arial" w:hAnsi="Arial" w:cs="Arial"/>
          <w:sz w:val="22"/>
          <w:szCs w:val="22"/>
        </w:rPr>
        <w:t>).</w:t>
      </w:r>
    </w:p>
    <w:p w14:paraId="1950AA50" w14:textId="77777777" w:rsidR="00140B32" w:rsidRPr="00662A75" w:rsidRDefault="00140B32" w:rsidP="00662A75">
      <w:pPr>
        <w:pStyle w:val="Heading2"/>
        <w:spacing w:line="360" w:lineRule="auto"/>
        <w:rPr>
          <w:rFonts w:ascii="Arial" w:eastAsia="Times New Roman" w:hAnsi="Arial" w:cs="Arial"/>
          <w:sz w:val="22"/>
          <w:szCs w:val="22"/>
          <w:lang w:eastAsia="en-GB"/>
        </w:rPr>
      </w:pPr>
      <w:r w:rsidRPr="00662A75">
        <w:rPr>
          <w:rFonts w:ascii="Arial" w:eastAsia="Times New Roman" w:hAnsi="Arial" w:cs="Arial"/>
          <w:sz w:val="22"/>
          <w:szCs w:val="22"/>
          <w:lang w:eastAsia="en-GB"/>
        </w:rPr>
        <w:lastRenderedPageBreak/>
        <w:t>Project Timeline </w:t>
      </w:r>
    </w:p>
    <w:p w14:paraId="09DE9C43" w14:textId="0D154052" w:rsidR="004E2FC1" w:rsidRPr="00662A75" w:rsidRDefault="008E3C92" w:rsidP="00662A75">
      <w:pPr>
        <w:spacing w:after="0" w:line="360" w:lineRule="auto"/>
        <w:rPr>
          <w:rFonts w:ascii="Arial" w:eastAsia="Times New Roman" w:hAnsi="Arial" w:cs="Arial"/>
          <w:kern w:val="0"/>
          <w:lang w:eastAsia="en-GB"/>
          <w14:ligatures w14:val="none"/>
        </w:rPr>
      </w:pPr>
      <w:r w:rsidRPr="00662A75">
        <w:rPr>
          <w:rFonts w:ascii="Arial" w:eastAsia="Times New Roman" w:hAnsi="Arial" w:cs="Arial"/>
          <w:noProof/>
          <w:kern w:val="0"/>
          <w:lang w:eastAsia="en-GB"/>
          <w14:ligatures w14:val="none"/>
        </w:rPr>
        <w:drawing>
          <wp:inline distT="0" distB="0" distL="0" distR="0" wp14:anchorId="03514A75" wp14:editId="41D43874">
            <wp:extent cx="5731510" cy="362712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627120"/>
                    </a:xfrm>
                    <a:prstGeom prst="rect">
                      <a:avLst/>
                    </a:prstGeom>
                  </pic:spPr>
                </pic:pic>
              </a:graphicData>
            </a:graphic>
          </wp:inline>
        </w:drawing>
      </w:r>
    </w:p>
    <w:p w14:paraId="17A58D53" w14:textId="66B90AB8" w:rsidR="008E3C92" w:rsidRPr="00140B32" w:rsidRDefault="00382D16" w:rsidP="00662A75">
      <w:pPr>
        <w:spacing w:after="0" w:line="360" w:lineRule="auto"/>
        <w:rPr>
          <w:rFonts w:ascii="Arial" w:eastAsia="Times New Roman" w:hAnsi="Arial" w:cs="Arial"/>
          <w:kern w:val="0"/>
          <w:lang w:eastAsia="en-GB"/>
          <w14:ligatures w14:val="none"/>
        </w:rPr>
      </w:pPr>
      <w:r w:rsidRPr="00662A75">
        <w:rPr>
          <w:rFonts w:ascii="Arial" w:eastAsia="Times New Roman" w:hAnsi="Arial" w:cs="Arial"/>
          <w:noProof/>
          <w:kern w:val="0"/>
          <w:lang w:eastAsia="en-GB"/>
          <w14:ligatures w14:val="none"/>
        </w:rPr>
        <w:drawing>
          <wp:inline distT="0" distB="0" distL="0" distR="0" wp14:anchorId="63DD1C2B" wp14:editId="572D22FD">
            <wp:extent cx="5731510" cy="1895475"/>
            <wp:effectExtent l="0" t="0" r="254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895475"/>
                    </a:xfrm>
                    <a:prstGeom prst="rect">
                      <a:avLst/>
                    </a:prstGeom>
                  </pic:spPr>
                </pic:pic>
              </a:graphicData>
            </a:graphic>
          </wp:inline>
        </w:drawing>
      </w:r>
    </w:p>
    <w:p w14:paraId="2DA07EF6" w14:textId="77777777" w:rsidR="00140B32" w:rsidRPr="00662A75" w:rsidRDefault="00140B32" w:rsidP="00662A75">
      <w:pPr>
        <w:pStyle w:val="Heading2"/>
        <w:spacing w:line="360" w:lineRule="auto"/>
        <w:rPr>
          <w:rFonts w:ascii="Arial" w:eastAsia="Times New Roman" w:hAnsi="Arial" w:cs="Arial"/>
          <w:sz w:val="22"/>
          <w:szCs w:val="22"/>
          <w:lang w:eastAsia="en-GB"/>
        </w:rPr>
      </w:pPr>
      <w:r w:rsidRPr="00662A75">
        <w:rPr>
          <w:rFonts w:ascii="Arial" w:eastAsia="Times New Roman" w:hAnsi="Arial" w:cs="Arial"/>
          <w:sz w:val="22"/>
          <w:szCs w:val="22"/>
          <w:lang w:eastAsia="en-GB"/>
        </w:rPr>
        <w:t>Ethics and Insider Research Issues</w:t>
      </w:r>
    </w:p>
    <w:p w14:paraId="0A8551BA" w14:textId="3DBB0053" w:rsidR="00EA3CF9" w:rsidRPr="00662A75" w:rsidRDefault="00EA3CF9" w:rsidP="00662A75">
      <w:pPr>
        <w:pStyle w:val="NormalWeb"/>
        <w:spacing w:line="360" w:lineRule="auto"/>
        <w:rPr>
          <w:rFonts w:ascii="Arial" w:hAnsi="Arial" w:cs="Arial"/>
          <w:sz w:val="22"/>
          <w:szCs w:val="22"/>
        </w:rPr>
      </w:pPr>
      <w:r w:rsidRPr="00662A75">
        <w:rPr>
          <w:rFonts w:ascii="Arial" w:hAnsi="Arial" w:cs="Arial"/>
          <w:sz w:val="22"/>
          <w:szCs w:val="22"/>
        </w:rPr>
        <w:t>As an insider researcher with dyslexia, my personal beliefs may introduce bias, but acknowledging this and using objective analysis ensures rigor. My insider status provides access to targeted populations, and my teaching experience aids in crafting relevant questions.</w:t>
      </w:r>
    </w:p>
    <w:p w14:paraId="379CF22F" w14:textId="682AA6A9" w:rsidR="00EA3CF9" w:rsidRPr="00662A75" w:rsidRDefault="00EA3CF9" w:rsidP="00662A75">
      <w:pPr>
        <w:pStyle w:val="NormalWeb"/>
        <w:spacing w:line="360" w:lineRule="auto"/>
        <w:rPr>
          <w:rFonts w:ascii="Arial" w:hAnsi="Arial" w:cs="Arial"/>
          <w:sz w:val="22"/>
          <w:szCs w:val="22"/>
        </w:rPr>
      </w:pPr>
      <w:r w:rsidRPr="00662A75">
        <w:rPr>
          <w:rFonts w:ascii="Arial" w:hAnsi="Arial" w:cs="Arial"/>
          <w:sz w:val="22"/>
          <w:szCs w:val="22"/>
        </w:rPr>
        <w:t>Ethically, informed consent will be clear and accessible, considering both age and dyslexia (</w:t>
      </w:r>
      <w:proofErr w:type="spellStart"/>
      <w:r w:rsidR="00BA57C4" w:rsidRPr="00662A75">
        <w:rPr>
          <w:rFonts w:ascii="Arial" w:hAnsi="Arial" w:cs="Arial"/>
          <w:sz w:val="22"/>
          <w:szCs w:val="22"/>
        </w:rPr>
        <w:t>Gillin</w:t>
      </w:r>
      <w:proofErr w:type="spellEnd"/>
      <w:r w:rsidR="00BA57C4" w:rsidRPr="00662A75">
        <w:rPr>
          <w:rFonts w:ascii="Arial" w:hAnsi="Arial" w:cs="Arial"/>
          <w:sz w:val="22"/>
          <w:szCs w:val="22"/>
        </w:rPr>
        <w:t>, N. 2015</w:t>
      </w:r>
      <w:r w:rsidRPr="00662A75">
        <w:rPr>
          <w:rFonts w:ascii="Arial" w:hAnsi="Arial" w:cs="Arial"/>
          <w:sz w:val="22"/>
          <w:szCs w:val="22"/>
        </w:rPr>
        <w:t>), with parental/guardian consent required. Data will be encrypted, and safeguarding protocols followed (</w:t>
      </w:r>
      <w:r w:rsidR="00BA57C4" w:rsidRPr="00662A75">
        <w:rPr>
          <w:rFonts w:ascii="Arial" w:hAnsi="Arial" w:cs="Arial"/>
          <w:sz w:val="22"/>
          <w:szCs w:val="22"/>
        </w:rPr>
        <w:t>Appen</w:t>
      </w:r>
      <w:r w:rsidR="001F2E50" w:rsidRPr="00662A75">
        <w:rPr>
          <w:rFonts w:ascii="Arial" w:hAnsi="Arial" w:cs="Arial"/>
          <w:sz w:val="22"/>
          <w:szCs w:val="22"/>
        </w:rPr>
        <w:t>dix 2</w:t>
      </w:r>
      <w:r w:rsidRPr="00662A75">
        <w:rPr>
          <w:rFonts w:ascii="Arial" w:hAnsi="Arial" w:cs="Arial"/>
          <w:sz w:val="22"/>
          <w:szCs w:val="22"/>
        </w:rPr>
        <w:t>). Participants can withdraw consent anytime and have access to support.</w:t>
      </w:r>
    </w:p>
    <w:p w14:paraId="1B03D5F6" w14:textId="1A79F24B" w:rsidR="00EA3CF9" w:rsidRPr="00662A75" w:rsidRDefault="00EA3CF9" w:rsidP="00662A75">
      <w:pPr>
        <w:pStyle w:val="NormalWeb"/>
        <w:spacing w:line="360" w:lineRule="auto"/>
        <w:rPr>
          <w:rFonts w:ascii="Arial" w:hAnsi="Arial" w:cs="Arial"/>
          <w:sz w:val="22"/>
          <w:szCs w:val="22"/>
        </w:rPr>
      </w:pPr>
      <w:r w:rsidRPr="00662A75">
        <w:rPr>
          <w:rFonts w:ascii="Arial" w:hAnsi="Arial" w:cs="Arial"/>
          <w:sz w:val="22"/>
          <w:szCs w:val="22"/>
        </w:rPr>
        <w:lastRenderedPageBreak/>
        <w:t>The study focuses on emotional responses, not trauma, though dyslexic individuals often face emotional challenges (</w:t>
      </w:r>
      <w:proofErr w:type="spellStart"/>
      <w:r w:rsidRPr="00662A75">
        <w:rPr>
          <w:rFonts w:ascii="Arial" w:hAnsi="Arial" w:cs="Arial"/>
          <w:sz w:val="22"/>
          <w:szCs w:val="22"/>
        </w:rPr>
        <w:t>R</w:t>
      </w:r>
      <w:r w:rsidR="001F2E50" w:rsidRPr="00662A75">
        <w:rPr>
          <w:rFonts w:ascii="Arial" w:hAnsi="Arial" w:cs="Arial"/>
          <w:sz w:val="22"/>
          <w:szCs w:val="22"/>
        </w:rPr>
        <w:t>eid</w:t>
      </w:r>
      <w:r w:rsidR="007F6F54" w:rsidRPr="00662A75">
        <w:rPr>
          <w:rFonts w:ascii="Arial" w:hAnsi="Arial" w:cs="Arial"/>
          <w:sz w:val="22"/>
          <w:szCs w:val="22"/>
        </w:rPr>
        <w:t>.G</w:t>
      </w:r>
      <w:proofErr w:type="spellEnd"/>
      <w:r w:rsidR="007F6F54" w:rsidRPr="00662A75">
        <w:rPr>
          <w:rFonts w:ascii="Arial" w:hAnsi="Arial" w:cs="Arial"/>
          <w:sz w:val="22"/>
          <w:szCs w:val="22"/>
        </w:rPr>
        <w:t>. ,2020</w:t>
      </w:r>
      <w:r w:rsidRPr="00662A75">
        <w:rPr>
          <w:rFonts w:ascii="Arial" w:hAnsi="Arial" w:cs="Arial"/>
          <w:sz w:val="22"/>
          <w:szCs w:val="22"/>
        </w:rPr>
        <w:t>). In case of distress, the activity will stop, and guardians will be informed and directed to additional support.</w:t>
      </w:r>
    </w:p>
    <w:p w14:paraId="16B8BCEA" w14:textId="77777777" w:rsidR="00140B32" w:rsidRPr="00140B32" w:rsidRDefault="00140B32" w:rsidP="00662A75">
      <w:pPr>
        <w:spacing w:line="360" w:lineRule="auto"/>
        <w:rPr>
          <w:rFonts w:ascii="Arial" w:eastAsia="Times New Roman" w:hAnsi="Arial" w:cs="Arial"/>
          <w:kern w:val="0"/>
          <w:lang w:eastAsia="en-GB"/>
          <w14:ligatures w14:val="none"/>
        </w:rPr>
      </w:pPr>
      <w:r w:rsidRPr="00140B32">
        <w:rPr>
          <w:rFonts w:ascii="Arial" w:eastAsia="Times New Roman" w:hAnsi="Arial" w:cs="Arial"/>
          <w:b/>
          <w:bCs/>
          <w:color w:val="000000"/>
          <w:kern w:val="0"/>
          <w:lang w:eastAsia="en-GB"/>
          <w14:ligatures w14:val="none"/>
        </w:rPr>
        <w:t>Individual Learning Outcomes </w:t>
      </w:r>
    </w:p>
    <w:p w14:paraId="1CBDF33B" w14:textId="7364054B" w:rsidR="00E66364" w:rsidRPr="00662A75" w:rsidRDefault="00801FDA" w:rsidP="00662A75">
      <w:pPr>
        <w:spacing w:line="360" w:lineRule="auto"/>
        <w:rPr>
          <w:rFonts w:ascii="Arial" w:eastAsia="Times New Roman" w:hAnsi="Arial" w:cs="Arial"/>
          <w:color w:val="000000"/>
          <w:kern w:val="0"/>
          <w:lang w:eastAsia="en-GB"/>
          <w14:ligatures w14:val="none"/>
        </w:rPr>
      </w:pPr>
      <w:r w:rsidRPr="00662A75">
        <w:rPr>
          <w:rFonts w:ascii="Arial" w:eastAsia="Times New Roman" w:hAnsi="Arial" w:cs="Arial"/>
          <w:noProof/>
          <w:color w:val="000000"/>
          <w:kern w:val="0"/>
          <w:lang w:eastAsia="en-GB"/>
          <w14:ligatures w14:val="none"/>
        </w:rPr>
        <w:drawing>
          <wp:inline distT="0" distB="0" distL="0" distR="0" wp14:anchorId="5F2C095A" wp14:editId="1D8F7AB3">
            <wp:extent cx="5731510" cy="111696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116965"/>
                    </a:xfrm>
                    <a:prstGeom prst="rect">
                      <a:avLst/>
                    </a:prstGeom>
                  </pic:spPr>
                </pic:pic>
              </a:graphicData>
            </a:graphic>
          </wp:inline>
        </w:drawing>
      </w:r>
    </w:p>
    <w:p w14:paraId="7717E034" w14:textId="197BAA21" w:rsidR="00140B32" w:rsidRPr="00140B32" w:rsidRDefault="00C23767" w:rsidP="00662A75">
      <w:pPr>
        <w:spacing w:line="360" w:lineRule="auto"/>
        <w:rPr>
          <w:rFonts w:ascii="Arial" w:eastAsia="Times New Roman" w:hAnsi="Arial" w:cs="Arial"/>
          <w:kern w:val="0"/>
          <w:lang w:eastAsia="en-GB"/>
          <w14:ligatures w14:val="none"/>
        </w:rPr>
      </w:pPr>
      <w:r>
        <w:rPr>
          <w:rFonts w:ascii="Arial" w:eastAsia="Times New Roman" w:hAnsi="Arial" w:cs="Arial"/>
          <w:color w:val="000000"/>
          <w:kern w:val="0"/>
          <w:lang w:eastAsia="en-GB"/>
          <w14:ligatures w14:val="none"/>
        </w:rPr>
        <w:t>Further to this I have attached my</w:t>
      </w:r>
      <w:r w:rsidR="00140B32" w:rsidRPr="00140B32">
        <w:rPr>
          <w:rFonts w:ascii="Arial" w:eastAsia="Times New Roman" w:hAnsi="Arial" w:cs="Arial"/>
          <w:color w:val="000000"/>
          <w:kern w:val="0"/>
          <w:lang w:eastAsia="en-GB"/>
          <w14:ligatures w14:val="none"/>
        </w:rPr>
        <w:t xml:space="preserve"> personal development plan attached (</w:t>
      </w:r>
      <w:r w:rsidR="007F6F54" w:rsidRPr="00662A75">
        <w:rPr>
          <w:rFonts w:ascii="Arial" w:eastAsia="Times New Roman" w:hAnsi="Arial" w:cs="Arial"/>
          <w:color w:val="000000"/>
          <w:kern w:val="0"/>
          <w:lang w:eastAsia="en-GB"/>
          <w14:ligatures w14:val="none"/>
        </w:rPr>
        <w:t>A</w:t>
      </w:r>
      <w:r w:rsidR="00140B32" w:rsidRPr="00140B32">
        <w:rPr>
          <w:rFonts w:ascii="Arial" w:eastAsia="Times New Roman" w:hAnsi="Arial" w:cs="Arial"/>
          <w:color w:val="000000"/>
          <w:kern w:val="0"/>
          <w:lang w:eastAsia="en-GB"/>
          <w14:ligatures w14:val="none"/>
        </w:rPr>
        <w:t xml:space="preserve">ppendix </w:t>
      </w:r>
      <w:r w:rsidR="007F6F54" w:rsidRPr="00662A75">
        <w:rPr>
          <w:rFonts w:ascii="Arial" w:eastAsia="Times New Roman" w:hAnsi="Arial" w:cs="Arial"/>
          <w:color w:val="000000"/>
          <w:kern w:val="0"/>
          <w:lang w:eastAsia="en-GB"/>
          <w14:ligatures w14:val="none"/>
        </w:rPr>
        <w:t>3</w:t>
      </w:r>
      <w:r w:rsidR="00140B32" w:rsidRPr="00140B32">
        <w:rPr>
          <w:rFonts w:ascii="Arial" w:eastAsia="Times New Roman" w:hAnsi="Arial" w:cs="Arial"/>
          <w:color w:val="000000"/>
          <w:kern w:val="0"/>
          <w:lang w:eastAsia="en-GB"/>
          <w14:ligatures w14:val="none"/>
        </w:rPr>
        <w:t>) </w:t>
      </w:r>
    </w:p>
    <w:p w14:paraId="1F212AD7" w14:textId="77777777" w:rsidR="00A12556" w:rsidRDefault="00A12556" w:rsidP="00662A75">
      <w:pPr>
        <w:spacing w:line="360" w:lineRule="auto"/>
        <w:rPr>
          <w:rFonts w:ascii="Arial" w:hAnsi="Arial" w:cs="Arial"/>
        </w:rPr>
      </w:pPr>
    </w:p>
    <w:p w14:paraId="4442AF0B" w14:textId="77777777" w:rsidR="00662A75" w:rsidRDefault="00662A75" w:rsidP="00662A75">
      <w:pPr>
        <w:spacing w:line="360" w:lineRule="auto"/>
        <w:rPr>
          <w:rFonts w:ascii="Arial" w:hAnsi="Arial" w:cs="Arial"/>
        </w:rPr>
      </w:pPr>
    </w:p>
    <w:p w14:paraId="79F657A1" w14:textId="77777777" w:rsidR="00662A75" w:rsidRDefault="00662A75" w:rsidP="00662A75">
      <w:pPr>
        <w:spacing w:line="360" w:lineRule="auto"/>
        <w:rPr>
          <w:rFonts w:ascii="Arial" w:hAnsi="Arial" w:cs="Arial"/>
        </w:rPr>
      </w:pPr>
    </w:p>
    <w:p w14:paraId="010409EA" w14:textId="77777777" w:rsidR="00662A75" w:rsidRDefault="00662A75" w:rsidP="00662A75">
      <w:pPr>
        <w:spacing w:line="360" w:lineRule="auto"/>
        <w:rPr>
          <w:rFonts w:ascii="Arial" w:hAnsi="Arial" w:cs="Arial"/>
        </w:rPr>
      </w:pPr>
    </w:p>
    <w:p w14:paraId="11D19B2B" w14:textId="77777777" w:rsidR="00662A75" w:rsidRDefault="00662A75" w:rsidP="00662A75">
      <w:pPr>
        <w:spacing w:line="360" w:lineRule="auto"/>
        <w:rPr>
          <w:rFonts w:ascii="Arial" w:hAnsi="Arial" w:cs="Arial"/>
        </w:rPr>
      </w:pPr>
    </w:p>
    <w:p w14:paraId="2D9CA120" w14:textId="77777777" w:rsidR="00662A75" w:rsidRDefault="00662A75" w:rsidP="00662A75">
      <w:pPr>
        <w:spacing w:line="360" w:lineRule="auto"/>
        <w:rPr>
          <w:rFonts w:ascii="Arial" w:hAnsi="Arial" w:cs="Arial"/>
        </w:rPr>
      </w:pPr>
    </w:p>
    <w:p w14:paraId="204057F4" w14:textId="77777777" w:rsidR="00662A75" w:rsidRDefault="00662A75" w:rsidP="00662A75">
      <w:pPr>
        <w:spacing w:line="360" w:lineRule="auto"/>
        <w:rPr>
          <w:rFonts w:ascii="Arial" w:hAnsi="Arial" w:cs="Arial"/>
        </w:rPr>
      </w:pPr>
    </w:p>
    <w:p w14:paraId="09C83CD0" w14:textId="77777777" w:rsidR="00662A75" w:rsidRDefault="00662A75" w:rsidP="00662A75">
      <w:pPr>
        <w:spacing w:line="360" w:lineRule="auto"/>
        <w:rPr>
          <w:rFonts w:ascii="Arial" w:hAnsi="Arial" w:cs="Arial"/>
        </w:rPr>
      </w:pPr>
    </w:p>
    <w:p w14:paraId="44142ADF" w14:textId="77777777" w:rsidR="00662A75" w:rsidRDefault="00662A75" w:rsidP="00662A75">
      <w:pPr>
        <w:spacing w:line="360" w:lineRule="auto"/>
        <w:rPr>
          <w:rFonts w:ascii="Arial" w:hAnsi="Arial" w:cs="Arial"/>
        </w:rPr>
      </w:pPr>
    </w:p>
    <w:p w14:paraId="08A88B51" w14:textId="77777777" w:rsidR="00662A75" w:rsidRDefault="00662A75" w:rsidP="00662A75">
      <w:pPr>
        <w:spacing w:line="360" w:lineRule="auto"/>
        <w:rPr>
          <w:rFonts w:ascii="Arial" w:hAnsi="Arial" w:cs="Arial"/>
        </w:rPr>
      </w:pPr>
    </w:p>
    <w:p w14:paraId="11A59F56" w14:textId="77777777" w:rsidR="00662A75" w:rsidRDefault="00662A75" w:rsidP="00662A75">
      <w:pPr>
        <w:spacing w:line="360" w:lineRule="auto"/>
        <w:rPr>
          <w:rFonts w:ascii="Arial" w:hAnsi="Arial" w:cs="Arial"/>
        </w:rPr>
      </w:pPr>
    </w:p>
    <w:p w14:paraId="037DAA00" w14:textId="77777777" w:rsidR="00662A75" w:rsidRDefault="00662A75" w:rsidP="00662A75">
      <w:pPr>
        <w:spacing w:line="360" w:lineRule="auto"/>
        <w:rPr>
          <w:rFonts w:ascii="Arial" w:hAnsi="Arial" w:cs="Arial"/>
        </w:rPr>
      </w:pPr>
    </w:p>
    <w:p w14:paraId="2C0A5487" w14:textId="77777777" w:rsidR="00662A75" w:rsidRDefault="00662A75" w:rsidP="00662A75">
      <w:pPr>
        <w:spacing w:line="360" w:lineRule="auto"/>
        <w:rPr>
          <w:rFonts w:ascii="Arial" w:hAnsi="Arial" w:cs="Arial"/>
        </w:rPr>
      </w:pPr>
    </w:p>
    <w:p w14:paraId="3D17811F" w14:textId="77777777" w:rsidR="00662A75" w:rsidRPr="00662A75" w:rsidRDefault="00662A75" w:rsidP="00662A75">
      <w:pPr>
        <w:spacing w:line="360" w:lineRule="auto"/>
        <w:rPr>
          <w:rFonts w:ascii="Arial" w:hAnsi="Arial" w:cs="Arial"/>
        </w:rPr>
      </w:pPr>
    </w:p>
    <w:p w14:paraId="227FDE19" w14:textId="77777777" w:rsidR="005727CE" w:rsidRPr="00662A75" w:rsidRDefault="005727CE" w:rsidP="00662A75">
      <w:pPr>
        <w:spacing w:line="360" w:lineRule="auto"/>
        <w:rPr>
          <w:rFonts w:ascii="Arial" w:hAnsi="Arial" w:cs="Arial"/>
        </w:rPr>
      </w:pPr>
    </w:p>
    <w:p w14:paraId="03F51B9C" w14:textId="77777777" w:rsidR="005B6C10" w:rsidRPr="00662A75" w:rsidRDefault="005B6C10" w:rsidP="00662A75">
      <w:pPr>
        <w:pStyle w:val="Heading3"/>
      </w:pPr>
    </w:p>
    <w:p w14:paraId="6C0C0C60" w14:textId="7844D6E6" w:rsidR="001A72FF" w:rsidRPr="00662A75" w:rsidRDefault="001A72FF" w:rsidP="00662A75">
      <w:pPr>
        <w:pStyle w:val="Title"/>
        <w:rPr>
          <w:rFonts w:eastAsia="Times New Roman"/>
        </w:rPr>
      </w:pPr>
      <w:r w:rsidRPr="00662A75">
        <w:rPr>
          <w:rFonts w:eastAsia="Times New Roman"/>
        </w:rPr>
        <w:lastRenderedPageBreak/>
        <w:t>Project Report </w:t>
      </w:r>
    </w:p>
    <w:p w14:paraId="1A6F7882" w14:textId="77777777" w:rsidR="001A72FF" w:rsidRPr="001A72FF" w:rsidRDefault="001A72FF" w:rsidP="00662A75">
      <w:pPr>
        <w:spacing w:after="0" w:line="360" w:lineRule="auto"/>
        <w:rPr>
          <w:rFonts w:ascii="Arial" w:eastAsia="Times New Roman" w:hAnsi="Arial" w:cs="Arial"/>
          <w:kern w:val="0"/>
          <w:lang w:eastAsia="en-GB"/>
          <w14:ligatures w14:val="none"/>
        </w:rPr>
      </w:pPr>
    </w:p>
    <w:p w14:paraId="416ECD12" w14:textId="77777777" w:rsidR="001A72FF" w:rsidRPr="00662A75" w:rsidRDefault="001A72FF" w:rsidP="00662A75">
      <w:pPr>
        <w:pStyle w:val="Heading2"/>
        <w:spacing w:line="360" w:lineRule="auto"/>
        <w:rPr>
          <w:rFonts w:ascii="Arial" w:eastAsia="Times New Roman" w:hAnsi="Arial" w:cs="Arial"/>
          <w:sz w:val="22"/>
          <w:szCs w:val="22"/>
          <w:lang w:eastAsia="en-GB"/>
        </w:rPr>
      </w:pPr>
      <w:r w:rsidRPr="00662A75">
        <w:rPr>
          <w:rFonts w:ascii="Arial" w:eastAsia="Times New Roman" w:hAnsi="Arial" w:cs="Arial"/>
          <w:sz w:val="22"/>
          <w:szCs w:val="22"/>
          <w:lang w:eastAsia="en-GB"/>
        </w:rPr>
        <w:t>KEY TERMS </w:t>
      </w:r>
    </w:p>
    <w:p w14:paraId="602E9CE8" w14:textId="77777777" w:rsidR="001A72FF" w:rsidRPr="001A72FF" w:rsidRDefault="001A72FF" w:rsidP="00662A75">
      <w:pPr>
        <w:spacing w:line="360" w:lineRule="auto"/>
        <w:rPr>
          <w:rFonts w:ascii="Arial" w:eastAsia="Times New Roman" w:hAnsi="Arial" w:cs="Arial"/>
          <w:kern w:val="0"/>
          <w:lang w:eastAsia="en-GB"/>
          <w14:ligatures w14:val="none"/>
        </w:rPr>
      </w:pPr>
      <w:r w:rsidRPr="001A72FF">
        <w:rPr>
          <w:rFonts w:ascii="Arial" w:eastAsia="Times New Roman" w:hAnsi="Arial" w:cs="Arial"/>
          <w:b/>
          <w:bCs/>
          <w:color w:val="000000"/>
          <w:kern w:val="0"/>
          <w:lang w:eastAsia="en-GB"/>
          <w14:ligatures w14:val="none"/>
        </w:rPr>
        <w:t>Dyslexia:</w:t>
      </w:r>
      <w:r w:rsidRPr="001A72FF">
        <w:rPr>
          <w:rFonts w:ascii="Arial" w:eastAsia="Times New Roman" w:hAnsi="Arial" w:cs="Arial"/>
          <w:color w:val="000000"/>
          <w:kern w:val="0"/>
          <w:lang w:eastAsia="en-GB"/>
          <w14:ligatures w14:val="none"/>
        </w:rPr>
        <w:t xml:space="preserve"> A learning difficulty characterised by issues expanded upon in Appendix 1. It can affect learning pathways, memory and phonological skills </w:t>
      </w:r>
    </w:p>
    <w:p w14:paraId="018C70A4" w14:textId="77777777" w:rsidR="001A72FF" w:rsidRPr="001A72FF" w:rsidRDefault="001A72FF" w:rsidP="00662A75">
      <w:pPr>
        <w:spacing w:after="0" w:line="360" w:lineRule="auto"/>
        <w:rPr>
          <w:rFonts w:ascii="Arial" w:eastAsia="Times New Roman" w:hAnsi="Arial" w:cs="Arial"/>
          <w:kern w:val="0"/>
          <w:lang w:eastAsia="en-GB"/>
          <w14:ligatures w14:val="none"/>
        </w:rPr>
      </w:pPr>
    </w:p>
    <w:p w14:paraId="03C9E872" w14:textId="5450A9EA" w:rsidR="001A72FF" w:rsidRPr="00662A75" w:rsidRDefault="001A72FF" w:rsidP="00662A75">
      <w:pPr>
        <w:pStyle w:val="Heading4"/>
        <w:spacing w:line="360" w:lineRule="auto"/>
        <w:rPr>
          <w:rFonts w:ascii="Arial" w:eastAsia="Times New Roman" w:hAnsi="Arial" w:cs="Arial"/>
          <w:lang w:eastAsia="en-GB"/>
        </w:rPr>
      </w:pPr>
      <w:r w:rsidRPr="00662A75">
        <w:rPr>
          <w:rFonts w:ascii="Arial" w:eastAsia="Times New Roman" w:hAnsi="Arial" w:cs="Arial"/>
          <w:lang w:eastAsia="en-GB"/>
        </w:rPr>
        <w:t xml:space="preserve">A Note on </w:t>
      </w:r>
      <w:r w:rsidR="009B740B">
        <w:rPr>
          <w:rFonts w:ascii="Arial" w:eastAsia="Times New Roman" w:hAnsi="Arial" w:cs="Arial"/>
          <w:lang w:eastAsia="en-GB"/>
        </w:rPr>
        <w:t>Language</w:t>
      </w:r>
      <w:r w:rsidRPr="00662A75">
        <w:rPr>
          <w:rFonts w:ascii="Arial" w:eastAsia="Times New Roman" w:hAnsi="Arial" w:cs="Arial"/>
          <w:lang w:eastAsia="en-GB"/>
        </w:rPr>
        <w:t xml:space="preserve"> </w:t>
      </w:r>
    </w:p>
    <w:p w14:paraId="1901D260" w14:textId="77777777" w:rsidR="00136BF6" w:rsidRPr="00662A75" w:rsidRDefault="00136BF6" w:rsidP="00662A75">
      <w:pPr>
        <w:pStyle w:val="NormalWeb"/>
        <w:spacing w:line="360" w:lineRule="auto"/>
        <w:rPr>
          <w:rFonts w:ascii="Arial" w:hAnsi="Arial" w:cs="Arial"/>
          <w:sz w:val="22"/>
          <w:szCs w:val="22"/>
        </w:rPr>
      </w:pPr>
      <w:r w:rsidRPr="00662A75">
        <w:rPr>
          <w:rFonts w:ascii="Arial" w:hAnsi="Arial" w:cs="Arial"/>
          <w:sz w:val="22"/>
          <w:szCs w:val="22"/>
        </w:rPr>
        <w:t>In this research, I use person-first language, referring to individuals as people with dyslexia to focus on their experiences (</w:t>
      </w:r>
      <w:proofErr w:type="spellStart"/>
      <w:r w:rsidRPr="00662A75">
        <w:rPr>
          <w:rFonts w:ascii="Arial" w:hAnsi="Arial" w:cs="Arial"/>
          <w:sz w:val="22"/>
          <w:szCs w:val="22"/>
        </w:rPr>
        <w:t>Flink</w:t>
      </w:r>
      <w:proofErr w:type="spellEnd"/>
      <w:r w:rsidRPr="00662A75">
        <w:rPr>
          <w:rFonts w:ascii="Arial" w:hAnsi="Arial" w:cs="Arial"/>
          <w:sz w:val="22"/>
          <w:szCs w:val="22"/>
        </w:rPr>
        <w:t>, 2021; Linton, 1997). The term "dyslexics" may also be used, as it is widely accepted by those with dyslexia (British Dyslexic Association, 2024) and enhances accessibility.</w:t>
      </w:r>
    </w:p>
    <w:p w14:paraId="7837DCBD" w14:textId="45A144F0" w:rsidR="001A72FF" w:rsidRPr="00662A75" w:rsidRDefault="005B6C10" w:rsidP="00662A75">
      <w:pPr>
        <w:pStyle w:val="Heading1"/>
        <w:spacing w:line="360" w:lineRule="auto"/>
        <w:rPr>
          <w:rFonts w:ascii="Arial" w:eastAsia="Times New Roman" w:hAnsi="Arial" w:cs="Arial"/>
          <w:b/>
          <w:bCs/>
          <w:sz w:val="22"/>
          <w:szCs w:val="22"/>
          <w:lang w:eastAsia="en-GB"/>
        </w:rPr>
      </w:pPr>
      <w:r w:rsidRPr="00662A75">
        <w:rPr>
          <w:rFonts w:ascii="Arial" w:eastAsia="Times New Roman" w:hAnsi="Arial" w:cs="Arial"/>
          <w:b/>
          <w:bCs/>
          <w:sz w:val="22"/>
          <w:szCs w:val="22"/>
          <w:lang w:eastAsia="en-GB"/>
        </w:rPr>
        <w:t xml:space="preserve">Introduction </w:t>
      </w:r>
    </w:p>
    <w:p w14:paraId="1B3ACFE8" w14:textId="77777777" w:rsidR="001A72FF" w:rsidRPr="00662A75" w:rsidRDefault="001A72FF" w:rsidP="00662A75">
      <w:pPr>
        <w:pStyle w:val="Heading3"/>
        <w:spacing w:line="360" w:lineRule="auto"/>
        <w:rPr>
          <w:rStyle w:val="Emphasis"/>
          <w:rFonts w:ascii="Arial" w:hAnsi="Arial" w:cs="Arial"/>
          <w:sz w:val="22"/>
          <w:szCs w:val="22"/>
        </w:rPr>
      </w:pPr>
      <w:r w:rsidRPr="00662A75">
        <w:rPr>
          <w:rStyle w:val="Emphasis"/>
          <w:rFonts w:ascii="Arial" w:hAnsi="Arial" w:cs="Arial"/>
          <w:sz w:val="22"/>
          <w:szCs w:val="22"/>
        </w:rPr>
        <w:t xml:space="preserve">What is the learning experience of Children with dyslexia in a one to one singing lesson: A UK based Qualitative Analysis of Questionnaires and Case study </w:t>
      </w:r>
    </w:p>
    <w:p w14:paraId="3A46C5BB" w14:textId="678D4B34" w:rsidR="001A72FF" w:rsidRPr="00662A75" w:rsidRDefault="005B6C10" w:rsidP="00662A75">
      <w:pPr>
        <w:pStyle w:val="Heading2"/>
        <w:spacing w:line="360" w:lineRule="auto"/>
        <w:rPr>
          <w:rFonts w:ascii="Arial" w:eastAsia="Times New Roman" w:hAnsi="Arial" w:cs="Arial"/>
          <w:b/>
          <w:bCs/>
          <w:sz w:val="22"/>
          <w:szCs w:val="22"/>
          <w:lang w:eastAsia="en-GB"/>
        </w:rPr>
      </w:pPr>
      <w:r w:rsidRPr="00662A75">
        <w:rPr>
          <w:rFonts w:ascii="Arial" w:eastAsia="Times New Roman" w:hAnsi="Arial" w:cs="Arial"/>
          <w:b/>
          <w:bCs/>
          <w:sz w:val="22"/>
          <w:szCs w:val="22"/>
          <w:lang w:eastAsia="en-GB"/>
        </w:rPr>
        <w:t>Context</w:t>
      </w:r>
    </w:p>
    <w:p w14:paraId="282CEA63" w14:textId="1E7DEC0C" w:rsidR="001A72FF" w:rsidRPr="00662A75" w:rsidRDefault="001A72FF" w:rsidP="00662A75">
      <w:pPr>
        <w:pStyle w:val="NormalWeb"/>
        <w:spacing w:line="360" w:lineRule="auto"/>
        <w:rPr>
          <w:rFonts w:ascii="Arial" w:hAnsi="Arial" w:cs="Arial"/>
          <w:sz w:val="22"/>
          <w:szCs w:val="22"/>
        </w:rPr>
      </w:pPr>
      <w:r w:rsidRPr="00662A75">
        <w:rPr>
          <w:rFonts w:ascii="Arial" w:hAnsi="Arial" w:cs="Arial"/>
          <w:sz w:val="22"/>
          <w:szCs w:val="22"/>
        </w:rPr>
        <w:t>This research UK based research looked at the impact of dyslexia on children in one-to-one singing lessons. Data was collected through online questionnaires and a case study involving a recorded singing lesson and semi-structured interview. Conducting the study online widen the sample population and reduced geographical bias</w:t>
      </w:r>
    </w:p>
    <w:p w14:paraId="5E28A1EB" w14:textId="77777777" w:rsidR="001A72FF" w:rsidRPr="00662A75" w:rsidRDefault="001A72FF" w:rsidP="00662A75">
      <w:pPr>
        <w:pStyle w:val="Heading2"/>
        <w:spacing w:line="360" w:lineRule="auto"/>
        <w:rPr>
          <w:rFonts w:ascii="Arial" w:eastAsia="Times New Roman" w:hAnsi="Arial" w:cs="Arial"/>
          <w:sz w:val="22"/>
          <w:szCs w:val="22"/>
          <w:lang w:eastAsia="en-GB"/>
        </w:rPr>
      </w:pPr>
      <w:r w:rsidRPr="00662A75">
        <w:rPr>
          <w:rFonts w:ascii="Arial" w:eastAsia="Times New Roman" w:hAnsi="Arial" w:cs="Arial"/>
          <w:sz w:val="22"/>
          <w:szCs w:val="22"/>
          <w:lang w:eastAsia="en-GB"/>
        </w:rPr>
        <w:t>Justification for this Study</w:t>
      </w:r>
    </w:p>
    <w:p w14:paraId="0A8CD910" w14:textId="77777777" w:rsidR="00322BD8" w:rsidRPr="00662A75" w:rsidRDefault="00322BD8" w:rsidP="00662A75">
      <w:pPr>
        <w:pStyle w:val="NormalWeb"/>
        <w:spacing w:line="360" w:lineRule="auto"/>
        <w:rPr>
          <w:rFonts w:ascii="Arial" w:hAnsi="Arial" w:cs="Arial"/>
          <w:sz w:val="22"/>
          <w:szCs w:val="22"/>
        </w:rPr>
      </w:pPr>
      <w:r w:rsidRPr="00662A75">
        <w:rPr>
          <w:rFonts w:ascii="Arial" w:hAnsi="Arial" w:cs="Arial"/>
          <w:sz w:val="22"/>
          <w:szCs w:val="22"/>
        </w:rPr>
        <w:t>Dyslexia affects an estimated 10% of the population (British Dyslexia Association, 2024) and presents significant barriers to learning (Appendix 1). Research on dyslexia in pedagogy has grown, especially after "Music and Dyslexia" (Vance, 2004), which sparked interest in music education (Oglethorpe, 2001). Recent UK data shows an 8.08% rise in students declaring disabilities in higher education (HESA, 2024), reflecting increased political investment in SEND services (Gov.uk, 2024) and a focus on inclusive pedagogy.</w:t>
      </w:r>
    </w:p>
    <w:p w14:paraId="586FED9D" w14:textId="77777777" w:rsidR="00322BD8" w:rsidRPr="00662A75" w:rsidRDefault="00322BD8" w:rsidP="00662A75">
      <w:pPr>
        <w:pStyle w:val="NormalWeb"/>
        <w:spacing w:line="360" w:lineRule="auto"/>
        <w:rPr>
          <w:rFonts w:ascii="Arial" w:hAnsi="Arial" w:cs="Arial"/>
          <w:sz w:val="22"/>
          <w:szCs w:val="22"/>
        </w:rPr>
      </w:pPr>
      <w:r w:rsidRPr="00662A75">
        <w:rPr>
          <w:rFonts w:ascii="Arial" w:hAnsi="Arial" w:cs="Arial"/>
          <w:sz w:val="22"/>
          <w:szCs w:val="22"/>
        </w:rPr>
        <w:t xml:space="preserve">Research on dyslexia in singing education is limited. While musical interventions show mixed results (Heikkila &amp; Knight, 2012), singing teachers will likely encounter dyslexic students, highlighting the need for this study. Existing research, like Nelson and Hourigan's </w:t>
      </w:r>
      <w:r w:rsidRPr="00662A75">
        <w:rPr>
          <w:rFonts w:ascii="Arial" w:hAnsi="Arial" w:cs="Arial"/>
          <w:sz w:val="22"/>
          <w:szCs w:val="22"/>
        </w:rPr>
        <w:lastRenderedPageBreak/>
        <w:t>(2016), lacks a singing focus, creating a gap this study aims to fill. It will gather qualitative data on the experiences of children with dyslexia in one-to-one singing lessons, guided by my perspective as a singing teacher and neurodiverse individual.</w:t>
      </w:r>
    </w:p>
    <w:p w14:paraId="1EF070A1" w14:textId="77777777" w:rsidR="001A72FF" w:rsidRPr="00662A75" w:rsidRDefault="001A72FF" w:rsidP="00662A75">
      <w:pPr>
        <w:pStyle w:val="Heading2"/>
        <w:spacing w:line="360" w:lineRule="auto"/>
        <w:rPr>
          <w:rFonts w:ascii="Arial" w:eastAsia="Times New Roman" w:hAnsi="Arial" w:cs="Arial"/>
          <w:sz w:val="22"/>
          <w:szCs w:val="22"/>
          <w:lang w:eastAsia="en-GB"/>
        </w:rPr>
      </w:pPr>
      <w:r w:rsidRPr="00662A75">
        <w:rPr>
          <w:rFonts w:ascii="Arial" w:eastAsia="Times New Roman" w:hAnsi="Arial" w:cs="Arial"/>
          <w:sz w:val="22"/>
          <w:szCs w:val="22"/>
          <w:lang w:eastAsia="en-GB"/>
        </w:rPr>
        <w:t>Intended Impact </w:t>
      </w:r>
    </w:p>
    <w:p w14:paraId="3019FDA4" w14:textId="77777777" w:rsidR="00662A75" w:rsidRPr="00662A75" w:rsidRDefault="00662A75" w:rsidP="00662A75">
      <w:pPr>
        <w:pStyle w:val="NormalWeb"/>
        <w:spacing w:line="360" w:lineRule="auto"/>
        <w:rPr>
          <w:rFonts w:ascii="Arial" w:hAnsi="Arial" w:cs="Arial"/>
          <w:sz w:val="22"/>
          <w:szCs w:val="22"/>
        </w:rPr>
      </w:pPr>
      <w:r w:rsidRPr="00662A75">
        <w:rPr>
          <w:rFonts w:ascii="Arial" w:hAnsi="Arial" w:cs="Arial"/>
          <w:sz w:val="22"/>
          <w:szCs w:val="22"/>
        </w:rPr>
        <w:t>This research aimed to gather qualitative data to identify themes that could inform lesson strategies for dyslexic students. Addressing these learning barriers could improve retention in extracurricular music lessons, supporting long-term engagement and career potential (Shuler, 2011). These strategies could also create a more accessible environment for neurodiverse students, aligning with the growing political support for the SEND community.</w:t>
      </w:r>
    </w:p>
    <w:p w14:paraId="14A46A0C" w14:textId="662410DB" w:rsidR="001A72FF" w:rsidRPr="00662A75" w:rsidRDefault="00162E76" w:rsidP="00662A75">
      <w:pPr>
        <w:pStyle w:val="Heading2"/>
        <w:spacing w:line="360" w:lineRule="auto"/>
        <w:rPr>
          <w:rFonts w:ascii="Arial" w:eastAsia="Times New Roman" w:hAnsi="Arial" w:cs="Arial"/>
          <w:sz w:val="22"/>
          <w:szCs w:val="22"/>
          <w:lang w:eastAsia="en-GB"/>
        </w:rPr>
      </w:pPr>
      <w:r w:rsidRPr="00662A75">
        <w:rPr>
          <w:rFonts w:ascii="Arial" w:eastAsia="Times New Roman" w:hAnsi="Arial" w:cs="Arial"/>
          <w:sz w:val="22"/>
          <w:szCs w:val="22"/>
          <w:lang w:eastAsia="en-GB"/>
        </w:rPr>
        <w:t>Aims &amp; Objectives</w:t>
      </w:r>
      <w:r w:rsidR="001A72FF" w:rsidRPr="00662A75">
        <w:rPr>
          <w:rFonts w:ascii="Arial" w:eastAsia="Times New Roman" w:hAnsi="Arial" w:cs="Arial"/>
          <w:sz w:val="22"/>
          <w:szCs w:val="22"/>
          <w:lang w:eastAsia="en-GB"/>
        </w:rPr>
        <w:t> </w:t>
      </w:r>
    </w:p>
    <w:p w14:paraId="1FBDB7A9" w14:textId="77777777" w:rsidR="00662A75" w:rsidRPr="00662A75" w:rsidRDefault="00662A75" w:rsidP="00662A75">
      <w:pPr>
        <w:pStyle w:val="NormalWeb"/>
        <w:spacing w:line="360" w:lineRule="auto"/>
        <w:rPr>
          <w:rFonts w:ascii="Arial" w:hAnsi="Arial" w:cs="Arial"/>
          <w:sz w:val="22"/>
          <w:szCs w:val="22"/>
        </w:rPr>
      </w:pPr>
      <w:r w:rsidRPr="00662A75">
        <w:rPr>
          <w:rFonts w:ascii="Arial" w:hAnsi="Arial" w:cs="Arial"/>
          <w:sz w:val="22"/>
          <w:szCs w:val="22"/>
        </w:rPr>
        <w:t>This research explored the experiences of individuals with dyslexia, identifying emerging themes through qualitative data. I maintained objectivity by focusing on data-driven findings and acknowledging my insider researcher role. Using an interpretivist approach, I applied reflexive and inductive methods (Gioia et al., 2013). The literature review informed the development of questionnaires and case studies. An online questionnaire gathered data from dyslexic individuals in one-to-one singing lessons, followed by a case study with recorded lessons and a semi-structured interview (</w:t>
      </w:r>
      <w:proofErr w:type="spellStart"/>
      <w:r w:rsidRPr="00662A75">
        <w:rPr>
          <w:rFonts w:ascii="Arial" w:hAnsi="Arial" w:cs="Arial"/>
          <w:sz w:val="22"/>
          <w:szCs w:val="22"/>
        </w:rPr>
        <w:t>Walda</w:t>
      </w:r>
      <w:proofErr w:type="spellEnd"/>
      <w:r w:rsidRPr="00662A75">
        <w:rPr>
          <w:rFonts w:ascii="Arial" w:hAnsi="Arial" w:cs="Arial"/>
          <w:sz w:val="22"/>
          <w:szCs w:val="22"/>
        </w:rPr>
        <w:t xml:space="preserve"> et al., 2022). Despite a small sample, the research provided valuable insights within the project's timeframe.</w:t>
      </w:r>
    </w:p>
    <w:p w14:paraId="2E87C5C8" w14:textId="77777777" w:rsidR="005B6C10" w:rsidRPr="00140B32" w:rsidRDefault="005B6C10" w:rsidP="00662A75">
      <w:pPr>
        <w:spacing w:line="360" w:lineRule="auto"/>
        <w:rPr>
          <w:rFonts w:ascii="Arial" w:eastAsia="Times New Roman" w:hAnsi="Arial" w:cs="Arial"/>
          <w:kern w:val="0"/>
          <w:lang w:eastAsia="en-GB"/>
          <w14:ligatures w14:val="none"/>
        </w:rPr>
      </w:pPr>
      <w:r w:rsidRPr="00140B32">
        <w:rPr>
          <w:rFonts w:ascii="Arial" w:eastAsia="Times New Roman" w:hAnsi="Arial" w:cs="Arial"/>
          <w:b/>
          <w:bCs/>
          <w:color w:val="000000"/>
          <w:kern w:val="0"/>
          <w:lang w:eastAsia="en-GB"/>
          <w14:ligatures w14:val="none"/>
        </w:rPr>
        <w:t>Individual Learning Outcomes </w:t>
      </w:r>
    </w:p>
    <w:p w14:paraId="29BB58C8" w14:textId="77777777" w:rsidR="005B6C10" w:rsidRPr="00662A75" w:rsidRDefault="005B6C10" w:rsidP="00662A75">
      <w:pPr>
        <w:spacing w:line="360" w:lineRule="auto"/>
        <w:rPr>
          <w:rFonts w:ascii="Arial" w:eastAsia="Times New Roman" w:hAnsi="Arial" w:cs="Arial"/>
          <w:color w:val="000000"/>
          <w:kern w:val="0"/>
          <w:lang w:eastAsia="en-GB"/>
          <w14:ligatures w14:val="none"/>
        </w:rPr>
      </w:pPr>
      <w:r w:rsidRPr="00662A75">
        <w:rPr>
          <w:rFonts w:ascii="Arial" w:eastAsia="Times New Roman" w:hAnsi="Arial" w:cs="Arial"/>
          <w:noProof/>
          <w:color w:val="000000"/>
          <w:kern w:val="0"/>
          <w:lang w:eastAsia="en-GB"/>
          <w14:ligatures w14:val="none"/>
        </w:rPr>
        <w:drawing>
          <wp:inline distT="0" distB="0" distL="0" distR="0" wp14:anchorId="0FD6483A" wp14:editId="2A9D9816">
            <wp:extent cx="5731510" cy="1116965"/>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116965"/>
                    </a:xfrm>
                    <a:prstGeom prst="rect">
                      <a:avLst/>
                    </a:prstGeom>
                  </pic:spPr>
                </pic:pic>
              </a:graphicData>
            </a:graphic>
          </wp:inline>
        </w:drawing>
      </w:r>
    </w:p>
    <w:p w14:paraId="1349C34E" w14:textId="6B39B6DE" w:rsidR="005B6C10" w:rsidRPr="00140B32" w:rsidRDefault="005B6C10" w:rsidP="00662A75">
      <w:pPr>
        <w:spacing w:line="360" w:lineRule="auto"/>
        <w:rPr>
          <w:rFonts w:ascii="Arial" w:eastAsia="Times New Roman" w:hAnsi="Arial" w:cs="Arial"/>
          <w:kern w:val="0"/>
          <w:lang w:eastAsia="en-GB"/>
          <w14:ligatures w14:val="none"/>
        </w:rPr>
      </w:pPr>
      <w:r w:rsidRPr="00140B32">
        <w:rPr>
          <w:rFonts w:ascii="Arial" w:eastAsia="Times New Roman" w:hAnsi="Arial" w:cs="Arial"/>
          <w:color w:val="000000"/>
          <w:kern w:val="0"/>
          <w:lang w:eastAsia="en-GB"/>
          <w14:ligatures w14:val="none"/>
        </w:rPr>
        <w:t>I have planned to meet this objectives with the personal development plan attached (</w:t>
      </w:r>
      <w:r w:rsidR="00334320" w:rsidRPr="00662A75">
        <w:rPr>
          <w:rFonts w:ascii="Arial" w:eastAsia="Times New Roman" w:hAnsi="Arial" w:cs="Arial"/>
          <w:color w:val="000000"/>
          <w:kern w:val="0"/>
          <w:lang w:eastAsia="en-GB"/>
          <w14:ligatures w14:val="none"/>
        </w:rPr>
        <w:t>A</w:t>
      </w:r>
      <w:r w:rsidRPr="00140B32">
        <w:rPr>
          <w:rFonts w:ascii="Arial" w:eastAsia="Times New Roman" w:hAnsi="Arial" w:cs="Arial"/>
          <w:color w:val="000000"/>
          <w:kern w:val="0"/>
          <w:lang w:eastAsia="en-GB"/>
          <w14:ligatures w14:val="none"/>
        </w:rPr>
        <w:t xml:space="preserve">ppendix </w:t>
      </w:r>
      <w:r w:rsidR="00334320" w:rsidRPr="00662A75">
        <w:rPr>
          <w:rFonts w:ascii="Arial" w:eastAsia="Times New Roman" w:hAnsi="Arial" w:cs="Arial"/>
          <w:color w:val="000000"/>
          <w:kern w:val="0"/>
          <w:lang w:eastAsia="en-GB"/>
          <w14:ligatures w14:val="none"/>
        </w:rPr>
        <w:t>3</w:t>
      </w:r>
      <w:r w:rsidRPr="00140B32">
        <w:rPr>
          <w:rFonts w:ascii="Arial" w:eastAsia="Times New Roman" w:hAnsi="Arial" w:cs="Arial"/>
          <w:color w:val="000000"/>
          <w:kern w:val="0"/>
          <w:lang w:eastAsia="en-GB"/>
          <w14:ligatures w14:val="none"/>
        </w:rPr>
        <w:t>) </w:t>
      </w:r>
    </w:p>
    <w:p w14:paraId="09CC583C" w14:textId="77777777" w:rsidR="001A72FF" w:rsidRPr="00662A75" w:rsidRDefault="001A72FF" w:rsidP="00662A75">
      <w:pPr>
        <w:spacing w:line="360" w:lineRule="auto"/>
        <w:rPr>
          <w:rFonts w:ascii="Arial" w:hAnsi="Arial" w:cs="Arial"/>
        </w:rPr>
      </w:pPr>
    </w:p>
    <w:p w14:paraId="73BB900C" w14:textId="77777777" w:rsidR="005B6C10" w:rsidRPr="00662A75" w:rsidRDefault="005B6C10" w:rsidP="00662A75">
      <w:pPr>
        <w:pStyle w:val="Heading1"/>
        <w:spacing w:line="360" w:lineRule="auto"/>
        <w:rPr>
          <w:rFonts w:ascii="Arial" w:hAnsi="Arial" w:cs="Arial"/>
          <w:sz w:val="22"/>
          <w:szCs w:val="22"/>
        </w:rPr>
      </w:pPr>
      <w:commentRangeStart w:id="1"/>
      <w:r w:rsidRPr="00662A75">
        <w:rPr>
          <w:rFonts w:ascii="Arial" w:hAnsi="Arial" w:cs="Arial"/>
          <w:sz w:val="22"/>
          <w:szCs w:val="22"/>
        </w:rPr>
        <w:t>Literature Review </w:t>
      </w:r>
      <w:commentRangeEnd w:id="1"/>
      <w:r w:rsidR="00623091" w:rsidRPr="00662A75">
        <w:rPr>
          <w:rStyle w:val="CommentReference"/>
          <w:rFonts w:ascii="Arial" w:eastAsiaTheme="minorHAnsi" w:hAnsi="Arial" w:cs="Arial"/>
          <w:color w:val="auto"/>
          <w:sz w:val="22"/>
          <w:szCs w:val="22"/>
        </w:rPr>
        <w:commentReference w:id="1"/>
      </w:r>
    </w:p>
    <w:p w14:paraId="2149F885" w14:textId="77777777" w:rsidR="005B6C10" w:rsidRPr="00662A75" w:rsidRDefault="005B6C10" w:rsidP="00662A75">
      <w:pPr>
        <w:spacing w:line="360" w:lineRule="auto"/>
        <w:rPr>
          <w:rFonts w:ascii="Arial" w:hAnsi="Arial" w:cs="Arial"/>
        </w:rPr>
      </w:pPr>
    </w:p>
    <w:p w14:paraId="7D921896" w14:textId="77777777" w:rsidR="005B6C10" w:rsidRPr="00662A75" w:rsidRDefault="005B6C10" w:rsidP="00662A75">
      <w:pPr>
        <w:pStyle w:val="Heading2"/>
        <w:spacing w:line="360" w:lineRule="auto"/>
        <w:rPr>
          <w:rFonts w:ascii="Arial" w:hAnsi="Arial" w:cs="Arial"/>
          <w:sz w:val="22"/>
          <w:szCs w:val="22"/>
        </w:rPr>
      </w:pPr>
      <w:r w:rsidRPr="00662A75">
        <w:rPr>
          <w:rFonts w:ascii="Arial" w:hAnsi="Arial" w:cs="Arial"/>
          <w:sz w:val="22"/>
          <w:szCs w:val="22"/>
        </w:rPr>
        <w:lastRenderedPageBreak/>
        <w:t>Dyslexia in the UK</w:t>
      </w:r>
    </w:p>
    <w:p w14:paraId="421F8D40" w14:textId="058C6F88" w:rsidR="00C00894" w:rsidRPr="00662A75" w:rsidRDefault="00C00894" w:rsidP="00662A75">
      <w:pPr>
        <w:pStyle w:val="NormalWeb"/>
        <w:spacing w:line="360" w:lineRule="auto"/>
        <w:rPr>
          <w:rFonts w:ascii="Arial" w:hAnsi="Arial" w:cs="Arial"/>
          <w:sz w:val="22"/>
          <w:szCs w:val="22"/>
        </w:rPr>
      </w:pPr>
      <w:r w:rsidRPr="00662A75">
        <w:rPr>
          <w:rFonts w:ascii="Arial" w:hAnsi="Arial" w:cs="Arial"/>
          <w:sz w:val="22"/>
          <w:szCs w:val="22"/>
        </w:rPr>
        <w:t>Around 10% of the UK population is affected by dyslexia (</w:t>
      </w:r>
      <w:r w:rsidR="00231061">
        <w:rPr>
          <w:rFonts w:ascii="Arial" w:hAnsi="Arial" w:cs="Arial"/>
          <w:sz w:val="22"/>
          <w:szCs w:val="22"/>
        </w:rPr>
        <w:t>BDA</w:t>
      </w:r>
      <w:r w:rsidRPr="00662A75">
        <w:rPr>
          <w:rFonts w:ascii="Arial" w:hAnsi="Arial" w:cs="Arial"/>
          <w:sz w:val="22"/>
          <w:szCs w:val="22"/>
        </w:rPr>
        <w:t>, 2024), and I focused on this group within the context of children taking singing lessons. Reliable data is scarce due to the lack of a regulatory body for singing teachers, and while some claim 500,000 people participate in singing lessons, this figure is unsupported (WestwayPerformingarts.co.uk, 2024).</w:t>
      </w:r>
    </w:p>
    <w:p w14:paraId="4F7AAECF" w14:textId="77777777" w:rsidR="00C00894" w:rsidRPr="00662A75" w:rsidRDefault="00C00894" w:rsidP="00662A75">
      <w:pPr>
        <w:pStyle w:val="NormalWeb"/>
        <w:spacing w:line="360" w:lineRule="auto"/>
        <w:rPr>
          <w:rFonts w:ascii="Arial" w:hAnsi="Arial" w:cs="Arial"/>
          <w:sz w:val="22"/>
          <w:szCs w:val="22"/>
        </w:rPr>
      </w:pPr>
      <w:r w:rsidRPr="00662A75">
        <w:rPr>
          <w:rFonts w:ascii="Arial" w:hAnsi="Arial" w:cs="Arial"/>
          <w:sz w:val="22"/>
          <w:szCs w:val="22"/>
        </w:rPr>
        <w:t>I concentrated on full-time students, as disability data is more accessible at the point of higher education entry. According to HESA (2024), 12.22% of students declared a disability in 2014/15, with 46.58% reporting learning differences, including dyslexia. By 2021/22, disability declarations rose to 20.30%, with learning differences at 31.15%, reflecting a growing trend. This shift aligns with societal moves toward inclusion and reforms to the Special Educational Needs and Disability framework (Gov.uk, 2024). The 2023 roadmap for educational psychologists is expected to improve early intervention, increasing the need for specialized teaching strategies for neurodiverse students in singing.</w:t>
      </w:r>
    </w:p>
    <w:p w14:paraId="1FCC03DB" w14:textId="0C922C28" w:rsidR="004D3BB4" w:rsidRPr="00662A75" w:rsidRDefault="004D3BB4" w:rsidP="00662A75">
      <w:pPr>
        <w:pStyle w:val="Heading2"/>
        <w:spacing w:line="360" w:lineRule="auto"/>
        <w:rPr>
          <w:rFonts w:ascii="Arial" w:hAnsi="Arial" w:cs="Arial"/>
          <w:sz w:val="22"/>
          <w:szCs w:val="22"/>
        </w:rPr>
      </w:pPr>
      <w:r w:rsidRPr="00662A75">
        <w:rPr>
          <w:rFonts w:ascii="Arial" w:hAnsi="Arial" w:cs="Arial"/>
          <w:sz w:val="22"/>
          <w:szCs w:val="22"/>
        </w:rPr>
        <w:t>Children, Learning and Dyslexia</w:t>
      </w:r>
    </w:p>
    <w:p w14:paraId="68719EC2" w14:textId="77777777" w:rsidR="00C05FA7" w:rsidRPr="00662A75" w:rsidRDefault="00C05FA7" w:rsidP="00662A75">
      <w:pPr>
        <w:pStyle w:val="NormalWeb"/>
        <w:spacing w:line="360" w:lineRule="auto"/>
        <w:rPr>
          <w:rFonts w:ascii="Arial" w:hAnsi="Arial" w:cs="Arial"/>
          <w:sz w:val="22"/>
          <w:szCs w:val="22"/>
        </w:rPr>
      </w:pPr>
      <w:r w:rsidRPr="00662A75">
        <w:rPr>
          <w:rFonts w:ascii="Arial" w:hAnsi="Arial" w:cs="Arial"/>
          <w:sz w:val="22"/>
          <w:szCs w:val="22"/>
        </w:rPr>
        <w:t xml:space="preserve">In my literature review, I focused on "dyslexia," "learning," and "children" to find relevant research. </w:t>
      </w:r>
      <w:proofErr w:type="spellStart"/>
      <w:r w:rsidRPr="00662A75">
        <w:rPr>
          <w:rFonts w:ascii="Arial" w:hAnsi="Arial" w:cs="Arial"/>
          <w:sz w:val="22"/>
          <w:szCs w:val="22"/>
        </w:rPr>
        <w:t>Anvari</w:t>
      </w:r>
      <w:proofErr w:type="spellEnd"/>
      <w:r w:rsidRPr="00662A75">
        <w:rPr>
          <w:rFonts w:ascii="Arial" w:hAnsi="Arial" w:cs="Arial"/>
          <w:sz w:val="22"/>
          <w:szCs w:val="22"/>
        </w:rPr>
        <w:t xml:space="preserve"> et al. (2002) found a link between auditory skills and music processing, suggesting correlations between musical proficiency, phonological awareness, and reading, but called for further research. Lamb &amp; Gregory (1993) noted a similar connection, though their small sample size limited generalizability. Eccles et al. (2021) reviewed music education’s impact on literacy, concluding all music methods supported early literacy, but with unclear effects. </w:t>
      </w:r>
      <w:proofErr w:type="spellStart"/>
      <w:r w:rsidRPr="00662A75">
        <w:rPr>
          <w:rFonts w:ascii="Arial" w:hAnsi="Arial" w:cs="Arial"/>
          <w:sz w:val="22"/>
          <w:szCs w:val="22"/>
        </w:rPr>
        <w:t>Flaugnacco</w:t>
      </w:r>
      <w:proofErr w:type="spellEnd"/>
      <w:r w:rsidRPr="00662A75">
        <w:rPr>
          <w:rFonts w:ascii="Arial" w:hAnsi="Arial" w:cs="Arial"/>
          <w:sz w:val="22"/>
          <w:szCs w:val="22"/>
        </w:rPr>
        <w:t xml:space="preserve"> et al. (2015) found improvements in reading among dyslexic children through music, but their study's narrow scope weakened conclusions.</w:t>
      </w:r>
    </w:p>
    <w:p w14:paraId="75E6096A" w14:textId="77777777" w:rsidR="00606CF4" w:rsidRPr="00662A75" w:rsidRDefault="00606CF4" w:rsidP="00662A75">
      <w:pPr>
        <w:pStyle w:val="NormalWeb"/>
        <w:spacing w:line="360" w:lineRule="auto"/>
        <w:rPr>
          <w:rFonts w:ascii="Arial" w:hAnsi="Arial" w:cs="Arial"/>
          <w:sz w:val="22"/>
          <w:szCs w:val="22"/>
        </w:rPr>
      </w:pPr>
      <w:r w:rsidRPr="00662A75">
        <w:rPr>
          <w:rFonts w:ascii="Arial" w:hAnsi="Arial" w:cs="Arial"/>
          <w:sz w:val="22"/>
          <w:szCs w:val="22"/>
        </w:rPr>
        <w:t>Stewart et al. (2003) challenged the link between music and speech by studying transcranial magnetic stimulation on speech processing. However, their focus on motor skills and lack of cognitive baseline measures limited the findings. Brandt (2012) and Wang et al. (2021) observed that music processing shifts to the opposite hemisphere from language around ages 7-8, emphasizing the importance of age in research.</w:t>
      </w:r>
    </w:p>
    <w:p w14:paraId="7D5E6822" w14:textId="77777777" w:rsidR="004D3BB4" w:rsidRPr="00662A75" w:rsidRDefault="004D3BB4" w:rsidP="00662A75">
      <w:pPr>
        <w:pStyle w:val="NormalWeb"/>
        <w:spacing w:line="360" w:lineRule="auto"/>
        <w:rPr>
          <w:rFonts w:ascii="Arial" w:hAnsi="Arial" w:cs="Arial"/>
          <w:sz w:val="22"/>
          <w:szCs w:val="22"/>
        </w:rPr>
      </w:pPr>
      <w:r w:rsidRPr="00662A75">
        <w:rPr>
          <w:rFonts w:ascii="Arial" w:hAnsi="Arial" w:cs="Arial"/>
          <w:sz w:val="22"/>
          <w:szCs w:val="22"/>
        </w:rPr>
        <w:t>Given this, my research focuses on children in the UK’s Key Stage 2 (ages 7-11), aligning with the developmental stage where phonological and music processing are closely linked, offering potential for greater impact on learning. Further research could build on this work, using national curriculum markers.</w:t>
      </w:r>
    </w:p>
    <w:p w14:paraId="605749AF" w14:textId="77777777" w:rsidR="004D3BB4" w:rsidRPr="00662A75" w:rsidRDefault="004D3BB4" w:rsidP="00662A75">
      <w:pPr>
        <w:pStyle w:val="Heading2"/>
        <w:spacing w:line="360" w:lineRule="auto"/>
        <w:rPr>
          <w:rFonts w:ascii="Arial" w:hAnsi="Arial" w:cs="Arial"/>
          <w:sz w:val="22"/>
          <w:szCs w:val="22"/>
        </w:rPr>
      </w:pPr>
      <w:r w:rsidRPr="00662A75">
        <w:rPr>
          <w:rFonts w:ascii="Arial" w:hAnsi="Arial" w:cs="Arial"/>
          <w:sz w:val="22"/>
          <w:szCs w:val="22"/>
          <w:shd w:val="clear" w:color="auto" w:fill="FFFFFF"/>
        </w:rPr>
        <w:lastRenderedPageBreak/>
        <w:t>The impact of Dyslexia within Teaching Music</w:t>
      </w:r>
    </w:p>
    <w:p w14:paraId="63223F7C" w14:textId="631088C4" w:rsidR="00623091" w:rsidRPr="00662A75" w:rsidRDefault="00623091" w:rsidP="00662A75">
      <w:pPr>
        <w:pStyle w:val="NormalWeb"/>
        <w:spacing w:before="240" w:beforeAutospacing="0" w:after="240" w:afterAutospacing="0" w:line="360" w:lineRule="auto"/>
        <w:rPr>
          <w:rFonts w:ascii="Arial" w:hAnsi="Arial" w:cs="Arial"/>
          <w:sz w:val="22"/>
          <w:szCs w:val="22"/>
        </w:rPr>
      </w:pPr>
      <w:r w:rsidRPr="00662A75">
        <w:rPr>
          <w:rFonts w:ascii="Arial" w:hAnsi="Arial" w:cs="Arial"/>
          <w:color w:val="000000"/>
          <w:sz w:val="22"/>
          <w:szCs w:val="22"/>
        </w:rPr>
        <w:t>Dyslexia can significantly impact a student's ability to learn music, particularly due to difficulties with phonological processing and reading musical notation, similar to challenges with mathematical symbols. These difficulties may manifest in struggles with note recognition, timing, rhythm clapping, motor coordination, posture, sight reading, and slower processing speeds (Oglethorpe</w:t>
      </w:r>
      <w:r w:rsidR="00F24A9F" w:rsidRPr="00662A75">
        <w:rPr>
          <w:rFonts w:ascii="Arial" w:hAnsi="Arial" w:cs="Arial"/>
          <w:color w:val="000000"/>
          <w:sz w:val="22"/>
          <w:szCs w:val="22"/>
        </w:rPr>
        <w:t>. S., 20</w:t>
      </w:r>
      <w:r w:rsidR="009609B8" w:rsidRPr="00662A75">
        <w:rPr>
          <w:rFonts w:ascii="Arial" w:hAnsi="Arial" w:cs="Arial"/>
          <w:color w:val="000000"/>
          <w:sz w:val="22"/>
          <w:szCs w:val="22"/>
        </w:rPr>
        <w:t xml:space="preserve">01, </w:t>
      </w:r>
      <w:r w:rsidR="009609B8" w:rsidRPr="00662A75">
        <w:rPr>
          <w:rFonts w:ascii="Arial" w:hAnsi="Arial" w:cs="Arial"/>
          <w:sz w:val="22"/>
          <w:szCs w:val="22"/>
        </w:rPr>
        <w:t>Heikkila. E. ,Knight. A. ,2012 &amp; Vance</w:t>
      </w:r>
      <w:r w:rsidR="005567B8" w:rsidRPr="00662A75">
        <w:rPr>
          <w:rFonts w:ascii="Arial" w:hAnsi="Arial" w:cs="Arial"/>
          <w:sz w:val="22"/>
          <w:szCs w:val="22"/>
        </w:rPr>
        <w:t>. K.O. ,2004</w:t>
      </w:r>
      <w:r w:rsidRPr="00662A75">
        <w:rPr>
          <w:rFonts w:ascii="Arial" w:hAnsi="Arial" w:cs="Arial"/>
          <w:color w:val="000000"/>
          <w:sz w:val="22"/>
          <w:szCs w:val="22"/>
        </w:rPr>
        <w:t>).</w:t>
      </w:r>
    </w:p>
    <w:p w14:paraId="33EA6465" w14:textId="7E822306" w:rsidR="00623091" w:rsidRPr="00662A75" w:rsidRDefault="00623091" w:rsidP="00662A75">
      <w:pPr>
        <w:pStyle w:val="NormalWeb"/>
        <w:spacing w:before="240" w:beforeAutospacing="0" w:after="240" w:afterAutospacing="0" w:line="360" w:lineRule="auto"/>
        <w:rPr>
          <w:rFonts w:ascii="Arial" w:hAnsi="Arial" w:cs="Arial"/>
          <w:sz w:val="22"/>
          <w:szCs w:val="22"/>
        </w:rPr>
      </w:pPr>
      <w:r w:rsidRPr="00662A75">
        <w:rPr>
          <w:rFonts w:ascii="Arial" w:hAnsi="Arial" w:cs="Arial"/>
          <w:color w:val="000000"/>
          <w:sz w:val="22"/>
          <w:szCs w:val="22"/>
        </w:rPr>
        <w:t xml:space="preserve">Heikkila and Knight </w:t>
      </w:r>
      <w:r w:rsidR="005567B8" w:rsidRPr="00662A75">
        <w:rPr>
          <w:rFonts w:ascii="Arial" w:hAnsi="Arial" w:cs="Arial"/>
          <w:color w:val="000000"/>
          <w:sz w:val="22"/>
          <w:szCs w:val="22"/>
        </w:rPr>
        <w:t xml:space="preserve">(2012) </w:t>
      </w:r>
      <w:r w:rsidRPr="00662A75">
        <w:rPr>
          <w:rFonts w:ascii="Arial" w:hAnsi="Arial" w:cs="Arial"/>
          <w:color w:val="000000"/>
          <w:sz w:val="22"/>
          <w:szCs w:val="22"/>
        </w:rPr>
        <w:t>suggest various teaching strategies to improve learning outcomes for dyslexic students in music lessons. However, the article lacks substantial citation of relevant literature, limiting the ability to critically assess the basis for these recommendations. In contrast, Oglethorpe's work (200</w:t>
      </w:r>
      <w:r w:rsidR="005567B8" w:rsidRPr="00662A75">
        <w:rPr>
          <w:rFonts w:ascii="Arial" w:hAnsi="Arial" w:cs="Arial"/>
          <w:color w:val="000000"/>
          <w:sz w:val="22"/>
          <w:szCs w:val="22"/>
        </w:rPr>
        <w:t>1</w:t>
      </w:r>
      <w:r w:rsidRPr="00662A75">
        <w:rPr>
          <w:rFonts w:ascii="Arial" w:hAnsi="Arial" w:cs="Arial"/>
          <w:color w:val="000000"/>
          <w:sz w:val="22"/>
          <w:szCs w:val="22"/>
        </w:rPr>
        <w:t>) offers a more evidence-based approach, providing detailed dyslexia-specific teaching strategies in music. Although well-supported by prior research, Oglethorpe's work is dated, referencing studies from 1933 to 2000, and may not incorporate more recent advancements in the field.</w:t>
      </w:r>
    </w:p>
    <w:p w14:paraId="421A4332" w14:textId="77777777" w:rsidR="00623091" w:rsidRPr="00662A75" w:rsidRDefault="00623091" w:rsidP="00662A75">
      <w:pPr>
        <w:pStyle w:val="NormalWeb"/>
        <w:spacing w:before="240" w:beforeAutospacing="0" w:after="240" w:afterAutospacing="0" w:line="360" w:lineRule="auto"/>
        <w:rPr>
          <w:rFonts w:ascii="Arial" w:hAnsi="Arial" w:cs="Arial"/>
          <w:sz w:val="22"/>
          <w:szCs w:val="22"/>
        </w:rPr>
      </w:pPr>
      <w:r w:rsidRPr="00662A75">
        <w:rPr>
          <w:rFonts w:ascii="Arial" w:hAnsi="Arial" w:cs="Arial"/>
          <w:color w:val="000000"/>
          <w:sz w:val="22"/>
          <w:szCs w:val="22"/>
        </w:rPr>
        <w:t>Nelson and Hourigan (2016) examined the learning strategies and challenges of five professional musicians with dyslexia. Their study primarily focused on individuals' perceptions of their dyslexia-related challenges and recommendations through questionnaires. However, this approach may limit the scope of data, as participants could have excluded relevant experiences that they did not directly associate with their dyslexia, potentially skewing the findings.</w:t>
      </w:r>
    </w:p>
    <w:p w14:paraId="0B1A32FB" w14:textId="1699CF8C" w:rsidR="00623091" w:rsidRPr="00662A75" w:rsidRDefault="00623091" w:rsidP="00662A75">
      <w:pPr>
        <w:pStyle w:val="Heading2"/>
        <w:spacing w:line="360" w:lineRule="auto"/>
        <w:rPr>
          <w:rFonts w:ascii="Arial" w:hAnsi="Arial" w:cs="Arial"/>
          <w:sz w:val="22"/>
          <w:szCs w:val="22"/>
        </w:rPr>
      </w:pPr>
      <w:r w:rsidRPr="00662A75">
        <w:rPr>
          <w:rFonts w:ascii="Arial" w:hAnsi="Arial" w:cs="Arial"/>
          <w:sz w:val="22"/>
          <w:szCs w:val="22"/>
        </w:rPr>
        <w:t>Measuring Experiences in People with Dyslexia</w:t>
      </w:r>
    </w:p>
    <w:p w14:paraId="4DE3FD51" w14:textId="5564199D" w:rsidR="00623091" w:rsidRPr="00662A75" w:rsidRDefault="00623091" w:rsidP="00662A75">
      <w:pPr>
        <w:pStyle w:val="NormalWeb"/>
        <w:spacing w:line="360" w:lineRule="auto"/>
        <w:rPr>
          <w:rFonts w:ascii="Arial" w:hAnsi="Arial" w:cs="Arial"/>
          <w:sz w:val="22"/>
          <w:szCs w:val="22"/>
        </w:rPr>
      </w:pPr>
      <w:r w:rsidRPr="00662A75">
        <w:rPr>
          <w:rFonts w:ascii="Arial" w:hAnsi="Arial" w:cs="Arial"/>
          <w:sz w:val="22"/>
          <w:szCs w:val="22"/>
        </w:rPr>
        <w:t xml:space="preserve">Bailey and Baker (2022) propose a framework for measuring engagement with the neurodiverse community, highlighting social, emotional, cognitive, and </w:t>
      </w:r>
      <w:proofErr w:type="spellStart"/>
      <w:r w:rsidRPr="00662A75">
        <w:rPr>
          <w:rFonts w:ascii="Arial" w:hAnsi="Arial" w:cs="Arial"/>
          <w:sz w:val="22"/>
          <w:szCs w:val="22"/>
        </w:rPr>
        <w:t>behavioral</w:t>
      </w:r>
      <w:proofErr w:type="spellEnd"/>
      <w:r w:rsidRPr="00662A75">
        <w:rPr>
          <w:rFonts w:ascii="Arial" w:hAnsi="Arial" w:cs="Arial"/>
          <w:sz w:val="22"/>
          <w:szCs w:val="22"/>
        </w:rPr>
        <w:t xml:space="preserve"> aspects within learning contexts. This multidimensional approach, focusing on self-identified experiences, supports the need for my research into the learning experiences of neurodiverse students in singing lessons needs to be focused on individual response and supports my interpretive stance to this study.</w:t>
      </w:r>
    </w:p>
    <w:p w14:paraId="66698607" w14:textId="478D568A" w:rsidR="00623091" w:rsidRPr="00662A75" w:rsidRDefault="00623091" w:rsidP="00662A75">
      <w:pPr>
        <w:pStyle w:val="NormalWeb"/>
        <w:spacing w:line="360" w:lineRule="auto"/>
        <w:rPr>
          <w:rFonts w:ascii="Arial" w:hAnsi="Arial" w:cs="Arial"/>
          <w:sz w:val="22"/>
          <w:szCs w:val="22"/>
        </w:rPr>
      </w:pPr>
      <w:r w:rsidRPr="00662A75">
        <w:rPr>
          <w:rFonts w:ascii="Arial" w:hAnsi="Arial" w:cs="Arial"/>
          <w:sz w:val="22"/>
          <w:szCs w:val="22"/>
        </w:rPr>
        <w:t xml:space="preserve">This lead me to look for other qualitative studies within the field of music and Dyslexia from an insider researcher’s perspective, Nelson and Hourigan (2016) used a case study approach in music education, but their focus on dyslexic learners in singing lessons is limited. My study will build on existing literature to address this gap. A further study looking at the use of qualitative data was O’Byrne et al. (2019) who used qualitative case studies with dyslexic university students, employing open-ended interviews to explore experiences </w:t>
      </w:r>
      <w:r w:rsidRPr="00662A75">
        <w:rPr>
          <w:rFonts w:ascii="Arial" w:hAnsi="Arial" w:cs="Arial"/>
          <w:sz w:val="22"/>
          <w:szCs w:val="22"/>
        </w:rPr>
        <w:lastRenderedPageBreak/>
        <w:t>without directly linking challenges to dyslexia. This method contrasts with Nelson and Hourigan's approach, allowing participants to reflect more freely on their lived experiences, although this study was not focused to the learning experience, its insights in to working with dyslexics gave insights in to making my approaches as accessible as possible to gain more in-depth qualitive data.</w:t>
      </w:r>
    </w:p>
    <w:p w14:paraId="3E22B9F1" w14:textId="77777777" w:rsidR="00623091" w:rsidRPr="00662A75" w:rsidRDefault="00623091" w:rsidP="00662A75">
      <w:pPr>
        <w:pStyle w:val="Heading2"/>
        <w:spacing w:line="360" w:lineRule="auto"/>
        <w:rPr>
          <w:rFonts w:ascii="Arial" w:eastAsia="Times New Roman" w:hAnsi="Arial" w:cs="Arial"/>
          <w:sz w:val="22"/>
          <w:szCs w:val="22"/>
          <w:lang w:eastAsia="en-GB"/>
        </w:rPr>
      </w:pPr>
      <w:r w:rsidRPr="00662A75">
        <w:rPr>
          <w:rFonts w:ascii="Arial" w:eastAsia="Times New Roman" w:hAnsi="Arial" w:cs="Arial"/>
          <w:sz w:val="22"/>
          <w:szCs w:val="22"/>
          <w:lang w:eastAsia="en-GB"/>
        </w:rPr>
        <w:t>Dyslexia and Learning to Sing </w:t>
      </w:r>
    </w:p>
    <w:p w14:paraId="554436F4" w14:textId="77777777" w:rsidR="00623091" w:rsidRPr="00623091" w:rsidRDefault="00623091" w:rsidP="00662A75">
      <w:pPr>
        <w:spacing w:after="0" w:line="360" w:lineRule="auto"/>
        <w:rPr>
          <w:rFonts w:ascii="Arial" w:eastAsia="Times New Roman" w:hAnsi="Arial" w:cs="Arial"/>
          <w:kern w:val="0"/>
          <w:lang w:eastAsia="en-GB"/>
          <w14:ligatures w14:val="none"/>
        </w:rPr>
      </w:pPr>
    </w:p>
    <w:p w14:paraId="34FD17C4" w14:textId="77777777" w:rsidR="00623091" w:rsidRPr="00623091" w:rsidRDefault="00623091" w:rsidP="00231061">
      <w:pPr>
        <w:spacing w:line="360" w:lineRule="auto"/>
        <w:rPr>
          <w:rFonts w:ascii="Arial" w:eastAsia="Times New Roman" w:hAnsi="Arial" w:cs="Arial"/>
          <w:kern w:val="0"/>
          <w:lang w:eastAsia="en-GB"/>
          <w14:ligatures w14:val="none"/>
        </w:rPr>
      </w:pPr>
      <w:r w:rsidRPr="00623091">
        <w:rPr>
          <w:rFonts w:ascii="Arial" w:eastAsia="Times New Roman" w:hAnsi="Arial" w:cs="Arial"/>
          <w:color w:val="000000"/>
          <w:kern w:val="0"/>
          <w:lang w:eastAsia="en-GB"/>
          <w14:ligatures w14:val="none"/>
        </w:rPr>
        <w:t xml:space="preserve">There was a limited return on searches looking for singing specific research on teaching students with dyslexia within this search. One return which was sourced from the Journal of Singing was </w:t>
      </w:r>
      <w:r w:rsidRPr="00623091">
        <w:rPr>
          <w:rFonts w:ascii="Arial" w:hAnsi="Arial" w:cs="Arial"/>
          <w:lang w:eastAsia="en-GB"/>
        </w:rPr>
        <w:t>Bryson, K.J. (2013) . This presents a short overview of Dyslexia alongside the potential challenges faced by a dyslexic student in a music lesson however this isn’t explicit about to a singing lesson. Bryson recommends tailored instructional strategies, such as</w:t>
      </w:r>
      <w:r w:rsidRPr="00623091">
        <w:rPr>
          <w:rFonts w:ascii="Arial" w:eastAsia="Times New Roman" w:hAnsi="Arial" w:cs="Arial"/>
          <w:color w:val="000000"/>
          <w:kern w:val="0"/>
          <w:lang w:eastAsia="en-GB"/>
          <w14:ligatures w14:val="none"/>
        </w:rPr>
        <w:t xml:space="preserve"> multisensory approaches, which incorporate visual, auditory, and </w:t>
      </w:r>
      <w:proofErr w:type="spellStart"/>
      <w:r w:rsidRPr="00623091">
        <w:rPr>
          <w:rFonts w:ascii="Arial" w:eastAsia="Times New Roman" w:hAnsi="Arial" w:cs="Arial"/>
          <w:color w:val="000000"/>
          <w:kern w:val="0"/>
          <w:lang w:eastAsia="en-GB"/>
          <w14:ligatures w14:val="none"/>
        </w:rPr>
        <w:t>kinesthetic</w:t>
      </w:r>
      <w:proofErr w:type="spellEnd"/>
      <w:r w:rsidRPr="00623091">
        <w:rPr>
          <w:rFonts w:ascii="Arial" w:eastAsia="Times New Roman" w:hAnsi="Arial" w:cs="Arial"/>
          <w:color w:val="000000"/>
          <w:kern w:val="0"/>
          <w:lang w:eastAsia="en-GB"/>
          <w14:ligatures w14:val="none"/>
        </w:rPr>
        <w:t xml:space="preserve"> learning modalities to better support people with Dyslexia. While the strategies proposed are practical, Bryson's work could benefit from a more robust empirical evidence base to support these recommendations. His suggestions are valuable but primarily anecdotal, with limited integration of contemporary research.</w:t>
      </w:r>
    </w:p>
    <w:p w14:paraId="6C858DF8" w14:textId="7EFC2748" w:rsidR="00623091" w:rsidRPr="00623091" w:rsidRDefault="00623091" w:rsidP="00662A75">
      <w:pPr>
        <w:spacing w:line="360" w:lineRule="auto"/>
        <w:rPr>
          <w:rFonts w:ascii="Arial" w:eastAsia="Times New Roman" w:hAnsi="Arial" w:cs="Arial"/>
          <w:kern w:val="0"/>
          <w:lang w:eastAsia="en-GB"/>
          <w14:ligatures w14:val="none"/>
        </w:rPr>
      </w:pPr>
      <w:r w:rsidRPr="00623091">
        <w:rPr>
          <w:rFonts w:ascii="Arial" w:eastAsia="Times New Roman" w:hAnsi="Arial" w:cs="Arial"/>
          <w:color w:val="000000"/>
          <w:kern w:val="0"/>
          <w:lang w:eastAsia="en-GB"/>
          <w14:ligatures w14:val="none"/>
        </w:rPr>
        <w:t>Further work around singing specific studies or teaching strategy recommendations are held within the context of the general world of music teacher (</w:t>
      </w:r>
      <w:proofErr w:type="spellStart"/>
      <w:r w:rsidRPr="00623091">
        <w:rPr>
          <w:rFonts w:ascii="Arial" w:eastAsia="Times New Roman" w:hAnsi="Arial" w:cs="Arial"/>
          <w:color w:val="000000"/>
          <w:kern w:val="0"/>
          <w:lang w:eastAsia="en-GB"/>
          <w14:ligatures w14:val="none"/>
        </w:rPr>
        <w:t>Ogelthorpe</w:t>
      </w:r>
      <w:proofErr w:type="spellEnd"/>
      <w:r w:rsidR="00652A58">
        <w:rPr>
          <w:rFonts w:ascii="Arial" w:eastAsia="Times New Roman" w:hAnsi="Arial" w:cs="Arial"/>
          <w:color w:val="000000"/>
          <w:kern w:val="0"/>
          <w:lang w:eastAsia="en-GB"/>
          <w14:ligatures w14:val="none"/>
        </w:rPr>
        <w:t>. S.</w:t>
      </w:r>
      <w:r w:rsidRPr="00623091">
        <w:rPr>
          <w:rFonts w:ascii="Arial" w:eastAsia="Times New Roman" w:hAnsi="Arial" w:cs="Arial"/>
          <w:color w:val="000000"/>
          <w:kern w:val="0"/>
          <w:lang w:eastAsia="en-GB"/>
          <w14:ligatures w14:val="none"/>
        </w:rPr>
        <w:t>, 2002, Heikkila</w:t>
      </w:r>
      <w:r w:rsidR="00652A58">
        <w:rPr>
          <w:rFonts w:ascii="Arial" w:eastAsia="Times New Roman" w:hAnsi="Arial" w:cs="Arial"/>
          <w:color w:val="000000"/>
          <w:kern w:val="0"/>
          <w:lang w:eastAsia="en-GB"/>
          <w14:ligatures w14:val="none"/>
        </w:rPr>
        <w:t>.</w:t>
      </w:r>
      <w:r w:rsidRPr="00623091">
        <w:rPr>
          <w:rFonts w:ascii="Arial" w:eastAsia="Times New Roman" w:hAnsi="Arial" w:cs="Arial"/>
          <w:color w:val="000000"/>
          <w:kern w:val="0"/>
          <w:lang w:eastAsia="en-GB"/>
          <w14:ligatures w14:val="none"/>
        </w:rPr>
        <w:t xml:space="preserve"> E</w:t>
      </w:r>
      <w:r w:rsidR="00652A58">
        <w:rPr>
          <w:rFonts w:ascii="Arial" w:eastAsia="Times New Roman" w:hAnsi="Arial" w:cs="Arial"/>
          <w:color w:val="000000"/>
          <w:kern w:val="0"/>
          <w:lang w:eastAsia="en-GB"/>
          <w14:ligatures w14:val="none"/>
        </w:rPr>
        <w:t>.</w:t>
      </w:r>
      <w:r w:rsidRPr="00623091">
        <w:rPr>
          <w:rFonts w:ascii="Arial" w:eastAsia="Times New Roman" w:hAnsi="Arial" w:cs="Arial"/>
          <w:color w:val="000000"/>
          <w:kern w:val="0"/>
          <w:lang w:eastAsia="en-GB"/>
          <w14:ligatures w14:val="none"/>
        </w:rPr>
        <w:t>, Knight</w:t>
      </w:r>
      <w:r w:rsidR="006E40AC">
        <w:rPr>
          <w:rFonts w:ascii="Arial" w:eastAsia="Times New Roman" w:hAnsi="Arial" w:cs="Arial"/>
          <w:color w:val="000000"/>
          <w:kern w:val="0"/>
          <w:lang w:eastAsia="en-GB"/>
          <w14:ligatures w14:val="none"/>
        </w:rPr>
        <w:t>. A.</w:t>
      </w:r>
      <w:r w:rsidR="00652A58">
        <w:rPr>
          <w:rFonts w:ascii="Arial" w:eastAsia="Times New Roman" w:hAnsi="Arial" w:cs="Arial"/>
          <w:color w:val="000000"/>
          <w:kern w:val="0"/>
          <w:lang w:eastAsia="en-GB"/>
          <w14:ligatures w14:val="none"/>
        </w:rPr>
        <w:t xml:space="preserve">, </w:t>
      </w:r>
      <w:r w:rsidR="006E40AC">
        <w:rPr>
          <w:rFonts w:ascii="Arial" w:eastAsia="Times New Roman" w:hAnsi="Arial" w:cs="Arial"/>
          <w:color w:val="000000"/>
          <w:kern w:val="0"/>
          <w:lang w:eastAsia="en-GB"/>
          <w14:ligatures w14:val="none"/>
        </w:rPr>
        <w:t>2012</w:t>
      </w:r>
      <w:r w:rsidRPr="00623091">
        <w:rPr>
          <w:rFonts w:ascii="Arial" w:eastAsia="Times New Roman" w:hAnsi="Arial" w:cs="Arial"/>
          <w:color w:val="000000"/>
          <w:kern w:val="0"/>
          <w:lang w:eastAsia="en-GB"/>
          <w14:ligatures w14:val="none"/>
        </w:rPr>
        <w:t>,</w:t>
      </w:r>
      <w:r w:rsidR="00DF1EE2">
        <w:rPr>
          <w:rFonts w:ascii="Arial" w:eastAsia="Times New Roman" w:hAnsi="Arial" w:cs="Arial"/>
          <w:color w:val="000000"/>
          <w:kern w:val="0"/>
          <w:lang w:eastAsia="en-GB"/>
          <w14:ligatures w14:val="none"/>
        </w:rPr>
        <w:t xml:space="preserve"> &amp;</w:t>
      </w:r>
      <w:r w:rsidRPr="00623091">
        <w:rPr>
          <w:rFonts w:ascii="Arial" w:eastAsia="Times New Roman" w:hAnsi="Arial" w:cs="Arial"/>
          <w:color w:val="000000"/>
          <w:kern w:val="0"/>
          <w:lang w:eastAsia="en-GB"/>
          <w14:ligatures w14:val="none"/>
        </w:rPr>
        <w:t xml:space="preserve"> </w:t>
      </w:r>
      <w:r w:rsidR="00DF1EE2">
        <w:rPr>
          <w:rFonts w:ascii="Source Sans Pro" w:hAnsi="Source Sans Pro"/>
          <w:color w:val="3A3A3A"/>
          <w:sz w:val="23"/>
          <w:szCs w:val="23"/>
          <w:shd w:val="clear" w:color="auto" w:fill="FFFFFF"/>
        </w:rPr>
        <w:t xml:space="preserve">Hébert, </w:t>
      </w:r>
      <w:proofErr w:type="spellStart"/>
      <w:r w:rsidR="00DF1EE2">
        <w:rPr>
          <w:rFonts w:ascii="Source Sans Pro" w:hAnsi="Source Sans Pro"/>
          <w:color w:val="3A3A3A"/>
          <w:sz w:val="23"/>
          <w:szCs w:val="23"/>
          <w:shd w:val="clear" w:color="auto" w:fill="FFFFFF"/>
        </w:rPr>
        <w:t>S.,Cuddy</w:t>
      </w:r>
      <w:proofErr w:type="spellEnd"/>
      <w:r w:rsidR="00DF1EE2">
        <w:rPr>
          <w:rFonts w:ascii="Source Sans Pro" w:hAnsi="Source Sans Pro"/>
          <w:color w:val="3A3A3A"/>
          <w:sz w:val="23"/>
          <w:szCs w:val="23"/>
          <w:shd w:val="clear" w:color="auto" w:fill="FFFFFF"/>
        </w:rPr>
        <w:t>, L. L., 2000</w:t>
      </w:r>
      <w:r w:rsidRPr="00623091">
        <w:rPr>
          <w:rFonts w:ascii="Arial" w:eastAsia="Times New Roman" w:hAnsi="Arial" w:cs="Arial"/>
          <w:color w:val="000000"/>
          <w:kern w:val="0"/>
          <w:lang w:eastAsia="en-GB"/>
          <w14:ligatures w14:val="none"/>
        </w:rPr>
        <w:t xml:space="preserve">). They do not enter into the specifics of the complexity of learning to sing as its own instrument, but rather a tool to support musical development. For example in Oglethorpe </w:t>
      </w:r>
      <w:r w:rsidR="00652A58">
        <w:rPr>
          <w:rFonts w:ascii="Arial" w:eastAsia="Times New Roman" w:hAnsi="Arial" w:cs="Arial"/>
          <w:color w:val="000000"/>
          <w:kern w:val="0"/>
          <w:lang w:eastAsia="en-GB"/>
          <w14:ligatures w14:val="none"/>
        </w:rPr>
        <w:t>(</w:t>
      </w:r>
      <w:r w:rsidRPr="00623091">
        <w:rPr>
          <w:rFonts w:ascii="Arial" w:eastAsia="Times New Roman" w:hAnsi="Arial" w:cs="Arial"/>
          <w:color w:val="000000"/>
          <w:kern w:val="0"/>
          <w:lang w:eastAsia="en-GB"/>
          <w14:ligatures w14:val="none"/>
        </w:rPr>
        <w:t>2002</w:t>
      </w:r>
      <w:r w:rsidR="00652A58">
        <w:rPr>
          <w:rFonts w:ascii="Arial" w:eastAsia="Times New Roman" w:hAnsi="Arial" w:cs="Arial"/>
          <w:color w:val="000000"/>
          <w:kern w:val="0"/>
          <w:lang w:eastAsia="en-GB"/>
          <w14:ligatures w14:val="none"/>
        </w:rPr>
        <w:t>)</w:t>
      </w:r>
      <w:r w:rsidRPr="00623091">
        <w:rPr>
          <w:rFonts w:ascii="Arial" w:eastAsia="Times New Roman" w:hAnsi="Arial" w:cs="Arial"/>
          <w:color w:val="000000"/>
          <w:kern w:val="0"/>
          <w:lang w:eastAsia="en-GB"/>
          <w14:ligatures w14:val="none"/>
        </w:rPr>
        <w:t xml:space="preserve">, the book suggests the use of singing to help increase confidence in a child alongside the strategy to place a confident singer next to another to help with “droning” singers with dyslexia. Aside from this </w:t>
      </w:r>
      <w:r w:rsidRPr="00662A75">
        <w:rPr>
          <w:rFonts w:ascii="Arial" w:eastAsia="Times New Roman" w:hAnsi="Arial" w:cs="Arial"/>
          <w:color w:val="000000"/>
          <w:kern w:val="0"/>
          <w:lang w:eastAsia="en-GB"/>
          <w14:ligatures w14:val="none"/>
        </w:rPr>
        <w:t>generic</w:t>
      </w:r>
      <w:r w:rsidRPr="00623091">
        <w:rPr>
          <w:rFonts w:ascii="Arial" w:eastAsia="Times New Roman" w:hAnsi="Arial" w:cs="Arial"/>
          <w:color w:val="000000"/>
          <w:kern w:val="0"/>
          <w:lang w:eastAsia="en-GB"/>
          <w14:ligatures w14:val="none"/>
        </w:rPr>
        <w:t xml:space="preserve"> instrumental teacher’s advice there has been little peer reviewed literature, this search has uncovered. This highlights the need for research within this field. </w:t>
      </w:r>
    </w:p>
    <w:p w14:paraId="718811BD" w14:textId="77777777" w:rsidR="00623091" w:rsidRPr="00662A75" w:rsidRDefault="00623091" w:rsidP="00FE39C5">
      <w:pPr>
        <w:pStyle w:val="Heading1"/>
      </w:pPr>
      <w:r w:rsidRPr="00662A75">
        <w:t>Methodology and Methods</w:t>
      </w:r>
    </w:p>
    <w:p w14:paraId="6F9932A5" w14:textId="5AABD5C2" w:rsidR="004D3BB4" w:rsidRPr="00662A75" w:rsidRDefault="004D3BB4" w:rsidP="00662A75">
      <w:pPr>
        <w:spacing w:line="360" w:lineRule="auto"/>
        <w:rPr>
          <w:rFonts w:ascii="Arial" w:hAnsi="Arial" w:cs="Arial"/>
        </w:rPr>
      </w:pPr>
    </w:p>
    <w:p w14:paraId="26708C6C" w14:textId="61A34E3B" w:rsidR="00623091" w:rsidRPr="00662A75" w:rsidRDefault="00623091" w:rsidP="00662A75">
      <w:pPr>
        <w:pStyle w:val="Heading2"/>
        <w:spacing w:line="360" w:lineRule="auto"/>
        <w:rPr>
          <w:rFonts w:ascii="Arial" w:hAnsi="Arial" w:cs="Arial"/>
          <w:sz w:val="22"/>
          <w:szCs w:val="22"/>
        </w:rPr>
      </w:pPr>
      <w:r w:rsidRPr="00662A75">
        <w:rPr>
          <w:rFonts w:ascii="Arial" w:hAnsi="Arial" w:cs="Arial"/>
          <w:sz w:val="22"/>
          <w:szCs w:val="22"/>
        </w:rPr>
        <w:t>Philosophical Stance</w:t>
      </w:r>
    </w:p>
    <w:p w14:paraId="47147073" w14:textId="71A55CC2" w:rsidR="00623091" w:rsidRPr="007A4C1E" w:rsidRDefault="00623091" w:rsidP="007A4C1E">
      <w:pPr>
        <w:pStyle w:val="NormalWeb"/>
        <w:spacing w:before="240" w:beforeAutospacing="0" w:after="240" w:afterAutospacing="0" w:line="360" w:lineRule="auto"/>
        <w:rPr>
          <w:rFonts w:ascii="Arial" w:hAnsi="Arial" w:cs="Arial"/>
          <w:sz w:val="22"/>
          <w:szCs w:val="22"/>
        </w:rPr>
      </w:pPr>
      <w:r w:rsidRPr="007A4C1E">
        <w:rPr>
          <w:rFonts w:ascii="Arial" w:hAnsi="Arial" w:cs="Arial"/>
          <w:color w:val="000000"/>
          <w:sz w:val="22"/>
          <w:szCs w:val="22"/>
        </w:rPr>
        <w:t xml:space="preserve">In preparing for this research, I carefully considered my philosophical stance to align with the study's goals and methodology. </w:t>
      </w:r>
      <w:r w:rsidR="00E54B87" w:rsidRPr="007A4C1E">
        <w:rPr>
          <w:rFonts w:ascii="Arial" w:hAnsi="Arial" w:cs="Arial"/>
          <w:sz w:val="22"/>
          <w:szCs w:val="22"/>
        </w:rPr>
        <w:t xml:space="preserve">I carefully aligned my philosophical stance with the study’s goals, focusing on identifying common themes organically without preconceived biases. As an insider researcher with dyslexia, I adopt a reflexive approach to mitigate bias, ensuring integrity and transparency. Ontologically, I acknowledge multiple realities, while </w:t>
      </w:r>
      <w:r w:rsidR="00E54B87" w:rsidRPr="007A4C1E">
        <w:rPr>
          <w:rFonts w:ascii="Arial" w:hAnsi="Arial" w:cs="Arial"/>
          <w:sz w:val="22"/>
          <w:szCs w:val="22"/>
        </w:rPr>
        <w:lastRenderedPageBreak/>
        <w:t>epistemologically, I recognize knowledge as subjective, shaped by participants' perspectives and my interpretations. My axiological stance prioritizes continuous self-reflection to minimize bias. These positions situate the research within an interpretivist paradigm, where experiences are socially constructed (Bickman &amp; Rog, 2009; Anderson et al., 2021).</w:t>
      </w:r>
      <w:r w:rsidRPr="007A4C1E">
        <w:rPr>
          <w:rFonts w:ascii="Arial" w:hAnsi="Arial" w:cs="Arial"/>
          <w:sz w:val="22"/>
          <w:szCs w:val="22"/>
        </w:rPr>
        <w:t>Insider Researcher Issues</w:t>
      </w:r>
    </w:p>
    <w:p w14:paraId="78BB89B2" w14:textId="77777777" w:rsidR="00F204D2" w:rsidRPr="007A4C1E" w:rsidRDefault="00F204D2" w:rsidP="007A4C1E">
      <w:pPr>
        <w:pStyle w:val="NormalWeb"/>
        <w:spacing w:line="360" w:lineRule="auto"/>
        <w:rPr>
          <w:rFonts w:ascii="Arial" w:hAnsi="Arial" w:cs="Arial"/>
          <w:sz w:val="22"/>
          <w:szCs w:val="22"/>
        </w:rPr>
      </w:pPr>
      <w:r w:rsidRPr="007A4C1E">
        <w:rPr>
          <w:rFonts w:ascii="Arial" w:hAnsi="Arial" w:cs="Arial"/>
          <w:sz w:val="22"/>
          <w:szCs w:val="22"/>
        </w:rPr>
        <w:t>To address potential biases from my insider position, I used a sequential model for qualitative data collection, where each phase informed the next. This allowed emergent themes from one phase to guide subsequent data gathering, ensuring responsiveness to the data.</w:t>
      </w:r>
    </w:p>
    <w:p w14:paraId="4D9E5C36" w14:textId="77777777" w:rsidR="00F204D2" w:rsidRPr="007A4C1E" w:rsidRDefault="00F204D2" w:rsidP="007A4C1E">
      <w:pPr>
        <w:pStyle w:val="NormalWeb"/>
        <w:spacing w:line="360" w:lineRule="auto"/>
        <w:rPr>
          <w:rFonts w:ascii="Arial" w:hAnsi="Arial" w:cs="Arial"/>
          <w:sz w:val="22"/>
          <w:szCs w:val="22"/>
        </w:rPr>
      </w:pPr>
      <w:r w:rsidRPr="007A4C1E">
        <w:rPr>
          <w:rFonts w:ascii="Arial" w:hAnsi="Arial" w:cs="Arial"/>
          <w:sz w:val="22"/>
          <w:szCs w:val="22"/>
        </w:rPr>
        <w:t>I also took an inductive approach to my literature review, following Braun and Clarke's (2006) methodology. Recognizing that literature could bias the research, I employed a recursive process, revisiting and revising the review as data collection progressed. This iterative approach helped maintain an open and reflective stance, ensuring the literature didn’t unduly shape the findings.</w:t>
      </w:r>
    </w:p>
    <w:p w14:paraId="05980C5F" w14:textId="77777777" w:rsidR="00623091" w:rsidRPr="00662A75" w:rsidRDefault="00623091" w:rsidP="00662A75">
      <w:pPr>
        <w:pStyle w:val="Heading2"/>
        <w:spacing w:line="360" w:lineRule="auto"/>
        <w:rPr>
          <w:rFonts w:ascii="Arial" w:hAnsi="Arial" w:cs="Arial"/>
          <w:sz w:val="22"/>
          <w:szCs w:val="22"/>
        </w:rPr>
      </w:pPr>
      <w:r w:rsidRPr="00662A75">
        <w:rPr>
          <w:rFonts w:ascii="Arial" w:hAnsi="Arial" w:cs="Arial"/>
          <w:sz w:val="22"/>
          <w:szCs w:val="22"/>
        </w:rPr>
        <w:t>Ethical Considerations</w:t>
      </w:r>
    </w:p>
    <w:p w14:paraId="4FC65341" w14:textId="5128F676" w:rsidR="005A27DC" w:rsidRPr="00662A75" w:rsidRDefault="005A27DC" w:rsidP="00662A75">
      <w:pPr>
        <w:pStyle w:val="NormalWeb"/>
        <w:spacing w:line="360" w:lineRule="auto"/>
        <w:rPr>
          <w:rFonts w:ascii="Arial" w:hAnsi="Arial" w:cs="Arial"/>
          <w:sz w:val="22"/>
          <w:szCs w:val="22"/>
        </w:rPr>
      </w:pPr>
      <w:r w:rsidRPr="00662A75">
        <w:rPr>
          <w:rFonts w:ascii="Arial" w:hAnsi="Arial" w:cs="Arial"/>
          <w:sz w:val="22"/>
          <w:szCs w:val="22"/>
        </w:rPr>
        <w:t xml:space="preserve">Ethical considerations were crucial, particularly with children. Informed consent was obtained from participants and guardians, ensuring understanding of the study. Materials, including questionnaires and consent forms, followed </w:t>
      </w:r>
      <w:r w:rsidR="007A4C1E">
        <w:rPr>
          <w:rFonts w:ascii="Arial" w:hAnsi="Arial" w:cs="Arial"/>
          <w:sz w:val="22"/>
          <w:szCs w:val="22"/>
        </w:rPr>
        <w:t xml:space="preserve">BDA </w:t>
      </w:r>
      <w:r w:rsidRPr="00662A75">
        <w:rPr>
          <w:rFonts w:ascii="Arial" w:hAnsi="Arial" w:cs="Arial"/>
          <w:sz w:val="22"/>
          <w:szCs w:val="22"/>
        </w:rPr>
        <w:t>accessibility guidelines and were available in audio format. Data collection used secure software with encrypted transmission and storage. Stringent data protection protocols were followed, especially for children. A safeguarding policy was provided to participants and parents, outlining procedures to protect children's well-being, with further details in the methodology section.</w:t>
      </w:r>
    </w:p>
    <w:p w14:paraId="20998421" w14:textId="238580D7" w:rsidR="00AB77EB" w:rsidRPr="00662A75" w:rsidRDefault="00AB77EB" w:rsidP="00662A75">
      <w:pPr>
        <w:pStyle w:val="Heading2"/>
        <w:spacing w:line="360" w:lineRule="auto"/>
        <w:rPr>
          <w:rFonts w:ascii="Arial" w:hAnsi="Arial" w:cs="Arial"/>
          <w:sz w:val="22"/>
          <w:szCs w:val="22"/>
        </w:rPr>
      </w:pPr>
      <w:r w:rsidRPr="00662A75">
        <w:rPr>
          <w:rFonts w:ascii="Arial" w:hAnsi="Arial" w:cs="Arial"/>
          <w:sz w:val="22"/>
          <w:szCs w:val="22"/>
        </w:rPr>
        <w:t>Method of Data collection </w:t>
      </w:r>
    </w:p>
    <w:p w14:paraId="6607F31E" w14:textId="77777777" w:rsidR="00BC29F3" w:rsidRPr="00662A75" w:rsidRDefault="00BC29F3" w:rsidP="00662A75">
      <w:pPr>
        <w:pStyle w:val="NormalWeb"/>
        <w:spacing w:line="360" w:lineRule="auto"/>
        <w:rPr>
          <w:rFonts w:ascii="Arial" w:hAnsi="Arial" w:cs="Arial"/>
          <w:sz w:val="22"/>
          <w:szCs w:val="22"/>
        </w:rPr>
      </w:pPr>
      <w:r w:rsidRPr="00662A75">
        <w:rPr>
          <w:rFonts w:ascii="Arial" w:hAnsi="Arial" w:cs="Arial"/>
          <w:sz w:val="22"/>
          <w:szCs w:val="22"/>
        </w:rPr>
        <w:t>This research aimed to gather qualitative data on the learning experiences of children with dyslexia in singing lessons. The study was guided by existing qualitative research, though practical limitations such as time constraints from my part-time master’s, full-time job, and family commitments influenced its scope and design, which will be discussed further.</w:t>
      </w:r>
    </w:p>
    <w:p w14:paraId="2ADC261E" w14:textId="71C814DC" w:rsidR="00AB77EB" w:rsidRPr="00662A75" w:rsidRDefault="00AB77EB" w:rsidP="00662A75">
      <w:pPr>
        <w:pStyle w:val="Heading4"/>
        <w:spacing w:line="360" w:lineRule="auto"/>
        <w:rPr>
          <w:rFonts w:ascii="Arial" w:hAnsi="Arial" w:cs="Arial"/>
        </w:rPr>
      </w:pPr>
      <w:r w:rsidRPr="00662A75">
        <w:rPr>
          <w:rFonts w:ascii="Arial" w:hAnsi="Arial" w:cs="Arial"/>
        </w:rPr>
        <w:t>Literature Review</w:t>
      </w:r>
    </w:p>
    <w:p w14:paraId="5A31DCE1" w14:textId="77777777" w:rsidR="007F7B4D" w:rsidRPr="00662A75" w:rsidRDefault="007F7B4D" w:rsidP="00662A75">
      <w:pPr>
        <w:pStyle w:val="NormalWeb"/>
        <w:spacing w:line="360" w:lineRule="auto"/>
        <w:rPr>
          <w:rFonts w:ascii="Arial" w:hAnsi="Arial" w:cs="Arial"/>
          <w:sz w:val="22"/>
          <w:szCs w:val="22"/>
        </w:rPr>
      </w:pPr>
      <w:r w:rsidRPr="00662A75">
        <w:rPr>
          <w:rFonts w:ascii="Arial" w:hAnsi="Arial" w:cs="Arial"/>
          <w:sz w:val="22"/>
          <w:szCs w:val="22"/>
        </w:rPr>
        <w:t>To ensure reliability, I prioritized peer-reviewed articles and included grey literature for a broader perspective, balancing academic rigor with critical evaluation of sources.</w:t>
      </w:r>
    </w:p>
    <w:p w14:paraId="3F44E948" w14:textId="2559BCED" w:rsidR="00AB77EB" w:rsidRPr="00662A75" w:rsidRDefault="00AB77EB" w:rsidP="00662A75">
      <w:pPr>
        <w:pStyle w:val="NormalWeb"/>
        <w:spacing w:before="240" w:beforeAutospacing="0" w:after="240" w:afterAutospacing="0" w:line="360" w:lineRule="auto"/>
        <w:rPr>
          <w:rFonts w:ascii="Arial" w:hAnsi="Arial" w:cs="Arial"/>
          <w:color w:val="000000"/>
          <w:sz w:val="22"/>
          <w:szCs w:val="22"/>
        </w:rPr>
      </w:pPr>
      <w:r w:rsidRPr="00662A75">
        <w:rPr>
          <w:rFonts w:ascii="Arial" w:hAnsi="Arial" w:cs="Arial"/>
          <w:color w:val="000000"/>
          <w:sz w:val="22"/>
          <w:szCs w:val="22"/>
        </w:rPr>
        <w:lastRenderedPageBreak/>
        <w:t>For the literature review methodology, I developed the research question using the SPIDER framework (</w:t>
      </w:r>
      <w:proofErr w:type="spellStart"/>
      <w:r w:rsidRPr="00662A75">
        <w:rPr>
          <w:rFonts w:ascii="Arial" w:hAnsi="Arial" w:cs="Arial"/>
          <w:color w:val="000000"/>
          <w:sz w:val="22"/>
          <w:szCs w:val="22"/>
        </w:rPr>
        <w:t>Flick</w:t>
      </w:r>
      <w:r w:rsidR="00C92B12">
        <w:rPr>
          <w:rFonts w:ascii="Arial" w:hAnsi="Arial" w:cs="Arial"/>
          <w:color w:val="000000"/>
          <w:sz w:val="22"/>
          <w:szCs w:val="22"/>
        </w:rPr>
        <w:t>.U</w:t>
      </w:r>
      <w:proofErr w:type="spellEnd"/>
      <w:r w:rsidR="00C92B12">
        <w:rPr>
          <w:rFonts w:ascii="Arial" w:hAnsi="Arial" w:cs="Arial"/>
          <w:color w:val="000000"/>
          <w:sz w:val="22"/>
          <w:szCs w:val="22"/>
        </w:rPr>
        <w:t>. ,2021</w:t>
      </w:r>
      <w:r w:rsidRPr="00662A75">
        <w:rPr>
          <w:rFonts w:ascii="Arial" w:hAnsi="Arial" w:cs="Arial"/>
          <w:color w:val="000000"/>
          <w:sz w:val="22"/>
          <w:szCs w:val="22"/>
        </w:rPr>
        <w:t xml:space="preserve">). This Identified key words that would inform my search </w:t>
      </w:r>
      <w:r w:rsidR="00BE6587" w:rsidRPr="00662A75">
        <w:rPr>
          <w:rFonts w:ascii="Arial" w:hAnsi="Arial" w:cs="Arial"/>
          <w:color w:val="000000"/>
          <w:sz w:val="22"/>
          <w:szCs w:val="22"/>
        </w:rPr>
        <w:t>identified in the table below in Orange.</w:t>
      </w:r>
    </w:p>
    <w:p w14:paraId="54A8C9A0" w14:textId="77777777" w:rsidR="00BE6587" w:rsidRPr="00662A75" w:rsidRDefault="00AB77EB" w:rsidP="00662A75">
      <w:pPr>
        <w:pStyle w:val="NormalWeb"/>
        <w:spacing w:before="240" w:beforeAutospacing="0" w:after="240" w:afterAutospacing="0" w:line="360" w:lineRule="auto"/>
        <w:rPr>
          <w:rFonts w:ascii="Arial" w:hAnsi="Arial" w:cs="Arial"/>
          <w:color w:val="000000"/>
          <w:sz w:val="22"/>
          <w:szCs w:val="22"/>
        </w:rPr>
      </w:pPr>
      <w:r w:rsidRPr="00662A75">
        <w:rPr>
          <w:rFonts w:ascii="Arial" w:hAnsi="Arial" w:cs="Arial"/>
          <w:noProof/>
          <w:color w:val="000000"/>
          <w:sz w:val="22"/>
          <w:szCs w:val="22"/>
          <w:bdr w:val="none" w:sz="0" w:space="0" w:color="auto" w:frame="1"/>
          <w:shd w:val="clear" w:color="auto" w:fill="FFFFFF"/>
        </w:rPr>
        <w:drawing>
          <wp:inline distT="0" distB="0" distL="0" distR="0" wp14:anchorId="15721EDA" wp14:editId="170F4DD8">
            <wp:extent cx="5731510" cy="4105275"/>
            <wp:effectExtent l="19050" t="19050" r="21590" b="285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105275"/>
                    </a:xfrm>
                    <a:prstGeom prst="rect">
                      <a:avLst/>
                    </a:prstGeom>
                    <a:noFill/>
                    <a:ln>
                      <a:solidFill>
                        <a:schemeClr val="accent1"/>
                      </a:solidFill>
                    </a:ln>
                  </pic:spPr>
                </pic:pic>
              </a:graphicData>
            </a:graphic>
          </wp:inline>
        </w:drawing>
      </w:r>
    </w:p>
    <w:p w14:paraId="3BC8E3E2" w14:textId="6A4BD344" w:rsidR="00AB77EB" w:rsidRPr="00662A75" w:rsidRDefault="00AB77EB" w:rsidP="00662A75">
      <w:pPr>
        <w:pStyle w:val="NormalWeb"/>
        <w:spacing w:before="240" w:beforeAutospacing="0" w:after="240" w:afterAutospacing="0" w:line="360" w:lineRule="auto"/>
        <w:rPr>
          <w:rFonts w:ascii="Arial" w:hAnsi="Arial" w:cs="Arial"/>
          <w:color w:val="000000"/>
          <w:sz w:val="22"/>
          <w:szCs w:val="22"/>
        </w:rPr>
      </w:pPr>
      <w:r w:rsidRPr="00662A75">
        <w:rPr>
          <w:rFonts w:ascii="Arial" w:hAnsi="Arial" w:cs="Arial"/>
          <w:color w:val="000000"/>
          <w:sz w:val="22"/>
          <w:szCs w:val="22"/>
        </w:rPr>
        <w:t>.</w:t>
      </w:r>
    </w:p>
    <w:p w14:paraId="6A79D12A" w14:textId="77777777" w:rsidR="00B629DF" w:rsidRPr="00662A75" w:rsidRDefault="00B629DF" w:rsidP="00662A75">
      <w:pPr>
        <w:pStyle w:val="NormalWeb"/>
        <w:spacing w:line="360" w:lineRule="auto"/>
        <w:rPr>
          <w:rFonts w:ascii="Arial" w:hAnsi="Arial" w:cs="Arial"/>
          <w:sz w:val="22"/>
          <w:szCs w:val="22"/>
        </w:rPr>
      </w:pPr>
      <w:r w:rsidRPr="00662A75">
        <w:rPr>
          <w:rFonts w:ascii="Arial" w:hAnsi="Arial" w:cs="Arial"/>
          <w:sz w:val="22"/>
          <w:szCs w:val="22"/>
        </w:rPr>
        <w:t xml:space="preserve">Key terms were refined using synonyms from online thesauruses to broaden the search. Some synonyms were non-academic but could be found in </w:t>
      </w:r>
      <w:proofErr w:type="spellStart"/>
      <w:r w:rsidRPr="00662A75">
        <w:rPr>
          <w:rFonts w:ascii="Arial" w:hAnsi="Arial" w:cs="Arial"/>
          <w:sz w:val="22"/>
          <w:szCs w:val="22"/>
        </w:rPr>
        <w:t>gray</w:t>
      </w:r>
      <w:proofErr w:type="spellEnd"/>
      <w:r w:rsidRPr="00662A75">
        <w:rPr>
          <w:rFonts w:ascii="Arial" w:hAnsi="Arial" w:cs="Arial"/>
          <w:sz w:val="22"/>
          <w:szCs w:val="22"/>
        </w:rPr>
        <w:t xml:space="preserve"> literature, which, while less authoritative, can provide valuable anecdotal evidence to support academic sources and reduce selection bias. A Venn diagram was created to visualize the intersections of key terms for the search, as recommended by Hempel (2020).</w:t>
      </w:r>
    </w:p>
    <w:p w14:paraId="16FA1375" w14:textId="06B53E3B" w:rsidR="00BE6587" w:rsidRPr="00662A75" w:rsidRDefault="00BE6587" w:rsidP="00662A75">
      <w:pPr>
        <w:pStyle w:val="NormalWeb"/>
        <w:spacing w:before="240" w:beforeAutospacing="0" w:after="240" w:afterAutospacing="0" w:line="360" w:lineRule="auto"/>
        <w:jc w:val="center"/>
        <w:rPr>
          <w:rFonts w:ascii="Arial" w:hAnsi="Arial" w:cs="Arial"/>
          <w:color w:val="000000"/>
          <w:sz w:val="22"/>
          <w:szCs w:val="22"/>
        </w:rPr>
      </w:pPr>
      <w:r w:rsidRPr="00662A75">
        <w:rPr>
          <w:rFonts w:ascii="Arial" w:hAnsi="Arial" w:cs="Arial"/>
          <w:noProof/>
          <w:color w:val="000000"/>
          <w:sz w:val="22"/>
          <w:szCs w:val="22"/>
        </w:rPr>
        <w:lastRenderedPageBreak/>
        <w:drawing>
          <wp:inline distT="0" distB="0" distL="0" distR="0" wp14:anchorId="722123B7" wp14:editId="703FA938">
            <wp:extent cx="1750550" cy="467360"/>
            <wp:effectExtent l="0" t="0" r="254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754148" cy="468321"/>
                    </a:xfrm>
                    <a:prstGeom prst="rect">
                      <a:avLst/>
                    </a:prstGeom>
                  </pic:spPr>
                </pic:pic>
              </a:graphicData>
            </a:graphic>
          </wp:inline>
        </w:drawing>
      </w:r>
      <w:r w:rsidRPr="00662A75">
        <w:rPr>
          <w:rFonts w:ascii="Arial" w:hAnsi="Arial" w:cs="Arial"/>
          <w:noProof/>
          <w:color w:val="000000"/>
          <w:sz w:val="22"/>
          <w:szCs w:val="22"/>
          <w:bdr w:val="none" w:sz="0" w:space="0" w:color="auto" w:frame="1"/>
          <w:shd w:val="clear" w:color="auto" w:fill="FFFFFF"/>
        </w:rPr>
        <w:drawing>
          <wp:inline distT="0" distB="0" distL="0" distR="0" wp14:anchorId="30406602" wp14:editId="1BFCA025">
            <wp:extent cx="3017520" cy="2924532"/>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6">
                      <a:extLst>
                        <a:ext uri="{28A0092B-C50C-407E-A947-70E740481C1C}">
                          <a14:useLocalDpi xmlns:a14="http://schemas.microsoft.com/office/drawing/2010/main" val="0"/>
                        </a:ext>
                      </a:extLst>
                    </a:blip>
                    <a:srcRect l="16192" r="13083"/>
                    <a:stretch/>
                  </pic:blipFill>
                  <pic:spPr bwMode="auto">
                    <a:xfrm>
                      <a:off x="0" y="0"/>
                      <a:ext cx="3023880" cy="2930696"/>
                    </a:xfrm>
                    <a:prstGeom prst="rect">
                      <a:avLst/>
                    </a:prstGeom>
                    <a:noFill/>
                    <a:ln>
                      <a:noFill/>
                    </a:ln>
                    <a:extLst>
                      <a:ext uri="{53640926-AAD7-44D8-BBD7-CCE9431645EC}">
                        <a14:shadowObscured xmlns:a14="http://schemas.microsoft.com/office/drawing/2010/main"/>
                      </a:ext>
                    </a:extLst>
                  </pic:spPr>
                </pic:pic>
              </a:graphicData>
            </a:graphic>
          </wp:inline>
        </w:drawing>
      </w:r>
    </w:p>
    <w:p w14:paraId="4AD6B744" w14:textId="77777777" w:rsidR="00BE6587" w:rsidRPr="00662A75" w:rsidRDefault="00BE6587" w:rsidP="00662A75">
      <w:pPr>
        <w:pStyle w:val="NormalWeb"/>
        <w:spacing w:before="240" w:beforeAutospacing="0" w:after="240" w:afterAutospacing="0" w:line="360" w:lineRule="auto"/>
        <w:rPr>
          <w:rFonts w:ascii="Arial" w:hAnsi="Arial" w:cs="Arial"/>
          <w:color w:val="000000"/>
          <w:sz w:val="22"/>
          <w:szCs w:val="22"/>
        </w:rPr>
      </w:pPr>
    </w:p>
    <w:p w14:paraId="30DA9E14" w14:textId="77777777" w:rsidR="00BE6587" w:rsidRPr="00662A75" w:rsidRDefault="00BE6587" w:rsidP="00662A75">
      <w:pPr>
        <w:pStyle w:val="NormalWeb"/>
        <w:spacing w:before="240" w:beforeAutospacing="0" w:after="240" w:afterAutospacing="0" w:line="360" w:lineRule="auto"/>
        <w:rPr>
          <w:rFonts w:ascii="Arial" w:hAnsi="Arial" w:cs="Arial"/>
          <w:color w:val="000000"/>
          <w:sz w:val="22"/>
          <w:szCs w:val="22"/>
        </w:rPr>
      </w:pPr>
    </w:p>
    <w:p w14:paraId="070F5E9E" w14:textId="52FEF011" w:rsidR="00BE6587" w:rsidRPr="00662A75" w:rsidRDefault="00BE6587" w:rsidP="00662A75">
      <w:pPr>
        <w:pStyle w:val="NormalWeb"/>
        <w:spacing w:before="240" w:beforeAutospacing="0" w:after="240" w:afterAutospacing="0" w:line="360" w:lineRule="auto"/>
        <w:rPr>
          <w:rFonts w:ascii="Arial" w:hAnsi="Arial" w:cs="Arial"/>
          <w:color w:val="000000"/>
          <w:sz w:val="22"/>
          <w:szCs w:val="22"/>
        </w:rPr>
      </w:pPr>
      <w:r w:rsidRPr="00662A75">
        <w:rPr>
          <w:rFonts w:ascii="Arial" w:hAnsi="Arial" w:cs="Arial"/>
          <w:color w:val="000000"/>
          <w:sz w:val="22"/>
          <w:szCs w:val="22"/>
        </w:rPr>
        <w:t>This was then represented in the table below:</w:t>
      </w:r>
    </w:p>
    <w:p w14:paraId="7A013A84" w14:textId="77777777" w:rsidR="00BE6587" w:rsidRPr="00662A75" w:rsidRDefault="00BE6587" w:rsidP="00662A75">
      <w:pPr>
        <w:pStyle w:val="NormalWeb"/>
        <w:spacing w:before="240" w:beforeAutospacing="0" w:after="240" w:afterAutospacing="0" w:line="360" w:lineRule="auto"/>
        <w:rPr>
          <w:rFonts w:ascii="Arial" w:hAnsi="Arial" w:cs="Arial"/>
          <w:color w:val="000000"/>
          <w:sz w:val="22"/>
          <w:szCs w:val="22"/>
        </w:rPr>
      </w:pPr>
    </w:p>
    <w:p w14:paraId="29801080" w14:textId="17BADC6C" w:rsidR="00BE6587" w:rsidRPr="00662A75" w:rsidRDefault="00BE6587" w:rsidP="00662A75">
      <w:pPr>
        <w:pStyle w:val="NormalWeb"/>
        <w:spacing w:before="240" w:beforeAutospacing="0" w:after="240" w:afterAutospacing="0" w:line="360" w:lineRule="auto"/>
        <w:rPr>
          <w:rFonts w:ascii="Arial" w:hAnsi="Arial" w:cs="Arial"/>
          <w:i/>
          <w:iCs/>
          <w:sz w:val="22"/>
          <w:szCs w:val="22"/>
        </w:rPr>
      </w:pPr>
      <w:r w:rsidRPr="00662A75">
        <w:rPr>
          <w:rFonts w:ascii="Arial" w:hAnsi="Arial" w:cs="Arial"/>
          <w:i/>
          <w:iCs/>
          <w:sz w:val="22"/>
          <w:szCs w:val="22"/>
        </w:rPr>
        <w:t>Table to represent intersections of key Search terms:</w:t>
      </w:r>
    </w:p>
    <w:p w14:paraId="080F0071" w14:textId="194C91BF" w:rsidR="00AB77EB" w:rsidRPr="00662A75" w:rsidRDefault="00AB77EB" w:rsidP="00662A75">
      <w:pPr>
        <w:pStyle w:val="NormalWeb"/>
        <w:spacing w:before="240" w:beforeAutospacing="0" w:after="240" w:afterAutospacing="0" w:line="360" w:lineRule="auto"/>
        <w:rPr>
          <w:rFonts w:ascii="Arial" w:hAnsi="Arial" w:cs="Arial"/>
          <w:sz w:val="22"/>
          <w:szCs w:val="22"/>
        </w:rPr>
      </w:pPr>
      <w:r w:rsidRPr="00662A75">
        <w:rPr>
          <w:rFonts w:ascii="Arial" w:hAnsi="Arial" w:cs="Arial"/>
          <w:noProof/>
          <w:color w:val="674EA7"/>
          <w:sz w:val="22"/>
          <w:szCs w:val="22"/>
          <w:bdr w:val="none" w:sz="0" w:space="0" w:color="auto" w:frame="1"/>
        </w:rPr>
        <w:drawing>
          <wp:inline distT="0" distB="0" distL="0" distR="0" wp14:anchorId="1F9110A0" wp14:editId="26AF0C11">
            <wp:extent cx="5731510" cy="1694815"/>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1694815"/>
                    </a:xfrm>
                    <a:prstGeom prst="rect">
                      <a:avLst/>
                    </a:prstGeom>
                    <a:noFill/>
                    <a:ln>
                      <a:noFill/>
                    </a:ln>
                  </pic:spPr>
                </pic:pic>
              </a:graphicData>
            </a:graphic>
          </wp:inline>
        </w:drawing>
      </w:r>
    </w:p>
    <w:p w14:paraId="4C5D0350" w14:textId="77777777" w:rsidR="00BE6587" w:rsidRPr="00662A75" w:rsidRDefault="00BE6587" w:rsidP="00662A75">
      <w:pPr>
        <w:pStyle w:val="NormalWeb"/>
        <w:spacing w:before="240" w:beforeAutospacing="0" w:after="240" w:afterAutospacing="0" w:line="360" w:lineRule="auto"/>
        <w:rPr>
          <w:rFonts w:ascii="Arial" w:hAnsi="Arial" w:cs="Arial"/>
          <w:color w:val="674EA7"/>
          <w:sz w:val="22"/>
          <w:szCs w:val="22"/>
        </w:rPr>
      </w:pPr>
    </w:p>
    <w:p w14:paraId="4290A30D" w14:textId="1C2ED98F" w:rsidR="00AB77EB" w:rsidRPr="00662A75" w:rsidRDefault="00AB77EB" w:rsidP="00662A75">
      <w:pPr>
        <w:pStyle w:val="NormalWeb"/>
        <w:spacing w:before="240" w:beforeAutospacing="0" w:after="240" w:afterAutospacing="0" w:line="360" w:lineRule="auto"/>
        <w:rPr>
          <w:rFonts w:ascii="Arial" w:hAnsi="Arial" w:cs="Arial"/>
          <w:sz w:val="22"/>
          <w:szCs w:val="22"/>
        </w:rPr>
      </w:pPr>
      <w:r w:rsidRPr="00662A75">
        <w:rPr>
          <w:rFonts w:ascii="Arial" w:hAnsi="Arial" w:cs="Arial"/>
          <w:color w:val="674EA7"/>
          <w:sz w:val="22"/>
          <w:szCs w:val="22"/>
        </w:rPr>
        <w:t>I evaluated each line of search terms to establish if the search returns would remain focused on my research question</w:t>
      </w:r>
    </w:p>
    <w:p w14:paraId="6D7070F2" w14:textId="2AB27ACC" w:rsidR="006E2A5E" w:rsidRPr="00662A75" w:rsidRDefault="006E2A5E" w:rsidP="00662A75">
      <w:pPr>
        <w:pStyle w:val="NormalWeb"/>
        <w:spacing w:line="360" w:lineRule="auto"/>
        <w:rPr>
          <w:rFonts w:ascii="Arial" w:hAnsi="Arial" w:cs="Arial"/>
          <w:sz w:val="22"/>
          <w:szCs w:val="22"/>
        </w:rPr>
      </w:pPr>
      <w:r w:rsidRPr="00662A75">
        <w:rPr>
          <w:rFonts w:ascii="Arial" w:hAnsi="Arial" w:cs="Arial"/>
          <w:sz w:val="22"/>
          <w:szCs w:val="22"/>
        </w:rPr>
        <w:t xml:space="preserve">I excluded intersections without synonyms of "Dyslexia" to focus on this specific phenomenon but included "Dyslexia" without "Children" for broader context. I also excluded intersection B∩C, as it produced irrelevant results on singing and too many sources to </w:t>
      </w:r>
      <w:r w:rsidRPr="00662A75">
        <w:rPr>
          <w:rFonts w:ascii="Arial" w:hAnsi="Arial" w:cs="Arial"/>
          <w:sz w:val="22"/>
          <w:szCs w:val="22"/>
        </w:rPr>
        <w:lastRenderedPageBreak/>
        <w:t>analyse within my time constraints. While this led to some loss of knowledge, it was necessary for manageability.</w:t>
      </w:r>
    </w:p>
    <w:p w14:paraId="4B07B91B" w14:textId="77777777" w:rsidR="00AB77EB" w:rsidRPr="00662A75" w:rsidRDefault="00AB77EB" w:rsidP="00662A75">
      <w:pPr>
        <w:pStyle w:val="NormalWeb"/>
        <w:spacing w:before="240" w:beforeAutospacing="0" w:after="240" w:afterAutospacing="0" w:line="360" w:lineRule="auto"/>
        <w:rPr>
          <w:rFonts w:ascii="Arial" w:hAnsi="Arial" w:cs="Arial"/>
          <w:sz w:val="22"/>
          <w:szCs w:val="22"/>
        </w:rPr>
      </w:pPr>
      <w:r w:rsidRPr="00662A75">
        <w:rPr>
          <w:rFonts w:ascii="Arial" w:hAnsi="Arial" w:cs="Arial"/>
          <w:color w:val="674EA7"/>
          <w:sz w:val="22"/>
          <w:szCs w:val="22"/>
        </w:rPr>
        <w:t>This eliminated the following intersections A∩D, A∩B, A∩B∩D &amp;  B∩C</w:t>
      </w:r>
    </w:p>
    <w:p w14:paraId="025511A9" w14:textId="5748C067" w:rsidR="00AB77EB" w:rsidRPr="00662A75" w:rsidRDefault="00E149BA" w:rsidP="00662A75">
      <w:pPr>
        <w:pStyle w:val="NormalWeb"/>
        <w:spacing w:line="360" w:lineRule="auto"/>
        <w:rPr>
          <w:rFonts w:ascii="Arial" w:hAnsi="Arial" w:cs="Arial"/>
          <w:sz w:val="22"/>
          <w:szCs w:val="22"/>
        </w:rPr>
      </w:pPr>
      <w:r w:rsidRPr="00662A75">
        <w:rPr>
          <w:rFonts w:ascii="Arial" w:hAnsi="Arial" w:cs="Arial"/>
          <w:sz w:val="22"/>
          <w:szCs w:val="22"/>
        </w:rPr>
        <w:t>I used Boolean operators to combine relevant synonyms, refining the search for focused results. Starting with the university library tool, I limited results to titles and subjects for relevance, as dyslexia research spans health and social fields, including both current and historical studies for diverse perspectives.</w:t>
      </w:r>
      <w:r w:rsidR="00AB77EB" w:rsidRPr="00662A75">
        <w:rPr>
          <w:rFonts w:ascii="Arial" w:hAnsi="Arial" w:cs="Arial"/>
          <w:color w:val="000000"/>
          <w:sz w:val="22"/>
          <w:szCs w:val="22"/>
        </w:rPr>
        <w:t> </w:t>
      </w:r>
    </w:p>
    <w:p w14:paraId="1AE074A9" w14:textId="4C3076BA" w:rsidR="00F93328" w:rsidRPr="00662A75" w:rsidRDefault="00C646A3" w:rsidP="00662A75">
      <w:pPr>
        <w:pStyle w:val="NormalWeb"/>
        <w:spacing w:line="360" w:lineRule="auto"/>
        <w:rPr>
          <w:rFonts w:ascii="Arial" w:hAnsi="Arial" w:cs="Arial"/>
          <w:sz w:val="22"/>
          <w:szCs w:val="22"/>
        </w:rPr>
      </w:pPr>
      <w:r w:rsidRPr="00662A75">
        <w:rPr>
          <w:rFonts w:ascii="Arial" w:hAnsi="Arial" w:cs="Arial"/>
          <w:sz w:val="22"/>
          <w:szCs w:val="22"/>
        </w:rPr>
        <w:t>T</w:t>
      </w:r>
      <w:r w:rsidR="00F93328" w:rsidRPr="00662A75">
        <w:rPr>
          <w:rFonts w:ascii="Arial" w:hAnsi="Arial" w:cs="Arial"/>
          <w:sz w:val="22"/>
          <w:szCs w:val="22"/>
        </w:rPr>
        <w:t>itles and abstracts for</w:t>
      </w:r>
      <w:r w:rsidRPr="00662A75">
        <w:rPr>
          <w:rFonts w:ascii="Arial" w:hAnsi="Arial" w:cs="Arial"/>
          <w:sz w:val="22"/>
          <w:szCs w:val="22"/>
        </w:rPr>
        <w:t xml:space="preserve"> were reviewed for</w:t>
      </w:r>
      <w:r w:rsidR="00F93328" w:rsidRPr="00662A75">
        <w:rPr>
          <w:rFonts w:ascii="Arial" w:hAnsi="Arial" w:cs="Arial"/>
          <w:sz w:val="22"/>
          <w:szCs w:val="22"/>
        </w:rPr>
        <w:t xml:space="preserve"> relevance, saving those that met my criteria, and repeated the search within specific journals.</w:t>
      </w:r>
    </w:p>
    <w:p w14:paraId="6E2B6454" w14:textId="77777777" w:rsidR="00AB77EB" w:rsidRPr="00662A75" w:rsidRDefault="00AB77EB" w:rsidP="00662A75">
      <w:pPr>
        <w:pStyle w:val="NormalWeb"/>
        <w:numPr>
          <w:ilvl w:val="0"/>
          <w:numId w:val="4"/>
        </w:numPr>
        <w:spacing w:before="240" w:beforeAutospacing="0" w:after="0" w:afterAutospacing="0" w:line="360" w:lineRule="auto"/>
        <w:textAlignment w:val="baseline"/>
        <w:rPr>
          <w:rFonts w:ascii="Arial" w:hAnsi="Arial" w:cs="Arial"/>
          <w:color w:val="000000"/>
          <w:sz w:val="22"/>
          <w:szCs w:val="22"/>
        </w:rPr>
      </w:pPr>
      <w:r w:rsidRPr="00662A75">
        <w:rPr>
          <w:rFonts w:ascii="Arial" w:hAnsi="Arial" w:cs="Arial"/>
          <w:color w:val="000000"/>
          <w:sz w:val="22"/>
          <w:szCs w:val="22"/>
        </w:rPr>
        <w:t>Journal of singing </w:t>
      </w:r>
    </w:p>
    <w:p w14:paraId="11B4EF84" w14:textId="77777777" w:rsidR="00AB77EB" w:rsidRPr="00662A75" w:rsidRDefault="00AB77EB" w:rsidP="00662A75">
      <w:pPr>
        <w:pStyle w:val="NormalWeb"/>
        <w:numPr>
          <w:ilvl w:val="0"/>
          <w:numId w:val="4"/>
        </w:numPr>
        <w:spacing w:before="0" w:beforeAutospacing="0" w:after="0" w:afterAutospacing="0" w:line="360" w:lineRule="auto"/>
        <w:textAlignment w:val="baseline"/>
        <w:rPr>
          <w:rFonts w:ascii="Arial" w:hAnsi="Arial" w:cs="Arial"/>
          <w:color w:val="000000"/>
          <w:sz w:val="22"/>
          <w:szCs w:val="22"/>
        </w:rPr>
      </w:pPr>
      <w:r w:rsidRPr="00662A75">
        <w:rPr>
          <w:rFonts w:ascii="Arial" w:hAnsi="Arial" w:cs="Arial"/>
          <w:color w:val="000000"/>
          <w:sz w:val="22"/>
          <w:szCs w:val="22"/>
        </w:rPr>
        <w:t>Annals of Dyslexia </w:t>
      </w:r>
    </w:p>
    <w:p w14:paraId="65555E50" w14:textId="77777777" w:rsidR="00AB77EB" w:rsidRPr="00662A75" w:rsidRDefault="00AB77EB" w:rsidP="00662A75">
      <w:pPr>
        <w:pStyle w:val="NormalWeb"/>
        <w:numPr>
          <w:ilvl w:val="0"/>
          <w:numId w:val="4"/>
        </w:numPr>
        <w:spacing w:before="0" w:beforeAutospacing="0" w:after="240" w:afterAutospacing="0" w:line="360" w:lineRule="auto"/>
        <w:textAlignment w:val="baseline"/>
        <w:rPr>
          <w:rFonts w:ascii="Arial" w:hAnsi="Arial" w:cs="Arial"/>
          <w:color w:val="000000"/>
          <w:sz w:val="22"/>
          <w:szCs w:val="22"/>
        </w:rPr>
      </w:pPr>
      <w:r w:rsidRPr="00662A75">
        <w:rPr>
          <w:rFonts w:ascii="Arial" w:hAnsi="Arial" w:cs="Arial"/>
          <w:color w:val="000000"/>
          <w:sz w:val="22"/>
          <w:szCs w:val="22"/>
        </w:rPr>
        <w:t>Journal of Music Teacher education. </w:t>
      </w:r>
    </w:p>
    <w:p w14:paraId="17100838" w14:textId="5A9CF807" w:rsidR="00AB77EB" w:rsidRPr="00662A75" w:rsidRDefault="00AB77EB" w:rsidP="00662A75">
      <w:pPr>
        <w:pStyle w:val="NormalWeb"/>
        <w:spacing w:before="240" w:beforeAutospacing="0" w:after="240" w:afterAutospacing="0" w:line="360" w:lineRule="auto"/>
        <w:rPr>
          <w:rFonts w:ascii="Arial" w:hAnsi="Arial" w:cs="Arial"/>
          <w:sz w:val="22"/>
          <w:szCs w:val="22"/>
        </w:rPr>
      </w:pPr>
      <w:r w:rsidRPr="00662A75">
        <w:rPr>
          <w:rFonts w:ascii="Arial" w:hAnsi="Arial" w:cs="Arial"/>
          <w:color w:val="000000"/>
          <w:sz w:val="22"/>
          <w:szCs w:val="22"/>
        </w:rPr>
        <w:t> I then employed reference mining (Hempel, 2020) to identify additional pertinent papers for inclusion in the review.</w:t>
      </w:r>
    </w:p>
    <w:p w14:paraId="18D26B36" w14:textId="77777777" w:rsidR="00BE6587" w:rsidRPr="00662A75" w:rsidRDefault="00BE6587" w:rsidP="00662A75">
      <w:pPr>
        <w:pStyle w:val="Heading2"/>
        <w:spacing w:line="360" w:lineRule="auto"/>
        <w:rPr>
          <w:rFonts w:ascii="Arial" w:hAnsi="Arial" w:cs="Arial"/>
          <w:sz w:val="22"/>
          <w:szCs w:val="22"/>
        </w:rPr>
      </w:pPr>
      <w:r w:rsidRPr="00662A75">
        <w:rPr>
          <w:rFonts w:ascii="Arial" w:hAnsi="Arial" w:cs="Arial"/>
          <w:sz w:val="22"/>
          <w:szCs w:val="22"/>
        </w:rPr>
        <w:t>Questionnaire</w:t>
      </w:r>
    </w:p>
    <w:p w14:paraId="2D0833C6" w14:textId="799BE54B" w:rsidR="00BE6587" w:rsidRPr="00662A75" w:rsidRDefault="008C0099" w:rsidP="00662A75">
      <w:pPr>
        <w:pStyle w:val="NormalWeb"/>
        <w:spacing w:before="240" w:beforeAutospacing="0" w:after="240" w:afterAutospacing="0" w:line="360" w:lineRule="auto"/>
        <w:rPr>
          <w:rFonts w:ascii="Arial" w:hAnsi="Arial" w:cs="Arial"/>
          <w:sz w:val="22"/>
          <w:szCs w:val="22"/>
        </w:rPr>
      </w:pPr>
      <w:r w:rsidRPr="00662A75">
        <w:rPr>
          <w:rFonts w:ascii="Arial" w:hAnsi="Arial" w:cs="Arial"/>
          <w:color w:val="000000"/>
          <w:sz w:val="22"/>
          <w:szCs w:val="22"/>
        </w:rPr>
        <w:t>Q</w:t>
      </w:r>
      <w:r w:rsidR="00BE6587" w:rsidRPr="00662A75">
        <w:rPr>
          <w:rFonts w:ascii="Arial" w:hAnsi="Arial" w:cs="Arial"/>
          <w:color w:val="000000"/>
          <w:sz w:val="22"/>
          <w:szCs w:val="22"/>
        </w:rPr>
        <w:t xml:space="preserve">ualitative data </w:t>
      </w:r>
      <w:r w:rsidRPr="00662A75">
        <w:rPr>
          <w:rFonts w:ascii="Arial" w:hAnsi="Arial" w:cs="Arial"/>
          <w:color w:val="000000"/>
          <w:sz w:val="22"/>
          <w:szCs w:val="22"/>
        </w:rPr>
        <w:t xml:space="preserve">was gathered </w:t>
      </w:r>
      <w:r w:rsidR="00BE6587" w:rsidRPr="00662A75">
        <w:rPr>
          <w:rFonts w:ascii="Arial" w:hAnsi="Arial" w:cs="Arial"/>
          <w:color w:val="000000"/>
          <w:sz w:val="22"/>
          <w:szCs w:val="22"/>
        </w:rPr>
        <w:t>through an online questionnaire distributed via social media and UK singing teacher networks.</w:t>
      </w:r>
    </w:p>
    <w:p w14:paraId="186B8BC0" w14:textId="66BC4856" w:rsidR="00D07701" w:rsidRPr="00662A75" w:rsidRDefault="00D07701" w:rsidP="00662A75">
      <w:pPr>
        <w:pStyle w:val="Heading4"/>
        <w:spacing w:line="360" w:lineRule="auto"/>
        <w:rPr>
          <w:rFonts w:ascii="Arial" w:hAnsi="Arial" w:cs="Arial"/>
        </w:rPr>
      </w:pPr>
      <w:r w:rsidRPr="00662A75">
        <w:rPr>
          <w:rFonts w:ascii="Arial" w:hAnsi="Arial" w:cs="Arial"/>
        </w:rPr>
        <w:t xml:space="preserve">Eligibility for Questionnaire participants </w:t>
      </w:r>
    </w:p>
    <w:p w14:paraId="5BBD11D3" w14:textId="054E1937" w:rsidR="00F03BB9" w:rsidRPr="00662A75" w:rsidRDefault="0046773F" w:rsidP="00662A75">
      <w:pPr>
        <w:pStyle w:val="NormalWeb"/>
        <w:spacing w:line="360" w:lineRule="auto"/>
        <w:rPr>
          <w:rFonts w:ascii="Arial" w:hAnsi="Arial" w:cs="Arial"/>
          <w:sz w:val="22"/>
          <w:szCs w:val="22"/>
        </w:rPr>
      </w:pPr>
      <w:r w:rsidRPr="00662A75">
        <w:rPr>
          <w:rFonts w:ascii="Arial" w:hAnsi="Arial" w:cs="Arial"/>
          <w:sz w:val="22"/>
          <w:szCs w:val="22"/>
        </w:rPr>
        <w:t>Due to low participation, I expanded the sample to include adults, using a retrospective approach based on Nelson &amp; Hourigan (2016) to gather data from dyslexic individuals in various singing contexts. Themes from adults informed a focused case study on children, with age data for comparison. Participants self-identified as dyslexic, following the UK SEND framework (Gov.uk, 2024), and included singers regardless of formal training to capture diverse learning experiences.</w:t>
      </w:r>
    </w:p>
    <w:p w14:paraId="26FC9D05" w14:textId="71C91410" w:rsidR="00D07701" w:rsidRPr="00662A75" w:rsidRDefault="00BE6587" w:rsidP="00662A75">
      <w:pPr>
        <w:pStyle w:val="NormalWeb"/>
        <w:spacing w:before="240" w:beforeAutospacing="0" w:after="240" w:afterAutospacing="0" w:line="360" w:lineRule="auto"/>
        <w:rPr>
          <w:rFonts w:ascii="Arial" w:hAnsi="Arial" w:cs="Arial"/>
          <w:color w:val="000000"/>
          <w:sz w:val="22"/>
          <w:szCs w:val="22"/>
        </w:rPr>
      </w:pPr>
      <w:r w:rsidRPr="00662A75">
        <w:rPr>
          <w:rFonts w:ascii="Arial" w:hAnsi="Arial" w:cs="Arial"/>
          <w:color w:val="000000"/>
          <w:sz w:val="22"/>
          <w:szCs w:val="22"/>
        </w:rPr>
        <w:t xml:space="preserve">Eligibility criteria: </w:t>
      </w:r>
    </w:p>
    <w:p w14:paraId="3E9CFCCF" w14:textId="72A109A9" w:rsidR="00BE6587" w:rsidRPr="00662A75" w:rsidRDefault="00BE6587" w:rsidP="00662A75">
      <w:pPr>
        <w:pStyle w:val="NormalWeb"/>
        <w:numPr>
          <w:ilvl w:val="0"/>
          <w:numId w:val="5"/>
        </w:numPr>
        <w:spacing w:before="240" w:beforeAutospacing="0" w:after="240" w:afterAutospacing="0" w:line="360" w:lineRule="auto"/>
        <w:rPr>
          <w:rFonts w:ascii="Arial" w:hAnsi="Arial" w:cs="Arial"/>
          <w:sz w:val="22"/>
          <w:szCs w:val="22"/>
        </w:rPr>
      </w:pPr>
      <w:r w:rsidRPr="00662A75">
        <w:rPr>
          <w:rFonts w:ascii="Arial" w:hAnsi="Arial" w:cs="Arial"/>
          <w:color w:val="000000"/>
          <w:sz w:val="22"/>
          <w:szCs w:val="22"/>
        </w:rPr>
        <w:t>participants must identify as both a singer and dyslexic.</w:t>
      </w:r>
    </w:p>
    <w:p w14:paraId="337D6948" w14:textId="069B6D08" w:rsidR="00C06964" w:rsidRPr="00662A75" w:rsidRDefault="00C06964" w:rsidP="00662A75">
      <w:pPr>
        <w:pStyle w:val="NormalWeb"/>
        <w:spacing w:before="240" w:beforeAutospacing="0" w:after="240" w:afterAutospacing="0" w:line="360" w:lineRule="auto"/>
        <w:rPr>
          <w:rFonts w:ascii="Arial" w:hAnsi="Arial" w:cs="Arial"/>
          <w:sz w:val="22"/>
          <w:szCs w:val="22"/>
        </w:rPr>
      </w:pPr>
      <w:r w:rsidRPr="00662A75">
        <w:rPr>
          <w:rFonts w:ascii="Arial" w:hAnsi="Arial" w:cs="Arial"/>
          <w:sz w:val="22"/>
          <w:szCs w:val="22"/>
        </w:rPr>
        <w:t>The questionnaire included essential eligibility questions and consent confirmation. If unanswered, participants were directed to a thank-you page and the survey ended</w:t>
      </w:r>
      <w:r w:rsidR="00554385" w:rsidRPr="00662A75">
        <w:rPr>
          <w:rFonts w:ascii="Arial" w:hAnsi="Arial" w:cs="Arial"/>
          <w:sz w:val="22"/>
          <w:szCs w:val="22"/>
        </w:rPr>
        <w:t xml:space="preserve">. </w:t>
      </w:r>
      <w:r w:rsidR="00554385" w:rsidRPr="00662A75">
        <w:rPr>
          <w:rFonts w:ascii="Arial" w:hAnsi="Arial" w:cs="Arial"/>
          <w:sz w:val="22"/>
          <w:szCs w:val="22"/>
        </w:rPr>
        <w:lastRenderedPageBreak/>
        <w:t>However, an administrative error allowed non-dyslexic participants to proceed, which was addressed during analysis.</w:t>
      </w:r>
    </w:p>
    <w:p w14:paraId="54F0BF0D" w14:textId="3B02A249" w:rsidR="00623091" w:rsidRPr="00662A75" w:rsidRDefault="00D07701" w:rsidP="00662A75">
      <w:pPr>
        <w:pStyle w:val="Heading4"/>
        <w:spacing w:line="360" w:lineRule="auto"/>
        <w:rPr>
          <w:rFonts w:ascii="Arial" w:hAnsi="Arial" w:cs="Arial"/>
        </w:rPr>
      </w:pPr>
      <w:r w:rsidRPr="00662A75">
        <w:rPr>
          <w:rFonts w:ascii="Arial" w:hAnsi="Arial" w:cs="Arial"/>
        </w:rPr>
        <w:t>Recruitment of Questionnaire Participants</w:t>
      </w:r>
    </w:p>
    <w:p w14:paraId="12F14805" w14:textId="17EE0177" w:rsidR="00D07701" w:rsidRPr="00662A75" w:rsidRDefault="00A654E3" w:rsidP="00662A75">
      <w:pPr>
        <w:pStyle w:val="NormalWeb"/>
        <w:spacing w:before="0" w:beforeAutospacing="0" w:after="160" w:afterAutospacing="0" w:line="360" w:lineRule="auto"/>
        <w:rPr>
          <w:rFonts w:ascii="Arial" w:hAnsi="Arial" w:cs="Arial"/>
          <w:color w:val="000000"/>
          <w:sz w:val="22"/>
          <w:szCs w:val="22"/>
        </w:rPr>
      </w:pPr>
      <w:r w:rsidRPr="00662A75">
        <w:rPr>
          <w:rFonts w:ascii="Arial" w:hAnsi="Arial" w:cs="Arial"/>
          <w:color w:val="000000"/>
          <w:sz w:val="22"/>
          <w:szCs w:val="22"/>
        </w:rPr>
        <w:t>The</w:t>
      </w:r>
      <w:r w:rsidR="00D07701" w:rsidRPr="00662A75">
        <w:rPr>
          <w:rFonts w:ascii="Arial" w:hAnsi="Arial" w:cs="Arial"/>
          <w:color w:val="000000"/>
          <w:sz w:val="22"/>
          <w:szCs w:val="22"/>
        </w:rPr>
        <w:t xml:space="preserve"> recruitment advert </w:t>
      </w:r>
      <w:r w:rsidRPr="00662A75">
        <w:rPr>
          <w:rFonts w:ascii="Arial" w:hAnsi="Arial" w:cs="Arial"/>
          <w:color w:val="000000"/>
          <w:sz w:val="22"/>
          <w:szCs w:val="22"/>
        </w:rPr>
        <w:t>was designed using</w:t>
      </w:r>
      <w:r w:rsidR="00D07701" w:rsidRPr="00662A75">
        <w:rPr>
          <w:rFonts w:ascii="Arial" w:hAnsi="Arial" w:cs="Arial"/>
          <w:color w:val="000000"/>
          <w:sz w:val="22"/>
          <w:szCs w:val="22"/>
        </w:rPr>
        <w:t xml:space="preserve"> guidelines on accessibility for Dyslexics (BDA, 2024)</w:t>
      </w:r>
      <w:r w:rsidRPr="00662A75">
        <w:rPr>
          <w:rFonts w:ascii="Arial" w:hAnsi="Arial" w:cs="Arial"/>
          <w:color w:val="000000"/>
          <w:sz w:val="22"/>
          <w:szCs w:val="22"/>
        </w:rPr>
        <w:t xml:space="preserve">, as well as outlining the eligibility and </w:t>
      </w:r>
      <w:r w:rsidR="00032A80" w:rsidRPr="00662A75">
        <w:rPr>
          <w:rFonts w:ascii="Arial" w:hAnsi="Arial" w:cs="Arial"/>
          <w:color w:val="000000"/>
          <w:sz w:val="22"/>
          <w:szCs w:val="22"/>
        </w:rPr>
        <w:t>study aims.</w:t>
      </w:r>
    </w:p>
    <w:p w14:paraId="56051FAF" w14:textId="77777777" w:rsidR="00070E02" w:rsidRPr="00662A75" w:rsidRDefault="00070E02" w:rsidP="00662A75">
      <w:pPr>
        <w:pStyle w:val="NormalWeb"/>
        <w:spacing w:before="0" w:beforeAutospacing="0" w:after="160" w:afterAutospacing="0" w:line="360" w:lineRule="auto"/>
        <w:rPr>
          <w:rFonts w:ascii="Arial" w:hAnsi="Arial" w:cs="Arial"/>
          <w:i/>
          <w:iCs/>
          <w:color w:val="000000"/>
          <w:sz w:val="22"/>
          <w:szCs w:val="22"/>
        </w:rPr>
      </w:pPr>
      <w:r w:rsidRPr="00662A75">
        <w:rPr>
          <w:rFonts w:ascii="Arial" w:hAnsi="Arial" w:cs="Arial"/>
          <w:i/>
          <w:iCs/>
          <w:color w:val="000000"/>
          <w:sz w:val="22"/>
          <w:szCs w:val="22"/>
        </w:rPr>
        <w:t xml:space="preserve">Social Media post for Questionnaire Recruitment </w:t>
      </w:r>
    </w:p>
    <w:p w14:paraId="7A66D4F8" w14:textId="77777777" w:rsidR="00070E02" w:rsidRPr="00662A75" w:rsidRDefault="00070E02" w:rsidP="00662A75">
      <w:pPr>
        <w:pStyle w:val="NormalWeb"/>
        <w:spacing w:before="0" w:beforeAutospacing="0" w:after="160" w:afterAutospacing="0" w:line="360" w:lineRule="auto"/>
        <w:rPr>
          <w:rFonts w:ascii="Arial" w:hAnsi="Arial" w:cs="Arial"/>
          <w:color w:val="000000"/>
          <w:sz w:val="22"/>
          <w:szCs w:val="22"/>
        </w:rPr>
      </w:pPr>
    </w:p>
    <w:p w14:paraId="2A10621D" w14:textId="7ABA0654" w:rsidR="00D07701" w:rsidRPr="00662A75" w:rsidRDefault="00070E02" w:rsidP="00662A75">
      <w:pPr>
        <w:pStyle w:val="NormalWeb"/>
        <w:spacing w:before="0" w:beforeAutospacing="0" w:after="160" w:afterAutospacing="0" w:line="360" w:lineRule="auto"/>
        <w:rPr>
          <w:rFonts w:ascii="Arial" w:hAnsi="Arial" w:cs="Arial"/>
          <w:color w:val="000000"/>
          <w:sz w:val="22"/>
          <w:szCs w:val="22"/>
        </w:rPr>
      </w:pPr>
      <w:r w:rsidRPr="00662A75">
        <w:rPr>
          <w:rFonts w:ascii="Arial" w:hAnsi="Arial" w:cs="Arial"/>
          <w:noProof/>
          <w:color w:val="000000"/>
          <w:sz w:val="22"/>
          <w:szCs w:val="22"/>
        </w:rPr>
        <w:drawing>
          <wp:inline distT="0" distB="0" distL="0" distR="0" wp14:anchorId="4D91C64A" wp14:editId="44A0679A">
            <wp:extent cx="2235315" cy="1797142"/>
            <wp:effectExtent l="19050" t="19050" r="12700" b="1270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235315" cy="1797142"/>
                    </a:xfrm>
                    <a:prstGeom prst="rect">
                      <a:avLst/>
                    </a:prstGeom>
                    <a:ln>
                      <a:solidFill>
                        <a:schemeClr val="accent1"/>
                      </a:solidFill>
                    </a:ln>
                  </pic:spPr>
                </pic:pic>
              </a:graphicData>
            </a:graphic>
          </wp:inline>
        </w:drawing>
      </w:r>
    </w:p>
    <w:p w14:paraId="7117FBA7" w14:textId="33E22BFC" w:rsidR="00D07701" w:rsidRPr="00662A75" w:rsidRDefault="00032A80" w:rsidP="00662A75">
      <w:pPr>
        <w:pStyle w:val="NormalWeb"/>
        <w:spacing w:before="0" w:beforeAutospacing="0" w:after="160" w:afterAutospacing="0" w:line="360" w:lineRule="auto"/>
        <w:rPr>
          <w:rFonts w:ascii="Arial" w:hAnsi="Arial" w:cs="Arial"/>
          <w:sz w:val="22"/>
          <w:szCs w:val="22"/>
        </w:rPr>
      </w:pPr>
      <w:r w:rsidRPr="00662A75">
        <w:rPr>
          <w:rFonts w:ascii="Arial" w:hAnsi="Arial" w:cs="Arial"/>
          <w:color w:val="000000"/>
          <w:sz w:val="22"/>
          <w:szCs w:val="22"/>
        </w:rPr>
        <w:t>To</w:t>
      </w:r>
      <w:r w:rsidR="00B37DFA" w:rsidRPr="00662A75">
        <w:rPr>
          <w:rFonts w:ascii="Arial" w:hAnsi="Arial" w:cs="Arial"/>
          <w:color w:val="000000"/>
          <w:sz w:val="22"/>
          <w:szCs w:val="22"/>
        </w:rPr>
        <w:t xml:space="preserve"> target</w:t>
      </w:r>
      <w:r w:rsidR="00D07701" w:rsidRPr="00662A75">
        <w:rPr>
          <w:rFonts w:ascii="Arial" w:hAnsi="Arial" w:cs="Arial"/>
          <w:color w:val="000000"/>
          <w:sz w:val="22"/>
          <w:szCs w:val="22"/>
        </w:rPr>
        <w:t xml:space="preserve"> an audience of people likely to have an interest in the betterment of singing teaching practice</w:t>
      </w:r>
      <w:r w:rsidR="000623FF" w:rsidRPr="00662A75">
        <w:rPr>
          <w:rFonts w:ascii="Arial" w:hAnsi="Arial" w:cs="Arial"/>
          <w:color w:val="000000"/>
          <w:sz w:val="22"/>
          <w:szCs w:val="22"/>
        </w:rPr>
        <w:t xml:space="preserve"> and identify as singers</w:t>
      </w:r>
      <w:r w:rsidR="00B67F1C" w:rsidRPr="00662A75">
        <w:rPr>
          <w:rFonts w:ascii="Arial" w:hAnsi="Arial" w:cs="Arial"/>
          <w:color w:val="000000"/>
          <w:sz w:val="22"/>
          <w:szCs w:val="22"/>
        </w:rPr>
        <w:t xml:space="preserve"> </w:t>
      </w:r>
      <w:r w:rsidRPr="00662A75">
        <w:rPr>
          <w:rFonts w:ascii="Arial" w:hAnsi="Arial" w:cs="Arial"/>
          <w:color w:val="000000"/>
          <w:sz w:val="22"/>
          <w:szCs w:val="22"/>
        </w:rPr>
        <w:t>this posted on</w:t>
      </w:r>
      <w:r w:rsidR="00B67F1C" w:rsidRPr="00662A75">
        <w:rPr>
          <w:rFonts w:ascii="Arial" w:hAnsi="Arial" w:cs="Arial"/>
          <w:color w:val="000000"/>
          <w:sz w:val="22"/>
          <w:szCs w:val="22"/>
        </w:rPr>
        <w:t xml:space="preserve"> teach</w:t>
      </w:r>
      <w:r w:rsidR="00ED42A1" w:rsidRPr="00662A75">
        <w:rPr>
          <w:rFonts w:ascii="Arial" w:hAnsi="Arial" w:cs="Arial"/>
          <w:color w:val="000000"/>
          <w:sz w:val="22"/>
          <w:szCs w:val="22"/>
        </w:rPr>
        <w:t>er</w:t>
      </w:r>
      <w:r w:rsidR="00B67F1C" w:rsidRPr="00662A75">
        <w:rPr>
          <w:rFonts w:ascii="Arial" w:hAnsi="Arial" w:cs="Arial"/>
          <w:color w:val="000000"/>
          <w:sz w:val="22"/>
          <w:szCs w:val="22"/>
        </w:rPr>
        <w:t xml:space="preserve"> singing networks</w:t>
      </w:r>
      <w:r w:rsidR="00D07701" w:rsidRPr="00662A75">
        <w:rPr>
          <w:rFonts w:ascii="Arial" w:hAnsi="Arial" w:cs="Arial"/>
          <w:color w:val="000000"/>
          <w:sz w:val="22"/>
          <w:szCs w:val="22"/>
        </w:rPr>
        <w:t xml:space="preserve">. I opted not to send the survey directly </w:t>
      </w:r>
      <w:r w:rsidR="00B67F1C" w:rsidRPr="00662A75">
        <w:rPr>
          <w:rFonts w:ascii="Arial" w:hAnsi="Arial" w:cs="Arial"/>
          <w:color w:val="000000"/>
          <w:sz w:val="22"/>
          <w:szCs w:val="22"/>
        </w:rPr>
        <w:t xml:space="preserve">to neurodiversity groups, </w:t>
      </w:r>
      <w:r w:rsidR="00D07701" w:rsidRPr="00662A75">
        <w:rPr>
          <w:rFonts w:ascii="Arial" w:hAnsi="Arial" w:cs="Arial"/>
          <w:color w:val="000000"/>
          <w:sz w:val="22"/>
          <w:szCs w:val="22"/>
        </w:rPr>
        <w:t>to mitigate the risk of social profiling which could cause harm or offence.</w:t>
      </w:r>
    </w:p>
    <w:p w14:paraId="401E3832" w14:textId="182FA8E1" w:rsidR="00D07701" w:rsidRPr="00662A75" w:rsidRDefault="00D07701" w:rsidP="00662A75">
      <w:pPr>
        <w:pStyle w:val="NormalWeb"/>
        <w:spacing w:before="0" w:beforeAutospacing="0" w:after="160" w:afterAutospacing="0" w:line="360" w:lineRule="auto"/>
        <w:rPr>
          <w:rFonts w:ascii="Arial" w:hAnsi="Arial" w:cs="Arial"/>
          <w:sz w:val="22"/>
          <w:szCs w:val="22"/>
        </w:rPr>
      </w:pPr>
      <w:r w:rsidRPr="00662A75">
        <w:rPr>
          <w:rFonts w:ascii="Arial" w:hAnsi="Arial" w:cs="Arial"/>
          <w:noProof/>
          <w:color w:val="000000"/>
          <w:sz w:val="22"/>
          <w:szCs w:val="22"/>
          <w:bdr w:val="none" w:sz="0" w:space="0" w:color="auto" w:frame="1"/>
        </w:rPr>
        <w:drawing>
          <wp:inline distT="0" distB="0" distL="0" distR="0" wp14:anchorId="26A73B40" wp14:editId="48DBA777">
            <wp:extent cx="5731510" cy="132270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1322705"/>
                    </a:xfrm>
                    <a:prstGeom prst="rect">
                      <a:avLst/>
                    </a:prstGeom>
                    <a:noFill/>
                    <a:ln>
                      <a:noFill/>
                    </a:ln>
                  </pic:spPr>
                </pic:pic>
              </a:graphicData>
            </a:graphic>
          </wp:inline>
        </w:drawing>
      </w:r>
      <w:r w:rsidRPr="00662A75">
        <w:rPr>
          <w:rFonts w:ascii="Arial" w:hAnsi="Arial" w:cs="Arial"/>
          <w:color w:val="000000"/>
          <w:sz w:val="22"/>
          <w:szCs w:val="22"/>
        </w:rPr>
        <w:t> </w:t>
      </w:r>
    </w:p>
    <w:p w14:paraId="4FC6CA3E" w14:textId="77777777" w:rsidR="00D07701" w:rsidRPr="00662A75" w:rsidRDefault="00D07701" w:rsidP="00662A75">
      <w:pPr>
        <w:pStyle w:val="Heading4"/>
        <w:spacing w:line="360" w:lineRule="auto"/>
        <w:rPr>
          <w:rFonts w:ascii="Arial" w:hAnsi="Arial" w:cs="Arial"/>
        </w:rPr>
      </w:pPr>
      <w:r w:rsidRPr="00662A75">
        <w:rPr>
          <w:rFonts w:ascii="Arial" w:hAnsi="Arial" w:cs="Arial"/>
        </w:rPr>
        <w:t>Ethical considerations of Questionnaire participants </w:t>
      </w:r>
    </w:p>
    <w:p w14:paraId="184989F6" w14:textId="37B62A7E" w:rsidR="00D07701" w:rsidRPr="00662A75" w:rsidRDefault="00D07701" w:rsidP="00662A75">
      <w:pPr>
        <w:pStyle w:val="NormalWeb"/>
        <w:spacing w:before="0" w:beforeAutospacing="0" w:after="160" w:afterAutospacing="0" w:line="360" w:lineRule="auto"/>
        <w:rPr>
          <w:rFonts w:ascii="Arial" w:hAnsi="Arial" w:cs="Arial"/>
          <w:sz w:val="22"/>
          <w:szCs w:val="22"/>
        </w:rPr>
      </w:pPr>
      <w:r w:rsidRPr="00662A75">
        <w:rPr>
          <w:rFonts w:ascii="Arial" w:hAnsi="Arial" w:cs="Arial"/>
          <w:color w:val="000000"/>
          <w:sz w:val="22"/>
          <w:szCs w:val="22"/>
        </w:rPr>
        <w:t>All participants were volunteers and were not given compensation for their participation</w:t>
      </w:r>
      <w:r w:rsidR="00ED42A1" w:rsidRPr="00662A75">
        <w:rPr>
          <w:rFonts w:ascii="Arial" w:hAnsi="Arial" w:cs="Arial"/>
          <w:color w:val="000000"/>
          <w:sz w:val="22"/>
          <w:szCs w:val="22"/>
        </w:rPr>
        <w:t xml:space="preserve"> to</w:t>
      </w:r>
      <w:r w:rsidRPr="00662A75">
        <w:rPr>
          <w:rFonts w:ascii="Arial" w:hAnsi="Arial" w:cs="Arial"/>
          <w:color w:val="000000"/>
          <w:sz w:val="22"/>
          <w:szCs w:val="22"/>
        </w:rPr>
        <w:t xml:space="preserve"> mitigate against influence to participate. All were directed to Participant information sheets at the start of the survey</w:t>
      </w:r>
      <w:r w:rsidR="0010567E" w:rsidRPr="00662A75">
        <w:rPr>
          <w:rFonts w:ascii="Arial" w:hAnsi="Arial" w:cs="Arial"/>
          <w:color w:val="000000"/>
          <w:sz w:val="22"/>
          <w:szCs w:val="22"/>
        </w:rPr>
        <w:t xml:space="preserve"> (</w:t>
      </w:r>
      <w:r w:rsidR="00C9684F" w:rsidRPr="00662A75">
        <w:rPr>
          <w:rFonts w:ascii="Arial" w:hAnsi="Arial" w:cs="Arial"/>
          <w:color w:val="000000"/>
          <w:sz w:val="22"/>
          <w:szCs w:val="22"/>
        </w:rPr>
        <w:t>A</w:t>
      </w:r>
      <w:r w:rsidR="0010567E" w:rsidRPr="00662A75">
        <w:rPr>
          <w:rFonts w:ascii="Arial" w:hAnsi="Arial" w:cs="Arial"/>
          <w:color w:val="000000"/>
          <w:sz w:val="22"/>
          <w:szCs w:val="22"/>
        </w:rPr>
        <w:t>ppendix</w:t>
      </w:r>
      <w:r w:rsidR="00C9684F" w:rsidRPr="00662A75">
        <w:rPr>
          <w:rFonts w:ascii="Arial" w:hAnsi="Arial" w:cs="Arial"/>
          <w:color w:val="000000"/>
          <w:sz w:val="22"/>
          <w:szCs w:val="22"/>
        </w:rPr>
        <w:t xml:space="preserve"> 5</w:t>
      </w:r>
      <w:r w:rsidR="0010567E" w:rsidRPr="00662A75">
        <w:rPr>
          <w:rFonts w:ascii="Arial" w:hAnsi="Arial" w:cs="Arial"/>
          <w:color w:val="000000"/>
          <w:sz w:val="22"/>
          <w:szCs w:val="22"/>
        </w:rPr>
        <w:t>)</w:t>
      </w:r>
      <w:r w:rsidR="00D95A18" w:rsidRPr="00662A75">
        <w:rPr>
          <w:rFonts w:ascii="Arial" w:hAnsi="Arial" w:cs="Arial"/>
          <w:color w:val="000000"/>
          <w:sz w:val="22"/>
          <w:szCs w:val="22"/>
        </w:rPr>
        <w:t xml:space="preserve"> via hyperlink toa secure google drive</w:t>
      </w:r>
      <w:r w:rsidRPr="00662A75">
        <w:rPr>
          <w:rFonts w:ascii="Arial" w:hAnsi="Arial" w:cs="Arial"/>
          <w:color w:val="000000"/>
          <w:sz w:val="22"/>
          <w:szCs w:val="22"/>
        </w:rPr>
        <w:t xml:space="preserve">. </w:t>
      </w:r>
      <w:r w:rsidR="0010567E" w:rsidRPr="00662A75">
        <w:rPr>
          <w:rFonts w:ascii="Arial" w:hAnsi="Arial" w:cs="Arial"/>
          <w:color w:val="000000"/>
          <w:sz w:val="22"/>
          <w:szCs w:val="22"/>
        </w:rPr>
        <w:t>These were</w:t>
      </w:r>
      <w:r w:rsidRPr="00662A75">
        <w:rPr>
          <w:rFonts w:ascii="Arial" w:hAnsi="Arial" w:cs="Arial"/>
          <w:color w:val="000000"/>
          <w:sz w:val="22"/>
          <w:szCs w:val="22"/>
        </w:rPr>
        <w:t xml:space="preserve"> available in both audio form, a</w:t>
      </w:r>
      <w:r w:rsidR="0010567E" w:rsidRPr="00662A75">
        <w:rPr>
          <w:rFonts w:ascii="Arial" w:hAnsi="Arial" w:cs="Arial"/>
          <w:color w:val="000000"/>
          <w:sz w:val="22"/>
          <w:szCs w:val="22"/>
        </w:rPr>
        <w:t>longside a</w:t>
      </w:r>
      <w:r w:rsidRPr="00662A75">
        <w:rPr>
          <w:rFonts w:ascii="Arial" w:hAnsi="Arial" w:cs="Arial"/>
          <w:color w:val="000000"/>
          <w:sz w:val="22"/>
          <w:szCs w:val="22"/>
        </w:rPr>
        <w:t xml:space="preserve"> version for adults and for children. </w:t>
      </w:r>
    </w:p>
    <w:p w14:paraId="41CB7AF1" w14:textId="39192474" w:rsidR="00C06964" w:rsidRPr="00662A75" w:rsidRDefault="00D07701" w:rsidP="00662A75">
      <w:pPr>
        <w:pStyle w:val="NormalWeb"/>
        <w:spacing w:line="360" w:lineRule="auto"/>
        <w:rPr>
          <w:rFonts w:ascii="Arial" w:hAnsi="Arial" w:cs="Arial"/>
          <w:sz w:val="22"/>
          <w:szCs w:val="22"/>
        </w:rPr>
      </w:pPr>
      <w:r w:rsidRPr="00662A75">
        <w:rPr>
          <w:rFonts w:ascii="Arial" w:hAnsi="Arial" w:cs="Arial"/>
          <w:color w:val="000000"/>
          <w:sz w:val="22"/>
          <w:szCs w:val="22"/>
        </w:rPr>
        <w:t>As this questionnaire was enquiring to their personal experiences, there was the chance this could cause emotional distress</w:t>
      </w:r>
      <w:r w:rsidR="00D95A18" w:rsidRPr="00662A75">
        <w:rPr>
          <w:rFonts w:ascii="Arial" w:hAnsi="Arial" w:cs="Arial"/>
          <w:sz w:val="22"/>
          <w:szCs w:val="22"/>
        </w:rPr>
        <w:t>, i</w:t>
      </w:r>
      <w:r w:rsidR="00190DB5" w:rsidRPr="00662A75">
        <w:rPr>
          <w:rFonts w:ascii="Arial" w:hAnsi="Arial" w:cs="Arial"/>
          <w:sz w:val="22"/>
          <w:szCs w:val="22"/>
        </w:rPr>
        <w:t>f the experience was personally negative for them</w:t>
      </w:r>
      <w:r w:rsidRPr="00662A75">
        <w:rPr>
          <w:rFonts w:ascii="Arial" w:hAnsi="Arial" w:cs="Arial"/>
          <w:color w:val="000000"/>
          <w:sz w:val="22"/>
          <w:szCs w:val="22"/>
        </w:rPr>
        <w:t xml:space="preserve">. </w:t>
      </w:r>
      <w:r w:rsidR="00F12E33" w:rsidRPr="00662A75">
        <w:rPr>
          <w:rFonts w:ascii="Arial" w:hAnsi="Arial" w:cs="Arial"/>
          <w:sz w:val="22"/>
          <w:szCs w:val="22"/>
        </w:rPr>
        <w:t xml:space="preserve">To </w:t>
      </w:r>
      <w:r w:rsidR="00F12E33" w:rsidRPr="00662A75">
        <w:rPr>
          <w:rFonts w:ascii="Arial" w:hAnsi="Arial" w:cs="Arial"/>
          <w:sz w:val="22"/>
          <w:szCs w:val="22"/>
        </w:rPr>
        <w:lastRenderedPageBreak/>
        <w:t>mitigate this risk, I included support links in the information sheet and ensured participants felt free to leave the questionnaire without pressure</w:t>
      </w:r>
    </w:p>
    <w:p w14:paraId="1B53F367" w14:textId="32E869E2" w:rsidR="00D07701" w:rsidRPr="00662A75" w:rsidRDefault="00D07701" w:rsidP="00662A75">
      <w:pPr>
        <w:pStyle w:val="Heading4"/>
        <w:spacing w:line="360" w:lineRule="auto"/>
        <w:rPr>
          <w:rFonts w:ascii="Arial" w:hAnsi="Arial" w:cs="Arial"/>
        </w:rPr>
      </w:pPr>
      <w:r w:rsidRPr="00662A75">
        <w:rPr>
          <w:rFonts w:ascii="Arial" w:hAnsi="Arial" w:cs="Arial"/>
        </w:rPr>
        <w:t>Questionnaire Design and administration</w:t>
      </w:r>
    </w:p>
    <w:p w14:paraId="4811D6A9" w14:textId="77777777" w:rsidR="00FE5A07" w:rsidRPr="00662A75" w:rsidRDefault="00FE5A07" w:rsidP="00662A75">
      <w:pPr>
        <w:pStyle w:val="NormalWeb"/>
        <w:spacing w:line="360" w:lineRule="auto"/>
        <w:rPr>
          <w:rFonts w:ascii="Arial" w:hAnsi="Arial" w:cs="Arial"/>
          <w:sz w:val="22"/>
          <w:szCs w:val="22"/>
        </w:rPr>
      </w:pPr>
      <w:r w:rsidRPr="00662A75">
        <w:rPr>
          <w:rFonts w:ascii="Arial" w:hAnsi="Arial" w:cs="Arial"/>
          <w:sz w:val="22"/>
          <w:szCs w:val="22"/>
        </w:rPr>
        <w:t>To ensure accessibility, I used "Voice Form" software for the questionnaire, requiring no personal data and enabling easy sharing via a link. Responses were securely stored on an encrypted hard drive. The software followed BDA accessibility guidelines (Appendix 4), with audio clips for questions and answers to assist those with reading or writing difficulties. The full questionnaire and its logic flow are in the appendix (Appendix 6), designed to capture key qualitative data (Smith, J.A., 2015).</w:t>
      </w:r>
    </w:p>
    <w:p w14:paraId="5EB0402C" w14:textId="77777777" w:rsidR="00591F35" w:rsidRPr="00591F35" w:rsidRDefault="00591F35" w:rsidP="00662A75">
      <w:pPr>
        <w:spacing w:line="360" w:lineRule="auto"/>
        <w:rPr>
          <w:rFonts w:ascii="Arial" w:eastAsia="Times New Roman" w:hAnsi="Arial" w:cs="Arial"/>
          <w:kern w:val="0"/>
          <w:lang w:eastAsia="en-GB"/>
          <w14:ligatures w14:val="none"/>
        </w:rPr>
      </w:pPr>
      <w:r w:rsidRPr="00591F35">
        <w:rPr>
          <w:rFonts w:ascii="Arial" w:eastAsia="Times New Roman" w:hAnsi="Arial" w:cs="Arial"/>
          <w:i/>
          <w:iCs/>
          <w:color w:val="000000"/>
          <w:kern w:val="0"/>
          <w:lang w:eastAsia="en-GB"/>
          <w14:ligatures w14:val="none"/>
        </w:rPr>
        <w:t>TABLE: Subject areas I aimed to collect Quantitative Data from, from this research Survey</w:t>
      </w:r>
    </w:p>
    <w:tbl>
      <w:tblPr>
        <w:tblW w:w="9360" w:type="dxa"/>
        <w:tblCellMar>
          <w:top w:w="15" w:type="dxa"/>
          <w:left w:w="15" w:type="dxa"/>
          <w:bottom w:w="15" w:type="dxa"/>
          <w:right w:w="15" w:type="dxa"/>
        </w:tblCellMar>
        <w:tblLook w:val="04A0" w:firstRow="1" w:lastRow="0" w:firstColumn="1" w:lastColumn="0" w:noHBand="0" w:noVBand="1"/>
      </w:tblPr>
      <w:tblGrid>
        <w:gridCol w:w="9360"/>
      </w:tblGrid>
      <w:tr w:rsidR="00591F35" w:rsidRPr="00591F35" w14:paraId="0DC404E3" w14:textId="77777777" w:rsidTr="00591F35">
        <w:tc>
          <w:tcPr>
            <w:tcW w:w="0" w:type="auto"/>
            <w:tcBorders>
              <w:top w:val="single" w:sz="6" w:space="0" w:color="000000"/>
              <w:left w:val="single" w:sz="6" w:space="0" w:color="000000"/>
              <w:bottom w:val="single" w:sz="6" w:space="0" w:color="000000"/>
              <w:right w:val="single" w:sz="6" w:space="0" w:color="000000"/>
            </w:tcBorders>
            <w:shd w:val="clear" w:color="auto" w:fill="D9D9D9"/>
            <w:tcMar>
              <w:top w:w="100" w:type="dxa"/>
              <w:left w:w="100" w:type="dxa"/>
              <w:bottom w:w="100" w:type="dxa"/>
              <w:right w:w="100" w:type="dxa"/>
            </w:tcMar>
            <w:hideMark/>
          </w:tcPr>
          <w:p w14:paraId="2A9ABFFD" w14:textId="77777777" w:rsidR="00591F35" w:rsidRPr="00591F35" w:rsidRDefault="00591F35" w:rsidP="00662A75">
            <w:pPr>
              <w:spacing w:after="0" w:line="360" w:lineRule="auto"/>
              <w:rPr>
                <w:rFonts w:ascii="Arial" w:eastAsia="Times New Roman" w:hAnsi="Arial" w:cs="Arial"/>
                <w:kern w:val="0"/>
                <w:lang w:eastAsia="en-GB"/>
                <w14:ligatures w14:val="none"/>
              </w:rPr>
            </w:pPr>
            <w:r w:rsidRPr="00591F35">
              <w:rPr>
                <w:rFonts w:ascii="Arial" w:eastAsia="Times New Roman" w:hAnsi="Arial" w:cs="Arial"/>
                <w:b/>
                <w:bCs/>
                <w:color w:val="000000"/>
                <w:kern w:val="0"/>
                <w:lang w:eastAsia="en-GB"/>
                <w14:ligatures w14:val="none"/>
              </w:rPr>
              <w:t>Objectives of Subject Area of Quantitative data </w:t>
            </w:r>
          </w:p>
        </w:tc>
      </w:tr>
      <w:tr w:rsidR="00591F35" w:rsidRPr="00591F35" w14:paraId="6A5FC30B" w14:textId="77777777" w:rsidTr="00591F35">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33FC1FE1" w14:textId="77777777" w:rsidR="00591F35" w:rsidRPr="00591F35" w:rsidRDefault="00591F35" w:rsidP="00662A75">
            <w:pPr>
              <w:spacing w:after="0" w:line="360" w:lineRule="auto"/>
              <w:rPr>
                <w:rFonts w:ascii="Arial" w:eastAsia="Times New Roman" w:hAnsi="Arial" w:cs="Arial"/>
                <w:kern w:val="0"/>
                <w:lang w:eastAsia="en-GB"/>
                <w14:ligatures w14:val="none"/>
              </w:rPr>
            </w:pPr>
            <w:r w:rsidRPr="00591F35">
              <w:rPr>
                <w:rFonts w:ascii="Arial" w:eastAsia="Times New Roman" w:hAnsi="Arial" w:cs="Arial"/>
                <w:color w:val="000000"/>
                <w:kern w:val="0"/>
                <w:lang w:eastAsia="en-GB"/>
                <w14:ligatures w14:val="none"/>
              </w:rPr>
              <w:t>Introduction, Eligibility and consent</w:t>
            </w:r>
          </w:p>
        </w:tc>
      </w:tr>
      <w:tr w:rsidR="00591F35" w:rsidRPr="00591F35" w14:paraId="4D12EEA9" w14:textId="77777777" w:rsidTr="00591F35">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76CA61B2" w14:textId="77777777" w:rsidR="00591F35" w:rsidRPr="00591F35" w:rsidRDefault="00591F35" w:rsidP="00662A75">
            <w:pPr>
              <w:spacing w:after="0" w:line="360" w:lineRule="auto"/>
              <w:rPr>
                <w:rFonts w:ascii="Arial" w:eastAsia="Times New Roman" w:hAnsi="Arial" w:cs="Arial"/>
                <w:kern w:val="0"/>
                <w:lang w:eastAsia="en-GB"/>
                <w14:ligatures w14:val="none"/>
              </w:rPr>
            </w:pPr>
            <w:r w:rsidRPr="00591F35">
              <w:rPr>
                <w:rFonts w:ascii="Arial" w:eastAsia="Times New Roman" w:hAnsi="Arial" w:cs="Arial"/>
                <w:color w:val="000000"/>
                <w:kern w:val="0"/>
                <w:lang w:eastAsia="en-GB"/>
                <w14:ligatures w14:val="none"/>
              </w:rPr>
              <w:t>Demographic information- Identification as Dyslexic Status, Age and Singing Teaching Status, Status as a Singer and Student of Singing </w:t>
            </w:r>
          </w:p>
        </w:tc>
      </w:tr>
      <w:tr w:rsidR="00591F35" w:rsidRPr="00591F35" w14:paraId="34966B0D" w14:textId="77777777" w:rsidTr="00591F35">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6A5AB31E" w14:textId="77777777" w:rsidR="00591F35" w:rsidRPr="00591F35" w:rsidRDefault="00591F35" w:rsidP="00662A75">
            <w:pPr>
              <w:spacing w:after="0" w:line="360" w:lineRule="auto"/>
              <w:rPr>
                <w:rFonts w:ascii="Arial" w:eastAsia="Times New Roman" w:hAnsi="Arial" w:cs="Arial"/>
                <w:kern w:val="0"/>
                <w:lang w:eastAsia="en-GB"/>
                <w14:ligatures w14:val="none"/>
              </w:rPr>
            </w:pPr>
            <w:r w:rsidRPr="00591F35">
              <w:rPr>
                <w:rFonts w:ascii="Arial" w:eastAsia="Times New Roman" w:hAnsi="Arial" w:cs="Arial"/>
                <w:color w:val="000000"/>
                <w:kern w:val="0"/>
                <w:lang w:eastAsia="en-GB"/>
                <w14:ligatures w14:val="none"/>
              </w:rPr>
              <w:t>What elements of a singing lesson do they find enjoyable</w:t>
            </w:r>
          </w:p>
        </w:tc>
      </w:tr>
      <w:tr w:rsidR="00591F35" w:rsidRPr="00591F35" w14:paraId="4F1FB6C2" w14:textId="77777777" w:rsidTr="00591F35">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995B3CF" w14:textId="77777777" w:rsidR="00591F35" w:rsidRPr="00591F35" w:rsidRDefault="00591F35" w:rsidP="00662A75">
            <w:pPr>
              <w:spacing w:after="0" w:line="360" w:lineRule="auto"/>
              <w:rPr>
                <w:rFonts w:ascii="Arial" w:eastAsia="Times New Roman" w:hAnsi="Arial" w:cs="Arial"/>
                <w:kern w:val="0"/>
                <w:lang w:eastAsia="en-GB"/>
                <w14:ligatures w14:val="none"/>
              </w:rPr>
            </w:pPr>
            <w:r w:rsidRPr="00591F35">
              <w:rPr>
                <w:rFonts w:ascii="Arial" w:eastAsia="Times New Roman" w:hAnsi="Arial" w:cs="Arial"/>
                <w:color w:val="000000"/>
                <w:kern w:val="0"/>
                <w:lang w:eastAsia="en-GB"/>
                <w14:ligatures w14:val="none"/>
              </w:rPr>
              <w:t>Personal perspective if Dyslexia Impacts learning -Both Negative and Positives</w:t>
            </w:r>
          </w:p>
        </w:tc>
      </w:tr>
      <w:tr w:rsidR="00591F35" w:rsidRPr="00591F35" w14:paraId="069C8BB9" w14:textId="77777777" w:rsidTr="00591F35">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EB310EA" w14:textId="77777777" w:rsidR="00591F35" w:rsidRPr="00591F35" w:rsidRDefault="00591F35" w:rsidP="00662A75">
            <w:pPr>
              <w:spacing w:after="0" w:line="360" w:lineRule="auto"/>
              <w:rPr>
                <w:rFonts w:ascii="Arial" w:eastAsia="Times New Roman" w:hAnsi="Arial" w:cs="Arial"/>
                <w:kern w:val="0"/>
                <w:lang w:eastAsia="en-GB"/>
                <w14:ligatures w14:val="none"/>
              </w:rPr>
            </w:pPr>
            <w:r w:rsidRPr="00591F35">
              <w:rPr>
                <w:rFonts w:ascii="Arial" w:eastAsia="Times New Roman" w:hAnsi="Arial" w:cs="Arial"/>
                <w:color w:val="000000"/>
                <w:kern w:val="0"/>
                <w:lang w:eastAsia="en-GB"/>
                <w14:ligatures w14:val="none"/>
              </w:rPr>
              <w:t>Elements of a lesson they find Easy and Hard to do within a singing lesson</w:t>
            </w:r>
          </w:p>
        </w:tc>
      </w:tr>
      <w:tr w:rsidR="00591F35" w:rsidRPr="00591F35" w14:paraId="6EBA4906" w14:textId="77777777" w:rsidTr="00591F35">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3EA8D9DA" w14:textId="77777777" w:rsidR="00591F35" w:rsidRPr="00591F35" w:rsidRDefault="00591F35" w:rsidP="00662A75">
            <w:pPr>
              <w:spacing w:after="0" w:line="360" w:lineRule="auto"/>
              <w:rPr>
                <w:rFonts w:ascii="Arial" w:eastAsia="Times New Roman" w:hAnsi="Arial" w:cs="Arial"/>
                <w:kern w:val="0"/>
                <w:lang w:eastAsia="en-GB"/>
                <w14:ligatures w14:val="none"/>
              </w:rPr>
            </w:pPr>
            <w:r w:rsidRPr="00591F35">
              <w:rPr>
                <w:rFonts w:ascii="Arial" w:eastAsia="Times New Roman" w:hAnsi="Arial" w:cs="Arial"/>
                <w:color w:val="000000"/>
                <w:kern w:val="0"/>
                <w:lang w:eastAsia="en-GB"/>
                <w14:ligatures w14:val="none"/>
              </w:rPr>
              <w:t>Reflection on anxiety levels when learning a new song </w:t>
            </w:r>
          </w:p>
        </w:tc>
      </w:tr>
      <w:tr w:rsidR="00591F35" w:rsidRPr="00591F35" w14:paraId="6BE4FDD5" w14:textId="77777777" w:rsidTr="00591F35">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7B905A4C" w14:textId="77777777" w:rsidR="00591F35" w:rsidRPr="00591F35" w:rsidRDefault="00591F35" w:rsidP="00662A75">
            <w:pPr>
              <w:spacing w:after="0" w:line="360" w:lineRule="auto"/>
              <w:rPr>
                <w:rFonts w:ascii="Arial" w:eastAsia="Times New Roman" w:hAnsi="Arial" w:cs="Arial"/>
                <w:kern w:val="0"/>
                <w:lang w:eastAsia="en-GB"/>
                <w14:ligatures w14:val="none"/>
              </w:rPr>
            </w:pPr>
            <w:r w:rsidRPr="00591F35">
              <w:rPr>
                <w:rFonts w:ascii="Arial" w:eastAsia="Times New Roman" w:hAnsi="Arial" w:cs="Arial"/>
                <w:color w:val="000000"/>
                <w:kern w:val="0"/>
                <w:lang w:eastAsia="en-GB"/>
                <w14:ligatures w14:val="none"/>
              </w:rPr>
              <w:t>Reflection on Activities that cause frustration </w:t>
            </w:r>
          </w:p>
        </w:tc>
      </w:tr>
      <w:tr w:rsidR="00591F35" w:rsidRPr="00591F35" w14:paraId="2BFBC01F" w14:textId="77777777" w:rsidTr="00591F35">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4AEAC7B1" w14:textId="77777777" w:rsidR="00591F35" w:rsidRPr="00591F35" w:rsidRDefault="00591F35" w:rsidP="00662A75">
            <w:pPr>
              <w:spacing w:after="0" w:line="360" w:lineRule="auto"/>
              <w:rPr>
                <w:rFonts w:ascii="Arial" w:eastAsia="Times New Roman" w:hAnsi="Arial" w:cs="Arial"/>
                <w:kern w:val="0"/>
                <w:lang w:eastAsia="en-GB"/>
                <w14:ligatures w14:val="none"/>
              </w:rPr>
            </w:pPr>
            <w:r w:rsidRPr="00591F35">
              <w:rPr>
                <w:rFonts w:ascii="Arial" w:eastAsia="Times New Roman" w:hAnsi="Arial" w:cs="Arial"/>
                <w:color w:val="000000"/>
                <w:kern w:val="0"/>
                <w:lang w:eastAsia="en-GB"/>
                <w14:ligatures w14:val="none"/>
              </w:rPr>
              <w:t>What would make a singing lesson easier from their perspective</w:t>
            </w:r>
          </w:p>
        </w:tc>
      </w:tr>
      <w:tr w:rsidR="00591F35" w:rsidRPr="00591F35" w14:paraId="2CA75187" w14:textId="77777777" w:rsidTr="00591F35">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74063189" w14:textId="77777777" w:rsidR="00591F35" w:rsidRPr="00591F35" w:rsidRDefault="00591F35" w:rsidP="00662A75">
            <w:pPr>
              <w:spacing w:after="0" w:line="360" w:lineRule="auto"/>
              <w:rPr>
                <w:rFonts w:ascii="Arial" w:eastAsia="Times New Roman" w:hAnsi="Arial" w:cs="Arial"/>
                <w:kern w:val="0"/>
                <w:lang w:eastAsia="en-GB"/>
                <w14:ligatures w14:val="none"/>
              </w:rPr>
            </w:pPr>
            <w:r w:rsidRPr="00591F35">
              <w:rPr>
                <w:rFonts w:ascii="Arial" w:eastAsia="Times New Roman" w:hAnsi="Arial" w:cs="Arial"/>
                <w:color w:val="000000"/>
                <w:kern w:val="0"/>
                <w:lang w:eastAsia="en-GB"/>
                <w14:ligatures w14:val="none"/>
              </w:rPr>
              <w:t>Using visual aids, Sheet music and Notation when learning song</w:t>
            </w:r>
          </w:p>
        </w:tc>
      </w:tr>
      <w:tr w:rsidR="00591F35" w:rsidRPr="00591F35" w14:paraId="6114F247" w14:textId="77777777" w:rsidTr="00591F35">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9EF6C28" w14:textId="77777777" w:rsidR="00591F35" w:rsidRPr="00591F35" w:rsidRDefault="00591F35" w:rsidP="00662A75">
            <w:pPr>
              <w:spacing w:after="0" w:line="360" w:lineRule="auto"/>
              <w:rPr>
                <w:rFonts w:ascii="Arial" w:eastAsia="Times New Roman" w:hAnsi="Arial" w:cs="Arial"/>
                <w:kern w:val="0"/>
                <w:lang w:eastAsia="en-GB"/>
                <w14:ligatures w14:val="none"/>
              </w:rPr>
            </w:pPr>
            <w:r w:rsidRPr="00591F35">
              <w:rPr>
                <w:rFonts w:ascii="Arial" w:eastAsia="Times New Roman" w:hAnsi="Arial" w:cs="Arial"/>
                <w:color w:val="000000"/>
                <w:kern w:val="0"/>
                <w:lang w:eastAsia="en-GB"/>
                <w14:ligatures w14:val="none"/>
              </w:rPr>
              <w:t>Personal thoughts around barriers to learning, in context of Dyslexia and learning to sing</w:t>
            </w:r>
          </w:p>
        </w:tc>
      </w:tr>
      <w:tr w:rsidR="00591F35" w:rsidRPr="00591F35" w14:paraId="2E267A37" w14:textId="77777777" w:rsidTr="00591F35">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7B9F6D06" w14:textId="77777777" w:rsidR="00591F35" w:rsidRPr="00591F35" w:rsidRDefault="00591F35" w:rsidP="00662A75">
            <w:pPr>
              <w:spacing w:after="0" w:line="360" w:lineRule="auto"/>
              <w:rPr>
                <w:rFonts w:ascii="Arial" w:eastAsia="Times New Roman" w:hAnsi="Arial" w:cs="Arial"/>
                <w:kern w:val="0"/>
                <w:lang w:eastAsia="en-GB"/>
                <w14:ligatures w14:val="none"/>
              </w:rPr>
            </w:pPr>
            <w:r w:rsidRPr="00591F35">
              <w:rPr>
                <w:rFonts w:ascii="Arial" w:eastAsia="Times New Roman" w:hAnsi="Arial" w:cs="Arial"/>
                <w:color w:val="000000"/>
                <w:kern w:val="0"/>
                <w:lang w:eastAsia="en-GB"/>
                <w14:ligatures w14:val="none"/>
              </w:rPr>
              <w:t>Any further thoughts </w:t>
            </w:r>
          </w:p>
        </w:tc>
      </w:tr>
    </w:tbl>
    <w:p w14:paraId="640C3463" w14:textId="77777777" w:rsidR="00782A77" w:rsidRPr="00662A75" w:rsidRDefault="00782A77" w:rsidP="00662A75">
      <w:pPr>
        <w:pStyle w:val="NormalWeb"/>
        <w:spacing w:line="360" w:lineRule="auto"/>
        <w:rPr>
          <w:rFonts w:ascii="Arial" w:hAnsi="Arial" w:cs="Arial"/>
          <w:sz w:val="22"/>
          <w:szCs w:val="22"/>
        </w:rPr>
      </w:pPr>
      <w:r w:rsidRPr="00662A75">
        <w:rPr>
          <w:rFonts w:ascii="Arial" w:hAnsi="Arial" w:cs="Arial"/>
          <w:sz w:val="22"/>
          <w:szCs w:val="22"/>
        </w:rPr>
        <w:t xml:space="preserve">The survey's first section determined eligibility, clarified the research aim, and explained the withdrawal process. It gathered age data, then asked about singing experience, one-to-one lessons, and reflections. Closed questions focused responses, while open-ended prompts </w:t>
      </w:r>
      <w:r w:rsidRPr="00662A75">
        <w:rPr>
          <w:rFonts w:ascii="Arial" w:hAnsi="Arial" w:cs="Arial"/>
          <w:sz w:val="22"/>
          <w:szCs w:val="22"/>
        </w:rPr>
        <w:lastRenderedPageBreak/>
        <w:t>captured detailed insights, emphasizing positive experiences to balance common negative ones reported by dyslexic individuals.</w:t>
      </w:r>
    </w:p>
    <w:p w14:paraId="7052E193" w14:textId="6166B99E" w:rsidR="009C44EC" w:rsidRPr="00662A75" w:rsidRDefault="009C44EC" w:rsidP="00662A75">
      <w:pPr>
        <w:pStyle w:val="NormalWeb"/>
        <w:spacing w:line="360" w:lineRule="auto"/>
        <w:rPr>
          <w:rFonts w:ascii="Arial" w:hAnsi="Arial" w:cs="Arial"/>
          <w:sz w:val="22"/>
          <w:szCs w:val="22"/>
        </w:rPr>
      </w:pPr>
      <w:r w:rsidRPr="00662A75">
        <w:rPr>
          <w:rFonts w:ascii="Arial" w:hAnsi="Arial" w:cs="Arial"/>
          <w:sz w:val="22"/>
          <w:szCs w:val="22"/>
        </w:rPr>
        <w:t xml:space="preserve">The survey was open for three weeks, after which responses were anonymized and </w:t>
      </w:r>
      <w:proofErr w:type="spellStart"/>
      <w:r w:rsidRPr="00662A75">
        <w:rPr>
          <w:rFonts w:ascii="Arial" w:hAnsi="Arial" w:cs="Arial"/>
          <w:sz w:val="22"/>
          <w:szCs w:val="22"/>
        </w:rPr>
        <w:t>analyzed</w:t>
      </w:r>
      <w:proofErr w:type="spellEnd"/>
      <w:r w:rsidRPr="00662A75">
        <w:rPr>
          <w:rFonts w:ascii="Arial" w:hAnsi="Arial" w:cs="Arial"/>
          <w:sz w:val="22"/>
          <w:szCs w:val="22"/>
        </w:rPr>
        <w:t xml:space="preserve"> using inductive coding with </w:t>
      </w:r>
      <w:proofErr w:type="spellStart"/>
      <w:r w:rsidRPr="00662A75">
        <w:rPr>
          <w:rFonts w:ascii="Arial" w:hAnsi="Arial" w:cs="Arial"/>
          <w:sz w:val="22"/>
          <w:szCs w:val="22"/>
        </w:rPr>
        <w:t>Quirkos</w:t>
      </w:r>
      <w:proofErr w:type="spellEnd"/>
      <w:r w:rsidR="00F91C0B">
        <w:rPr>
          <w:rFonts w:ascii="Arial" w:hAnsi="Arial" w:cs="Arial"/>
          <w:sz w:val="22"/>
          <w:szCs w:val="22"/>
        </w:rPr>
        <w:t>.</w:t>
      </w:r>
      <w:r w:rsidRPr="00662A75">
        <w:rPr>
          <w:rFonts w:ascii="Arial" w:hAnsi="Arial" w:cs="Arial"/>
          <w:sz w:val="22"/>
          <w:szCs w:val="22"/>
        </w:rPr>
        <w:t xml:space="preserve"> The mode response informed the case study design, focusing on the most enjoyable, easiest, and hardest aspects of lessons. A copy of the questionnaire is in the appendices</w:t>
      </w:r>
      <w:r w:rsidR="00BD1ADE" w:rsidRPr="00662A75">
        <w:rPr>
          <w:rFonts w:ascii="Arial" w:hAnsi="Arial" w:cs="Arial"/>
          <w:sz w:val="22"/>
          <w:szCs w:val="22"/>
        </w:rPr>
        <w:t xml:space="preserve"> (Appendix 6)</w:t>
      </w:r>
      <w:r w:rsidRPr="00662A75">
        <w:rPr>
          <w:rFonts w:ascii="Arial" w:hAnsi="Arial" w:cs="Arial"/>
          <w:sz w:val="22"/>
          <w:szCs w:val="22"/>
        </w:rPr>
        <w:t>.</w:t>
      </w:r>
    </w:p>
    <w:p w14:paraId="68D62865" w14:textId="0E0D771B" w:rsidR="00AE0EBE" w:rsidRPr="00662A75" w:rsidRDefault="00AE0EBE" w:rsidP="00662A75">
      <w:pPr>
        <w:pStyle w:val="Heading4"/>
        <w:spacing w:line="360" w:lineRule="auto"/>
        <w:rPr>
          <w:rFonts w:ascii="Arial" w:hAnsi="Arial" w:cs="Arial"/>
        </w:rPr>
      </w:pPr>
      <w:r w:rsidRPr="00662A75">
        <w:rPr>
          <w:rFonts w:ascii="Arial" w:hAnsi="Arial" w:cs="Arial"/>
        </w:rPr>
        <w:t>Case Study Design</w:t>
      </w:r>
    </w:p>
    <w:p w14:paraId="082D42BB" w14:textId="77777777" w:rsidR="00C100AC" w:rsidRPr="00662A75" w:rsidRDefault="00C100AC" w:rsidP="00662A75">
      <w:pPr>
        <w:pStyle w:val="NormalWeb"/>
        <w:spacing w:line="360" w:lineRule="auto"/>
        <w:rPr>
          <w:rFonts w:ascii="Arial" w:hAnsi="Arial" w:cs="Arial"/>
          <w:sz w:val="22"/>
          <w:szCs w:val="22"/>
        </w:rPr>
      </w:pPr>
      <w:r w:rsidRPr="00662A75">
        <w:rPr>
          <w:rFonts w:ascii="Arial" w:hAnsi="Arial" w:cs="Arial"/>
          <w:sz w:val="22"/>
          <w:szCs w:val="22"/>
        </w:rPr>
        <w:t xml:space="preserve">The case study built on survey themes, focusing on children within the dyslexic population. Using an inductive, data-driven approach, it combined lesson observation and a semi-structured interview (ref), as dyslexic individuals often struggle with recall. Due to logistical constraints, the lesson and interview were merged into a 30-minute Microsoft Teams session, recorded with </w:t>
      </w:r>
      <w:proofErr w:type="spellStart"/>
      <w:r w:rsidRPr="00662A75">
        <w:rPr>
          <w:rFonts w:ascii="Arial" w:hAnsi="Arial" w:cs="Arial"/>
          <w:sz w:val="22"/>
          <w:szCs w:val="22"/>
        </w:rPr>
        <w:t>Caption.Ed</w:t>
      </w:r>
      <w:proofErr w:type="spellEnd"/>
      <w:r w:rsidRPr="00662A75">
        <w:rPr>
          <w:rFonts w:ascii="Arial" w:hAnsi="Arial" w:cs="Arial"/>
          <w:sz w:val="22"/>
          <w:szCs w:val="22"/>
        </w:rPr>
        <w:t xml:space="preserve"> for later analysis. Participants (aged 7-11, dyslexic, and taking singing lessons) were recruited with parental consent via email and video call. The lesson design incorporated elements from the questionnaire responses, ensuring it reflected a typical singing lesson.</w:t>
      </w:r>
    </w:p>
    <w:p w14:paraId="4009CB58" w14:textId="584FD49A" w:rsidR="001A0CC6" w:rsidRPr="00662A75" w:rsidRDefault="001A0CC6" w:rsidP="00662A75">
      <w:pPr>
        <w:pStyle w:val="NormalWeb"/>
        <w:spacing w:before="0" w:beforeAutospacing="0" w:after="160" w:afterAutospacing="0" w:line="360" w:lineRule="auto"/>
        <w:rPr>
          <w:rFonts w:ascii="Arial" w:hAnsi="Arial" w:cs="Arial"/>
          <w:sz w:val="22"/>
          <w:szCs w:val="22"/>
        </w:rPr>
      </w:pPr>
      <w:r w:rsidRPr="00662A75">
        <w:rPr>
          <w:rFonts w:ascii="Arial" w:hAnsi="Arial" w:cs="Arial"/>
          <w:i/>
          <w:iCs/>
          <w:color w:val="000000"/>
          <w:sz w:val="22"/>
          <w:szCs w:val="22"/>
        </w:rPr>
        <w:t xml:space="preserve">Table: Mode responses from Survey </w:t>
      </w:r>
      <w:r w:rsidRPr="00662A75">
        <w:rPr>
          <w:rFonts w:ascii="Arial" w:hAnsi="Arial" w:cs="Arial"/>
          <w:noProof/>
          <w:color w:val="000000"/>
          <w:sz w:val="22"/>
          <w:szCs w:val="22"/>
          <w:bdr w:val="none" w:sz="0" w:space="0" w:color="auto" w:frame="1"/>
        </w:rPr>
        <w:drawing>
          <wp:inline distT="0" distB="0" distL="0" distR="0" wp14:anchorId="402AABB3" wp14:editId="2594CB81">
            <wp:extent cx="5731510" cy="65659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656590"/>
                    </a:xfrm>
                    <a:prstGeom prst="rect">
                      <a:avLst/>
                    </a:prstGeom>
                    <a:noFill/>
                    <a:ln>
                      <a:noFill/>
                    </a:ln>
                  </pic:spPr>
                </pic:pic>
              </a:graphicData>
            </a:graphic>
          </wp:inline>
        </w:drawing>
      </w:r>
    </w:p>
    <w:p w14:paraId="52CAB63A" w14:textId="77777777" w:rsidR="001A0CC6" w:rsidRPr="00662A75" w:rsidRDefault="001A0CC6" w:rsidP="00662A75">
      <w:pPr>
        <w:pStyle w:val="NormalWeb"/>
        <w:spacing w:before="0" w:beforeAutospacing="0" w:after="160" w:afterAutospacing="0" w:line="360" w:lineRule="auto"/>
        <w:rPr>
          <w:rFonts w:ascii="Arial" w:hAnsi="Arial" w:cs="Arial"/>
          <w:sz w:val="22"/>
          <w:szCs w:val="22"/>
        </w:rPr>
      </w:pPr>
      <w:r w:rsidRPr="00662A75">
        <w:rPr>
          <w:rFonts w:ascii="Arial" w:hAnsi="Arial" w:cs="Arial"/>
          <w:color w:val="000000"/>
          <w:sz w:val="22"/>
          <w:szCs w:val="22"/>
        </w:rPr>
        <w:t>Based on these modes A warm up, any activity that required sheet music and sight singing were explored.</w:t>
      </w:r>
    </w:p>
    <w:p w14:paraId="297FF54F" w14:textId="77777777" w:rsidR="00383A79" w:rsidRPr="00383A79" w:rsidRDefault="00383A79" w:rsidP="00383A79">
      <w:pPr>
        <w:pStyle w:val="NormalWeb"/>
        <w:spacing w:line="360" w:lineRule="auto"/>
        <w:rPr>
          <w:rFonts w:ascii="Arial" w:hAnsi="Arial" w:cs="Arial"/>
          <w:sz w:val="22"/>
          <w:szCs w:val="22"/>
        </w:rPr>
      </w:pPr>
      <w:r w:rsidRPr="00383A79">
        <w:rPr>
          <w:rFonts w:ascii="Arial" w:hAnsi="Arial" w:cs="Arial"/>
          <w:sz w:val="22"/>
          <w:szCs w:val="22"/>
        </w:rPr>
        <w:t>Sight-singing was excluded due to baseline competency gaps. A warm-up and melody exercise (with and without sheet music) examined learning experiences and views on notation. Performing a familiar song was omitted for practicality. The 30-minute lesson reflected typical sessions and accommodated attention span limitations in children with dyslexia (Springer, 2013), addressing key survey themes. The study also explored challenges with visual aids and multitasking for dyslexic individuals (Reid, 2020).</w:t>
      </w:r>
    </w:p>
    <w:p w14:paraId="253E745E" w14:textId="2F157958" w:rsidR="00080335" w:rsidRPr="00662A75" w:rsidRDefault="00080335" w:rsidP="00662A75">
      <w:pPr>
        <w:pStyle w:val="NormalWeb"/>
        <w:spacing w:before="0" w:beforeAutospacing="0" w:after="160" w:afterAutospacing="0" w:line="360" w:lineRule="auto"/>
        <w:rPr>
          <w:rFonts w:ascii="Arial" w:hAnsi="Arial" w:cs="Arial"/>
          <w:sz w:val="22"/>
          <w:szCs w:val="22"/>
        </w:rPr>
      </w:pPr>
      <w:r w:rsidRPr="00662A75">
        <w:rPr>
          <w:rFonts w:ascii="Arial" w:hAnsi="Arial" w:cs="Arial"/>
          <w:color w:val="000000"/>
          <w:sz w:val="22"/>
          <w:szCs w:val="22"/>
        </w:rPr>
        <w:t>This is how I came to the following structure for the lesson plan</w:t>
      </w:r>
      <w:r w:rsidR="00556CF6" w:rsidRPr="00662A75">
        <w:rPr>
          <w:rFonts w:ascii="Arial" w:hAnsi="Arial" w:cs="Arial"/>
          <w:color w:val="000000"/>
          <w:sz w:val="22"/>
          <w:szCs w:val="22"/>
        </w:rPr>
        <w:t>.</w:t>
      </w:r>
    </w:p>
    <w:p w14:paraId="67791BC7" w14:textId="77777777" w:rsidR="00556CF6" w:rsidRPr="00662A75" w:rsidRDefault="00556CF6" w:rsidP="00662A75">
      <w:pPr>
        <w:pStyle w:val="NormalWeb"/>
        <w:spacing w:before="0" w:beforeAutospacing="0" w:after="160" w:afterAutospacing="0" w:line="360" w:lineRule="auto"/>
        <w:rPr>
          <w:rFonts w:ascii="Arial" w:hAnsi="Arial" w:cs="Arial"/>
          <w:sz w:val="22"/>
          <w:szCs w:val="22"/>
        </w:rPr>
      </w:pPr>
    </w:p>
    <w:p w14:paraId="6802FCAF" w14:textId="7D856585" w:rsidR="00080335" w:rsidRPr="00662A75" w:rsidRDefault="00556CF6" w:rsidP="00662A75">
      <w:pPr>
        <w:pStyle w:val="NormalWeb"/>
        <w:spacing w:before="0" w:beforeAutospacing="0" w:after="160" w:afterAutospacing="0" w:line="360" w:lineRule="auto"/>
        <w:rPr>
          <w:rFonts w:ascii="Arial" w:hAnsi="Arial" w:cs="Arial"/>
          <w:sz w:val="22"/>
          <w:szCs w:val="22"/>
        </w:rPr>
      </w:pPr>
      <w:r w:rsidRPr="00662A75">
        <w:rPr>
          <w:rFonts w:ascii="Arial" w:hAnsi="Arial" w:cs="Arial"/>
          <w:i/>
          <w:iCs/>
          <w:sz w:val="22"/>
          <w:szCs w:val="22"/>
        </w:rPr>
        <w:lastRenderedPageBreak/>
        <w:t>Table to show the Case Study Lesson Plan</w:t>
      </w:r>
      <w:r w:rsidR="00080335" w:rsidRPr="00662A75">
        <w:rPr>
          <w:rFonts w:ascii="Arial" w:hAnsi="Arial" w:cs="Arial"/>
          <w:noProof/>
          <w:color w:val="000000"/>
          <w:sz w:val="22"/>
          <w:szCs w:val="22"/>
          <w:bdr w:val="none" w:sz="0" w:space="0" w:color="auto" w:frame="1"/>
        </w:rPr>
        <w:drawing>
          <wp:inline distT="0" distB="0" distL="0" distR="0" wp14:anchorId="3F22630B" wp14:editId="35C3D619">
            <wp:extent cx="5731510" cy="265493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2654935"/>
                    </a:xfrm>
                    <a:prstGeom prst="rect">
                      <a:avLst/>
                    </a:prstGeom>
                    <a:noFill/>
                    <a:ln>
                      <a:noFill/>
                    </a:ln>
                  </pic:spPr>
                </pic:pic>
              </a:graphicData>
            </a:graphic>
          </wp:inline>
        </w:drawing>
      </w:r>
    </w:p>
    <w:p w14:paraId="103EB354" w14:textId="1D219133" w:rsidR="000F4D21" w:rsidRPr="00662A75" w:rsidRDefault="000F4D21" w:rsidP="00662A75">
      <w:pPr>
        <w:pStyle w:val="NormalWeb"/>
        <w:spacing w:line="360" w:lineRule="auto"/>
        <w:rPr>
          <w:rFonts w:ascii="Arial" w:hAnsi="Arial" w:cs="Arial"/>
          <w:sz w:val="22"/>
          <w:szCs w:val="22"/>
        </w:rPr>
      </w:pPr>
      <w:r w:rsidRPr="00662A75">
        <w:rPr>
          <w:rFonts w:ascii="Arial" w:hAnsi="Arial" w:cs="Arial"/>
          <w:sz w:val="22"/>
          <w:szCs w:val="22"/>
        </w:rPr>
        <w:t>To ensure consistency and reproducibility, the videos for the warm-up, body percussion exercise, and the two taught songs are all freely available on YouTube, as noted in the appendices (</w:t>
      </w:r>
      <w:r w:rsidR="00E735D5" w:rsidRPr="00662A75">
        <w:rPr>
          <w:rFonts w:ascii="Arial" w:hAnsi="Arial" w:cs="Arial"/>
          <w:sz w:val="22"/>
          <w:szCs w:val="22"/>
        </w:rPr>
        <w:t>A</w:t>
      </w:r>
      <w:r w:rsidRPr="00662A75">
        <w:rPr>
          <w:rFonts w:ascii="Arial" w:hAnsi="Arial" w:cs="Arial"/>
          <w:sz w:val="22"/>
          <w:szCs w:val="22"/>
        </w:rPr>
        <w:t>ppendix</w:t>
      </w:r>
      <w:r w:rsidR="00E735D5" w:rsidRPr="00662A75">
        <w:rPr>
          <w:rFonts w:ascii="Arial" w:hAnsi="Arial" w:cs="Arial"/>
          <w:sz w:val="22"/>
          <w:szCs w:val="22"/>
        </w:rPr>
        <w:t xml:space="preserve"> 7</w:t>
      </w:r>
      <w:r w:rsidRPr="00662A75">
        <w:rPr>
          <w:rFonts w:ascii="Arial" w:hAnsi="Arial" w:cs="Arial"/>
          <w:sz w:val="22"/>
          <w:szCs w:val="22"/>
        </w:rPr>
        <w:t>).</w:t>
      </w:r>
    </w:p>
    <w:p w14:paraId="5638478E" w14:textId="77777777" w:rsidR="00080335" w:rsidRPr="00662A75" w:rsidRDefault="00080335" w:rsidP="00662A75">
      <w:pPr>
        <w:pStyle w:val="NormalWeb"/>
        <w:spacing w:before="0" w:beforeAutospacing="0" w:after="160" w:afterAutospacing="0" w:line="360" w:lineRule="auto"/>
        <w:rPr>
          <w:rFonts w:ascii="Arial" w:hAnsi="Arial" w:cs="Arial"/>
          <w:sz w:val="22"/>
          <w:szCs w:val="22"/>
        </w:rPr>
      </w:pPr>
      <w:r w:rsidRPr="00662A75">
        <w:rPr>
          <w:rFonts w:ascii="Arial" w:hAnsi="Arial" w:cs="Arial"/>
          <w:color w:val="000000"/>
          <w:sz w:val="22"/>
          <w:szCs w:val="22"/>
        </w:rPr>
        <w:t>Following each section of the lesson I asked a set of semi structured questions to gain qualitative data of the experience of the case study. </w:t>
      </w:r>
    </w:p>
    <w:p w14:paraId="481DEB00" w14:textId="77777777" w:rsidR="00080335" w:rsidRPr="00662A75" w:rsidRDefault="00080335" w:rsidP="00662A75">
      <w:pPr>
        <w:pStyle w:val="NormalWeb"/>
        <w:numPr>
          <w:ilvl w:val="0"/>
          <w:numId w:val="6"/>
        </w:numPr>
        <w:spacing w:before="0" w:beforeAutospacing="0" w:after="0" w:afterAutospacing="0" w:line="360" w:lineRule="auto"/>
        <w:textAlignment w:val="baseline"/>
        <w:rPr>
          <w:rFonts w:ascii="Arial" w:hAnsi="Arial" w:cs="Arial"/>
          <w:color w:val="000000"/>
          <w:sz w:val="22"/>
          <w:szCs w:val="22"/>
        </w:rPr>
      </w:pPr>
      <w:r w:rsidRPr="00662A75">
        <w:rPr>
          <w:rFonts w:ascii="Arial" w:hAnsi="Arial" w:cs="Arial"/>
          <w:color w:val="000000"/>
          <w:sz w:val="22"/>
          <w:szCs w:val="22"/>
        </w:rPr>
        <w:t>How did you find that activity? </w:t>
      </w:r>
    </w:p>
    <w:p w14:paraId="3ECD45BA" w14:textId="77777777" w:rsidR="00080335" w:rsidRPr="00662A75" w:rsidRDefault="00080335" w:rsidP="00662A75">
      <w:pPr>
        <w:pStyle w:val="NormalWeb"/>
        <w:numPr>
          <w:ilvl w:val="0"/>
          <w:numId w:val="6"/>
        </w:numPr>
        <w:spacing w:before="0" w:beforeAutospacing="0" w:after="0" w:afterAutospacing="0" w:line="360" w:lineRule="auto"/>
        <w:textAlignment w:val="baseline"/>
        <w:rPr>
          <w:rFonts w:ascii="Arial" w:hAnsi="Arial" w:cs="Arial"/>
          <w:color w:val="000000"/>
          <w:sz w:val="22"/>
          <w:szCs w:val="22"/>
        </w:rPr>
      </w:pPr>
      <w:r w:rsidRPr="00662A75">
        <w:rPr>
          <w:rFonts w:ascii="Arial" w:hAnsi="Arial" w:cs="Arial"/>
          <w:color w:val="000000"/>
          <w:sz w:val="22"/>
          <w:szCs w:val="22"/>
        </w:rPr>
        <w:t>Did you find it easy to do?</w:t>
      </w:r>
    </w:p>
    <w:p w14:paraId="63F8CB88" w14:textId="77777777" w:rsidR="00080335" w:rsidRPr="00662A75" w:rsidRDefault="00080335" w:rsidP="00662A75">
      <w:pPr>
        <w:pStyle w:val="NormalWeb"/>
        <w:numPr>
          <w:ilvl w:val="0"/>
          <w:numId w:val="6"/>
        </w:numPr>
        <w:spacing w:before="0" w:beforeAutospacing="0" w:after="160" w:afterAutospacing="0" w:line="360" w:lineRule="auto"/>
        <w:textAlignment w:val="baseline"/>
        <w:rPr>
          <w:rFonts w:ascii="Arial" w:hAnsi="Arial" w:cs="Arial"/>
          <w:color w:val="000000"/>
          <w:sz w:val="22"/>
          <w:szCs w:val="22"/>
        </w:rPr>
      </w:pPr>
      <w:r w:rsidRPr="00662A75">
        <w:rPr>
          <w:rFonts w:ascii="Arial" w:hAnsi="Arial" w:cs="Arial"/>
          <w:color w:val="000000"/>
          <w:sz w:val="22"/>
          <w:szCs w:val="22"/>
        </w:rPr>
        <w:t>Did you find anything hard or difficult to do?</w:t>
      </w:r>
    </w:p>
    <w:p w14:paraId="42FA0059" w14:textId="77777777" w:rsidR="00655D6C" w:rsidRPr="00662A75" w:rsidRDefault="00655D6C" w:rsidP="00662A75">
      <w:pPr>
        <w:pStyle w:val="NormalWeb"/>
        <w:spacing w:line="360" w:lineRule="auto"/>
        <w:rPr>
          <w:rFonts w:ascii="Arial" w:hAnsi="Arial" w:cs="Arial"/>
          <w:sz w:val="22"/>
          <w:szCs w:val="22"/>
        </w:rPr>
      </w:pPr>
      <w:r w:rsidRPr="00662A75">
        <w:rPr>
          <w:rFonts w:ascii="Arial" w:hAnsi="Arial" w:cs="Arial"/>
          <w:sz w:val="22"/>
          <w:szCs w:val="22"/>
        </w:rPr>
        <w:t>I began with an open question to avoid bias, followed by two focused questions on positive and negative aspects. Inductive questioning was used to guide the conversation. After the lesson, I reviewed the video, transcribed it, and noted body language, tone, facial expressions, emotional responses, and task competency.</w:t>
      </w:r>
    </w:p>
    <w:p w14:paraId="48D05064" w14:textId="6D900782" w:rsidR="00655D6C" w:rsidRPr="00662A75" w:rsidRDefault="00655D6C" w:rsidP="00662A75">
      <w:pPr>
        <w:pStyle w:val="NormalWeb"/>
        <w:spacing w:line="360" w:lineRule="auto"/>
        <w:rPr>
          <w:rFonts w:ascii="Arial" w:hAnsi="Arial" w:cs="Arial"/>
          <w:sz w:val="22"/>
          <w:szCs w:val="22"/>
        </w:rPr>
      </w:pPr>
      <w:r w:rsidRPr="00662A75">
        <w:rPr>
          <w:rFonts w:ascii="Arial" w:hAnsi="Arial" w:cs="Arial"/>
          <w:sz w:val="22"/>
          <w:szCs w:val="22"/>
        </w:rPr>
        <w:t xml:space="preserve"> The same inductive thematic analysis process (</w:t>
      </w:r>
      <w:r w:rsidR="00817EF5" w:rsidRPr="00662A75">
        <w:rPr>
          <w:rFonts w:ascii="Arial" w:hAnsi="Arial" w:cs="Arial"/>
          <w:sz w:val="22"/>
          <w:szCs w:val="22"/>
        </w:rPr>
        <w:t>Braun, V., Clarke, V. 2006</w:t>
      </w:r>
      <w:r w:rsidRPr="00662A75">
        <w:rPr>
          <w:rFonts w:ascii="Arial" w:hAnsi="Arial" w:cs="Arial"/>
          <w:sz w:val="22"/>
          <w:szCs w:val="22"/>
        </w:rPr>
        <w:t>) was applied to the case study transcript and questionnaire results, identifying key themes. Additional qualitative analysis was conducted through my observations of the participant's non-verbal responses, with findings discussed in the results.</w:t>
      </w:r>
    </w:p>
    <w:p w14:paraId="7F8B7CBB" w14:textId="77777777" w:rsidR="00CD09FB" w:rsidRPr="00662A75" w:rsidRDefault="00CD09FB" w:rsidP="00662A75">
      <w:pPr>
        <w:pStyle w:val="Heading1"/>
        <w:spacing w:line="360" w:lineRule="auto"/>
        <w:rPr>
          <w:rFonts w:ascii="Arial" w:hAnsi="Arial" w:cs="Arial"/>
          <w:sz w:val="22"/>
          <w:szCs w:val="22"/>
        </w:rPr>
      </w:pPr>
      <w:r w:rsidRPr="00662A75">
        <w:rPr>
          <w:rFonts w:ascii="Arial" w:hAnsi="Arial" w:cs="Arial"/>
          <w:sz w:val="22"/>
          <w:szCs w:val="22"/>
        </w:rPr>
        <w:t>Findings and Results </w:t>
      </w:r>
    </w:p>
    <w:p w14:paraId="253D118A" w14:textId="19843873" w:rsidR="00CD09FB" w:rsidRPr="00662A75" w:rsidRDefault="00CD09FB" w:rsidP="00662A75">
      <w:pPr>
        <w:pStyle w:val="NormalWeb"/>
        <w:spacing w:before="0" w:beforeAutospacing="0" w:after="160" w:afterAutospacing="0" w:line="360" w:lineRule="auto"/>
        <w:rPr>
          <w:rFonts w:ascii="Arial" w:hAnsi="Arial" w:cs="Arial"/>
          <w:sz w:val="22"/>
          <w:szCs w:val="22"/>
        </w:rPr>
      </w:pPr>
      <w:r w:rsidRPr="00662A75">
        <w:rPr>
          <w:rFonts w:ascii="Arial" w:hAnsi="Arial" w:cs="Arial"/>
          <w:i/>
          <w:iCs/>
          <w:color w:val="000000"/>
          <w:sz w:val="22"/>
          <w:szCs w:val="22"/>
        </w:rPr>
        <w:t xml:space="preserve">Appendix </w:t>
      </w:r>
      <w:r w:rsidR="00782A77" w:rsidRPr="00662A75">
        <w:rPr>
          <w:rFonts w:ascii="Arial" w:hAnsi="Arial" w:cs="Arial"/>
          <w:i/>
          <w:iCs/>
          <w:color w:val="000000"/>
          <w:sz w:val="22"/>
          <w:szCs w:val="22"/>
        </w:rPr>
        <w:t>6</w:t>
      </w:r>
      <w:r w:rsidRPr="00662A75">
        <w:rPr>
          <w:rFonts w:ascii="Arial" w:hAnsi="Arial" w:cs="Arial"/>
          <w:i/>
          <w:iCs/>
          <w:color w:val="000000"/>
          <w:sz w:val="22"/>
          <w:szCs w:val="22"/>
        </w:rPr>
        <w:t xml:space="preserve"> is a full copy of the Survey Questions and their question number which may be useful for reference throughout this section</w:t>
      </w:r>
    </w:p>
    <w:p w14:paraId="67D3A646" w14:textId="77777777" w:rsidR="00EC65F3" w:rsidRPr="00662A75" w:rsidRDefault="00EC65F3" w:rsidP="00662A75">
      <w:pPr>
        <w:pStyle w:val="NormalWeb"/>
        <w:spacing w:line="360" w:lineRule="auto"/>
        <w:rPr>
          <w:rFonts w:ascii="Arial" w:hAnsi="Arial" w:cs="Arial"/>
          <w:sz w:val="22"/>
          <w:szCs w:val="22"/>
        </w:rPr>
      </w:pPr>
      <w:r w:rsidRPr="00662A75">
        <w:rPr>
          <w:rFonts w:ascii="Arial" w:hAnsi="Arial" w:cs="Arial"/>
          <w:sz w:val="22"/>
          <w:szCs w:val="22"/>
        </w:rPr>
        <w:lastRenderedPageBreak/>
        <w:t>To enhance the inductive process, a second researcher conducting blind coding of themes would have validated the findings, reducing bias and ensuring themes were truly representative of the data. This approach would improve reliability and credibility through triangulation (</w:t>
      </w:r>
      <w:proofErr w:type="spellStart"/>
      <w:r w:rsidRPr="00662A75">
        <w:rPr>
          <w:rFonts w:ascii="Arial" w:hAnsi="Arial" w:cs="Arial"/>
          <w:sz w:val="22"/>
          <w:szCs w:val="22"/>
        </w:rPr>
        <w:t>Tisdell</w:t>
      </w:r>
      <w:proofErr w:type="spellEnd"/>
      <w:r w:rsidRPr="00662A75">
        <w:rPr>
          <w:rFonts w:ascii="Arial" w:hAnsi="Arial" w:cs="Arial"/>
          <w:sz w:val="22"/>
          <w:szCs w:val="22"/>
        </w:rPr>
        <w:t>, 2016).</w:t>
      </w:r>
    </w:p>
    <w:p w14:paraId="32D69B7F" w14:textId="2AC54ECB" w:rsidR="00CD09FB" w:rsidRPr="00662A75" w:rsidRDefault="00A4775B" w:rsidP="00662A75">
      <w:pPr>
        <w:pStyle w:val="Heading2"/>
        <w:spacing w:line="360" w:lineRule="auto"/>
        <w:rPr>
          <w:rFonts w:ascii="Arial" w:hAnsi="Arial" w:cs="Arial"/>
          <w:sz w:val="22"/>
          <w:szCs w:val="22"/>
        </w:rPr>
      </w:pPr>
      <w:r w:rsidRPr="00662A75">
        <w:rPr>
          <w:rFonts w:ascii="Arial" w:hAnsi="Arial" w:cs="Arial"/>
          <w:sz w:val="22"/>
          <w:szCs w:val="22"/>
        </w:rPr>
        <w:t>Questionnaire Responses: Demographic of Participants</w:t>
      </w:r>
    </w:p>
    <w:p w14:paraId="4C4A9844" w14:textId="77777777" w:rsidR="000E2D4E" w:rsidRPr="00662A75" w:rsidRDefault="000E2D4E" w:rsidP="00662A75">
      <w:pPr>
        <w:pStyle w:val="NormalWeb"/>
        <w:spacing w:line="360" w:lineRule="auto"/>
        <w:rPr>
          <w:rFonts w:ascii="Arial" w:hAnsi="Arial" w:cs="Arial"/>
          <w:sz w:val="22"/>
          <w:szCs w:val="22"/>
        </w:rPr>
      </w:pPr>
      <w:r w:rsidRPr="00662A75">
        <w:rPr>
          <w:rFonts w:ascii="Arial" w:hAnsi="Arial" w:cs="Arial"/>
          <w:sz w:val="22"/>
          <w:szCs w:val="22"/>
        </w:rPr>
        <w:t>Nine responses were received, but two were excluded for not declaring themselves as dyslexic, leaving 7 usable responses. The mode age range was 36-44 years (N=7), with the median age being 25-35 years.</w:t>
      </w:r>
    </w:p>
    <w:p w14:paraId="2B18F35C" w14:textId="354B10A9" w:rsidR="00591F35" w:rsidRPr="00662A75" w:rsidRDefault="00687BF2" w:rsidP="00662A75">
      <w:pPr>
        <w:spacing w:line="360" w:lineRule="auto"/>
        <w:rPr>
          <w:rFonts w:ascii="Arial" w:hAnsi="Arial" w:cs="Arial"/>
        </w:rPr>
      </w:pPr>
      <w:r w:rsidRPr="00662A75">
        <w:rPr>
          <w:rFonts w:ascii="Arial" w:hAnsi="Arial" w:cs="Arial"/>
          <w:noProof/>
          <w:color w:val="000000"/>
          <w:bdr w:val="none" w:sz="0" w:space="0" w:color="auto" w:frame="1"/>
        </w:rPr>
        <w:drawing>
          <wp:inline distT="0" distB="0" distL="0" distR="0" wp14:anchorId="3F0506B6" wp14:editId="362B46E2">
            <wp:extent cx="4257040" cy="2722880"/>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257040" cy="2722880"/>
                    </a:xfrm>
                    <a:prstGeom prst="rect">
                      <a:avLst/>
                    </a:prstGeom>
                    <a:noFill/>
                    <a:ln>
                      <a:noFill/>
                    </a:ln>
                  </pic:spPr>
                </pic:pic>
              </a:graphicData>
            </a:graphic>
          </wp:inline>
        </w:drawing>
      </w:r>
    </w:p>
    <w:p w14:paraId="02CB45E4" w14:textId="77777777" w:rsidR="00333239" w:rsidRPr="00662A75" w:rsidRDefault="00333239" w:rsidP="00662A75">
      <w:pPr>
        <w:pStyle w:val="NormalWeb"/>
        <w:spacing w:line="360" w:lineRule="auto"/>
        <w:rPr>
          <w:rFonts w:ascii="Arial" w:hAnsi="Arial" w:cs="Arial"/>
          <w:sz w:val="22"/>
          <w:szCs w:val="22"/>
        </w:rPr>
      </w:pPr>
      <w:r w:rsidRPr="00662A75">
        <w:rPr>
          <w:rFonts w:ascii="Arial" w:hAnsi="Arial" w:cs="Arial"/>
          <w:sz w:val="22"/>
          <w:szCs w:val="22"/>
        </w:rPr>
        <w:t>The age range for participation was 0-44 years, though responses from those under 4 were likely limited due to language and self-identification requirements. Future studies should use specific age data, ideally aligned with educational stages like Key Stage 2. The lack of responses from the 11-18 age group suggests its importance. The Mo and IQR may reflect recruitment sources, and a pre-recruitment assessment could improve data validity. Aiming for a UK-wide pool helped address geographical bias, but expanding recruitment and using specific eligibility criteria could have reduced bias and enhanced relevance. Participants self-identified as singers and shared their one-to-one lesson experience to ensure eligibility.</w:t>
      </w:r>
    </w:p>
    <w:p w14:paraId="0706270D" w14:textId="77777777" w:rsidR="008E396B" w:rsidRPr="008E396B" w:rsidRDefault="008E396B" w:rsidP="00662A75">
      <w:pPr>
        <w:spacing w:line="360" w:lineRule="auto"/>
        <w:rPr>
          <w:rFonts w:ascii="Arial" w:eastAsia="Times New Roman" w:hAnsi="Arial" w:cs="Arial"/>
          <w:kern w:val="0"/>
          <w:lang w:eastAsia="en-GB"/>
          <w14:ligatures w14:val="none"/>
        </w:rPr>
      </w:pPr>
      <w:r w:rsidRPr="008E396B">
        <w:rPr>
          <w:rFonts w:ascii="Arial" w:eastAsia="Times New Roman" w:hAnsi="Arial" w:cs="Arial"/>
          <w:i/>
          <w:iCs/>
          <w:color w:val="000000"/>
          <w:kern w:val="0"/>
          <w:lang w:eastAsia="en-GB"/>
          <w14:ligatures w14:val="none"/>
        </w:rPr>
        <w:t>Table of Questionnaire responses to “Singer and Singing Lesson Experience”</w:t>
      </w:r>
    </w:p>
    <w:p w14:paraId="1214D22D" w14:textId="0BD1CBA8" w:rsidR="008E396B" w:rsidRPr="008E396B" w:rsidRDefault="002F2D4B" w:rsidP="00662A75">
      <w:pPr>
        <w:spacing w:after="0" w:line="360" w:lineRule="auto"/>
        <w:rPr>
          <w:rFonts w:ascii="Arial" w:eastAsia="Times New Roman" w:hAnsi="Arial" w:cs="Arial"/>
          <w:kern w:val="0"/>
          <w:lang w:eastAsia="en-GB"/>
          <w14:ligatures w14:val="none"/>
        </w:rPr>
      </w:pPr>
      <w:r w:rsidRPr="002F2D4B">
        <w:rPr>
          <w:rFonts w:ascii="Arial" w:eastAsia="Times New Roman" w:hAnsi="Arial" w:cs="Arial"/>
          <w:noProof/>
          <w:kern w:val="0"/>
          <w:lang w:eastAsia="en-GB"/>
          <w14:ligatures w14:val="none"/>
        </w:rPr>
        <w:lastRenderedPageBreak/>
        <w:drawing>
          <wp:inline distT="0" distB="0" distL="0" distR="0" wp14:anchorId="0A7EA282" wp14:editId="372D0ABA">
            <wp:extent cx="3143412" cy="2044805"/>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143412" cy="2044805"/>
                    </a:xfrm>
                    <a:prstGeom prst="rect">
                      <a:avLst/>
                    </a:prstGeom>
                  </pic:spPr>
                </pic:pic>
              </a:graphicData>
            </a:graphic>
          </wp:inline>
        </w:drawing>
      </w:r>
    </w:p>
    <w:p w14:paraId="4726BA14" w14:textId="77777777" w:rsidR="00F6559F" w:rsidRPr="00662A75" w:rsidRDefault="00F6559F" w:rsidP="00662A75">
      <w:pPr>
        <w:spacing w:line="360" w:lineRule="auto"/>
        <w:rPr>
          <w:rFonts w:ascii="Arial" w:hAnsi="Arial" w:cs="Arial"/>
        </w:rPr>
      </w:pPr>
    </w:p>
    <w:p w14:paraId="48219325" w14:textId="77777777" w:rsidR="00486B36" w:rsidRPr="00662A75" w:rsidRDefault="00486B36" w:rsidP="00662A75">
      <w:pPr>
        <w:pStyle w:val="NormalWeb"/>
        <w:spacing w:line="360" w:lineRule="auto"/>
        <w:rPr>
          <w:rFonts w:ascii="Arial" w:hAnsi="Arial" w:cs="Arial"/>
          <w:sz w:val="22"/>
          <w:szCs w:val="22"/>
        </w:rPr>
      </w:pPr>
      <w:r w:rsidRPr="00662A75">
        <w:rPr>
          <w:rFonts w:ascii="Arial" w:hAnsi="Arial" w:cs="Arial"/>
          <w:sz w:val="22"/>
          <w:szCs w:val="22"/>
        </w:rPr>
        <w:t>The data shows equal representation of participants with current or past one-to-one singing lessons (85.72%). However, the extent and format of these lessons remain unspecified, introducing variability. Future studies should standardize this measure. Additionally, as UK singing teachers lack a set standard, lesson delivery may vary. Participants' self-declared teaching experience offers insight but doesn't directly compare competency or experience levels.</w:t>
      </w:r>
    </w:p>
    <w:p w14:paraId="7D2B9B5C" w14:textId="77777777" w:rsidR="00581231" w:rsidRPr="00662A75" w:rsidRDefault="00581231" w:rsidP="00662A75">
      <w:pPr>
        <w:pStyle w:val="NormalWeb"/>
        <w:spacing w:before="0" w:beforeAutospacing="0" w:after="0" w:afterAutospacing="0" w:line="360" w:lineRule="auto"/>
        <w:rPr>
          <w:rFonts w:ascii="Arial" w:hAnsi="Arial" w:cs="Arial"/>
          <w:sz w:val="22"/>
          <w:szCs w:val="22"/>
        </w:rPr>
      </w:pPr>
      <w:r w:rsidRPr="00662A75">
        <w:rPr>
          <w:rFonts w:ascii="Arial" w:hAnsi="Arial" w:cs="Arial"/>
          <w:i/>
          <w:iCs/>
          <w:color w:val="000000"/>
          <w:sz w:val="22"/>
          <w:szCs w:val="22"/>
        </w:rPr>
        <w:t>Pie chart to represent the percentage of Participants status as a singing teacher</w:t>
      </w:r>
      <w:r w:rsidRPr="00662A75">
        <w:rPr>
          <w:rFonts w:ascii="Arial" w:hAnsi="Arial" w:cs="Arial"/>
          <w:color w:val="000000"/>
          <w:sz w:val="22"/>
          <w:szCs w:val="22"/>
        </w:rPr>
        <w:t> </w:t>
      </w:r>
    </w:p>
    <w:p w14:paraId="0CF426A4" w14:textId="6EA7D30D" w:rsidR="00581231" w:rsidRPr="00662A75" w:rsidRDefault="00581231" w:rsidP="00662A75">
      <w:pPr>
        <w:pStyle w:val="NormalWeb"/>
        <w:spacing w:before="0" w:beforeAutospacing="0" w:after="160" w:afterAutospacing="0" w:line="360" w:lineRule="auto"/>
        <w:rPr>
          <w:rFonts w:ascii="Arial" w:hAnsi="Arial" w:cs="Arial"/>
          <w:sz w:val="22"/>
          <w:szCs w:val="22"/>
        </w:rPr>
      </w:pPr>
      <w:r w:rsidRPr="00662A75">
        <w:rPr>
          <w:rFonts w:ascii="Arial" w:hAnsi="Arial" w:cs="Arial"/>
          <w:noProof/>
          <w:color w:val="000000"/>
          <w:sz w:val="22"/>
          <w:szCs w:val="22"/>
          <w:bdr w:val="none" w:sz="0" w:space="0" w:color="auto" w:frame="1"/>
        </w:rPr>
        <w:drawing>
          <wp:inline distT="0" distB="0" distL="0" distR="0" wp14:anchorId="25C47790" wp14:editId="7E0DB363">
            <wp:extent cx="5699760" cy="35458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699760" cy="3545840"/>
                    </a:xfrm>
                    <a:prstGeom prst="rect">
                      <a:avLst/>
                    </a:prstGeom>
                    <a:noFill/>
                    <a:ln>
                      <a:noFill/>
                    </a:ln>
                  </pic:spPr>
                </pic:pic>
              </a:graphicData>
            </a:graphic>
          </wp:inline>
        </w:drawing>
      </w:r>
    </w:p>
    <w:p w14:paraId="2224C11B" w14:textId="535953FB" w:rsidR="00C566F2" w:rsidRPr="00662A75" w:rsidRDefault="00C566F2" w:rsidP="00662A75">
      <w:pPr>
        <w:pStyle w:val="NormalWeb"/>
        <w:spacing w:line="360" w:lineRule="auto"/>
        <w:rPr>
          <w:rFonts w:ascii="Arial" w:hAnsi="Arial" w:cs="Arial"/>
          <w:sz w:val="22"/>
          <w:szCs w:val="22"/>
        </w:rPr>
      </w:pPr>
      <w:r w:rsidRPr="00662A75">
        <w:rPr>
          <w:rFonts w:ascii="Arial" w:hAnsi="Arial" w:cs="Arial"/>
          <w:sz w:val="22"/>
          <w:szCs w:val="22"/>
        </w:rPr>
        <w:t xml:space="preserve">The 14% difference in this chart represents just one participant, highlighting how small sample sizes can lead to misleading percentage changes and complicate interpretation(ref). The three demographic measures, along with the key eligibility question (identifying as </w:t>
      </w:r>
      <w:r w:rsidRPr="00662A75">
        <w:rPr>
          <w:rFonts w:ascii="Arial" w:hAnsi="Arial" w:cs="Arial"/>
          <w:sz w:val="22"/>
          <w:szCs w:val="22"/>
        </w:rPr>
        <w:lastRenderedPageBreak/>
        <w:t>dyslexic), limit the comparability of the data. Additionally, the limited timeframe for detailed analysis restricts further demographic comparisons.</w:t>
      </w:r>
    </w:p>
    <w:p w14:paraId="37942825" w14:textId="77777777" w:rsidR="00ED12CE" w:rsidRPr="00662A75" w:rsidRDefault="00ED12CE" w:rsidP="00662A75">
      <w:pPr>
        <w:pStyle w:val="Heading2"/>
        <w:spacing w:line="360" w:lineRule="auto"/>
        <w:rPr>
          <w:rFonts w:ascii="Arial" w:hAnsi="Arial" w:cs="Arial"/>
          <w:sz w:val="22"/>
          <w:szCs w:val="22"/>
        </w:rPr>
      </w:pPr>
      <w:r w:rsidRPr="00662A75">
        <w:rPr>
          <w:rFonts w:ascii="Arial" w:hAnsi="Arial" w:cs="Arial"/>
          <w:sz w:val="22"/>
          <w:szCs w:val="22"/>
        </w:rPr>
        <w:t>Case Study: Demographic of Participants</w:t>
      </w:r>
    </w:p>
    <w:p w14:paraId="3B63E41C" w14:textId="77777777" w:rsidR="00CF4159" w:rsidRPr="00662A75" w:rsidRDefault="00CF4159" w:rsidP="00662A75">
      <w:pPr>
        <w:pStyle w:val="NormalWeb"/>
        <w:spacing w:line="360" w:lineRule="auto"/>
        <w:rPr>
          <w:rFonts w:ascii="Arial" w:hAnsi="Arial" w:cs="Arial"/>
          <w:sz w:val="22"/>
          <w:szCs w:val="22"/>
        </w:rPr>
      </w:pPr>
      <w:r w:rsidRPr="00662A75">
        <w:rPr>
          <w:rFonts w:ascii="Arial" w:hAnsi="Arial" w:cs="Arial"/>
          <w:sz w:val="22"/>
          <w:szCs w:val="22"/>
        </w:rPr>
        <w:t>Two case studies volunteered, but one did not attend, and I did not follow up, considering their non-response as withdrawal of consent. No further volunteers came forward within the recruitment timeframe.</w:t>
      </w:r>
    </w:p>
    <w:p w14:paraId="0232DD64" w14:textId="77777777" w:rsidR="00CF4159" w:rsidRPr="00662A75" w:rsidRDefault="00CF4159" w:rsidP="00662A75">
      <w:pPr>
        <w:pStyle w:val="NormalWeb"/>
        <w:spacing w:line="360" w:lineRule="auto"/>
        <w:rPr>
          <w:rFonts w:ascii="Arial" w:hAnsi="Arial" w:cs="Arial"/>
          <w:sz w:val="22"/>
          <w:szCs w:val="22"/>
        </w:rPr>
      </w:pPr>
      <w:r w:rsidRPr="00662A75">
        <w:rPr>
          <w:rFonts w:ascii="Arial" w:hAnsi="Arial" w:cs="Arial"/>
          <w:sz w:val="22"/>
          <w:szCs w:val="22"/>
        </w:rPr>
        <w:t>The case study participant was a 10-year-old girl in year five, who had attended fortnightly singing lessons for two years but had not had a lesson in over a year due to her teacher moving away. She represents 14.29% of the lowest age range in the questionnaire and aligns with 42.85% of participants who had singing lessons.</w:t>
      </w:r>
    </w:p>
    <w:p w14:paraId="74640949" w14:textId="77777777" w:rsidR="00CF4159" w:rsidRPr="00662A75" w:rsidRDefault="00CF4159" w:rsidP="00662A75">
      <w:pPr>
        <w:pStyle w:val="NormalWeb"/>
        <w:spacing w:line="360" w:lineRule="auto"/>
        <w:rPr>
          <w:rFonts w:ascii="Arial" w:hAnsi="Arial" w:cs="Arial"/>
          <w:sz w:val="22"/>
          <w:szCs w:val="22"/>
        </w:rPr>
      </w:pPr>
      <w:r w:rsidRPr="00662A75">
        <w:rPr>
          <w:rFonts w:ascii="Arial" w:hAnsi="Arial" w:cs="Arial"/>
          <w:sz w:val="22"/>
          <w:szCs w:val="22"/>
        </w:rPr>
        <w:t xml:space="preserve">Before </w:t>
      </w:r>
      <w:proofErr w:type="spellStart"/>
      <w:r w:rsidRPr="00662A75">
        <w:rPr>
          <w:rFonts w:ascii="Arial" w:hAnsi="Arial" w:cs="Arial"/>
          <w:sz w:val="22"/>
          <w:szCs w:val="22"/>
        </w:rPr>
        <w:t>analyzing</w:t>
      </w:r>
      <w:proofErr w:type="spellEnd"/>
      <w:r w:rsidRPr="00662A75">
        <w:rPr>
          <w:rFonts w:ascii="Arial" w:hAnsi="Arial" w:cs="Arial"/>
          <w:sz w:val="22"/>
          <w:szCs w:val="22"/>
        </w:rPr>
        <w:t xml:space="preserve"> the data, I reviewed participants’ views on whether dyslexia posed a barrier to learning to sing and compared these to their responses on dyslexia’s impact.</w:t>
      </w:r>
    </w:p>
    <w:p w14:paraId="2CF72ACD" w14:textId="276C5F86" w:rsidR="0033421B" w:rsidRPr="00662A75" w:rsidRDefault="00FA044D" w:rsidP="00662A75">
      <w:pPr>
        <w:pStyle w:val="NormalWeb"/>
        <w:spacing w:line="360" w:lineRule="auto"/>
        <w:rPr>
          <w:rFonts w:ascii="Arial" w:hAnsi="Arial" w:cs="Arial"/>
          <w:sz w:val="22"/>
          <w:szCs w:val="22"/>
        </w:rPr>
      </w:pPr>
      <w:r w:rsidRPr="00662A75">
        <w:rPr>
          <w:rFonts w:ascii="Arial" w:hAnsi="Arial" w:cs="Arial"/>
          <w:noProof/>
          <w:sz w:val="22"/>
          <w:szCs w:val="22"/>
        </w:rPr>
        <w:drawing>
          <wp:inline distT="0" distB="0" distL="0" distR="0" wp14:anchorId="03995340" wp14:editId="42929E35">
            <wp:extent cx="5731510" cy="99060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990600"/>
                    </a:xfrm>
                    <a:prstGeom prst="rect">
                      <a:avLst/>
                    </a:prstGeom>
                  </pic:spPr>
                </pic:pic>
              </a:graphicData>
            </a:graphic>
          </wp:inline>
        </w:drawing>
      </w:r>
    </w:p>
    <w:p w14:paraId="6FD66850" w14:textId="73651A84" w:rsidR="0033421B" w:rsidRPr="0033421B" w:rsidRDefault="0033421B" w:rsidP="00662A75">
      <w:pPr>
        <w:spacing w:after="0" w:line="360" w:lineRule="auto"/>
        <w:rPr>
          <w:rFonts w:ascii="Arial" w:eastAsia="Times New Roman" w:hAnsi="Arial" w:cs="Arial"/>
          <w:kern w:val="0"/>
          <w:lang w:eastAsia="en-GB"/>
          <w14:ligatures w14:val="none"/>
        </w:rPr>
      </w:pPr>
      <w:r w:rsidRPr="00662A75">
        <w:rPr>
          <w:rFonts w:ascii="Arial" w:eastAsia="Times New Roman" w:hAnsi="Arial" w:cs="Arial"/>
          <w:noProof/>
          <w:color w:val="000000"/>
          <w:kern w:val="0"/>
          <w:bdr w:val="none" w:sz="0" w:space="0" w:color="auto" w:frame="1"/>
          <w:lang w:eastAsia="en-GB"/>
          <w14:ligatures w14:val="none"/>
        </w:rPr>
        <w:drawing>
          <wp:inline distT="0" distB="0" distL="0" distR="0" wp14:anchorId="2E6DC897" wp14:editId="73ED5865">
            <wp:extent cx="5731510" cy="3517265"/>
            <wp:effectExtent l="0" t="0" r="254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517265"/>
                    </a:xfrm>
                    <a:prstGeom prst="rect">
                      <a:avLst/>
                    </a:prstGeom>
                    <a:noFill/>
                    <a:ln>
                      <a:noFill/>
                    </a:ln>
                  </pic:spPr>
                </pic:pic>
              </a:graphicData>
            </a:graphic>
          </wp:inline>
        </w:drawing>
      </w:r>
    </w:p>
    <w:p w14:paraId="29750303" w14:textId="77777777" w:rsidR="00DC62EF" w:rsidRPr="00662A75" w:rsidRDefault="00DC62EF" w:rsidP="00662A75">
      <w:pPr>
        <w:pStyle w:val="NormalWeb"/>
        <w:spacing w:line="360" w:lineRule="auto"/>
        <w:rPr>
          <w:rFonts w:ascii="Arial" w:hAnsi="Arial" w:cs="Arial"/>
          <w:sz w:val="22"/>
          <w:szCs w:val="22"/>
        </w:rPr>
      </w:pPr>
      <w:r w:rsidRPr="00662A75">
        <w:rPr>
          <w:rFonts w:ascii="Arial" w:hAnsi="Arial" w:cs="Arial"/>
          <w:sz w:val="22"/>
          <w:szCs w:val="22"/>
        </w:rPr>
        <w:lastRenderedPageBreak/>
        <w:t>The sample generally views dyslexia as a significant barrier to learning to sing, with all participants acknowledging its negative impact. This consistent belief offers insight into their perceptions of dyslexia's influence on their ability to learn to sing, though the exact weight of this impact is not fully measured in the data.</w:t>
      </w:r>
    </w:p>
    <w:p w14:paraId="38A9F909" w14:textId="77777777" w:rsidR="00DC62EF" w:rsidRPr="00662A75" w:rsidRDefault="00DC62EF" w:rsidP="00662A75">
      <w:pPr>
        <w:pStyle w:val="Heading2"/>
        <w:spacing w:line="360" w:lineRule="auto"/>
        <w:rPr>
          <w:rFonts w:ascii="Arial" w:hAnsi="Arial" w:cs="Arial"/>
          <w:sz w:val="22"/>
          <w:szCs w:val="22"/>
        </w:rPr>
      </w:pPr>
      <w:r w:rsidRPr="00662A75">
        <w:rPr>
          <w:rFonts w:ascii="Arial" w:hAnsi="Arial" w:cs="Arial"/>
          <w:sz w:val="22"/>
          <w:szCs w:val="22"/>
        </w:rPr>
        <w:t>Themes within the Findings</w:t>
      </w:r>
    </w:p>
    <w:p w14:paraId="23361256" w14:textId="3BE8F317" w:rsidR="00D71A63" w:rsidRPr="00662A75" w:rsidRDefault="00D71A63" w:rsidP="00662A75">
      <w:pPr>
        <w:pStyle w:val="NormalWeb"/>
        <w:spacing w:line="360" w:lineRule="auto"/>
        <w:rPr>
          <w:rFonts w:ascii="Arial" w:hAnsi="Arial" w:cs="Arial"/>
          <w:sz w:val="22"/>
          <w:szCs w:val="22"/>
        </w:rPr>
      </w:pPr>
      <w:r w:rsidRPr="00662A75">
        <w:rPr>
          <w:rFonts w:ascii="Arial" w:hAnsi="Arial" w:cs="Arial"/>
          <w:sz w:val="22"/>
          <w:szCs w:val="22"/>
        </w:rPr>
        <w:t xml:space="preserve">Using thematic analysis, I utilized the software tool </w:t>
      </w:r>
      <w:proofErr w:type="spellStart"/>
      <w:r w:rsidRPr="00662A75">
        <w:rPr>
          <w:rFonts w:ascii="Arial" w:hAnsi="Arial" w:cs="Arial"/>
          <w:sz w:val="22"/>
          <w:szCs w:val="22"/>
        </w:rPr>
        <w:t>Quirkos</w:t>
      </w:r>
      <w:proofErr w:type="spellEnd"/>
      <w:r w:rsidRPr="00662A75">
        <w:rPr>
          <w:rFonts w:ascii="Arial" w:hAnsi="Arial" w:cs="Arial"/>
          <w:sz w:val="22"/>
          <w:szCs w:val="22"/>
        </w:rPr>
        <w:t xml:space="preserve"> to visually highlight themes from the open-ended questionnaire responses. I collated responses from each question, which helped identify theme origins later in the process (</w:t>
      </w:r>
      <w:r w:rsidR="00C46EBD" w:rsidRPr="00662A75">
        <w:rPr>
          <w:rFonts w:ascii="Arial" w:hAnsi="Arial" w:cs="Arial"/>
          <w:sz w:val="22"/>
          <w:szCs w:val="22"/>
        </w:rPr>
        <w:t>Appendix 8</w:t>
      </w:r>
      <w:r w:rsidRPr="00662A75">
        <w:rPr>
          <w:rFonts w:ascii="Arial" w:hAnsi="Arial" w:cs="Arial"/>
          <w:sz w:val="22"/>
          <w:szCs w:val="22"/>
        </w:rPr>
        <w:t>). It is important to note that this data pertains specifically to participants' experiences within singing lessons and does not account for their broader experiences, which could differ.</w:t>
      </w:r>
    </w:p>
    <w:p w14:paraId="6267A1FA" w14:textId="75439A53" w:rsidR="0033421B" w:rsidRPr="00662A75" w:rsidRDefault="00A47579" w:rsidP="00662A75">
      <w:pPr>
        <w:pStyle w:val="NormalWeb"/>
        <w:spacing w:line="360" w:lineRule="auto"/>
        <w:rPr>
          <w:rFonts w:ascii="Arial" w:hAnsi="Arial" w:cs="Arial"/>
          <w:sz w:val="22"/>
          <w:szCs w:val="22"/>
        </w:rPr>
      </w:pPr>
      <w:r w:rsidRPr="00662A75">
        <w:rPr>
          <w:rFonts w:ascii="Arial" w:hAnsi="Arial" w:cs="Arial"/>
          <w:noProof/>
          <w:sz w:val="22"/>
          <w:szCs w:val="22"/>
        </w:rPr>
        <w:drawing>
          <wp:inline distT="0" distB="0" distL="0" distR="0" wp14:anchorId="3D84674D" wp14:editId="569F0E9F">
            <wp:extent cx="5731510" cy="60960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609600"/>
                    </a:xfrm>
                    <a:prstGeom prst="rect">
                      <a:avLst/>
                    </a:prstGeom>
                  </pic:spPr>
                </pic:pic>
              </a:graphicData>
            </a:graphic>
          </wp:inline>
        </w:drawing>
      </w:r>
      <w:r w:rsidRPr="00662A75">
        <w:rPr>
          <w:rFonts w:ascii="Arial" w:hAnsi="Arial" w:cs="Arial"/>
          <w:noProof/>
          <w:color w:val="000000"/>
          <w:sz w:val="22"/>
          <w:szCs w:val="22"/>
          <w:bdr w:val="none" w:sz="0" w:space="0" w:color="auto" w:frame="1"/>
        </w:rPr>
        <w:drawing>
          <wp:inline distT="0" distB="0" distL="0" distR="0" wp14:anchorId="6674D586" wp14:editId="28FBB6B0">
            <wp:extent cx="5731510" cy="3350895"/>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350895"/>
                    </a:xfrm>
                    <a:prstGeom prst="rect">
                      <a:avLst/>
                    </a:prstGeom>
                    <a:noFill/>
                    <a:ln>
                      <a:noFill/>
                    </a:ln>
                  </pic:spPr>
                </pic:pic>
              </a:graphicData>
            </a:graphic>
          </wp:inline>
        </w:drawing>
      </w:r>
    </w:p>
    <w:p w14:paraId="0CF9646F" w14:textId="77777777" w:rsidR="001F0C88" w:rsidRPr="00662A75" w:rsidRDefault="001F0C88" w:rsidP="00662A75">
      <w:pPr>
        <w:pStyle w:val="NormalWeb"/>
        <w:spacing w:line="360" w:lineRule="auto"/>
        <w:rPr>
          <w:rFonts w:ascii="Arial" w:hAnsi="Arial" w:cs="Arial"/>
          <w:sz w:val="22"/>
          <w:szCs w:val="22"/>
        </w:rPr>
      </w:pPr>
      <w:r w:rsidRPr="00662A75">
        <w:rPr>
          <w:rFonts w:ascii="Arial" w:hAnsi="Arial" w:cs="Arial"/>
          <w:sz w:val="22"/>
          <w:szCs w:val="22"/>
        </w:rPr>
        <w:t>Dyslexia is a learning difficulty marked by persistent challenges in reading, writing, and language processing (</w:t>
      </w:r>
      <w:proofErr w:type="spellStart"/>
      <w:r w:rsidRPr="00662A75">
        <w:rPr>
          <w:rFonts w:ascii="Arial" w:hAnsi="Arial" w:cs="Arial"/>
          <w:sz w:val="22"/>
          <w:szCs w:val="22"/>
        </w:rPr>
        <w:t>Snowling</w:t>
      </w:r>
      <w:proofErr w:type="spellEnd"/>
      <w:r w:rsidRPr="00662A75">
        <w:rPr>
          <w:rFonts w:ascii="Arial" w:hAnsi="Arial" w:cs="Arial"/>
          <w:sz w:val="22"/>
          <w:szCs w:val="22"/>
        </w:rPr>
        <w:t>, 2013). Given this, it's expected that themes related to learning processes would emerge, particularly in contexts involving new skill acquisition.</w:t>
      </w:r>
    </w:p>
    <w:p w14:paraId="43E91A9E" w14:textId="4FA43E91" w:rsidR="00581C31" w:rsidRPr="00662A75" w:rsidRDefault="00461598" w:rsidP="00662A75">
      <w:pPr>
        <w:pStyle w:val="NormalWeb"/>
        <w:spacing w:line="360" w:lineRule="auto"/>
        <w:rPr>
          <w:rFonts w:ascii="Arial" w:hAnsi="Arial" w:cs="Arial"/>
          <w:sz w:val="22"/>
          <w:szCs w:val="22"/>
        </w:rPr>
      </w:pPr>
      <w:r w:rsidRPr="00662A75">
        <w:rPr>
          <w:rFonts w:ascii="Arial" w:hAnsi="Arial" w:cs="Arial"/>
          <w:sz w:val="22"/>
          <w:szCs w:val="22"/>
        </w:rPr>
        <w:t xml:space="preserve">To minimize bias, measures were taken to ensure themes emerged inductively, not from prior assumptions (Braun &amp; Clarke, 2006). This approach follows qualitative research best practices, allowing themes to develop from participant responses (Smith, 2015). Frequency </w:t>
      </w:r>
      <w:r w:rsidRPr="00662A75">
        <w:rPr>
          <w:rFonts w:ascii="Arial" w:hAnsi="Arial" w:cs="Arial"/>
          <w:sz w:val="22"/>
          <w:szCs w:val="22"/>
        </w:rPr>
        <w:lastRenderedPageBreak/>
        <w:t>analysis of open-ended responses helped measure theme occurrence, as shown in the table below.</w:t>
      </w:r>
    </w:p>
    <w:p w14:paraId="06EF5CE3" w14:textId="69F5F2E0" w:rsidR="008E396B" w:rsidRPr="00662A75" w:rsidRDefault="00416661" w:rsidP="00662A75">
      <w:pPr>
        <w:spacing w:line="360" w:lineRule="auto"/>
        <w:rPr>
          <w:rFonts w:ascii="Arial" w:hAnsi="Arial" w:cs="Arial"/>
        </w:rPr>
      </w:pPr>
      <w:r w:rsidRPr="00662A75">
        <w:rPr>
          <w:rFonts w:ascii="Arial" w:hAnsi="Arial" w:cs="Arial"/>
          <w:noProof/>
        </w:rPr>
        <w:drawing>
          <wp:inline distT="0" distB="0" distL="0" distR="0" wp14:anchorId="1B736208" wp14:editId="34847A8A">
            <wp:extent cx="4273770" cy="325771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273770" cy="3257717"/>
                    </a:xfrm>
                    <a:prstGeom prst="rect">
                      <a:avLst/>
                    </a:prstGeom>
                  </pic:spPr>
                </pic:pic>
              </a:graphicData>
            </a:graphic>
          </wp:inline>
        </w:drawing>
      </w:r>
    </w:p>
    <w:p w14:paraId="4C94E291" w14:textId="36432B22" w:rsidR="00FE0AB9" w:rsidRPr="00662A75" w:rsidRDefault="00FE0AB9" w:rsidP="00662A75">
      <w:pPr>
        <w:pStyle w:val="NormalWeb"/>
        <w:spacing w:line="360" w:lineRule="auto"/>
        <w:rPr>
          <w:rFonts w:ascii="Arial" w:hAnsi="Arial" w:cs="Arial"/>
          <w:sz w:val="22"/>
          <w:szCs w:val="22"/>
        </w:rPr>
      </w:pPr>
      <w:r w:rsidRPr="00662A75">
        <w:rPr>
          <w:rFonts w:ascii="Arial" w:hAnsi="Arial" w:cs="Arial"/>
          <w:sz w:val="22"/>
          <w:szCs w:val="22"/>
        </w:rPr>
        <w:t>Participants most commonly associated their experiences with the need for additional time or challenges in processing lyrics and words. This bimodal distribution suggests both factors are equally prominent, aligning with research highlighting time constraints and linguistic processing difficulties as key challenges for dyslexic learners (</w:t>
      </w:r>
      <w:proofErr w:type="spellStart"/>
      <w:r w:rsidRPr="00662A75">
        <w:rPr>
          <w:rFonts w:ascii="Arial" w:hAnsi="Arial" w:cs="Arial"/>
          <w:sz w:val="22"/>
          <w:szCs w:val="22"/>
        </w:rPr>
        <w:t>Snowling</w:t>
      </w:r>
      <w:proofErr w:type="spellEnd"/>
      <w:r w:rsidRPr="00662A75">
        <w:rPr>
          <w:rFonts w:ascii="Arial" w:hAnsi="Arial" w:cs="Arial"/>
          <w:sz w:val="22"/>
          <w:szCs w:val="22"/>
        </w:rPr>
        <w:t xml:space="preserve">, 2013; </w:t>
      </w:r>
      <w:proofErr w:type="spellStart"/>
      <w:r w:rsidR="00BD146A" w:rsidRPr="00662A75">
        <w:rPr>
          <w:rFonts w:ascii="Arial" w:hAnsi="Arial" w:cs="Arial"/>
          <w:sz w:val="22"/>
          <w:szCs w:val="22"/>
        </w:rPr>
        <w:t>Reid.G</w:t>
      </w:r>
      <w:proofErr w:type="spellEnd"/>
      <w:r w:rsidR="00BD146A" w:rsidRPr="00662A75">
        <w:rPr>
          <w:rFonts w:ascii="Arial" w:hAnsi="Arial" w:cs="Arial"/>
          <w:sz w:val="22"/>
          <w:szCs w:val="22"/>
        </w:rPr>
        <w:t>. ,2020</w:t>
      </w:r>
      <w:r w:rsidRPr="00662A75">
        <w:rPr>
          <w:rFonts w:ascii="Arial" w:hAnsi="Arial" w:cs="Arial"/>
          <w:sz w:val="22"/>
          <w:szCs w:val="22"/>
        </w:rPr>
        <w:t>). I will focus the thematic analysis on these prominent areas.</w:t>
      </w:r>
    </w:p>
    <w:p w14:paraId="06C4B304" w14:textId="77777777" w:rsidR="00FE0AB9" w:rsidRPr="00662A75" w:rsidRDefault="00FE0AB9" w:rsidP="00662A75">
      <w:pPr>
        <w:pStyle w:val="NormalWeb"/>
        <w:spacing w:line="360" w:lineRule="auto"/>
        <w:rPr>
          <w:rFonts w:ascii="Arial" w:hAnsi="Arial" w:cs="Arial"/>
          <w:sz w:val="22"/>
          <w:szCs w:val="22"/>
        </w:rPr>
      </w:pPr>
      <w:r w:rsidRPr="00662A75">
        <w:rPr>
          <w:rFonts w:ascii="Arial" w:hAnsi="Arial" w:cs="Arial"/>
          <w:sz w:val="22"/>
          <w:szCs w:val="22"/>
        </w:rPr>
        <w:t>A detailed analysis will be conducted on themes with a frequency of 9 or more, including the modal data sets and those in the upper half of the range. The themes I will explore based on their prominence are:</w:t>
      </w:r>
    </w:p>
    <w:p w14:paraId="252653B7" w14:textId="77777777" w:rsidR="00FE0AB9" w:rsidRPr="00662A75" w:rsidRDefault="00FE0AB9" w:rsidP="00662A75">
      <w:pPr>
        <w:pStyle w:val="NormalWeb"/>
        <w:numPr>
          <w:ilvl w:val="0"/>
          <w:numId w:val="7"/>
        </w:numPr>
        <w:spacing w:before="240" w:beforeAutospacing="0" w:after="0" w:afterAutospacing="0" w:line="360" w:lineRule="auto"/>
        <w:textAlignment w:val="baseline"/>
        <w:rPr>
          <w:rFonts w:ascii="Arial" w:hAnsi="Arial" w:cs="Arial"/>
          <w:color w:val="000000"/>
          <w:sz w:val="22"/>
          <w:szCs w:val="22"/>
        </w:rPr>
      </w:pPr>
      <w:r w:rsidRPr="00662A75">
        <w:rPr>
          <w:rFonts w:ascii="Arial" w:hAnsi="Arial" w:cs="Arial"/>
          <w:color w:val="000000"/>
          <w:sz w:val="22"/>
          <w:szCs w:val="22"/>
          <w:shd w:val="clear" w:color="auto" w:fill="FFFFFF"/>
        </w:rPr>
        <w:t>Time required</w:t>
      </w:r>
    </w:p>
    <w:p w14:paraId="4A66630E" w14:textId="77777777" w:rsidR="00FE0AB9" w:rsidRPr="00662A75" w:rsidRDefault="00FE0AB9" w:rsidP="00662A75">
      <w:pPr>
        <w:pStyle w:val="NormalWeb"/>
        <w:numPr>
          <w:ilvl w:val="0"/>
          <w:numId w:val="7"/>
        </w:numPr>
        <w:spacing w:before="0" w:beforeAutospacing="0" w:after="0" w:afterAutospacing="0" w:line="360" w:lineRule="auto"/>
        <w:textAlignment w:val="baseline"/>
        <w:rPr>
          <w:rFonts w:ascii="Arial" w:hAnsi="Arial" w:cs="Arial"/>
          <w:color w:val="000000"/>
          <w:sz w:val="22"/>
          <w:szCs w:val="22"/>
        </w:rPr>
      </w:pPr>
      <w:r w:rsidRPr="00662A75">
        <w:rPr>
          <w:rFonts w:ascii="Arial" w:hAnsi="Arial" w:cs="Arial"/>
          <w:color w:val="000000"/>
          <w:sz w:val="22"/>
          <w:szCs w:val="22"/>
          <w:shd w:val="clear" w:color="auto" w:fill="FFFFFF"/>
        </w:rPr>
        <w:t>Difficulties  processing lyrics/words</w:t>
      </w:r>
    </w:p>
    <w:p w14:paraId="54F2E62D" w14:textId="77777777" w:rsidR="00FE0AB9" w:rsidRPr="00662A75" w:rsidRDefault="00FE0AB9" w:rsidP="00662A75">
      <w:pPr>
        <w:pStyle w:val="NormalWeb"/>
        <w:numPr>
          <w:ilvl w:val="0"/>
          <w:numId w:val="7"/>
        </w:numPr>
        <w:spacing w:before="0" w:beforeAutospacing="0" w:after="0" w:afterAutospacing="0" w:line="360" w:lineRule="auto"/>
        <w:textAlignment w:val="baseline"/>
        <w:rPr>
          <w:rFonts w:ascii="Arial" w:hAnsi="Arial" w:cs="Arial"/>
          <w:color w:val="000000"/>
          <w:sz w:val="22"/>
          <w:szCs w:val="22"/>
        </w:rPr>
      </w:pPr>
      <w:r w:rsidRPr="00662A75">
        <w:rPr>
          <w:rFonts w:ascii="Arial" w:hAnsi="Arial" w:cs="Arial"/>
          <w:color w:val="000000"/>
          <w:sz w:val="22"/>
          <w:szCs w:val="22"/>
          <w:shd w:val="clear" w:color="auto" w:fill="FFFFFF"/>
        </w:rPr>
        <w:t>Emotional Response to Experience</w:t>
      </w:r>
    </w:p>
    <w:p w14:paraId="0575413D" w14:textId="77777777" w:rsidR="00FE0AB9" w:rsidRPr="00662A75" w:rsidRDefault="00FE0AB9" w:rsidP="00662A75">
      <w:pPr>
        <w:pStyle w:val="NormalWeb"/>
        <w:numPr>
          <w:ilvl w:val="0"/>
          <w:numId w:val="7"/>
        </w:numPr>
        <w:spacing w:before="0" w:beforeAutospacing="0" w:after="0" w:afterAutospacing="0" w:line="360" w:lineRule="auto"/>
        <w:textAlignment w:val="baseline"/>
        <w:rPr>
          <w:rFonts w:ascii="Arial" w:hAnsi="Arial" w:cs="Arial"/>
          <w:color w:val="000000"/>
          <w:sz w:val="22"/>
          <w:szCs w:val="22"/>
        </w:rPr>
      </w:pPr>
      <w:r w:rsidRPr="00662A75">
        <w:rPr>
          <w:rFonts w:ascii="Arial" w:hAnsi="Arial" w:cs="Arial"/>
          <w:color w:val="000000"/>
          <w:sz w:val="22"/>
          <w:szCs w:val="22"/>
          <w:shd w:val="clear" w:color="auto" w:fill="FFFFFF"/>
        </w:rPr>
        <w:t>Multiple elements to process simultaneously</w:t>
      </w:r>
    </w:p>
    <w:p w14:paraId="7E54826B" w14:textId="77777777" w:rsidR="00FE0AB9" w:rsidRPr="00662A75" w:rsidRDefault="00FE0AB9" w:rsidP="00662A75">
      <w:pPr>
        <w:pStyle w:val="NormalWeb"/>
        <w:numPr>
          <w:ilvl w:val="0"/>
          <w:numId w:val="7"/>
        </w:numPr>
        <w:spacing w:before="0" w:beforeAutospacing="0" w:after="240" w:afterAutospacing="0" w:line="360" w:lineRule="auto"/>
        <w:textAlignment w:val="baseline"/>
        <w:rPr>
          <w:rFonts w:ascii="Arial" w:hAnsi="Arial" w:cs="Arial"/>
          <w:color w:val="000000"/>
          <w:sz w:val="22"/>
          <w:szCs w:val="22"/>
        </w:rPr>
      </w:pPr>
      <w:r w:rsidRPr="00662A75">
        <w:rPr>
          <w:rFonts w:ascii="Arial" w:hAnsi="Arial" w:cs="Arial"/>
          <w:color w:val="000000"/>
          <w:sz w:val="22"/>
          <w:szCs w:val="22"/>
          <w:shd w:val="clear" w:color="auto" w:fill="FFFFFF"/>
        </w:rPr>
        <w:t>Difficulties in reading sheet music </w:t>
      </w:r>
    </w:p>
    <w:p w14:paraId="738FF1F4" w14:textId="0BA3F8E6" w:rsidR="00FE0AB9" w:rsidRPr="00662A75" w:rsidRDefault="003D1865" w:rsidP="00662A75">
      <w:pPr>
        <w:pStyle w:val="Heading2"/>
        <w:spacing w:line="360" w:lineRule="auto"/>
        <w:rPr>
          <w:rFonts w:ascii="Arial" w:hAnsi="Arial" w:cs="Arial"/>
          <w:sz w:val="22"/>
          <w:szCs w:val="22"/>
          <w:shd w:val="clear" w:color="auto" w:fill="FFFFFF"/>
        </w:rPr>
      </w:pPr>
      <w:r w:rsidRPr="00662A75">
        <w:rPr>
          <w:rFonts w:ascii="Arial" w:hAnsi="Arial" w:cs="Arial"/>
          <w:sz w:val="22"/>
          <w:szCs w:val="22"/>
          <w:shd w:val="clear" w:color="auto" w:fill="FFFFFF"/>
        </w:rPr>
        <w:t>Category: Time Required</w:t>
      </w:r>
    </w:p>
    <w:p w14:paraId="7C0483E1" w14:textId="77777777" w:rsidR="003D1865" w:rsidRPr="00662A75" w:rsidRDefault="003D1865" w:rsidP="00662A75">
      <w:pPr>
        <w:pStyle w:val="NormalWeb"/>
        <w:spacing w:before="0" w:beforeAutospacing="0" w:after="160" w:afterAutospacing="0" w:line="360" w:lineRule="auto"/>
        <w:rPr>
          <w:rFonts w:ascii="Arial" w:hAnsi="Arial" w:cs="Arial"/>
          <w:color w:val="000000"/>
          <w:sz w:val="22"/>
          <w:szCs w:val="22"/>
          <w:shd w:val="clear" w:color="auto" w:fill="FFFFFF"/>
        </w:rPr>
      </w:pPr>
      <w:r w:rsidRPr="00662A75">
        <w:rPr>
          <w:rFonts w:ascii="Arial" w:hAnsi="Arial" w:cs="Arial"/>
          <w:color w:val="000000"/>
          <w:sz w:val="22"/>
          <w:szCs w:val="22"/>
          <w:shd w:val="clear" w:color="auto" w:fill="FFFFFF"/>
        </w:rPr>
        <w:t>The emergence of the first theme “Time Required” initially came from the Question around “What element of singing a singing lesson do you most ENJOY”</w:t>
      </w:r>
    </w:p>
    <w:p w14:paraId="66D15491" w14:textId="77777777" w:rsidR="003D1865" w:rsidRPr="00662A75" w:rsidRDefault="003D1865" w:rsidP="00662A75">
      <w:pPr>
        <w:pStyle w:val="NormalWeb"/>
        <w:spacing w:before="0" w:beforeAutospacing="0" w:after="160" w:afterAutospacing="0" w:line="360" w:lineRule="auto"/>
        <w:rPr>
          <w:rFonts w:ascii="Arial" w:hAnsi="Arial" w:cs="Arial"/>
          <w:sz w:val="22"/>
          <w:szCs w:val="22"/>
        </w:rPr>
      </w:pPr>
    </w:p>
    <w:p w14:paraId="54444EF1" w14:textId="77777777" w:rsidR="003D1865" w:rsidRPr="00662A75" w:rsidRDefault="003D1865" w:rsidP="00662A75">
      <w:pPr>
        <w:pStyle w:val="NormalWeb"/>
        <w:spacing w:before="0" w:beforeAutospacing="0" w:after="160" w:afterAutospacing="0" w:line="360" w:lineRule="auto"/>
        <w:rPr>
          <w:rFonts w:ascii="Arial" w:hAnsi="Arial" w:cs="Arial"/>
          <w:sz w:val="22"/>
          <w:szCs w:val="22"/>
        </w:rPr>
      </w:pPr>
      <w:r w:rsidRPr="00662A75">
        <w:rPr>
          <w:rFonts w:ascii="Arial" w:hAnsi="Arial" w:cs="Arial"/>
          <w:i/>
          <w:iCs/>
          <w:color w:val="000000"/>
          <w:sz w:val="22"/>
          <w:szCs w:val="22"/>
        </w:rPr>
        <w:lastRenderedPageBreak/>
        <w:t>Chart: Questionnaire Responses to the Question “Which element of a singing lesson do you ENJOY the most?”</w:t>
      </w:r>
    </w:p>
    <w:p w14:paraId="19E781CE" w14:textId="5B782CED" w:rsidR="003D1865" w:rsidRPr="00662A75" w:rsidRDefault="003D1865" w:rsidP="00662A75">
      <w:pPr>
        <w:spacing w:line="360" w:lineRule="auto"/>
        <w:rPr>
          <w:rFonts w:ascii="Arial" w:hAnsi="Arial" w:cs="Arial"/>
        </w:rPr>
      </w:pPr>
      <w:r w:rsidRPr="00662A75">
        <w:rPr>
          <w:rFonts w:ascii="Arial" w:hAnsi="Arial" w:cs="Arial"/>
          <w:noProof/>
          <w:color w:val="000000"/>
          <w:bdr w:val="none" w:sz="0" w:space="0" w:color="auto" w:frame="1"/>
        </w:rPr>
        <w:drawing>
          <wp:inline distT="0" distB="0" distL="0" distR="0" wp14:anchorId="7CE200C3" wp14:editId="1AEE77E3">
            <wp:extent cx="5731510" cy="322326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04C38AD2" w14:textId="77777777" w:rsidR="00807105" w:rsidRPr="00662A75" w:rsidRDefault="00807105" w:rsidP="00662A75">
      <w:pPr>
        <w:pStyle w:val="NormalWeb"/>
        <w:spacing w:line="360" w:lineRule="auto"/>
        <w:rPr>
          <w:rFonts w:ascii="Arial" w:hAnsi="Arial" w:cs="Arial"/>
          <w:sz w:val="22"/>
          <w:szCs w:val="22"/>
        </w:rPr>
      </w:pPr>
      <w:r w:rsidRPr="00662A75">
        <w:rPr>
          <w:rFonts w:ascii="Arial" w:hAnsi="Arial" w:cs="Arial"/>
          <w:sz w:val="22"/>
          <w:szCs w:val="22"/>
        </w:rPr>
        <w:t xml:space="preserve">The most common response was “Performing a song you know well,” chosen by 71.43% (N=7) of participants, which was then </w:t>
      </w:r>
      <w:proofErr w:type="spellStart"/>
      <w:r w:rsidRPr="00662A75">
        <w:rPr>
          <w:rFonts w:ascii="Arial" w:hAnsi="Arial" w:cs="Arial"/>
          <w:sz w:val="22"/>
          <w:szCs w:val="22"/>
        </w:rPr>
        <w:t>analyzed</w:t>
      </w:r>
      <w:proofErr w:type="spellEnd"/>
      <w:r w:rsidRPr="00662A75">
        <w:rPr>
          <w:rFonts w:ascii="Arial" w:hAnsi="Arial" w:cs="Arial"/>
          <w:sz w:val="22"/>
          <w:szCs w:val="22"/>
        </w:rPr>
        <w:t xml:space="preserve"> across age brackets. Two participants noted needing extra time to process new material, both citing “performing a song you know well” as the most enjoyable element. One participant mentioned: “I’ve had time to process the order of the words and the structure of the song,” while another said: “I don’t have to think about the words because they’re already there; learning new songs takes a long time and stresses me out.” These responses suggest that processing new lyrics causes stress and anxiety for these individuals.</w:t>
      </w:r>
    </w:p>
    <w:p w14:paraId="7E4C9B05" w14:textId="77777777" w:rsidR="000808C1" w:rsidRPr="00662A75" w:rsidRDefault="000808C1" w:rsidP="00662A75">
      <w:pPr>
        <w:pStyle w:val="NormalWeb"/>
        <w:spacing w:line="360" w:lineRule="auto"/>
        <w:rPr>
          <w:rFonts w:ascii="Arial" w:hAnsi="Arial" w:cs="Arial"/>
          <w:sz w:val="22"/>
          <w:szCs w:val="22"/>
        </w:rPr>
      </w:pPr>
      <w:r w:rsidRPr="00662A75">
        <w:rPr>
          <w:rFonts w:ascii="Arial" w:hAnsi="Arial" w:cs="Arial"/>
          <w:sz w:val="22"/>
          <w:szCs w:val="22"/>
        </w:rPr>
        <w:t>Both responses highlight the need for extra time to process words when learning a new song, with one also expressing stress, which I interpreted as anxiety related to learning new lyrics. This theme also appeared in a hypothetical question about being unexpectedly asked to learn a new song. Participants noted, "Anything new requires me time to process," which matched responses to the question about the hardest part of a lesson, where “learning a new song” was cited: “It takes me a long time to learn a new song.” This recurring theme suggests that learning something new, particularly in singing lessons, requires extra time for dyslexic individuals. Further comparison with non-dyslexic participants could provide additional insights.</w:t>
      </w:r>
    </w:p>
    <w:p w14:paraId="1F2F5A0A" w14:textId="77777777" w:rsidR="007C6721" w:rsidRPr="00662A75" w:rsidRDefault="007C6721" w:rsidP="00662A75">
      <w:pPr>
        <w:pStyle w:val="NormalWeb"/>
        <w:spacing w:line="360" w:lineRule="auto"/>
        <w:rPr>
          <w:rFonts w:ascii="Arial" w:hAnsi="Arial" w:cs="Arial"/>
          <w:sz w:val="22"/>
          <w:szCs w:val="22"/>
        </w:rPr>
      </w:pPr>
      <w:r w:rsidRPr="00662A75">
        <w:rPr>
          <w:rFonts w:ascii="Arial" w:hAnsi="Arial" w:cs="Arial"/>
          <w:sz w:val="22"/>
          <w:szCs w:val="22"/>
        </w:rPr>
        <w:lastRenderedPageBreak/>
        <w:t>While the need for extra time wasn't explicitly stated in the case study transcripts, a recurring need for repetition emerged, especially when learning a new melody. When asked to recall the first two bars of a melody without sheet music, the case study participant responded, "I don’t remember it." This difficulty in recall suggests that learning a new melodic sequence requires more time, with repetition being essential for retention.</w:t>
      </w:r>
    </w:p>
    <w:p w14:paraId="4DBACF2E" w14:textId="77777777" w:rsidR="00EE0263" w:rsidRPr="00662A75" w:rsidRDefault="00EE0263" w:rsidP="00662A75">
      <w:pPr>
        <w:pStyle w:val="NormalWeb"/>
        <w:spacing w:line="360" w:lineRule="auto"/>
        <w:rPr>
          <w:rFonts w:ascii="Arial" w:hAnsi="Arial" w:cs="Arial"/>
          <w:sz w:val="22"/>
          <w:szCs w:val="22"/>
        </w:rPr>
      </w:pPr>
      <w:r w:rsidRPr="00662A75">
        <w:rPr>
          <w:rFonts w:ascii="Arial" w:hAnsi="Arial" w:cs="Arial"/>
          <w:sz w:val="22"/>
          <w:szCs w:val="22"/>
        </w:rPr>
        <w:t>The theme of repetition was supported by a questionnaire participant who noted that the warm-up is "usually the same each class," making it the easiest part of their singing lesson. Repetition may have made this part more enjoyable, but it doesn't explore the time and effort needed to reach that ease. Research supports repetition for dyslexic learners, who often benefit from structured repetition to reinforce memory (</w:t>
      </w:r>
      <w:proofErr w:type="spellStart"/>
      <w:r w:rsidRPr="00662A75">
        <w:rPr>
          <w:rFonts w:ascii="Arial" w:hAnsi="Arial" w:cs="Arial"/>
          <w:sz w:val="22"/>
          <w:szCs w:val="22"/>
        </w:rPr>
        <w:t>Kopiez</w:t>
      </w:r>
      <w:proofErr w:type="spellEnd"/>
      <w:r w:rsidRPr="00662A75">
        <w:rPr>
          <w:rFonts w:ascii="Arial" w:hAnsi="Arial" w:cs="Arial"/>
          <w:sz w:val="22"/>
          <w:szCs w:val="22"/>
        </w:rPr>
        <w:t xml:space="preserve"> et al., 2006; </w:t>
      </w:r>
      <w:proofErr w:type="spellStart"/>
      <w:r w:rsidRPr="00662A75">
        <w:rPr>
          <w:rFonts w:ascii="Arial" w:hAnsi="Arial" w:cs="Arial"/>
          <w:sz w:val="22"/>
          <w:szCs w:val="22"/>
        </w:rPr>
        <w:t>Szmalec</w:t>
      </w:r>
      <w:proofErr w:type="spellEnd"/>
      <w:r w:rsidRPr="00662A75">
        <w:rPr>
          <w:rFonts w:ascii="Arial" w:hAnsi="Arial" w:cs="Arial"/>
          <w:sz w:val="22"/>
          <w:szCs w:val="22"/>
        </w:rPr>
        <w:t xml:space="preserve"> et al., 2011). Thus, the 'Repetition required' theme falls under the broader 'Time Required' theme, as repetition extends learning time.</w:t>
      </w:r>
    </w:p>
    <w:p w14:paraId="12AAE591" w14:textId="77777777" w:rsidR="00EE0263" w:rsidRPr="00662A75" w:rsidRDefault="00EE0263" w:rsidP="00662A75">
      <w:pPr>
        <w:pStyle w:val="NormalWeb"/>
        <w:spacing w:line="360" w:lineRule="auto"/>
        <w:rPr>
          <w:rFonts w:ascii="Arial" w:hAnsi="Arial" w:cs="Arial"/>
          <w:sz w:val="22"/>
          <w:szCs w:val="22"/>
        </w:rPr>
      </w:pPr>
      <w:r w:rsidRPr="00662A75">
        <w:rPr>
          <w:rFonts w:ascii="Arial" w:hAnsi="Arial" w:cs="Arial"/>
          <w:sz w:val="22"/>
          <w:szCs w:val="22"/>
        </w:rPr>
        <w:t>Responses to the theme of "time required" ranged from 0 to 4 mentions (N=9), with the highest frequency at 44.44%. Statistical analysis shows the mode and lower quartile (LQR) at 1, indicating that the most common response was minimal. The upper quartile (UQR) was 3, suggesting variability in participants' emphasis on time in their learning experiences.</w:t>
      </w:r>
    </w:p>
    <w:p w14:paraId="5E540D69" w14:textId="77777777" w:rsidR="00E13195" w:rsidRPr="00662A75" w:rsidRDefault="00E13195" w:rsidP="00662A75">
      <w:pPr>
        <w:pStyle w:val="NormalWeb"/>
        <w:spacing w:line="360" w:lineRule="auto"/>
        <w:rPr>
          <w:rFonts w:ascii="Arial" w:hAnsi="Arial" w:cs="Arial"/>
          <w:sz w:val="22"/>
          <w:szCs w:val="22"/>
        </w:rPr>
      </w:pPr>
      <w:r w:rsidRPr="00662A75">
        <w:rPr>
          <w:rFonts w:ascii="Arial" w:hAnsi="Arial" w:cs="Arial"/>
          <w:sz w:val="22"/>
          <w:szCs w:val="22"/>
        </w:rPr>
        <w:t>The frequency of responses aligning with the mode (Mo) included participants from both the youngest and oldest age groups, indicating that the need for time in learning was not limited to a specific age group. The mode of participant ages matched the mode of response frequency, suggesting a broader trend across all ages. This aligns with studies on dyslexia, which show that extended time and repeated exposure benefit both younger and older learners (</w:t>
      </w:r>
      <w:proofErr w:type="spellStart"/>
      <w:r w:rsidRPr="00662A75">
        <w:rPr>
          <w:rFonts w:ascii="Arial" w:hAnsi="Arial" w:cs="Arial"/>
          <w:sz w:val="22"/>
          <w:szCs w:val="22"/>
        </w:rPr>
        <w:t>Snowling</w:t>
      </w:r>
      <w:proofErr w:type="spellEnd"/>
      <w:r w:rsidRPr="00662A75">
        <w:rPr>
          <w:rFonts w:ascii="Arial" w:hAnsi="Arial" w:cs="Arial"/>
          <w:sz w:val="22"/>
          <w:szCs w:val="22"/>
        </w:rPr>
        <w:t xml:space="preserve">, 2013; </w:t>
      </w:r>
      <w:proofErr w:type="spellStart"/>
      <w:r w:rsidRPr="00662A75">
        <w:rPr>
          <w:rFonts w:ascii="Arial" w:hAnsi="Arial" w:cs="Arial"/>
          <w:sz w:val="22"/>
          <w:szCs w:val="22"/>
        </w:rPr>
        <w:t>Shaywitz</w:t>
      </w:r>
      <w:proofErr w:type="spellEnd"/>
      <w:r w:rsidRPr="00662A75">
        <w:rPr>
          <w:rFonts w:ascii="Arial" w:hAnsi="Arial" w:cs="Arial"/>
          <w:sz w:val="22"/>
          <w:szCs w:val="22"/>
        </w:rPr>
        <w:t xml:space="preserve"> &amp; </w:t>
      </w:r>
      <w:proofErr w:type="spellStart"/>
      <w:r w:rsidRPr="00662A75">
        <w:rPr>
          <w:rFonts w:ascii="Arial" w:hAnsi="Arial" w:cs="Arial"/>
          <w:sz w:val="22"/>
          <w:szCs w:val="22"/>
        </w:rPr>
        <w:t>Shaywitz</w:t>
      </w:r>
      <w:proofErr w:type="spellEnd"/>
      <w:r w:rsidRPr="00662A75">
        <w:rPr>
          <w:rFonts w:ascii="Arial" w:hAnsi="Arial" w:cs="Arial"/>
          <w:sz w:val="22"/>
          <w:szCs w:val="22"/>
        </w:rPr>
        <w:t>, 2020). Of the 63 possible open-ended responses (n=9 per participant, 7 participants), 8.19% referenced "time required," showing that while the theme appeared, it wasn't dominant across all responses.</w:t>
      </w:r>
    </w:p>
    <w:p w14:paraId="0D063125" w14:textId="6EAEB88B" w:rsidR="00807105" w:rsidRPr="00662A75" w:rsidRDefault="00E13195" w:rsidP="00662A75">
      <w:pPr>
        <w:pStyle w:val="Heading2"/>
        <w:spacing w:line="360" w:lineRule="auto"/>
        <w:rPr>
          <w:rFonts w:ascii="Arial" w:hAnsi="Arial" w:cs="Arial"/>
          <w:sz w:val="22"/>
          <w:szCs w:val="22"/>
          <w:shd w:val="clear" w:color="auto" w:fill="FFFFFF"/>
        </w:rPr>
      </w:pPr>
      <w:r w:rsidRPr="00662A75">
        <w:rPr>
          <w:rFonts w:ascii="Arial" w:hAnsi="Arial" w:cs="Arial"/>
          <w:sz w:val="22"/>
          <w:szCs w:val="22"/>
          <w:shd w:val="clear" w:color="auto" w:fill="FFFFFF"/>
        </w:rPr>
        <w:t>Difficulties processing words/lyrics</w:t>
      </w:r>
    </w:p>
    <w:p w14:paraId="7EF5FD6A" w14:textId="77777777" w:rsidR="001D0543" w:rsidRPr="00662A75" w:rsidRDefault="001D0543" w:rsidP="00662A75">
      <w:pPr>
        <w:pStyle w:val="NormalWeb"/>
        <w:spacing w:line="360" w:lineRule="auto"/>
        <w:rPr>
          <w:rFonts w:ascii="Arial" w:hAnsi="Arial" w:cs="Arial"/>
          <w:sz w:val="22"/>
          <w:szCs w:val="22"/>
        </w:rPr>
      </w:pPr>
      <w:r w:rsidRPr="00662A75">
        <w:rPr>
          <w:rFonts w:ascii="Arial" w:hAnsi="Arial" w:cs="Arial"/>
          <w:sz w:val="22"/>
          <w:szCs w:val="22"/>
        </w:rPr>
        <w:t>The theme of difficulties processing words/lyrics emerged frequently in the questionnaire responses, with data reflecting both the positive and negative aspects of singing lessons for dyslexic participants. Notably, participants cited “Performing a song you know well” as the most enjoyable element, expressing relief at not having to focus on lyrics:</w:t>
      </w:r>
      <w:r w:rsidRPr="00662A75">
        <w:rPr>
          <w:rFonts w:ascii="Arial" w:hAnsi="Arial" w:cs="Arial"/>
          <w:sz w:val="22"/>
          <w:szCs w:val="22"/>
        </w:rPr>
        <w:br/>
        <w:t>“Feels easy, able to not have to think about the words and just use emotion instead”</w:t>
      </w:r>
      <w:r w:rsidRPr="00662A75">
        <w:rPr>
          <w:rFonts w:ascii="Arial" w:hAnsi="Arial" w:cs="Arial"/>
          <w:sz w:val="22"/>
          <w:szCs w:val="22"/>
        </w:rPr>
        <w:br/>
        <w:t>“I don't have to think about the words because they're already there.”</w:t>
      </w:r>
      <w:r w:rsidRPr="00662A75">
        <w:rPr>
          <w:rFonts w:ascii="Arial" w:hAnsi="Arial" w:cs="Arial"/>
          <w:sz w:val="22"/>
          <w:szCs w:val="22"/>
        </w:rPr>
        <w:br/>
        <w:t>Conversely, in response to challenges posed by dyslexia, some participants identified “reading words” as a major obstacle, with one noting:</w:t>
      </w:r>
      <w:r w:rsidRPr="00662A75">
        <w:rPr>
          <w:rFonts w:ascii="Arial" w:hAnsi="Arial" w:cs="Arial"/>
          <w:sz w:val="22"/>
          <w:szCs w:val="22"/>
        </w:rPr>
        <w:br/>
      </w:r>
      <w:r w:rsidRPr="00662A75">
        <w:rPr>
          <w:rFonts w:ascii="Arial" w:hAnsi="Arial" w:cs="Arial"/>
          <w:sz w:val="22"/>
          <w:szCs w:val="22"/>
        </w:rPr>
        <w:lastRenderedPageBreak/>
        <w:t>“I find both reading music dots and reading words difficult—but it’s very rewarding when you do finally learn it.”</w:t>
      </w:r>
    </w:p>
    <w:p w14:paraId="3E07CBEF" w14:textId="77777777" w:rsidR="001D0543" w:rsidRPr="00662A75" w:rsidRDefault="001D0543" w:rsidP="00662A75">
      <w:pPr>
        <w:pStyle w:val="NormalWeb"/>
        <w:spacing w:line="360" w:lineRule="auto"/>
        <w:rPr>
          <w:rFonts w:ascii="Arial" w:hAnsi="Arial" w:cs="Arial"/>
          <w:sz w:val="22"/>
          <w:szCs w:val="22"/>
        </w:rPr>
      </w:pPr>
      <w:r w:rsidRPr="00662A75">
        <w:rPr>
          <w:rFonts w:ascii="Arial" w:hAnsi="Arial" w:cs="Arial"/>
          <w:sz w:val="22"/>
          <w:szCs w:val="22"/>
        </w:rPr>
        <w:t>The case study also highlighted these difficulties, with the participant commenting:</w:t>
      </w:r>
      <w:r w:rsidRPr="00662A75">
        <w:rPr>
          <w:rFonts w:ascii="Arial" w:hAnsi="Arial" w:cs="Arial"/>
          <w:sz w:val="22"/>
          <w:szCs w:val="22"/>
        </w:rPr>
        <w:br/>
        <w:t>“Yeah, I think so. I find new words hard to sing and I forget the song.”</w:t>
      </w:r>
      <w:r w:rsidRPr="00662A75">
        <w:rPr>
          <w:rFonts w:ascii="Arial" w:hAnsi="Arial" w:cs="Arial"/>
          <w:sz w:val="22"/>
          <w:szCs w:val="22"/>
        </w:rPr>
        <w:br/>
        <w:t>Additionally, when engaging in a body percussion exercise, the participant struggled to keep up with the speed, possibly due to processing the words alongside actions:</w:t>
      </w:r>
      <w:r w:rsidRPr="00662A75">
        <w:rPr>
          <w:rFonts w:ascii="Arial" w:hAnsi="Arial" w:cs="Arial"/>
          <w:sz w:val="22"/>
          <w:szCs w:val="22"/>
        </w:rPr>
        <w:br/>
        <w:t>“…I started doing that again. And then I realised it was that… my brain didn’t do it. And it was just like, yeah.”</w:t>
      </w:r>
    </w:p>
    <w:p w14:paraId="4C27768D" w14:textId="77777777" w:rsidR="001D0543" w:rsidRPr="00662A75" w:rsidRDefault="001D0543" w:rsidP="00662A75">
      <w:pPr>
        <w:pStyle w:val="NormalWeb"/>
        <w:spacing w:line="360" w:lineRule="auto"/>
        <w:rPr>
          <w:rFonts w:ascii="Arial" w:hAnsi="Arial" w:cs="Arial"/>
          <w:sz w:val="22"/>
          <w:szCs w:val="22"/>
        </w:rPr>
      </w:pPr>
      <w:r w:rsidRPr="00662A75">
        <w:rPr>
          <w:rFonts w:ascii="Arial" w:hAnsi="Arial" w:cs="Arial"/>
          <w:sz w:val="22"/>
          <w:szCs w:val="22"/>
        </w:rPr>
        <w:t>These insights suggest that dyslexic learners may experience reduced enjoyment and performance due to challenges with reading text. Excluding reading components in singing lessons could make music education more inclusive. However, this raises the question of whether learning lyrics is necessary for achieving singing outcomes. Future research could explore if reading lyrics or learning melody better reflects singing competency, comparing dyslexic and non-dyslexic groups.</w:t>
      </w:r>
    </w:p>
    <w:p w14:paraId="504FBE5A" w14:textId="77777777" w:rsidR="00733119" w:rsidRPr="00662A75" w:rsidRDefault="00733119" w:rsidP="00662A75">
      <w:pPr>
        <w:pStyle w:val="Heading2"/>
        <w:spacing w:line="360" w:lineRule="auto"/>
        <w:rPr>
          <w:rFonts w:ascii="Arial" w:hAnsi="Arial" w:cs="Arial"/>
          <w:sz w:val="22"/>
          <w:szCs w:val="22"/>
        </w:rPr>
      </w:pPr>
      <w:r w:rsidRPr="00662A75">
        <w:rPr>
          <w:rFonts w:ascii="Arial" w:hAnsi="Arial" w:cs="Arial"/>
          <w:sz w:val="22"/>
          <w:szCs w:val="22"/>
        </w:rPr>
        <w:t>Emotional Response to Experience </w:t>
      </w:r>
    </w:p>
    <w:p w14:paraId="1C743485" w14:textId="77777777" w:rsidR="0006234B" w:rsidRPr="00662A75" w:rsidRDefault="0006234B" w:rsidP="00662A75">
      <w:pPr>
        <w:pStyle w:val="NormalWeb"/>
        <w:spacing w:line="360" w:lineRule="auto"/>
        <w:rPr>
          <w:rFonts w:ascii="Arial" w:hAnsi="Arial" w:cs="Arial"/>
          <w:sz w:val="22"/>
          <w:szCs w:val="22"/>
        </w:rPr>
      </w:pPr>
      <w:r w:rsidRPr="00662A75">
        <w:rPr>
          <w:rFonts w:ascii="Arial" w:hAnsi="Arial" w:cs="Arial"/>
          <w:sz w:val="22"/>
          <w:szCs w:val="22"/>
        </w:rPr>
        <w:t>Emotional responses to learning to sing were varied, with many participants expressing negative emotions. To minimize bias, the study encouraged both positive and negative reflections. One participant highlighted the emotional freedom in singing when not focused on lyrics:</w:t>
      </w:r>
      <w:r w:rsidRPr="00662A75">
        <w:rPr>
          <w:rFonts w:ascii="Arial" w:hAnsi="Arial" w:cs="Arial"/>
          <w:sz w:val="22"/>
          <w:szCs w:val="22"/>
        </w:rPr>
        <w:br/>
        <w:t>“Feels easy, able to not have to think about the words and just use emotion instead.”</w:t>
      </w:r>
      <w:r w:rsidRPr="00662A75">
        <w:rPr>
          <w:rFonts w:ascii="Arial" w:hAnsi="Arial" w:cs="Arial"/>
          <w:sz w:val="22"/>
          <w:szCs w:val="22"/>
        </w:rPr>
        <w:br/>
        <w:t>Another expressed enjoyment in singing as a form of self-expression:</w:t>
      </w:r>
      <w:r w:rsidRPr="00662A75">
        <w:rPr>
          <w:rFonts w:ascii="Arial" w:hAnsi="Arial" w:cs="Arial"/>
          <w:sz w:val="22"/>
          <w:szCs w:val="22"/>
        </w:rPr>
        <w:br/>
        <w:t>“I like to express myself through song.”</w:t>
      </w:r>
    </w:p>
    <w:p w14:paraId="310F8ABD" w14:textId="77777777" w:rsidR="0006234B" w:rsidRPr="00662A75" w:rsidRDefault="0006234B" w:rsidP="00662A75">
      <w:pPr>
        <w:pStyle w:val="NormalWeb"/>
        <w:spacing w:line="360" w:lineRule="auto"/>
        <w:rPr>
          <w:rFonts w:ascii="Arial" w:hAnsi="Arial" w:cs="Arial"/>
          <w:sz w:val="22"/>
          <w:szCs w:val="22"/>
        </w:rPr>
      </w:pPr>
      <w:r w:rsidRPr="00662A75">
        <w:rPr>
          <w:rFonts w:ascii="Arial" w:hAnsi="Arial" w:cs="Arial"/>
          <w:sz w:val="22"/>
          <w:szCs w:val="22"/>
        </w:rPr>
        <w:t>Similarly, a case study participant shared their enjoyment of singing to improve skills, specifically for a school talent show:</w:t>
      </w:r>
      <w:r w:rsidRPr="00662A75">
        <w:rPr>
          <w:rFonts w:ascii="Arial" w:hAnsi="Arial" w:cs="Arial"/>
          <w:sz w:val="22"/>
          <w:szCs w:val="22"/>
        </w:rPr>
        <w:br/>
        <w:t>“I like learning how to sing because I don't really want to be like... I don't want to be in my primary school’s got talent.”</w:t>
      </w:r>
    </w:p>
    <w:p w14:paraId="3C4A45E2" w14:textId="77777777" w:rsidR="0006234B" w:rsidRPr="00662A75" w:rsidRDefault="0006234B" w:rsidP="00662A75">
      <w:pPr>
        <w:pStyle w:val="NormalWeb"/>
        <w:spacing w:line="360" w:lineRule="auto"/>
        <w:rPr>
          <w:rFonts w:ascii="Arial" w:hAnsi="Arial" w:cs="Arial"/>
          <w:sz w:val="22"/>
          <w:szCs w:val="22"/>
        </w:rPr>
      </w:pPr>
      <w:r w:rsidRPr="00662A75">
        <w:rPr>
          <w:rFonts w:ascii="Arial" w:hAnsi="Arial" w:cs="Arial"/>
          <w:sz w:val="22"/>
          <w:szCs w:val="22"/>
        </w:rPr>
        <w:t>Negative emotional responses were also common, especially when participants felt overwhelmed or under pressure. One participant recalled crying during a music theory exam:</w:t>
      </w:r>
      <w:r w:rsidRPr="00662A75">
        <w:rPr>
          <w:rFonts w:ascii="Arial" w:hAnsi="Arial" w:cs="Arial"/>
          <w:sz w:val="22"/>
          <w:szCs w:val="22"/>
        </w:rPr>
        <w:br/>
        <w:t>“Learning music theory for my grade 5. In the exam I cried. And walked out.”</w:t>
      </w:r>
      <w:r w:rsidRPr="00662A75">
        <w:rPr>
          <w:rFonts w:ascii="Arial" w:hAnsi="Arial" w:cs="Arial"/>
          <w:sz w:val="22"/>
          <w:szCs w:val="22"/>
        </w:rPr>
        <w:br/>
        <w:t>Another shared their frustration with sight-singing:</w:t>
      </w:r>
      <w:r w:rsidRPr="00662A75">
        <w:rPr>
          <w:rFonts w:ascii="Arial" w:hAnsi="Arial" w:cs="Arial"/>
          <w:sz w:val="22"/>
          <w:szCs w:val="22"/>
        </w:rPr>
        <w:br/>
        <w:t>“Trying to sight sing and got so overwhelmed and then very emotional.”</w:t>
      </w:r>
      <w:r w:rsidRPr="00662A75">
        <w:rPr>
          <w:rFonts w:ascii="Arial" w:hAnsi="Arial" w:cs="Arial"/>
          <w:sz w:val="22"/>
          <w:szCs w:val="22"/>
        </w:rPr>
        <w:br/>
        <w:t>A third participant described repeated mistakes:</w:t>
      </w:r>
      <w:r w:rsidRPr="00662A75">
        <w:rPr>
          <w:rFonts w:ascii="Arial" w:hAnsi="Arial" w:cs="Arial"/>
          <w:sz w:val="22"/>
          <w:szCs w:val="22"/>
        </w:rPr>
        <w:br/>
      </w:r>
      <w:r w:rsidRPr="00662A75">
        <w:rPr>
          <w:rFonts w:ascii="Arial" w:hAnsi="Arial" w:cs="Arial"/>
          <w:sz w:val="22"/>
          <w:szCs w:val="22"/>
        </w:rPr>
        <w:lastRenderedPageBreak/>
        <w:t>“A piece of music that was very quick and I couldn’t read the words fast enough. Literally got it wrong about 12 times in a row—frustrated, embarrassed.”</w:t>
      </w:r>
    </w:p>
    <w:p w14:paraId="0867C50C" w14:textId="067B95AB" w:rsidR="0006234B" w:rsidRPr="00662A75" w:rsidRDefault="0006234B" w:rsidP="00662A75">
      <w:pPr>
        <w:pStyle w:val="NormalWeb"/>
        <w:spacing w:line="360" w:lineRule="auto"/>
        <w:rPr>
          <w:rFonts w:ascii="Arial" w:hAnsi="Arial" w:cs="Arial"/>
          <w:sz w:val="22"/>
          <w:szCs w:val="22"/>
        </w:rPr>
      </w:pPr>
      <w:r w:rsidRPr="00662A75">
        <w:rPr>
          <w:rFonts w:ascii="Arial" w:hAnsi="Arial" w:cs="Arial"/>
          <w:sz w:val="22"/>
          <w:szCs w:val="22"/>
        </w:rPr>
        <w:t>These responses point to time pressure as a major stressor. Whether in exams or sight-singing, the urgency exacerbates frustration. This aligns with the theme of needing adequate time to process information, especially for dyslexic learners who often struggle with rapid processing (Hébert &amp; Cuddy, 2000</w:t>
      </w:r>
      <w:r w:rsidR="00F166AC" w:rsidRPr="00662A75">
        <w:rPr>
          <w:rFonts w:ascii="Arial" w:hAnsi="Arial" w:cs="Arial"/>
          <w:sz w:val="22"/>
          <w:szCs w:val="22"/>
        </w:rPr>
        <w:t>, Ott. P.</w:t>
      </w:r>
      <w:r w:rsidR="00C91FC9" w:rsidRPr="00662A75">
        <w:rPr>
          <w:rFonts w:ascii="Arial" w:hAnsi="Arial" w:cs="Arial"/>
          <w:sz w:val="22"/>
          <w:szCs w:val="22"/>
        </w:rPr>
        <w:t>,2007</w:t>
      </w:r>
      <w:r w:rsidRPr="00662A75">
        <w:rPr>
          <w:rFonts w:ascii="Arial" w:hAnsi="Arial" w:cs="Arial"/>
          <w:sz w:val="22"/>
          <w:szCs w:val="22"/>
        </w:rPr>
        <w:t xml:space="preserve">). In musical contexts, such as sight-singing and rhythm tasks, time restrictions may hinder engagement and increase frustration (Swanson &amp; </w:t>
      </w:r>
      <w:proofErr w:type="spellStart"/>
      <w:r w:rsidRPr="00662A75">
        <w:rPr>
          <w:rFonts w:ascii="Arial" w:hAnsi="Arial" w:cs="Arial"/>
          <w:sz w:val="22"/>
          <w:szCs w:val="22"/>
        </w:rPr>
        <w:t>Sáez</w:t>
      </w:r>
      <w:proofErr w:type="spellEnd"/>
      <w:r w:rsidRPr="00662A75">
        <w:rPr>
          <w:rFonts w:ascii="Arial" w:hAnsi="Arial" w:cs="Arial"/>
          <w:sz w:val="22"/>
          <w:szCs w:val="22"/>
        </w:rPr>
        <w:t>, 2003). Allowing more time could reduce emotional stress and enhance the learning experience for dyslexic students (Johnston &amp; McKinney, 2016).</w:t>
      </w:r>
    </w:p>
    <w:p w14:paraId="43DC8B2F" w14:textId="78767511" w:rsidR="0006234B" w:rsidRPr="00662A75" w:rsidRDefault="0006234B" w:rsidP="00662A75">
      <w:pPr>
        <w:pStyle w:val="Heading2"/>
        <w:spacing w:line="360" w:lineRule="auto"/>
        <w:rPr>
          <w:rFonts w:ascii="Arial" w:hAnsi="Arial" w:cs="Arial"/>
          <w:sz w:val="22"/>
          <w:szCs w:val="22"/>
        </w:rPr>
      </w:pPr>
      <w:r w:rsidRPr="00662A75">
        <w:rPr>
          <w:rFonts w:ascii="Arial" w:hAnsi="Arial" w:cs="Arial"/>
          <w:sz w:val="22"/>
          <w:szCs w:val="22"/>
        </w:rPr>
        <w:t>Multiple Elements to Process Simultaneously</w:t>
      </w:r>
    </w:p>
    <w:p w14:paraId="1D5DECE3" w14:textId="77777777" w:rsidR="00571949" w:rsidRPr="00662A75" w:rsidRDefault="00571949" w:rsidP="00662A75">
      <w:pPr>
        <w:pStyle w:val="NormalWeb"/>
        <w:spacing w:line="360" w:lineRule="auto"/>
        <w:rPr>
          <w:rFonts w:ascii="Arial" w:hAnsi="Arial" w:cs="Arial"/>
          <w:sz w:val="22"/>
          <w:szCs w:val="22"/>
        </w:rPr>
      </w:pPr>
      <w:r w:rsidRPr="00662A75">
        <w:rPr>
          <w:rFonts w:ascii="Arial" w:hAnsi="Arial" w:cs="Arial"/>
          <w:sz w:val="22"/>
          <w:szCs w:val="22"/>
        </w:rPr>
        <w:t>Two main categories emerged from the questionnaire, reflecting the difficulties participants had with tasks requiring the processing of multiple pieces of information simultaneously, especially when reading both music and lyrics. One participant shared:</w:t>
      </w:r>
      <w:r w:rsidRPr="00662A75">
        <w:rPr>
          <w:rFonts w:ascii="Arial" w:hAnsi="Arial" w:cs="Arial"/>
          <w:sz w:val="22"/>
          <w:szCs w:val="22"/>
        </w:rPr>
        <w:br/>
        <w:t>“I find both reading music dots and reading words difficult,”</w:t>
      </w:r>
      <w:r w:rsidRPr="00662A75">
        <w:rPr>
          <w:rFonts w:ascii="Arial" w:hAnsi="Arial" w:cs="Arial"/>
          <w:sz w:val="22"/>
          <w:szCs w:val="22"/>
        </w:rPr>
        <w:br/>
        <w:t>echoing another’s comment:</w:t>
      </w:r>
      <w:r w:rsidRPr="00662A75">
        <w:rPr>
          <w:rFonts w:ascii="Arial" w:hAnsi="Arial" w:cs="Arial"/>
          <w:sz w:val="22"/>
          <w:szCs w:val="22"/>
        </w:rPr>
        <w:br/>
        <w:t>“When learning the words and notes to a song, I often get it wrong many times in a row.”</w:t>
      </w:r>
      <w:r w:rsidRPr="00662A75">
        <w:rPr>
          <w:rFonts w:ascii="Arial" w:hAnsi="Arial" w:cs="Arial"/>
          <w:sz w:val="22"/>
          <w:szCs w:val="22"/>
        </w:rPr>
        <w:br/>
        <w:t>These responses highlighted struggles with simultaneous reading tasks. Another participant noted:</w:t>
      </w:r>
      <w:r w:rsidRPr="00662A75">
        <w:rPr>
          <w:rFonts w:ascii="Arial" w:hAnsi="Arial" w:cs="Arial"/>
          <w:sz w:val="22"/>
          <w:szCs w:val="22"/>
        </w:rPr>
        <w:br/>
        <w:t>“Feeling bombarded with information,”</w:t>
      </w:r>
      <w:r w:rsidRPr="00662A75">
        <w:rPr>
          <w:rFonts w:ascii="Arial" w:hAnsi="Arial" w:cs="Arial"/>
          <w:sz w:val="22"/>
          <w:szCs w:val="22"/>
        </w:rPr>
        <w:br/>
        <w:t>which contrasted with the experience of another who found breath work easier due to “Minimal things to think about.”</w:t>
      </w:r>
    </w:p>
    <w:p w14:paraId="3755944F" w14:textId="77777777" w:rsidR="00571949" w:rsidRPr="00662A75" w:rsidRDefault="00571949" w:rsidP="00662A75">
      <w:pPr>
        <w:pStyle w:val="NormalWeb"/>
        <w:spacing w:line="360" w:lineRule="auto"/>
        <w:rPr>
          <w:rFonts w:ascii="Arial" w:hAnsi="Arial" w:cs="Arial"/>
          <w:sz w:val="22"/>
          <w:szCs w:val="22"/>
        </w:rPr>
      </w:pPr>
      <w:r w:rsidRPr="00662A75">
        <w:rPr>
          <w:rFonts w:ascii="Arial" w:hAnsi="Arial" w:cs="Arial"/>
          <w:sz w:val="22"/>
          <w:szCs w:val="22"/>
        </w:rPr>
        <w:t>This challenge was also evident in case study data. During a body percussion exercise, the participant struggled to read words while performing actions to the beat, leading to frustration. They suggested that a simpler activity, without the need to “look at the words and do the actions as well,” would have been more manageable. This aligns with questionnaire feedback on reading music and lyrics, both tasks requiring multiple cognitive processes at once.</w:t>
      </w:r>
    </w:p>
    <w:p w14:paraId="69277E5A" w14:textId="77777777" w:rsidR="00571949" w:rsidRPr="00662A75" w:rsidRDefault="00571949" w:rsidP="00662A75">
      <w:pPr>
        <w:pStyle w:val="NormalWeb"/>
        <w:spacing w:line="360" w:lineRule="auto"/>
        <w:rPr>
          <w:rFonts w:ascii="Arial" w:hAnsi="Arial" w:cs="Arial"/>
          <w:sz w:val="22"/>
          <w:szCs w:val="22"/>
        </w:rPr>
      </w:pPr>
      <w:r w:rsidRPr="00662A75">
        <w:rPr>
          <w:rFonts w:ascii="Arial" w:hAnsi="Arial" w:cs="Arial"/>
          <w:sz w:val="22"/>
          <w:szCs w:val="22"/>
        </w:rPr>
        <w:t xml:space="preserve">Research on dyslexia and music learning supports these findings, showing that individuals with dyslexia often struggle with tasks involving multitasking, such as reading text and music notation concurrently (Johnston &amp; McKinney, 2016). Tasks requiring the integration of various cognitive skills can exacerbate difficulties, emphasizing the need to simplify tasks to reduce cognitive load (Swanson &amp; </w:t>
      </w:r>
      <w:proofErr w:type="spellStart"/>
      <w:r w:rsidRPr="00662A75">
        <w:rPr>
          <w:rFonts w:ascii="Arial" w:hAnsi="Arial" w:cs="Arial"/>
          <w:sz w:val="22"/>
          <w:szCs w:val="22"/>
        </w:rPr>
        <w:t>Sáez</w:t>
      </w:r>
      <w:proofErr w:type="spellEnd"/>
      <w:r w:rsidRPr="00662A75">
        <w:rPr>
          <w:rFonts w:ascii="Arial" w:hAnsi="Arial" w:cs="Arial"/>
          <w:sz w:val="22"/>
          <w:szCs w:val="22"/>
        </w:rPr>
        <w:t>, 2003).</w:t>
      </w:r>
    </w:p>
    <w:p w14:paraId="2B2732DD" w14:textId="77777777" w:rsidR="00571949" w:rsidRPr="00662A75" w:rsidRDefault="00571949" w:rsidP="00662A75">
      <w:pPr>
        <w:pStyle w:val="NormalWeb"/>
        <w:spacing w:line="360" w:lineRule="auto"/>
        <w:rPr>
          <w:rFonts w:ascii="Arial" w:hAnsi="Arial" w:cs="Arial"/>
          <w:sz w:val="22"/>
          <w:szCs w:val="22"/>
        </w:rPr>
      </w:pPr>
      <w:r w:rsidRPr="00662A75">
        <w:rPr>
          <w:rFonts w:ascii="Arial" w:hAnsi="Arial" w:cs="Arial"/>
          <w:sz w:val="22"/>
          <w:szCs w:val="22"/>
        </w:rPr>
        <w:lastRenderedPageBreak/>
        <w:t>Regarding difficulties with sheet music, a large proportion of participants (71.43%) identified “Sight Singing music from a score” as the hardest element of their singing lessons. The remaining participants were split between “learning a new song” and “Posture exercises.” The choice of “Posture exercises” was attributed to additional neurodiversity challenges, such as difficulty remaining still.</w:t>
      </w:r>
    </w:p>
    <w:p w14:paraId="57A11568" w14:textId="5AEB8AEE" w:rsidR="00E13195" w:rsidRPr="00662A75" w:rsidRDefault="00CC5DA8" w:rsidP="00662A75">
      <w:pPr>
        <w:spacing w:line="360" w:lineRule="auto"/>
        <w:rPr>
          <w:rFonts w:ascii="Arial" w:hAnsi="Arial" w:cs="Arial"/>
        </w:rPr>
      </w:pPr>
      <w:r w:rsidRPr="00662A75">
        <w:rPr>
          <w:rFonts w:ascii="Arial" w:hAnsi="Arial" w:cs="Arial"/>
          <w:noProof/>
          <w:color w:val="000000"/>
          <w:bdr w:val="none" w:sz="0" w:space="0" w:color="auto" w:frame="1"/>
          <w:shd w:val="clear" w:color="auto" w:fill="FFFFFF"/>
        </w:rPr>
        <w:drawing>
          <wp:inline distT="0" distB="0" distL="0" distR="0" wp14:anchorId="43F20118" wp14:editId="66B6ECAD">
            <wp:extent cx="5731510" cy="3419475"/>
            <wp:effectExtent l="0" t="0" r="254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419475"/>
                    </a:xfrm>
                    <a:prstGeom prst="rect">
                      <a:avLst/>
                    </a:prstGeom>
                    <a:noFill/>
                    <a:ln>
                      <a:noFill/>
                    </a:ln>
                  </pic:spPr>
                </pic:pic>
              </a:graphicData>
            </a:graphic>
          </wp:inline>
        </w:drawing>
      </w:r>
    </w:p>
    <w:p w14:paraId="3E6F71F0" w14:textId="77777777" w:rsidR="006D7858" w:rsidRPr="00662A75" w:rsidRDefault="006D7858" w:rsidP="00662A75">
      <w:pPr>
        <w:pStyle w:val="NormalWeb"/>
        <w:spacing w:line="360" w:lineRule="auto"/>
        <w:rPr>
          <w:rFonts w:ascii="Arial" w:hAnsi="Arial" w:cs="Arial"/>
          <w:sz w:val="22"/>
          <w:szCs w:val="22"/>
        </w:rPr>
      </w:pPr>
      <w:r w:rsidRPr="00662A75">
        <w:rPr>
          <w:rFonts w:ascii="Arial" w:hAnsi="Arial" w:cs="Arial"/>
          <w:sz w:val="22"/>
          <w:szCs w:val="22"/>
        </w:rPr>
        <w:t>A prevalent response across the sample highlighted difficulties with music notation. One participant noted, “Anything that does not involve sheet music is good,” suggesting that sheet music was the primary source of negative experiences in singing lessons. Another participant mentioned struggling to “read the music fast enough,” which aligns with the "Time Required" theme, where more time to process music notation was needed.</w:t>
      </w:r>
    </w:p>
    <w:p w14:paraId="5472D0EA" w14:textId="77777777" w:rsidR="006D7858" w:rsidRPr="00662A75" w:rsidRDefault="006D7858" w:rsidP="00662A75">
      <w:pPr>
        <w:pStyle w:val="NormalWeb"/>
        <w:spacing w:line="360" w:lineRule="auto"/>
        <w:rPr>
          <w:rFonts w:ascii="Arial" w:hAnsi="Arial" w:cs="Arial"/>
          <w:sz w:val="22"/>
          <w:szCs w:val="22"/>
        </w:rPr>
      </w:pPr>
      <w:r w:rsidRPr="00662A75">
        <w:rPr>
          <w:rFonts w:ascii="Arial" w:hAnsi="Arial" w:cs="Arial"/>
          <w:sz w:val="22"/>
          <w:szCs w:val="22"/>
        </w:rPr>
        <w:t>Additionally, I explored whether visual aids, such as sheet music, were perceived as helpful in learning a new song, comparing these responses to participants' ability to read sheet music.</w:t>
      </w:r>
    </w:p>
    <w:p w14:paraId="5B77ED1F" w14:textId="74A97278" w:rsidR="006D7858" w:rsidRPr="00662A75" w:rsidRDefault="00894969" w:rsidP="00662A75">
      <w:pPr>
        <w:spacing w:line="360" w:lineRule="auto"/>
        <w:rPr>
          <w:rFonts w:ascii="Arial" w:hAnsi="Arial" w:cs="Arial"/>
        </w:rPr>
      </w:pPr>
      <w:r w:rsidRPr="00662A75">
        <w:rPr>
          <w:rFonts w:ascii="Arial" w:hAnsi="Arial" w:cs="Arial"/>
          <w:noProof/>
        </w:rPr>
        <w:drawing>
          <wp:inline distT="0" distB="0" distL="0" distR="0" wp14:anchorId="23994EB8" wp14:editId="31CEB0CC">
            <wp:extent cx="5731510" cy="61277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612775"/>
                    </a:xfrm>
                    <a:prstGeom prst="rect">
                      <a:avLst/>
                    </a:prstGeom>
                  </pic:spPr>
                </pic:pic>
              </a:graphicData>
            </a:graphic>
          </wp:inline>
        </w:drawing>
      </w:r>
    </w:p>
    <w:p w14:paraId="6EEECC80" w14:textId="3399A2DD" w:rsidR="00894969" w:rsidRPr="00662A75" w:rsidRDefault="00894969" w:rsidP="00662A75">
      <w:pPr>
        <w:spacing w:line="360" w:lineRule="auto"/>
        <w:rPr>
          <w:rFonts w:ascii="Arial" w:hAnsi="Arial" w:cs="Arial"/>
        </w:rPr>
      </w:pPr>
      <w:r w:rsidRPr="00662A75">
        <w:rPr>
          <w:rFonts w:ascii="Arial" w:hAnsi="Arial" w:cs="Arial"/>
          <w:noProof/>
          <w:color w:val="000000"/>
          <w:bdr w:val="none" w:sz="0" w:space="0" w:color="auto" w:frame="1"/>
        </w:rPr>
        <w:lastRenderedPageBreak/>
        <w:drawing>
          <wp:inline distT="0" distB="0" distL="0" distR="0" wp14:anchorId="5ABB8CA6" wp14:editId="1E93CC0D">
            <wp:extent cx="5731510" cy="392874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928745"/>
                    </a:xfrm>
                    <a:prstGeom prst="rect">
                      <a:avLst/>
                    </a:prstGeom>
                    <a:noFill/>
                    <a:ln>
                      <a:noFill/>
                    </a:ln>
                  </pic:spPr>
                </pic:pic>
              </a:graphicData>
            </a:graphic>
          </wp:inline>
        </w:drawing>
      </w:r>
    </w:p>
    <w:p w14:paraId="087CB4F1" w14:textId="19C597BE" w:rsidR="009D470B" w:rsidRPr="00111370" w:rsidRDefault="00111370" w:rsidP="00111370">
      <w:pPr>
        <w:pStyle w:val="NormalWeb"/>
        <w:spacing w:line="360" w:lineRule="auto"/>
        <w:rPr>
          <w:rFonts w:ascii="Arial" w:hAnsi="Arial" w:cs="Arial"/>
          <w:sz w:val="22"/>
          <w:szCs w:val="22"/>
        </w:rPr>
      </w:pPr>
      <w:r w:rsidRPr="00111370">
        <w:rPr>
          <w:rFonts w:ascii="Arial" w:hAnsi="Arial" w:cs="Arial"/>
          <w:sz w:val="22"/>
          <w:szCs w:val="22"/>
        </w:rPr>
        <w:t>Of the 71.43% who found visual aids helpful, all could read music, and 80% found sheet music useful, though its classification as a visual aid is unclear. In contrast, the 28.57% who disagreed also found sheet music unhelpful, with a mix of readers and non-readers.</w:t>
      </w:r>
    </w:p>
    <w:p w14:paraId="33363939" w14:textId="77777777" w:rsidR="009D470B" w:rsidRPr="00662A75" w:rsidRDefault="009D470B" w:rsidP="00662A75">
      <w:pPr>
        <w:pStyle w:val="NormalWeb"/>
        <w:spacing w:line="360" w:lineRule="auto"/>
        <w:rPr>
          <w:rFonts w:ascii="Arial" w:hAnsi="Arial" w:cs="Arial"/>
          <w:sz w:val="22"/>
          <w:szCs w:val="22"/>
        </w:rPr>
      </w:pPr>
      <w:r w:rsidRPr="00662A75">
        <w:rPr>
          <w:rFonts w:ascii="Arial" w:hAnsi="Arial" w:cs="Arial"/>
          <w:sz w:val="22"/>
          <w:szCs w:val="22"/>
        </w:rPr>
        <w:t>The case study participant echoed these concerns, struggling with the musical score and describing it as "everywhere." Their tense body language indicated anxiety, not eyesight issues. When asked for suggestions, they proposed "Maybe like different colours," reflecting a questionnaire response advocating for changing the presentation format.</w:t>
      </w:r>
    </w:p>
    <w:p w14:paraId="423E17F9" w14:textId="12896B0A" w:rsidR="009D470B" w:rsidRPr="00662A75" w:rsidRDefault="009D470B" w:rsidP="00662A75">
      <w:pPr>
        <w:pStyle w:val="NormalWeb"/>
        <w:spacing w:line="360" w:lineRule="auto"/>
        <w:rPr>
          <w:rFonts w:ascii="Arial" w:hAnsi="Arial" w:cs="Arial"/>
          <w:sz w:val="22"/>
          <w:szCs w:val="22"/>
        </w:rPr>
      </w:pPr>
      <w:r w:rsidRPr="00662A75">
        <w:rPr>
          <w:rFonts w:ascii="Arial" w:hAnsi="Arial" w:cs="Arial"/>
          <w:sz w:val="22"/>
          <w:szCs w:val="22"/>
        </w:rPr>
        <w:t>Literature suggests color-coded notation can reduce cognitive load and improve comprehension (</w:t>
      </w:r>
      <w:proofErr w:type="spellStart"/>
      <w:r w:rsidRPr="00662A75">
        <w:rPr>
          <w:rFonts w:ascii="Arial" w:hAnsi="Arial" w:cs="Arial"/>
          <w:sz w:val="22"/>
          <w:szCs w:val="22"/>
        </w:rPr>
        <w:t>Oglethorpe</w:t>
      </w:r>
      <w:r w:rsidR="00DB7A15" w:rsidRPr="00662A75">
        <w:rPr>
          <w:rFonts w:ascii="Arial" w:hAnsi="Arial" w:cs="Arial"/>
          <w:sz w:val="22"/>
          <w:szCs w:val="22"/>
        </w:rPr>
        <w:t>.S</w:t>
      </w:r>
      <w:proofErr w:type="spellEnd"/>
      <w:r w:rsidR="00DB7A15" w:rsidRPr="00662A75">
        <w:rPr>
          <w:rFonts w:ascii="Arial" w:hAnsi="Arial" w:cs="Arial"/>
          <w:sz w:val="22"/>
          <w:szCs w:val="22"/>
        </w:rPr>
        <w:t>., 2001</w:t>
      </w:r>
      <w:r w:rsidRPr="00662A75">
        <w:rPr>
          <w:rFonts w:ascii="Arial" w:hAnsi="Arial" w:cs="Arial"/>
          <w:sz w:val="22"/>
          <w:szCs w:val="22"/>
        </w:rPr>
        <w:t>), supporting the study's findings on the challenges of traditional music notation for dyslexic learners.</w:t>
      </w:r>
    </w:p>
    <w:p w14:paraId="3FA51550" w14:textId="66D7FF5B" w:rsidR="0028418B" w:rsidRPr="00662A75" w:rsidRDefault="00263CD1" w:rsidP="00662A75">
      <w:pPr>
        <w:pStyle w:val="Heading4"/>
        <w:spacing w:line="360" w:lineRule="auto"/>
        <w:rPr>
          <w:rFonts w:ascii="Arial" w:hAnsi="Arial" w:cs="Arial"/>
        </w:rPr>
      </w:pPr>
      <w:r w:rsidRPr="00662A75">
        <w:rPr>
          <w:rFonts w:ascii="Arial" w:hAnsi="Arial" w:cs="Arial"/>
        </w:rPr>
        <w:t>Reflecting on the  data around the learning experience of Children</w:t>
      </w:r>
    </w:p>
    <w:p w14:paraId="63744347" w14:textId="77777777" w:rsidR="00E018DE" w:rsidRPr="00662A75" w:rsidRDefault="00E018DE" w:rsidP="00662A75">
      <w:pPr>
        <w:pStyle w:val="NormalWeb"/>
        <w:spacing w:line="360" w:lineRule="auto"/>
        <w:rPr>
          <w:rFonts w:ascii="Arial" w:hAnsi="Arial" w:cs="Arial"/>
          <w:sz w:val="22"/>
          <w:szCs w:val="22"/>
        </w:rPr>
      </w:pPr>
      <w:r w:rsidRPr="00662A75">
        <w:rPr>
          <w:rFonts w:ascii="Arial" w:hAnsi="Arial" w:cs="Arial"/>
          <w:sz w:val="22"/>
          <w:szCs w:val="22"/>
        </w:rPr>
        <w:t xml:space="preserve">Due to limitations in collecting questionnaire data from children, the survey aimed to identify key themes that could be compared with the case study. By examining overlapping themes across both datasets, the goal was to support findings and suggest areas for further exploration. A larger sample size would have strengthened the cross-comparison and </w:t>
      </w:r>
      <w:r w:rsidRPr="00662A75">
        <w:rPr>
          <w:rFonts w:ascii="Arial" w:hAnsi="Arial" w:cs="Arial"/>
          <w:sz w:val="22"/>
          <w:szCs w:val="22"/>
        </w:rPr>
        <w:lastRenderedPageBreak/>
        <w:t>findings, but due to resource constraints, this was not possible. Future research could expand the sample size to provide a more robust and comprehensive analysis.</w:t>
      </w:r>
    </w:p>
    <w:p w14:paraId="08B66213" w14:textId="77777777" w:rsidR="00E018DE" w:rsidRPr="00662A75" w:rsidRDefault="00E018DE" w:rsidP="00662A75">
      <w:pPr>
        <w:pStyle w:val="Heading1"/>
        <w:spacing w:line="360" w:lineRule="auto"/>
        <w:rPr>
          <w:rFonts w:ascii="Arial" w:hAnsi="Arial" w:cs="Arial"/>
          <w:sz w:val="22"/>
          <w:szCs w:val="22"/>
        </w:rPr>
      </w:pPr>
      <w:r w:rsidRPr="00662A75">
        <w:rPr>
          <w:rFonts w:ascii="Arial" w:hAnsi="Arial" w:cs="Arial"/>
          <w:sz w:val="22"/>
          <w:szCs w:val="22"/>
        </w:rPr>
        <w:t>Conclusion Notes</w:t>
      </w:r>
    </w:p>
    <w:p w14:paraId="69816D15" w14:textId="77777777" w:rsidR="00DA77A5" w:rsidRPr="00662A75" w:rsidRDefault="00DA77A5" w:rsidP="00662A75">
      <w:pPr>
        <w:pStyle w:val="NormalWeb"/>
        <w:spacing w:line="360" w:lineRule="auto"/>
        <w:rPr>
          <w:rFonts w:ascii="Arial" w:hAnsi="Arial" w:cs="Arial"/>
          <w:sz w:val="22"/>
          <w:szCs w:val="22"/>
        </w:rPr>
      </w:pPr>
      <w:r w:rsidRPr="00662A75">
        <w:rPr>
          <w:rFonts w:ascii="Arial" w:hAnsi="Arial" w:cs="Arial"/>
          <w:sz w:val="22"/>
          <w:szCs w:val="22"/>
        </w:rPr>
        <w:t>This study explored the learning experiences of children with dyslexia in one-to-one singing lessons, aiming to gather qualitative data on this under-researched topic. It also supports literature on general music learning, with similar themes emerging.</w:t>
      </w:r>
    </w:p>
    <w:p w14:paraId="2542AE46" w14:textId="3CF1D592" w:rsidR="00DA77A5" w:rsidRPr="00662A75" w:rsidRDefault="00DA77A5" w:rsidP="00662A75">
      <w:pPr>
        <w:pStyle w:val="NormalWeb"/>
        <w:spacing w:line="360" w:lineRule="auto"/>
        <w:rPr>
          <w:rFonts w:ascii="Arial" w:hAnsi="Arial" w:cs="Arial"/>
          <w:sz w:val="22"/>
          <w:szCs w:val="22"/>
        </w:rPr>
      </w:pPr>
      <w:r w:rsidRPr="00662A75">
        <w:rPr>
          <w:rFonts w:ascii="Arial" w:hAnsi="Arial" w:cs="Arial"/>
          <w:sz w:val="22"/>
          <w:szCs w:val="22"/>
        </w:rPr>
        <w:t>The findings revealed challenges in processing multiple types of information, such as musical notation and lyrics. Participants reported emotional responses, including positive experiences with self-expression and negative emotions tied to frustration and anxiety, especially under time pressure. Sight-singing, requiring rapid information processing, was identified as particularly difficult. This h</w:t>
      </w:r>
      <w:r w:rsidR="002D0F52" w:rsidRPr="00662A75">
        <w:rPr>
          <w:rFonts w:ascii="Arial" w:hAnsi="Arial" w:cs="Arial"/>
          <w:sz w:val="22"/>
          <w:szCs w:val="22"/>
        </w:rPr>
        <w:t>as highlighted for me</w:t>
      </w:r>
      <w:r w:rsidRPr="00662A75">
        <w:rPr>
          <w:rFonts w:ascii="Arial" w:hAnsi="Arial" w:cs="Arial"/>
          <w:sz w:val="22"/>
          <w:szCs w:val="22"/>
        </w:rPr>
        <w:t xml:space="preserve"> the need to remove time constraints </w:t>
      </w:r>
      <w:r w:rsidR="002D0F52" w:rsidRPr="00662A75">
        <w:rPr>
          <w:rFonts w:ascii="Arial" w:hAnsi="Arial" w:cs="Arial"/>
          <w:sz w:val="22"/>
          <w:szCs w:val="22"/>
        </w:rPr>
        <w:t>when</w:t>
      </w:r>
      <w:r w:rsidRPr="00662A75">
        <w:rPr>
          <w:rFonts w:ascii="Arial" w:hAnsi="Arial" w:cs="Arial"/>
          <w:sz w:val="22"/>
          <w:szCs w:val="22"/>
        </w:rPr>
        <w:t xml:space="preserve"> teaching, reducing anxiety and improving the experience for </w:t>
      </w:r>
      <w:r w:rsidR="002D0F52" w:rsidRPr="00662A75">
        <w:rPr>
          <w:rFonts w:ascii="Arial" w:hAnsi="Arial" w:cs="Arial"/>
          <w:sz w:val="22"/>
          <w:szCs w:val="22"/>
        </w:rPr>
        <w:t xml:space="preserve">my </w:t>
      </w:r>
      <w:r w:rsidRPr="00662A75">
        <w:rPr>
          <w:rFonts w:ascii="Arial" w:hAnsi="Arial" w:cs="Arial"/>
          <w:sz w:val="22"/>
          <w:szCs w:val="22"/>
        </w:rPr>
        <w:t>students.</w:t>
      </w:r>
    </w:p>
    <w:p w14:paraId="0A247FA3" w14:textId="77777777" w:rsidR="00DA77A5" w:rsidRPr="00662A75" w:rsidRDefault="00DA77A5" w:rsidP="00662A75">
      <w:pPr>
        <w:pStyle w:val="NormalWeb"/>
        <w:spacing w:line="360" w:lineRule="auto"/>
        <w:rPr>
          <w:rFonts w:ascii="Arial" w:hAnsi="Arial" w:cs="Arial"/>
          <w:sz w:val="22"/>
          <w:szCs w:val="22"/>
        </w:rPr>
      </w:pPr>
      <w:r w:rsidRPr="00662A75">
        <w:rPr>
          <w:rFonts w:ascii="Arial" w:hAnsi="Arial" w:cs="Arial"/>
          <w:sz w:val="22"/>
          <w:szCs w:val="22"/>
        </w:rPr>
        <w:t>A recurring theme was difficulty processing both music notation and lyrics simultaneously, aligning with existing research on dyslexic individuals’ struggles with multitasking. Sight-singing was the most challenging aspect, pointing to barriers posed by traditional music notation. Future research could explore alternative formats for musical notation and lyrics.</w:t>
      </w:r>
    </w:p>
    <w:p w14:paraId="35413947" w14:textId="77777777" w:rsidR="00DA77A5" w:rsidRPr="00662A75" w:rsidRDefault="00DA77A5" w:rsidP="00662A75">
      <w:pPr>
        <w:pStyle w:val="NormalWeb"/>
        <w:spacing w:line="360" w:lineRule="auto"/>
        <w:rPr>
          <w:rFonts w:ascii="Arial" w:hAnsi="Arial" w:cs="Arial"/>
          <w:sz w:val="22"/>
          <w:szCs w:val="22"/>
        </w:rPr>
      </w:pPr>
      <w:r w:rsidRPr="00662A75">
        <w:rPr>
          <w:rFonts w:ascii="Arial" w:hAnsi="Arial" w:cs="Arial"/>
          <w:sz w:val="22"/>
          <w:szCs w:val="22"/>
        </w:rPr>
        <w:t>Though the small sample limits generalizability, the study provides valuable insights into the emotional and learning challenges of dyslexic students in music education. Further research with a larger cohort is needed to validate these findings.</w:t>
      </w:r>
    </w:p>
    <w:p w14:paraId="71747DD7" w14:textId="1FC2D857" w:rsidR="00E018DE" w:rsidRPr="00662A75" w:rsidRDefault="00D60172" w:rsidP="00662A75">
      <w:pPr>
        <w:pStyle w:val="Heading2"/>
        <w:spacing w:line="360" w:lineRule="auto"/>
        <w:rPr>
          <w:rFonts w:ascii="Arial" w:hAnsi="Arial" w:cs="Arial"/>
          <w:sz w:val="22"/>
          <w:szCs w:val="22"/>
        </w:rPr>
      </w:pPr>
      <w:r w:rsidRPr="00662A75">
        <w:rPr>
          <w:rFonts w:ascii="Arial" w:hAnsi="Arial" w:cs="Arial"/>
          <w:sz w:val="22"/>
          <w:szCs w:val="22"/>
        </w:rPr>
        <w:t>Individual Learning Objectives (ILO)</w:t>
      </w:r>
    </w:p>
    <w:p w14:paraId="672C922C" w14:textId="38AD21A4" w:rsidR="003E5941" w:rsidRPr="00662A75" w:rsidRDefault="00D13171" w:rsidP="00662A75">
      <w:pPr>
        <w:spacing w:line="360" w:lineRule="auto"/>
        <w:rPr>
          <w:rFonts w:ascii="Arial" w:hAnsi="Arial" w:cs="Arial"/>
        </w:rPr>
      </w:pPr>
      <w:r w:rsidRPr="00662A75">
        <w:rPr>
          <w:rFonts w:ascii="Arial" w:hAnsi="Arial" w:cs="Arial"/>
          <w:noProof/>
        </w:rPr>
        <w:drawing>
          <wp:inline distT="0" distB="0" distL="0" distR="0" wp14:anchorId="64F0628C" wp14:editId="75018A1F">
            <wp:extent cx="5264421" cy="2749691"/>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264421" cy="2749691"/>
                    </a:xfrm>
                    <a:prstGeom prst="rect">
                      <a:avLst/>
                    </a:prstGeom>
                  </pic:spPr>
                </pic:pic>
              </a:graphicData>
            </a:graphic>
          </wp:inline>
        </w:drawing>
      </w:r>
    </w:p>
    <w:p w14:paraId="07674731" w14:textId="77777777" w:rsidR="00E54573" w:rsidRPr="00662A75" w:rsidRDefault="00E54573" w:rsidP="00662A75">
      <w:pPr>
        <w:pStyle w:val="Heading2"/>
        <w:spacing w:line="360" w:lineRule="auto"/>
        <w:rPr>
          <w:rFonts w:ascii="Arial" w:hAnsi="Arial" w:cs="Arial"/>
          <w:sz w:val="22"/>
          <w:szCs w:val="22"/>
        </w:rPr>
      </w:pPr>
      <w:r w:rsidRPr="00662A75">
        <w:rPr>
          <w:rFonts w:ascii="Arial" w:hAnsi="Arial" w:cs="Arial"/>
          <w:sz w:val="22"/>
          <w:szCs w:val="22"/>
        </w:rPr>
        <w:lastRenderedPageBreak/>
        <w:t>Professional Development </w:t>
      </w:r>
    </w:p>
    <w:p w14:paraId="23341F0D" w14:textId="013CD10A" w:rsidR="007B3529" w:rsidRPr="00662A75" w:rsidRDefault="007B3529" w:rsidP="00662A75">
      <w:pPr>
        <w:pStyle w:val="NormalWeb"/>
        <w:spacing w:line="360" w:lineRule="auto"/>
        <w:rPr>
          <w:rFonts w:ascii="Arial" w:hAnsi="Arial" w:cs="Arial"/>
          <w:sz w:val="22"/>
          <w:szCs w:val="22"/>
        </w:rPr>
      </w:pPr>
      <w:r w:rsidRPr="00662A75">
        <w:rPr>
          <w:rFonts w:ascii="Arial" w:hAnsi="Arial" w:cs="Arial"/>
          <w:sz w:val="22"/>
          <w:szCs w:val="22"/>
        </w:rPr>
        <w:t>This experience highlighted time management challenges, and personal wellbeing impacts that brought due to inexperience. Despite a strong passion for the topic, limited resources and insufficient research caused frustration. It also emphasized the need to build confidence in applying statistical methods for better future analysis, which has been reflected in my updated personal development plan.</w:t>
      </w:r>
    </w:p>
    <w:p w14:paraId="34BA4C68" w14:textId="77777777" w:rsidR="003E5941" w:rsidRDefault="003E5941" w:rsidP="00662A75">
      <w:pPr>
        <w:spacing w:line="360" w:lineRule="auto"/>
        <w:rPr>
          <w:rFonts w:ascii="Arial" w:hAnsi="Arial" w:cs="Arial"/>
        </w:rPr>
      </w:pPr>
    </w:p>
    <w:p w14:paraId="511FF538" w14:textId="77777777" w:rsidR="00CE0F36" w:rsidRDefault="00CE0F36" w:rsidP="00662A75">
      <w:pPr>
        <w:spacing w:line="360" w:lineRule="auto"/>
        <w:rPr>
          <w:rFonts w:ascii="Arial" w:hAnsi="Arial" w:cs="Arial"/>
        </w:rPr>
      </w:pPr>
    </w:p>
    <w:p w14:paraId="2CC9ED54" w14:textId="77777777" w:rsidR="00CE0F36" w:rsidRDefault="00CE0F36" w:rsidP="00662A75">
      <w:pPr>
        <w:spacing w:line="360" w:lineRule="auto"/>
        <w:rPr>
          <w:rFonts w:ascii="Arial" w:hAnsi="Arial" w:cs="Arial"/>
        </w:rPr>
      </w:pPr>
    </w:p>
    <w:p w14:paraId="47464A3A" w14:textId="77777777" w:rsidR="00CE0F36" w:rsidRDefault="00CE0F36" w:rsidP="00662A75">
      <w:pPr>
        <w:spacing w:line="360" w:lineRule="auto"/>
        <w:rPr>
          <w:rFonts w:ascii="Arial" w:hAnsi="Arial" w:cs="Arial"/>
        </w:rPr>
      </w:pPr>
    </w:p>
    <w:p w14:paraId="36E08657" w14:textId="77777777" w:rsidR="00CE0F36" w:rsidRDefault="00CE0F36" w:rsidP="00662A75">
      <w:pPr>
        <w:spacing w:line="360" w:lineRule="auto"/>
        <w:rPr>
          <w:rFonts w:ascii="Arial" w:hAnsi="Arial" w:cs="Arial"/>
        </w:rPr>
      </w:pPr>
    </w:p>
    <w:p w14:paraId="1EC4D035" w14:textId="77777777" w:rsidR="00CE0F36" w:rsidRDefault="00CE0F36" w:rsidP="00662A75">
      <w:pPr>
        <w:spacing w:line="360" w:lineRule="auto"/>
        <w:rPr>
          <w:rFonts w:ascii="Arial" w:hAnsi="Arial" w:cs="Arial"/>
        </w:rPr>
      </w:pPr>
    </w:p>
    <w:p w14:paraId="2C7E88E9" w14:textId="77777777" w:rsidR="00CE0F36" w:rsidRDefault="00CE0F36" w:rsidP="00662A75">
      <w:pPr>
        <w:spacing w:line="360" w:lineRule="auto"/>
        <w:rPr>
          <w:rFonts w:ascii="Arial" w:hAnsi="Arial" w:cs="Arial"/>
        </w:rPr>
      </w:pPr>
    </w:p>
    <w:p w14:paraId="63A5EA7A" w14:textId="77777777" w:rsidR="00CE0F36" w:rsidRDefault="00CE0F36" w:rsidP="00662A75">
      <w:pPr>
        <w:spacing w:line="360" w:lineRule="auto"/>
        <w:rPr>
          <w:rFonts w:ascii="Arial" w:hAnsi="Arial" w:cs="Arial"/>
        </w:rPr>
      </w:pPr>
    </w:p>
    <w:p w14:paraId="67F32DDB" w14:textId="77777777" w:rsidR="00CE0F36" w:rsidRDefault="00CE0F36" w:rsidP="00662A75">
      <w:pPr>
        <w:spacing w:line="360" w:lineRule="auto"/>
        <w:rPr>
          <w:rFonts w:ascii="Arial" w:hAnsi="Arial" w:cs="Arial"/>
        </w:rPr>
      </w:pPr>
    </w:p>
    <w:p w14:paraId="7C0B8569" w14:textId="77777777" w:rsidR="00CE0F36" w:rsidRDefault="00CE0F36" w:rsidP="00662A75">
      <w:pPr>
        <w:spacing w:line="360" w:lineRule="auto"/>
        <w:rPr>
          <w:rFonts w:ascii="Arial" w:hAnsi="Arial" w:cs="Arial"/>
        </w:rPr>
      </w:pPr>
    </w:p>
    <w:p w14:paraId="5B2A5002" w14:textId="77777777" w:rsidR="00CE0F36" w:rsidRDefault="00CE0F36" w:rsidP="00662A75">
      <w:pPr>
        <w:spacing w:line="360" w:lineRule="auto"/>
        <w:rPr>
          <w:rFonts w:ascii="Arial" w:hAnsi="Arial" w:cs="Arial"/>
        </w:rPr>
      </w:pPr>
    </w:p>
    <w:p w14:paraId="63C7CAFE" w14:textId="77777777" w:rsidR="00CE0F36" w:rsidRDefault="00CE0F36" w:rsidP="00662A75">
      <w:pPr>
        <w:spacing w:line="360" w:lineRule="auto"/>
        <w:rPr>
          <w:rFonts w:ascii="Arial" w:hAnsi="Arial" w:cs="Arial"/>
        </w:rPr>
      </w:pPr>
    </w:p>
    <w:p w14:paraId="1C510EE3" w14:textId="77777777" w:rsidR="00CE0F36" w:rsidRDefault="00CE0F36" w:rsidP="00662A75">
      <w:pPr>
        <w:spacing w:line="360" w:lineRule="auto"/>
        <w:rPr>
          <w:rFonts w:ascii="Arial" w:hAnsi="Arial" w:cs="Arial"/>
        </w:rPr>
      </w:pPr>
    </w:p>
    <w:p w14:paraId="6EA106FC" w14:textId="77777777" w:rsidR="00CE0F36" w:rsidRDefault="00CE0F36" w:rsidP="00662A75">
      <w:pPr>
        <w:spacing w:line="360" w:lineRule="auto"/>
        <w:rPr>
          <w:rFonts w:ascii="Arial" w:hAnsi="Arial" w:cs="Arial"/>
        </w:rPr>
      </w:pPr>
    </w:p>
    <w:p w14:paraId="38CD9985" w14:textId="77777777" w:rsidR="00CE0F36" w:rsidRDefault="00CE0F36" w:rsidP="00662A75">
      <w:pPr>
        <w:spacing w:line="360" w:lineRule="auto"/>
        <w:rPr>
          <w:rFonts w:ascii="Arial" w:hAnsi="Arial" w:cs="Arial"/>
        </w:rPr>
      </w:pPr>
    </w:p>
    <w:p w14:paraId="5F46EB1B" w14:textId="77777777" w:rsidR="00CE0F36" w:rsidRDefault="00CE0F36" w:rsidP="00662A75">
      <w:pPr>
        <w:spacing w:line="360" w:lineRule="auto"/>
        <w:rPr>
          <w:rFonts w:ascii="Arial" w:hAnsi="Arial" w:cs="Arial"/>
        </w:rPr>
      </w:pPr>
    </w:p>
    <w:p w14:paraId="730F737B" w14:textId="77777777" w:rsidR="00CE0F36" w:rsidRDefault="00CE0F36" w:rsidP="00662A75">
      <w:pPr>
        <w:spacing w:line="360" w:lineRule="auto"/>
        <w:rPr>
          <w:rFonts w:ascii="Arial" w:hAnsi="Arial" w:cs="Arial"/>
        </w:rPr>
      </w:pPr>
    </w:p>
    <w:p w14:paraId="29D10FD7" w14:textId="77777777" w:rsidR="00CE0F36" w:rsidRDefault="00CE0F36" w:rsidP="00662A75">
      <w:pPr>
        <w:spacing w:line="360" w:lineRule="auto"/>
        <w:rPr>
          <w:rFonts w:ascii="Arial" w:hAnsi="Arial" w:cs="Arial"/>
        </w:rPr>
      </w:pPr>
    </w:p>
    <w:p w14:paraId="0676CA4F" w14:textId="77777777" w:rsidR="00CE0F36" w:rsidRDefault="00CE0F36" w:rsidP="00662A75">
      <w:pPr>
        <w:spacing w:line="360" w:lineRule="auto"/>
        <w:rPr>
          <w:rFonts w:ascii="Arial" w:hAnsi="Arial" w:cs="Arial"/>
        </w:rPr>
      </w:pPr>
    </w:p>
    <w:p w14:paraId="14D4A108" w14:textId="77777777" w:rsidR="00CE0F36" w:rsidRDefault="00CE0F36" w:rsidP="00662A75">
      <w:pPr>
        <w:spacing w:line="360" w:lineRule="auto"/>
        <w:rPr>
          <w:rFonts w:ascii="Arial" w:hAnsi="Arial" w:cs="Arial"/>
        </w:rPr>
      </w:pPr>
    </w:p>
    <w:p w14:paraId="6273BA81" w14:textId="77777777" w:rsidR="00CE0F36" w:rsidRDefault="00CE0F36" w:rsidP="00662A75">
      <w:pPr>
        <w:spacing w:line="360" w:lineRule="auto"/>
        <w:rPr>
          <w:rFonts w:ascii="Arial" w:hAnsi="Arial" w:cs="Arial"/>
        </w:rPr>
      </w:pPr>
    </w:p>
    <w:p w14:paraId="4CA9CD67" w14:textId="77777777" w:rsidR="0091535C" w:rsidRPr="0091535C" w:rsidRDefault="0091535C" w:rsidP="0091535C">
      <w:pPr>
        <w:rPr>
          <w:b/>
          <w:bCs/>
          <w:color w:val="000000" w:themeColor="text1"/>
          <w:sz w:val="28"/>
          <w:szCs w:val="28"/>
        </w:rPr>
      </w:pPr>
      <w:r w:rsidRPr="0091535C">
        <w:rPr>
          <w:b/>
          <w:bCs/>
          <w:color w:val="000000" w:themeColor="text1"/>
          <w:sz w:val="28"/>
          <w:szCs w:val="28"/>
        </w:rPr>
        <w:lastRenderedPageBreak/>
        <w:t xml:space="preserve">Glossary of Terms </w:t>
      </w:r>
    </w:p>
    <w:p w14:paraId="2939D36B" w14:textId="77777777" w:rsidR="0091535C" w:rsidRPr="0091535C" w:rsidRDefault="0091535C" w:rsidP="0091535C">
      <w:pPr>
        <w:spacing w:line="240" w:lineRule="auto"/>
        <w:rPr>
          <w:rFonts w:ascii="Arial" w:eastAsia="Times New Roman" w:hAnsi="Arial" w:cs="Arial"/>
          <w:color w:val="000000" w:themeColor="text1"/>
          <w:kern w:val="0"/>
          <w:sz w:val="24"/>
          <w:szCs w:val="24"/>
          <w:shd w:val="clear" w:color="auto" w:fill="FAFAFA"/>
          <w:lang w:eastAsia="en-GB"/>
          <w14:ligatures w14:val="none"/>
        </w:rPr>
      </w:pPr>
      <w:r w:rsidRPr="001A72FF">
        <w:rPr>
          <w:rFonts w:ascii="Arial" w:eastAsia="Times New Roman" w:hAnsi="Arial" w:cs="Arial"/>
          <w:b/>
          <w:bCs/>
          <w:color w:val="000000" w:themeColor="text1"/>
          <w:kern w:val="0"/>
          <w:sz w:val="24"/>
          <w:szCs w:val="24"/>
          <w:lang w:eastAsia="en-GB"/>
          <w14:ligatures w14:val="none"/>
        </w:rPr>
        <w:t xml:space="preserve">Neurodiversity: </w:t>
      </w:r>
      <w:r w:rsidRPr="001A72FF">
        <w:rPr>
          <w:rFonts w:ascii="Arial" w:eastAsia="Times New Roman" w:hAnsi="Arial" w:cs="Arial"/>
          <w:color w:val="000000" w:themeColor="text1"/>
          <w:kern w:val="0"/>
          <w:sz w:val="24"/>
          <w:szCs w:val="24"/>
          <w:shd w:val="clear" w:color="auto" w:fill="FAFAFA"/>
          <w:lang w:eastAsia="en-GB"/>
          <w14:ligatures w14:val="none"/>
        </w:rPr>
        <w:t xml:space="preserve">The spectrum of variations in brain function and </w:t>
      </w:r>
      <w:r w:rsidRPr="0091535C">
        <w:rPr>
          <w:rFonts w:ascii="Arial" w:eastAsia="Times New Roman" w:hAnsi="Arial" w:cs="Arial"/>
          <w:color w:val="000000" w:themeColor="text1"/>
          <w:kern w:val="0"/>
          <w:sz w:val="24"/>
          <w:szCs w:val="24"/>
          <w:shd w:val="clear" w:color="auto" w:fill="FAFAFA"/>
          <w:lang w:eastAsia="en-GB"/>
          <w14:ligatures w14:val="none"/>
        </w:rPr>
        <w:t>behavioural</w:t>
      </w:r>
      <w:r w:rsidRPr="001A72FF">
        <w:rPr>
          <w:rFonts w:ascii="Arial" w:eastAsia="Times New Roman" w:hAnsi="Arial" w:cs="Arial"/>
          <w:color w:val="000000" w:themeColor="text1"/>
          <w:kern w:val="0"/>
          <w:sz w:val="24"/>
          <w:szCs w:val="24"/>
          <w:shd w:val="clear" w:color="auto" w:fill="FAFAFA"/>
          <w:lang w:eastAsia="en-GB"/>
          <w14:ligatures w14:val="none"/>
        </w:rPr>
        <w:t xml:space="preserve"> characteristics, considered the normal diversity amongst the human population.</w:t>
      </w:r>
    </w:p>
    <w:p w14:paraId="2A707209" w14:textId="77777777" w:rsidR="0091535C" w:rsidRPr="001A72FF" w:rsidRDefault="0091535C" w:rsidP="0091535C">
      <w:pPr>
        <w:spacing w:line="240" w:lineRule="auto"/>
        <w:rPr>
          <w:rFonts w:ascii="Times New Roman" w:eastAsia="Times New Roman" w:hAnsi="Times New Roman" w:cs="Times New Roman"/>
          <w:color w:val="000000" w:themeColor="text1"/>
          <w:kern w:val="0"/>
          <w:sz w:val="24"/>
          <w:szCs w:val="24"/>
          <w:lang w:eastAsia="en-GB"/>
          <w14:ligatures w14:val="none"/>
        </w:rPr>
      </w:pPr>
      <w:r w:rsidRPr="0091535C">
        <w:rPr>
          <w:rFonts w:ascii="Arial" w:eastAsia="Times New Roman" w:hAnsi="Arial" w:cs="Arial"/>
          <w:b/>
          <w:bCs/>
          <w:color w:val="000000" w:themeColor="text1"/>
          <w:kern w:val="0"/>
          <w:sz w:val="24"/>
          <w:szCs w:val="24"/>
          <w:shd w:val="clear" w:color="auto" w:fill="FAFAFA"/>
          <w:lang w:eastAsia="en-GB"/>
          <w14:ligatures w14:val="none"/>
        </w:rPr>
        <w:t>SEND</w:t>
      </w:r>
      <w:r w:rsidRPr="0091535C">
        <w:rPr>
          <w:rFonts w:ascii="Arial" w:eastAsia="Times New Roman" w:hAnsi="Arial" w:cs="Arial"/>
          <w:color w:val="000000" w:themeColor="text1"/>
          <w:kern w:val="0"/>
          <w:sz w:val="24"/>
          <w:szCs w:val="24"/>
          <w:shd w:val="clear" w:color="auto" w:fill="FAFAFA"/>
          <w:lang w:eastAsia="en-GB"/>
          <w14:ligatures w14:val="none"/>
        </w:rPr>
        <w:t>: Special educational needs and disabilities</w:t>
      </w:r>
    </w:p>
    <w:p w14:paraId="1A4DE302" w14:textId="77777777" w:rsidR="0091535C" w:rsidRPr="001A72FF" w:rsidRDefault="0091535C" w:rsidP="0091535C">
      <w:pPr>
        <w:spacing w:line="360" w:lineRule="auto"/>
        <w:rPr>
          <w:rFonts w:ascii="Arial" w:eastAsia="Times New Roman" w:hAnsi="Arial" w:cs="Arial"/>
          <w:color w:val="000000" w:themeColor="text1"/>
          <w:kern w:val="0"/>
          <w:lang w:eastAsia="en-GB"/>
          <w14:ligatures w14:val="none"/>
        </w:rPr>
      </w:pPr>
      <w:r w:rsidRPr="001A72FF">
        <w:rPr>
          <w:rFonts w:ascii="Arial" w:eastAsia="Times New Roman" w:hAnsi="Arial" w:cs="Arial"/>
          <w:b/>
          <w:bCs/>
          <w:color w:val="000000" w:themeColor="text1"/>
          <w:kern w:val="0"/>
          <w:lang w:eastAsia="en-GB"/>
          <w14:ligatures w14:val="none"/>
        </w:rPr>
        <w:t>Dyslexia:</w:t>
      </w:r>
      <w:r w:rsidRPr="001A72FF">
        <w:rPr>
          <w:rFonts w:ascii="Arial" w:eastAsia="Times New Roman" w:hAnsi="Arial" w:cs="Arial"/>
          <w:color w:val="000000" w:themeColor="text1"/>
          <w:kern w:val="0"/>
          <w:lang w:eastAsia="en-GB"/>
          <w14:ligatures w14:val="none"/>
        </w:rPr>
        <w:t xml:space="preserve"> A learning difficulty characterised by issues expanded upon in Appendix 1. It can affect learning pathways, memory and phonological skills </w:t>
      </w:r>
    </w:p>
    <w:p w14:paraId="36D385A8" w14:textId="77777777" w:rsidR="0091535C" w:rsidRDefault="0091535C" w:rsidP="0091535C"/>
    <w:p w14:paraId="16205418" w14:textId="77777777" w:rsidR="000411A1" w:rsidRDefault="000411A1" w:rsidP="0091535C"/>
    <w:p w14:paraId="4485A1A6" w14:textId="77777777" w:rsidR="000411A1" w:rsidRDefault="000411A1" w:rsidP="0091535C"/>
    <w:p w14:paraId="223FF9BD" w14:textId="77777777" w:rsidR="000411A1" w:rsidRDefault="000411A1" w:rsidP="0091535C"/>
    <w:p w14:paraId="7B33C29A" w14:textId="77777777" w:rsidR="000411A1" w:rsidRDefault="000411A1" w:rsidP="0091535C"/>
    <w:p w14:paraId="7F233AA8" w14:textId="77777777" w:rsidR="000411A1" w:rsidRDefault="000411A1" w:rsidP="0091535C"/>
    <w:p w14:paraId="3B36E87A" w14:textId="77777777" w:rsidR="000411A1" w:rsidRDefault="000411A1" w:rsidP="0091535C"/>
    <w:p w14:paraId="30FB3949" w14:textId="77777777" w:rsidR="000411A1" w:rsidRDefault="000411A1" w:rsidP="0091535C"/>
    <w:p w14:paraId="71041319" w14:textId="77777777" w:rsidR="000411A1" w:rsidRDefault="000411A1" w:rsidP="0091535C"/>
    <w:p w14:paraId="56EF39C8" w14:textId="77777777" w:rsidR="000411A1" w:rsidRDefault="000411A1" w:rsidP="0091535C"/>
    <w:p w14:paraId="3BDF7802" w14:textId="77777777" w:rsidR="000411A1" w:rsidRDefault="000411A1" w:rsidP="0091535C"/>
    <w:p w14:paraId="64E31D27" w14:textId="77777777" w:rsidR="000411A1" w:rsidRDefault="000411A1" w:rsidP="0091535C"/>
    <w:p w14:paraId="40208951" w14:textId="77777777" w:rsidR="000411A1" w:rsidRDefault="000411A1" w:rsidP="0091535C"/>
    <w:p w14:paraId="3E863B15" w14:textId="77777777" w:rsidR="000411A1" w:rsidRDefault="000411A1" w:rsidP="0091535C"/>
    <w:p w14:paraId="053D48F6" w14:textId="77777777" w:rsidR="000411A1" w:rsidRDefault="000411A1" w:rsidP="0091535C"/>
    <w:p w14:paraId="69305B05" w14:textId="77777777" w:rsidR="000411A1" w:rsidRDefault="000411A1" w:rsidP="0091535C"/>
    <w:p w14:paraId="26CFDA38" w14:textId="77777777" w:rsidR="000411A1" w:rsidRDefault="000411A1" w:rsidP="0091535C"/>
    <w:p w14:paraId="269D4C60" w14:textId="77777777" w:rsidR="000411A1" w:rsidRDefault="000411A1" w:rsidP="0091535C"/>
    <w:p w14:paraId="24A600C2" w14:textId="77777777" w:rsidR="000411A1" w:rsidRDefault="000411A1" w:rsidP="0091535C"/>
    <w:p w14:paraId="0586BE8D" w14:textId="77777777" w:rsidR="000411A1" w:rsidRDefault="000411A1" w:rsidP="0091535C"/>
    <w:p w14:paraId="0FE68C19" w14:textId="77777777" w:rsidR="000411A1" w:rsidRDefault="000411A1" w:rsidP="0091535C"/>
    <w:p w14:paraId="077009BA" w14:textId="77777777" w:rsidR="000411A1" w:rsidRDefault="000411A1" w:rsidP="0091535C"/>
    <w:p w14:paraId="43D54F0C" w14:textId="77777777" w:rsidR="000411A1" w:rsidRDefault="000411A1" w:rsidP="0091535C"/>
    <w:p w14:paraId="7FE3E50F" w14:textId="77777777" w:rsidR="000411A1" w:rsidRDefault="000411A1" w:rsidP="0091535C"/>
    <w:p w14:paraId="0AE37E1A" w14:textId="77777777" w:rsidR="000411A1" w:rsidRDefault="000411A1" w:rsidP="0091535C"/>
    <w:p w14:paraId="2932B389" w14:textId="77777777" w:rsidR="001C36CC" w:rsidRDefault="001C36CC" w:rsidP="001C36CC"/>
    <w:p w14:paraId="191E6A09" w14:textId="77777777" w:rsidR="001C36CC" w:rsidRDefault="001C36CC" w:rsidP="001C36CC"/>
    <w:p w14:paraId="3ED697E3" w14:textId="77777777" w:rsidR="001C36CC" w:rsidRDefault="001C36CC" w:rsidP="001C36CC">
      <w:pPr>
        <w:pStyle w:val="Heading1"/>
      </w:pPr>
      <w:r>
        <w:t>References</w:t>
      </w:r>
    </w:p>
    <w:tbl>
      <w:tblPr>
        <w:tblW w:w="8120" w:type="dxa"/>
        <w:tblLook w:val="04A0" w:firstRow="1" w:lastRow="0" w:firstColumn="1" w:lastColumn="0" w:noHBand="0" w:noVBand="1"/>
      </w:tblPr>
      <w:tblGrid>
        <w:gridCol w:w="8120"/>
      </w:tblGrid>
      <w:tr w:rsidR="001C36CC" w:rsidRPr="00E81686" w14:paraId="5CBD1A80" w14:textId="77777777" w:rsidTr="009B410E">
        <w:trPr>
          <w:trHeight w:val="840"/>
        </w:trPr>
        <w:tc>
          <w:tcPr>
            <w:tcW w:w="8120" w:type="dxa"/>
            <w:tcBorders>
              <w:top w:val="nil"/>
              <w:left w:val="nil"/>
              <w:bottom w:val="nil"/>
              <w:right w:val="nil"/>
            </w:tcBorders>
            <w:shd w:val="clear" w:color="000000" w:fill="FFFFFF"/>
            <w:vAlign w:val="bottom"/>
            <w:hideMark/>
          </w:tcPr>
          <w:p w14:paraId="498DB748" w14:textId="77777777" w:rsidR="001C36CC" w:rsidRPr="00E81686" w:rsidRDefault="001C36CC" w:rsidP="009B410E">
            <w:pPr>
              <w:spacing w:line="360" w:lineRule="auto"/>
              <w:rPr>
                <w:rFonts w:ascii="Arial" w:hAnsi="Arial" w:cs="Arial"/>
                <w:lang w:eastAsia="en-GB"/>
              </w:rPr>
            </w:pPr>
            <w:r w:rsidRPr="00E81686">
              <w:rPr>
                <w:rFonts w:ascii="Arial" w:hAnsi="Arial" w:cs="Arial"/>
                <w:lang w:eastAsia="en-GB"/>
              </w:rPr>
              <w:t xml:space="preserve">Anderson, A. et al. (2021) Research Paradigm Considerations for Emerging Scholars. 1st ed. Edited by A. Anderson, A. </w:t>
            </w:r>
            <w:proofErr w:type="spellStart"/>
            <w:r w:rsidRPr="00E81686">
              <w:rPr>
                <w:rFonts w:ascii="Arial" w:hAnsi="Arial" w:cs="Arial"/>
                <w:lang w:eastAsia="en-GB"/>
              </w:rPr>
              <w:t>Pabel</w:t>
            </w:r>
            <w:proofErr w:type="spellEnd"/>
            <w:r w:rsidRPr="00E81686">
              <w:rPr>
                <w:rFonts w:ascii="Arial" w:hAnsi="Arial" w:cs="Arial"/>
                <w:lang w:eastAsia="en-GB"/>
              </w:rPr>
              <w:t>, and J. Pryce. Bristol, UK; Channel View Publications,.</w:t>
            </w:r>
          </w:p>
        </w:tc>
      </w:tr>
      <w:tr w:rsidR="001C36CC" w:rsidRPr="00E81686" w14:paraId="08F454A7" w14:textId="77777777" w:rsidTr="009B410E">
        <w:trPr>
          <w:trHeight w:val="840"/>
        </w:trPr>
        <w:tc>
          <w:tcPr>
            <w:tcW w:w="8120" w:type="dxa"/>
            <w:tcBorders>
              <w:top w:val="nil"/>
              <w:left w:val="nil"/>
              <w:bottom w:val="nil"/>
              <w:right w:val="nil"/>
            </w:tcBorders>
            <w:shd w:val="clear" w:color="000000" w:fill="FFFFFF"/>
            <w:vAlign w:val="bottom"/>
            <w:hideMark/>
          </w:tcPr>
          <w:p w14:paraId="5DAE7611" w14:textId="77777777" w:rsidR="001C36CC" w:rsidRPr="00E81686" w:rsidRDefault="001C36CC" w:rsidP="009B410E">
            <w:pPr>
              <w:spacing w:line="360" w:lineRule="auto"/>
              <w:rPr>
                <w:rFonts w:ascii="Arial" w:hAnsi="Arial" w:cs="Arial"/>
                <w:lang w:eastAsia="en-GB"/>
              </w:rPr>
            </w:pPr>
            <w:r w:rsidRPr="00E81686">
              <w:rPr>
                <w:rFonts w:ascii="Arial" w:hAnsi="Arial" w:cs="Arial"/>
                <w:lang w:eastAsia="en-GB"/>
              </w:rPr>
              <w:t>Braun, V., &amp; Clarke, V. (2006). Using thematic analysis in psychology. Qualitative Research in Psychology, 3(2), 77–101.</w:t>
            </w:r>
          </w:p>
        </w:tc>
      </w:tr>
      <w:tr w:rsidR="001C36CC" w:rsidRPr="00E81686" w14:paraId="738F3CB1" w14:textId="77777777" w:rsidTr="009B410E">
        <w:trPr>
          <w:trHeight w:val="840"/>
        </w:trPr>
        <w:tc>
          <w:tcPr>
            <w:tcW w:w="8120" w:type="dxa"/>
            <w:tcBorders>
              <w:top w:val="nil"/>
              <w:left w:val="nil"/>
              <w:bottom w:val="nil"/>
              <w:right w:val="nil"/>
            </w:tcBorders>
            <w:shd w:val="clear" w:color="000000" w:fill="FFFFFF"/>
            <w:vAlign w:val="bottom"/>
            <w:hideMark/>
          </w:tcPr>
          <w:p w14:paraId="2060426B" w14:textId="77777777" w:rsidR="001C36CC" w:rsidRPr="00C92B12" w:rsidRDefault="001C36CC" w:rsidP="009B410E">
            <w:pPr>
              <w:spacing w:line="360" w:lineRule="auto"/>
              <w:rPr>
                <w:rFonts w:ascii="Arial" w:hAnsi="Arial" w:cs="Arial"/>
              </w:rPr>
            </w:pPr>
            <w:proofErr w:type="spellStart"/>
            <w:r w:rsidRPr="00E81686">
              <w:rPr>
                <w:rFonts w:ascii="Arial" w:hAnsi="Arial" w:cs="Arial"/>
                <w:lang w:eastAsia="en-GB"/>
              </w:rPr>
              <w:t>Gillin</w:t>
            </w:r>
            <w:proofErr w:type="spellEnd"/>
            <w:r w:rsidRPr="00E81686">
              <w:rPr>
                <w:rFonts w:ascii="Arial" w:hAnsi="Arial" w:cs="Arial"/>
                <w:lang w:eastAsia="en-GB"/>
              </w:rPr>
              <w:t xml:space="preserve">, N. (2015) ‘Legal, ethical and practical considerations in research involving nurses with dyslexia’, Nurse researcher, 23(1), pp. 21–25. Available at: https://doi.org/10.7748/nr.23.1.21.e1373. ‘Legal, ethical and practical considerations in research involving nurses with dyslexia’, Nurse researcher, 23(1), pp. 21–25. Available at: </w:t>
            </w:r>
            <w:hyperlink r:id="rId35" w:history="1">
              <w:r w:rsidRPr="00E81686">
                <w:rPr>
                  <w:rStyle w:val="Hyperlink"/>
                  <w:rFonts w:ascii="Arial" w:hAnsi="Arial" w:cs="Arial"/>
                  <w:lang w:eastAsia="en-GB"/>
                </w:rPr>
                <w:t>https://doi.org/10.7748/nr.23.1.21.e1373</w:t>
              </w:r>
            </w:hyperlink>
            <w:r w:rsidRPr="00E81686">
              <w:rPr>
                <w:rFonts w:ascii="Arial" w:hAnsi="Arial" w:cs="Arial"/>
                <w:lang w:eastAsia="en-GB"/>
              </w:rPr>
              <w:t>.</w:t>
            </w:r>
          </w:p>
          <w:p w14:paraId="27E0BBBE" w14:textId="77777777" w:rsidR="001C36CC" w:rsidRPr="00E81686" w:rsidRDefault="001C36CC" w:rsidP="009B410E">
            <w:pPr>
              <w:spacing w:line="360" w:lineRule="auto"/>
              <w:rPr>
                <w:rFonts w:ascii="Arial" w:hAnsi="Arial" w:cs="Arial"/>
                <w:lang w:eastAsia="en-GB"/>
              </w:rPr>
            </w:pPr>
          </w:p>
        </w:tc>
      </w:tr>
      <w:tr w:rsidR="001C36CC" w:rsidRPr="00E81686" w14:paraId="45066ECC" w14:textId="77777777" w:rsidTr="009B410E">
        <w:trPr>
          <w:trHeight w:val="840"/>
        </w:trPr>
        <w:tc>
          <w:tcPr>
            <w:tcW w:w="8120" w:type="dxa"/>
            <w:tcBorders>
              <w:top w:val="nil"/>
              <w:left w:val="nil"/>
              <w:bottom w:val="nil"/>
              <w:right w:val="nil"/>
            </w:tcBorders>
            <w:shd w:val="clear" w:color="000000" w:fill="FFFFFF"/>
            <w:vAlign w:val="bottom"/>
            <w:hideMark/>
          </w:tcPr>
          <w:p w14:paraId="591835E1" w14:textId="77777777" w:rsidR="001C36CC" w:rsidRPr="00C92B12" w:rsidRDefault="001C36CC" w:rsidP="009B410E">
            <w:pPr>
              <w:spacing w:line="360" w:lineRule="auto"/>
              <w:rPr>
                <w:rFonts w:ascii="Arial" w:hAnsi="Arial" w:cs="Arial"/>
              </w:rPr>
            </w:pPr>
            <w:proofErr w:type="spellStart"/>
            <w:r w:rsidRPr="00E81686">
              <w:rPr>
                <w:rFonts w:ascii="Arial" w:hAnsi="Arial" w:cs="Arial"/>
                <w:lang w:eastAsia="en-GB"/>
              </w:rPr>
              <w:t>Anvari</w:t>
            </w:r>
            <w:proofErr w:type="spellEnd"/>
            <w:r w:rsidRPr="00E81686">
              <w:rPr>
                <w:rFonts w:ascii="Arial" w:hAnsi="Arial" w:cs="Arial"/>
                <w:lang w:eastAsia="en-GB"/>
              </w:rPr>
              <w:t>, S. H., Trainor, L. J., Woodside, J., &amp; Levy, B. A. (2002). Relations among musical skills, phonological processing, and early reading ability in preschool children. Journal of Experimental Child Psychology, 83(2), 111–130.</w:t>
            </w:r>
          </w:p>
          <w:p w14:paraId="10D7E204" w14:textId="77777777" w:rsidR="001C36CC" w:rsidRPr="00E81686" w:rsidRDefault="001C36CC" w:rsidP="009B410E">
            <w:pPr>
              <w:spacing w:line="360" w:lineRule="auto"/>
              <w:rPr>
                <w:rFonts w:ascii="Arial" w:hAnsi="Arial" w:cs="Arial"/>
                <w:lang w:eastAsia="en-GB"/>
              </w:rPr>
            </w:pPr>
          </w:p>
        </w:tc>
      </w:tr>
      <w:tr w:rsidR="001C36CC" w:rsidRPr="00E81686" w14:paraId="6E4C8242" w14:textId="77777777" w:rsidTr="009B410E">
        <w:trPr>
          <w:trHeight w:val="840"/>
        </w:trPr>
        <w:tc>
          <w:tcPr>
            <w:tcW w:w="8120" w:type="dxa"/>
            <w:tcBorders>
              <w:top w:val="nil"/>
              <w:left w:val="nil"/>
              <w:bottom w:val="nil"/>
              <w:right w:val="nil"/>
            </w:tcBorders>
            <w:shd w:val="clear" w:color="000000" w:fill="FFFFFF"/>
            <w:vAlign w:val="bottom"/>
            <w:hideMark/>
          </w:tcPr>
          <w:p w14:paraId="22D55C8E" w14:textId="77777777" w:rsidR="001C36CC" w:rsidRPr="00E81686" w:rsidRDefault="001C36CC" w:rsidP="009B410E">
            <w:pPr>
              <w:spacing w:line="360" w:lineRule="auto"/>
              <w:rPr>
                <w:rFonts w:ascii="Arial" w:hAnsi="Arial" w:cs="Arial"/>
                <w:lang w:eastAsia="en-GB"/>
              </w:rPr>
            </w:pPr>
            <w:r w:rsidRPr="00E81686">
              <w:rPr>
                <w:rFonts w:ascii="Arial" w:hAnsi="Arial" w:cs="Arial"/>
                <w:lang w:eastAsia="en-GB"/>
              </w:rPr>
              <w:t>Bailey, J. and Baker, S.T. (2022) ‘Rethinking engagement with learning for neurodiverse students’, The psychology of education review (Online), 46(2), pp. 32–36. Available at: https://doi.org/10.53841/bpsper.2022.46.2.32.</w:t>
            </w:r>
          </w:p>
        </w:tc>
      </w:tr>
      <w:tr w:rsidR="001C36CC" w:rsidRPr="00E81686" w14:paraId="6AB06ED2" w14:textId="77777777" w:rsidTr="009B410E">
        <w:trPr>
          <w:trHeight w:val="840"/>
        </w:trPr>
        <w:tc>
          <w:tcPr>
            <w:tcW w:w="8120" w:type="dxa"/>
            <w:tcBorders>
              <w:top w:val="nil"/>
              <w:left w:val="nil"/>
              <w:bottom w:val="nil"/>
              <w:right w:val="nil"/>
            </w:tcBorders>
            <w:shd w:val="clear" w:color="000000" w:fill="FFFFFF"/>
            <w:vAlign w:val="bottom"/>
            <w:hideMark/>
          </w:tcPr>
          <w:p w14:paraId="082E138B" w14:textId="77777777" w:rsidR="001C36CC" w:rsidRPr="00E81686" w:rsidRDefault="001C36CC" w:rsidP="009B410E">
            <w:pPr>
              <w:spacing w:line="360" w:lineRule="auto"/>
              <w:rPr>
                <w:rFonts w:ascii="Arial" w:hAnsi="Arial" w:cs="Arial"/>
                <w:lang w:eastAsia="en-GB"/>
              </w:rPr>
            </w:pPr>
            <w:r w:rsidRPr="00E81686">
              <w:rPr>
                <w:rFonts w:ascii="Arial" w:hAnsi="Arial" w:cs="Arial"/>
                <w:lang w:eastAsia="en-GB"/>
              </w:rPr>
              <w:t>Bickman, L. and</w:t>
            </w:r>
            <w:r w:rsidRPr="00C92B12">
              <w:rPr>
                <w:rFonts w:ascii="Arial" w:hAnsi="Arial" w:cs="Arial"/>
              </w:rPr>
              <w:t xml:space="preserve"> </w:t>
            </w:r>
            <w:r w:rsidRPr="00E81686">
              <w:rPr>
                <w:rFonts w:ascii="Arial" w:hAnsi="Arial" w:cs="Arial"/>
                <w:lang w:eastAsia="en-GB"/>
              </w:rPr>
              <w:t>Rog, D.J. (2009) The SAGE handbook of applied social research methods. 2nd ed. Los Angeles ; SAGE.</w:t>
            </w:r>
          </w:p>
        </w:tc>
      </w:tr>
      <w:tr w:rsidR="001C36CC" w:rsidRPr="00E81686" w14:paraId="2883AF99" w14:textId="77777777" w:rsidTr="009B410E">
        <w:trPr>
          <w:trHeight w:val="840"/>
        </w:trPr>
        <w:tc>
          <w:tcPr>
            <w:tcW w:w="8120" w:type="dxa"/>
            <w:tcBorders>
              <w:top w:val="nil"/>
              <w:left w:val="nil"/>
              <w:bottom w:val="nil"/>
              <w:right w:val="nil"/>
            </w:tcBorders>
            <w:shd w:val="clear" w:color="000000" w:fill="FFFFFF"/>
            <w:vAlign w:val="bottom"/>
            <w:hideMark/>
          </w:tcPr>
          <w:p w14:paraId="0D985864" w14:textId="77777777" w:rsidR="001C36CC" w:rsidRPr="00E81686" w:rsidRDefault="001C36CC" w:rsidP="009B410E">
            <w:pPr>
              <w:spacing w:line="360" w:lineRule="auto"/>
              <w:rPr>
                <w:rFonts w:ascii="Arial" w:hAnsi="Arial" w:cs="Arial"/>
                <w:lang w:eastAsia="en-GB"/>
              </w:rPr>
            </w:pPr>
            <w:proofErr w:type="spellStart"/>
            <w:r w:rsidRPr="00E81686">
              <w:rPr>
                <w:rFonts w:ascii="Arial" w:hAnsi="Arial" w:cs="Arial"/>
                <w:lang w:val="pt-PT" w:eastAsia="en-GB"/>
              </w:rPr>
              <w:t>Brandt</w:t>
            </w:r>
            <w:proofErr w:type="spellEnd"/>
            <w:r w:rsidRPr="00E81686">
              <w:rPr>
                <w:rFonts w:ascii="Arial" w:hAnsi="Arial" w:cs="Arial"/>
                <w:lang w:val="pt-PT" w:eastAsia="en-GB"/>
              </w:rPr>
              <w:t xml:space="preserve"> A, </w:t>
            </w:r>
            <w:proofErr w:type="spellStart"/>
            <w:r w:rsidRPr="00E81686">
              <w:rPr>
                <w:rFonts w:ascii="Arial" w:hAnsi="Arial" w:cs="Arial"/>
                <w:lang w:val="pt-PT" w:eastAsia="en-GB"/>
              </w:rPr>
              <w:t>Slevc</w:t>
            </w:r>
            <w:proofErr w:type="spellEnd"/>
            <w:r w:rsidRPr="00E81686">
              <w:rPr>
                <w:rFonts w:ascii="Arial" w:hAnsi="Arial" w:cs="Arial"/>
                <w:lang w:val="pt-PT" w:eastAsia="en-GB"/>
              </w:rPr>
              <w:t xml:space="preserve"> R, &amp; </w:t>
            </w:r>
            <w:proofErr w:type="spellStart"/>
            <w:r w:rsidRPr="00E81686">
              <w:rPr>
                <w:rFonts w:ascii="Arial" w:hAnsi="Arial" w:cs="Arial"/>
                <w:lang w:val="pt-PT" w:eastAsia="en-GB"/>
              </w:rPr>
              <w:t>Gebrian</w:t>
            </w:r>
            <w:proofErr w:type="spellEnd"/>
            <w:r w:rsidRPr="00E81686">
              <w:rPr>
                <w:rFonts w:ascii="Arial" w:hAnsi="Arial" w:cs="Arial"/>
                <w:lang w:val="pt-PT" w:eastAsia="en-GB"/>
              </w:rPr>
              <w:t xml:space="preserve"> M. (2012). </w:t>
            </w:r>
            <w:r w:rsidRPr="00E81686">
              <w:rPr>
                <w:rFonts w:ascii="Arial" w:hAnsi="Arial" w:cs="Arial"/>
                <w:lang w:eastAsia="en-GB"/>
              </w:rPr>
              <w:t>Music and Early Language Acquisition. Frontiers in Psychology, 3.</w:t>
            </w:r>
          </w:p>
        </w:tc>
      </w:tr>
      <w:tr w:rsidR="001C36CC" w:rsidRPr="00E81686" w14:paraId="49A307B6" w14:textId="77777777" w:rsidTr="009B410E">
        <w:trPr>
          <w:trHeight w:val="840"/>
        </w:trPr>
        <w:tc>
          <w:tcPr>
            <w:tcW w:w="8120" w:type="dxa"/>
            <w:tcBorders>
              <w:top w:val="nil"/>
              <w:left w:val="nil"/>
              <w:bottom w:val="nil"/>
              <w:right w:val="nil"/>
            </w:tcBorders>
            <w:shd w:val="clear" w:color="000000" w:fill="FFFFFF"/>
            <w:vAlign w:val="bottom"/>
            <w:hideMark/>
          </w:tcPr>
          <w:p w14:paraId="5EF44E0E" w14:textId="77777777" w:rsidR="001C36CC" w:rsidRPr="00C92B12" w:rsidRDefault="001C36CC" w:rsidP="009B410E">
            <w:pPr>
              <w:spacing w:line="360" w:lineRule="auto"/>
              <w:rPr>
                <w:rFonts w:ascii="Arial" w:hAnsi="Arial" w:cs="Arial"/>
              </w:rPr>
            </w:pPr>
            <w:r w:rsidRPr="00E81686">
              <w:rPr>
                <w:rFonts w:ascii="Arial" w:hAnsi="Arial" w:cs="Arial"/>
                <w:lang w:eastAsia="en-GB"/>
              </w:rPr>
              <w:t>British Dyslexic Association (2024), Dyslexia available at: https://www.bdadyslexia.org.uk/dyslexia (Accessed on the 21st October 2024)</w:t>
            </w:r>
          </w:p>
          <w:p w14:paraId="5D63683E" w14:textId="77777777" w:rsidR="001C36CC" w:rsidRPr="00E81686" w:rsidRDefault="001C36CC" w:rsidP="009B410E">
            <w:pPr>
              <w:spacing w:line="360" w:lineRule="auto"/>
              <w:rPr>
                <w:rFonts w:ascii="Arial" w:hAnsi="Arial" w:cs="Arial"/>
                <w:lang w:eastAsia="en-GB"/>
              </w:rPr>
            </w:pPr>
          </w:p>
        </w:tc>
      </w:tr>
      <w:tr w:rsidR="001C36CC" w:rsidRPr="00E81686" w14:paraId="5408C4FC" w14:textId="77777777" w:rsidTr="009B410E">
        <w:trPr>
          <w:trHeight w:val="840"/>
        </w:trPr>
        <w:tc>
          <w:tcPr>
            <w:tcW w:w="8120" w:type="dxa"/>
            <w:tcBorders>
              <w:top w:val="nil"/>
              <w:left w:val="nil"/>
              <w:bottom w:val="nil"/>
              <w:right w:val="nil"/>
            </w:tcBorders>
            <w:shd w:val="clear" w:color="000000" w:fill="FFFFFF"/>
            <w:vAlign w:val="bottom"/>
            <w:hideMark/>
          </w:tcPr>
          <w:p w14:paraId="0E6BAE42" w14:textId="77777777" w:rsidR="001C36CC" w:rsidRPr="00E81686" w:rsidRDefault="001C36CC" w:rsidP="009B410E">
            <w:pPr>
              <w:spacing w:line="360" w:lineRule="auto"/>
              <w:rPr>
                <w:rFonts w:ascii="Arial" w:hAnsi="Arial" w:cs="Arial"/>
                <w:lang w:eastAsia="en-GB"/>
              </w:rPr>
            </w:pPr>
            <w:r w:rsidRPr="00E81686">
              <w:rPr>
                <w:rFonts w:ascii="Arial" w:hAnsi="Arial" w:cs="Arial"/>
                <w:lang w:eastAsia="en-GB"/>
              </w:rPr>
              <w:t>Bryson, K.J. (2013) ‘Teaching a Student with Dyslexia’, Journal of Singing, 69(4), pp. 429–435. Available at: https://research-ebsco-com.ezproxy.uwtsd.ac.uk/linkprocessor/plink?id=fdf6c5a7-25a9-33b0-920a-4118efa5ecf0 (Accessed: 23 February 2025)</w:t>
            </w:r>
          </w:p>
        </w:tc>
      </w:tr>
      <w:tr w:rsidR="001C36CC" w:rsidRPr="00E81686" w14:paraId="30E3C34F" w14:textId="77777777" w:rsidTr="009B410E">
        <w:trPr>
          <w:trHeight w:val="840"/>
        </w:trPr>
        <w:tc>
          <w:tcPr>
            <w:tcW w:w="8120" w:type="dxa"/>
            <w:tcBorders>
              <w:top w:val="nil"/>
              <w:left w:val="nil"/>
              <w:bottom w:val="nil"/>
              <w:right w:val="nil"/>
            </w:tcBorders>
            <w:shd w:val="clear" w:color="000000" w:fill="FFFFFF"/>
            <w:vAlign w:val="center"/>
            <w:hideMark/>
          </w:tcPr>
          <w:p w14:paraId="6F79DB6C" w14:textId="77777777" w:rsidR="001C36CC" w:rsidRPr="00E81686" w:rsidRDefault="001C36CC" w:rsidP="009B410E">
            <w:pPr>
              <w:spacing w:line="360" w:lineRule="auto"/>
              <w:rPr>
                <w:rFonts w:ascii="Arial" w:hAnsi="Arial" w:cs="Arial"/>
                <w:lang w:eastAsia="en-GB"/>
              </w:rPr>
            </w:pPr>
            <w:r w:rsidRPr="00E81686">
              <w:rPr>
                <w:rFonts w:ascii="Arial" w:hAnsi="Arial" w:cs="Arial"/>
                <w:lang w:val="de-DE" w:eastAsia="en-GB"/>
              </w:rPr>
              <w:t xml:space="preserve">Eccles, R., van der Linde, J., le Roux, M., Swanepoel, D. W., </w:t>
            </w:r>
            <w:proofErr w:type="spellStart"/>
            <w:r w:rsidRPr="00E81686">
              <w:rPr>
                <w:rFonts w:ascii="Arial" w:hAnsi="Arial" w:cs="Arial"/>
                <w:lang w:val="de-DE" w:eastAsia="en-GB"/>
              </w:rPr>
              <w:t>MacCutcheon</w:t>
            </w:r>
            <w:proofErr w:type="spellEnd"/>
            <w:r w:rsidRPr="00E81686">
              <w:rPr>
                <w:rFonts w:ascii="Arial" w:hAnsi="Arial" w:cs="Arial"/>
                <w:lang w:val="de-DE" w:eastAsia="en-GB"/>
              </w:rPr>
              <w:t xml:space="preserve">, D., &amp; </w:t>
            </w:r>
            <w:proofErr w:type="spellStart"/>
            <w:r w:rsidRPr="00E81686">
              <w:rPr>
                <w:rFonts w:ascii="Arial" w:hAnsi="Arial" w:cs="Arial"/>
                <w:lang w:val="de-DE" w:eastAsia="en-GB"/>
              </w:rPr>
              <w:t>Ljung</w:t>
            </w:r>
            <w:proofErr w:type="spellEnd"/>
            <w:r w:rsidRPr="00E81686">
              <w:rPr>
                <w:rFonts w:ascii="Arial" w:hAnsi="Arial" w:cs="Arial"/>
                <w:lang w:val="de-DE" w:eastAsia="en-GB"/>
              </w:rPr>
              <w:t xml:space="preserve">, R. (2021). </w:t>
            </w:r>
            <w:r w:rsidRPr="00E81686">
              <w:rPr>
                <w:rFonts w:ascii="Arial" w:hAnsi="Arial" w:cs="Arial"/>
                <w:lang w:eastAsia="en-GB"/>
              </w:rPr>
              <w:t xml:space="preserve">The effect of music education approaches on phonological </w:t>
            </w:r>
            <w:r w:rsidRPr="00E81686">
              <w:rPr>
                <w:rFonts w:ascii="Arial" w:hAnsi="Arial" w:cs="Arial"/>
                <w:lang w:eastAsia="en-GB"/>
              </w:rPr>
              <w:lastRenderedPageBreak/>
              <w:t>awareness and early literacy: A systematic review. The Australian Journal of Language and Literacy, 44(1), 46–60</w:t>
            </w:r>
          </w:p>
        </w:tc>
      </w:tr>
      <w:tr w:rsidR="001C36CC" w:rsidRPr="00E81686" w14:paraId="4417D0F8" w14:textId="77777777" w:rsidTr="009B410E">
        <w:trPr>
          <w:trHeight w:val="840"/>
        </w:trPr>
        <w:tc>
          <w:tcPr>
            <w:tcW w:w="8120" w:type="dxa"/>
            <w:tcBorders>
              <w:top w:val="nil"/>
              <w:left w:val="nil"/>
              <w:bottom w:val="nil"/>
              <w:right w:val="nil"/>
            </w:tcBorders>
            <w:shd w:val="clear" w:color="000000" w:fill="FFFFFF"/>
            <w:vAlign w:val="bottom"/>
            <w:hideMark/>
          </w:tcPr>
          <w:p w14:paraId="2CC877F4" w14:textId="77777777" w:rsidR="001C36CC" w:rsidRPr="00C92B12" w:rsidRDefault="001C36CC" w:rsidP="009B410E">
            <w:pPr>
              <w:spacing w:line="360" w:lineRule="auto"/>
              <w:rPr>
                <w:rFonts w:ascii="Arial" w:hAnsi="Arial" w:cs="Arial"/>
              </w:rPr>
            </w:pPr>
            <w:proofErr w:type="spellStart"/>
            <w:r w:rsidRPr="00E81686">
              <w:rPr>
                <w:rFonts w:ascii="Arial" w:hAnsi="Arial" w:cs="Arial"/>
                <w:lang w:val="pt-PT" w:eastAsia="en-GB"/>
              </w:rPr>
              <w:t>Flaugnacco</w:t>
            </w:r>
            <w:proofErr w:type="spellEnd"/>
            <w:r w:rsidRPr="00E81686">
              <w:rPr>
                <w:rFonts w:ascii="Arial" w:hAnsi="Arial" w:cs="Arial"/>
                <w:lang w:val="pt-PT" w:eastAsia="en-GB"/>
              </w:rPr>
              <w:t xml:space="preserve">, E., </w:t>
            </w:r>
            <w:proofErr w:type="spellStart"/>
            <w:r w:rsidRPr="00E81686">
              <w:rPr>
                <w:rFonts w:ascii="Arial" w:hAnsi="Arial" w:cs="Arial"/>
                <w:lang w:val="pt-PT" w:eastAsia="en-GB"/>
              </w:rPr>
              <w:t>Lopez</w:t>
            </w:r>
            <w:proofErr w:type="spellEnd"/>
            <w:r w:rsidRPr="00E81686">
              <w:rPr>
                <w:rFonts w:ascii="Arial" w:hAnsi="Arial" w:cs="Arial"/>
                <w:lang w:val="pt-PT" w:eastAsia="en-GB"/>
              </w:rPr>
              <w:t xml:space="preserve">, L., </w:t>
            </w:r>
            <w:proofErr w:type="spellStart"/>
            <w:r w:rsidRPr="00E81686">
              <w:rPr>
                <w:rFonts w:ascii="Arial" w:hAnsi="Arial" w:cs="Arial"/>
                <w:lang w:val="pt-PT" w:eastAsia="en-GB"/>
              </w:rPr>
              <w:t>Terribili</w:t>
            </w:r>
            <w:proofErr w:type="spellEnd"/>
            <w:r w:rsidRPr="00E81686">
              <w:rPr>
                <w:rFonts w:ascii="Arial" w:hAnsi="Arial" w:cs="Arial"/>
                <w:lang w:val="pt-PT" w:eastAsia="en-GB"/>
              </w:rPr>
              <w:t xml:space="preserve">, C., </w:t>
            </w:r>
            <w:proofErr w:type="spellStart"/>
            <w:r w:rsidRPr="00E81686">
              <w:rPr>
                <w:rFonts w:ascii="Arial" w:hAnsi="Arial" w:cs="Arial"/>
                <w:lang w:val="pt-PT" w:eastAsia="en-GB"/>
              </w:rPr>
              <w:t>Montico</w:t>
            </w:r>
            <w:proofErr w:type="spellEnd"/>
            <w:r w:rsidRPr="00E81686">
              <w:rPr>
                <w:rFonts w:ascii="Arial" w:hAnsi="Arial" w:cs="Arial"/>
                <w:lang w:val="pt-PT" w:eastAsia="en-GB"/>
              </w:rPr>
              <w:t xml:space="preserve">, M., </w:t>
            </w:r>
            <w:proofErr w:type="spellStart"/>
            <w:r w:rsidRPr="00E81686">
              <w:rPr>
                <w:rFonts w:ascii="Arial" w:hAnsi="Arial" w:cs="Arial"/>
                <w:lang w:val="pt-PT" w:eastAsia="en-GB"/>
              </w:rPr>
              <w:t>Zoia</w:t>
            </w:r>
            <w:proofErr w:type="spellEnd"/>
            <w:r w:rsidRPr="00E81686">
              <w:rPr>
                <w:rFonts w:ascii="Arial" w:hAnsi="Arial" w:cs="Arial"/>
                <w:lang w:val="pt-PT" w:eastAsia="en-GB"/>
              </w:rPr>
              <w:t xml:space="preserve">, S., &amp; </w:t>
            </w:r>
            <w:proofErr w:type="spellStart"/>
            <w:r w:rsidRPr="00E81686">
              <w:rPr>
                <w:rFonts w:ascii="Arial" w:hAnsi="Arial" w:cs="Arial"/>
                <w:lang w:val="pt-PT" w:eastAsia="en-GB"/>
              </w:rPr>
              <w:t>Schön</w:t>
            </w:r>
            <w:proofErr w:type="spellEnd"/>
            <w:r w:rsidRPr="00E81686">
              <w:rPr>
                <w:rFonts w:ascii="Arial" w:hAnsi="Arial" w:cs="Arial"/>
                <w:lang w:val="pt-PT" w:eastAsia="en-GB"/>
              </w:rPr>
              <w:t xml:space="preserve">, D. (2015). </w:t>
            </w:r>
            <w:r w:rsidRPr="00E81686">
              <w:rPr>
                <w:rFonts w:ascii="Arial" w:hAnsi="Arial" w:cs="Arial"/>
                <w:lang w:eastAsia="en-GB"/>
              </w:rPr>
              <w:t xml:space="preserve">Music Training Increases Phonological Awareness and Reading Skills in Developmental Dyslexia: A Randomized Control Trial. </w:t>
            </w:r>
            <w:proofErr w:type="spellStart"/>
            <w:r w:rsidRPr="00E81686">
              <w:rPr>
                <w:rFonts w:ascii="Arial" w:hAnsi="Arial" w:cs="Arial"/>
                <w:lang w:eastAsia="en-GB"/>
              </w:rPr>
              <w:t>PloS</w:t>
            </w:r>
            <w:proofErr w:type="spellEnd"/>
            <w:r w:rsidRPr="00E81686">
              <w:rPr>
                <w:rFonts w:ascii="Arial" w:hAnsi="Arial" w:cs="Arial"/>
                <w:lang w:eastAsia="en-GB"/>
              </w:rPr>
              <w:t xml:space="preserve"> One, 10(9)</w:t>
            </w:r>
          </w:p>
          <w:p w14:paraId="21AEA5B5" w14:textId="77777777" w:rsidR="001C36CC" w:rsidRPr="00E81686" w:rsidRDefault="001C36CC" w:rsidP="009B410E">
            <w:pPr>
              <w:spacing w:line="360" w:lineRule="auto"/>
              <w:rPr>
                <w:rFonts w:ascii="Arial" w:hAnsi="Arial" w:cs="Arial"/>
                <w:lang w:eastAsia="en-GB"/>
              </w:rPr>
            </w:pPr>
            <w:r w:rsidRPr="00C92B12">
              <w:rPr>
                <w:rFonts w:ascii="Arial" w:hAnsi="Arial" w:cs="Arial"/>
                <w:lang w:eastAsia="en-GB"/>
              </w:rPr>
              <w:t>Flick, U. (2018) Designing qualitative research. Second edition. London: SAGE Publications Ltd.</w:t>
            </w:r>
          </w:p>
        </w:tc>
      </w:tr>
      <w:tr w:rsidR="001C36CC" w:rsidRPr="00E81686" w14:paraId="22247F9D" w14:textId="77777777" w:rsidTr="009B410E">
        <w:trPr>
          <w:trHeight w:val="840"/>
        </w:trPr>
        <w:tc>
          <w:tcPr>
            <w:tcW w:w="8120" w:type="dxa"/>
            <w:tcBorders>
              <w:top w:val="nil"/>
              <w:left w:val="nil"/>
              <w:bottom w:val="nil"/>
              <w:right w:val="nil"/>
            </w:tcBorders>
            <w:shd w:val="clear" w:color="000000" w:fill="FFFFFF"/>
            <w:vAlign w:val="bottom"/>
            <w:hideMark/>
          </w:tcPr>
          <w:p w14:paraId="60B8871E" w14:textId="77777777" w:rsidR="001C36CC" w:rsidRPr="00E81686" w:rsidRDefault="001C36CC" w:rsidP="009B410E">
            <w:pPr>
              <w:spacing w:line="360" w:lineRule="auto"/>
              <w:rPr>
                <w:rFonts w:ascii="Arial" w:hAnsi="Arial" w:cs="Arial"/>
                <w:lang w:eastAsia="en-GB"/>
              </w:rPr>
            </w:pPr>
            <w:proofErr w:type="spellStart"/>
            <w:r w:rsidRPr="00E81686">
              <w:rPr>
                <w:rFonts w:ascii="Arial" w:hAnsi="Arial" w:cs="Arial"/>
                <w:lang w:eastAsia="en-GB"/>
              </w:rPr>
              <w:t>Flink</w:t>
            </w:r>
            <w:proofErr w:type="spellEnd"/>
            <w:r w:rsidRPr="00E81686">
              <w:rPr>
                <w:rFonts w:ascii="Arial" w:hAnsi="Arial" w:cs="Arial"/>
                <w:lang w:eastAsia="en-GB"/>
              </w:rPr>
              <w:t>, P. (2021) ‘Person-First &amp; Identity-First Language: Supporting Students with Disabilities on Campus’, Community college journal of research and practice, 45(2), pp. 79–85.</w:t>
            </w:r>
          </w:p>
        </w:tc>
      </w:tr>
      <w:tr w:rsidR="001C36CC" w:rsidRPr="00E81686" w14:paraId="5B5E4498" w14:textId="77777777" w:rsidTr="009B410E">
        <w:trPr>
          <w:trHeight w:val="840"/>
        </w:trPr>
        <w:tc>
          <w:tcPr>
            <w:tcW w:w="8120" w:type="dxa"/>
            <w:tcBorders>
              <w:top w:val="nil"/>
              <w:left w:val="nil"/>
              <w:bottom w:val="nil"/>
              <w:right w:val="nil"/>
            </w:tcBorders>
            <w:shd w:val="clear" w:color="000000" w:fill="FFFFFF"/>
            <w:vAlign w:val="bottom"/>
            <w:hideMark/>
          </w:tcPr>
          <w:p w14:paraId="6D406B38" w14:textId="77777777" w:rsidR="001C36CC" w:rsidRPr="00E81686" w:rsidRDefault="001C36CC" w:rsidP="009B410E">
            <w:pPr>
              <w:spacing w:line="360" w:lineRule="auto"/>
              <w:rPr>
                <w:rFonts w:ascii="Arial" w:hAnsi="Arial" w:cs="Arial"/>
                <w:lang w:eastAsia="en-GB"/>
              </w:rPr>
            </w:pPr>
            <w:r w:rsidRPr="00E81686">
              <w:rPr>
                <w:rFonts w:ascii="Arial" w:hAnsi="Arial" w:cs="Arial"/>
                <w:lang w:eastAsia="en-GB"/>
              </w:rPr>
              <w:t>Gioia, D. A., Corley, K. G., &amp; Hamilton, A. L. (2013). Seeking Qualitative Rigor in Inductive Research: Notes on the Gioia Methodology. Organizational Research Methods, 16(1), 15-31</w:t>
            </w:r>
          </w:p>
        </w:tc>
      </w:tr>
      <w:tr w:rsidR="001C36CC" w:rsidRPr="00E81686" w14:paraId="54069C22" w14:textId="77777777" w:rsidTr="009B410E">
        <w:trPr>
          <w:trHeight w:val="840"/>
        </w:trPr>
        <w:tc>
          <w:tcPr>
            <w:tcW w:w="8120" w:type="dxa"/>
            <w:tcBorders>
              <w:top w:val="nil"/>
              <w:left w:val="nil"/>
              <w:bottom w:val="nil"/>
              <w:right w:val="nil"/>
            </w:tcBorders>
            <w:shd w:val="clear" w:color="000000" w:fill="FFFFFF"/>
            <w:vAlign w:val="bottom"/>
            <w:hideMark/>
          </w:tcPr>
          <w:p w14:paraId="4A7A61CC" w14:textId="77777777" w:rsidR="001C36CC" w:rsidRPr="00E81686" w:rsidRDefault="001C36CC" w:rsidP="009B410E">
            <w:pPr>
              <w:spacing w:line="360" w:lineRule="auto"/>
              <w:rPr>
                <w:rFonts w:ascii="Arial" w:hAnsi="Arial" w:cs="Arial"/>
                <w:lang w:eastAsia="en-GB"/>
              </w:rPr>
            </w:pPr>
            <w:r w:rsidRPr="00E81686">
              <w:rPr>
                <w:rFonts w:ascii="Arial" w:hAnsi="Arial" w:cs="Arial"/>
                <w:lang w:eastAsia="en-GB"/>
              </w:rPr>
              <w:t>Hébert, S., &amp; Cuddy, L. L. (2000). Music and dyslexia: The impact of language-based learning disabilities on musical abilities. Journal of Learning Disabilities, 33(4), 337-343.</w:t>
            </w:r>
          </w:p>
        </w:tc>
      </w:tr>
      <w:tr w:rsidR="001C36CC" w:rsidRPr="00E81686" w14:paraId="5D0EDF5D" w14:textId="77777777" w:rsidTr="009B410E">
        <w:trPr>
          <w:trHeight w:val="840"/>
        </w:trPr>
        <w:tc>
          <w:tcPr>
            <w:tcW w:w="8120" w:type="dxa"/>
            <w:tcBorders>
              <w:top w:val="nil"/>
              <w:left w:val="nil"/>
              <w:bottom w:val="nil"/>
              <w:right w:val="nil"/>
            </w:tcBorders>
            <w:shd w:val="clear" w:color="000000" w:fill="FFFFFF"/>
            <w:vAlign w:val="bottom"/>
            <w:hideMark/>
          </w:tcPr>
          <w:p w14:paraId="1CA0BA11" w14:textId="77777777" w:rsidR="001C36CC" w:rsidRPr="00E81686" w:rsidRDefault="001C36CC" w:rsidP="009B410E">
            <w:pPr>
              <w:spacing w:line="360" w:lineRule="auto"/>
              <w:rPr>
                <w:rFonts w:ascii="Arial" w:hAnsi="Arial" w:cs="Arial"/>
                <w:lang w:eastAsia="en-GB"/>
              </w:rPr>
            </w:pPr>
            <w:r w:rsidRPr="00E81686">
              <w:rPr>
                <w:rFonts w:ascii="Arial" w:hAnsi="Arial" w:cs="Arial"/>
                <w:lang w:eastAsia="en-GB"/>
              </w:rPr>
              <w:t>Heikkila, Elizabeth, and Knight, Andrew. “Inclusive Music Teaching Strategies for Elementary-Age Children with Developmental Dyslexia.” Music Educators Journal, vol. 99, no. 1, 2012, pp. 54–59. JSTOR, http://www.jstor.org/stable/41692697.</w:t>
            </w:r>
          </w:p>
        </w:tc>
      </w:tr>
      <w:tr w:rsidR="001C36CC" w:rsidRPr="00E81686" w14:paraId="5A2E25FC" w14:textId="77777777" w:rsidTr="009B410E">
        <w:trPr>
          <w:trHeight w:val="840"/>
        </w:trPr>
        <w:tc>
          <w:tcPr>
            <w:tcW w:w="8120" w:type="dxa"/>
            <w:tcBorders>
              <w:top w:val="nil"/>
              <w:left w:val="nil"/>
              <w:bottom w:val="nil"/>
              <w:right w:val="nil"/>
            </w:tcBorders>
            <w:shd w:val="clear" w:color="000000" w:fill="FFFFFF"/>
            <w:vAlign w:val="bottom"/>
            <w:hideMark/>
          </w:tcPr>
          <w:p w14:paraId="1E9BCDAD" w14:textId="77777777" w:rsidR="001C36CC" w:rsidRPr="00E81686" w:rsidRDefault="001C36CC" w:rsidP="009B410E">
            <w:pPr>
              <w:spacing w:line="360" w:lineRule="auto"/>
              <w:rPr>
                <w:rFonts w:ascii="Arial" w:hAnsi="Arial" w:cs="Arial"/>
                <w:lang w:eastAsia="en-GB"/>
              </w:rPr>
            </w:pPr>
            <w:r w:rsidRPr="00E81686">
              <w:rPr>
                <w:rFonts w:ascii="Arial" w:hAnsi="Arial" w:cs="Arial"/>
                <w:lang w:eastAsia="en-GB"/>
              </w:rPr>
              <w:t>Hempel, S. (2020) Conducting your literature review. Washington, DC: American Psychological Association.</w:t>
            </w:r>
          </w:p>
        </w:tc>
      </w:tr>
      <w:tr w:rsidR="001C36CC" w:rsidRPr="00E81686" w14:paraId="7D219D8F" w14:textId="77777777" w:rsidTr="009B410E">
        <w:trPr>
          <w:trHeight w:val="840"/>
        </w:trPr>
        <w:tc>
          <w:tcPr>
            <w:tcW w:w="8120" w:type="dxa"/>
            <w:tcBorders>
              <w:top w:val="nil"/>
              <w:left w:val="nil"/>
              <w:bottom w:val="nil"/>
              <w:right w:val="nil"/>
            </w:tcBorders>
            <w:shd w:val="clear" w:color="000000" w:fill="FFFFFF"/>
            <w:vAlign w:val="bottom"/>
            <w:hideMark/>
          </w:tcPr>
          <w:p w14:paraId="377420F8" w14:textId="77777777" w:rsidR="001C36CC" w:rsidRPr="00E81686" w:rsidRDefault="001C36CC" w:rsidP="009B410E">
            <w:pPr>
              <w:spacing w:line="360" w:lineRule="auto"/>
              <w:rPr>
                <w:rFonts w:ascii="Arial" w:hAnsi="Arial" w:cs="Arial"/>
                <w:lang w:eastAsia="en-GB"/>
              </w:rPr>
            </w:pPr>
            <w:r w:rsidRPr="00E81686">
              <w:rPr>
                <w:rFonts w:ascii="Arial" w:hAnsi="Arial" w:cs="Arial"/>
                <w:lang w:eastAsia="en-GB"/>
              </w:rPr>
              <w:t xml:space="preserve">HESA (2024) Higher Educational </w:t>
            </w:r>
            <w:proofErr w:type="spellStart"/>
            <w:r w:rsidRPr="00E81686">
              <w:rPr>
                <w:rFonts w:ascii="Arial" w:hAnsi="Arial" w:cs="Arial"/>
                <w:lang w:eastAsia="en-GB"/>
              </w:rPr>
              <w:t>Enrollments</w:t>
            </w:r>
            <w:proofErr w:type="spellEnd"/>
            <w:r w:rsidRPr="00E81686">
              <w:rPr>
                <w:rFonts w:ascii="Arial" w:hAnsi="Arial" w:cs="Arial"/>
                <w:lang w:eastAsia="en-GB"/>
              </w:rPr>
              <w:t xml:space="preserve"> by Subject </w:t>
            </w:r>
            <w:proofErr w:type="spellStart"/>
            <w:r w:rsidRPr="00E81686">
              <w:rPr>
                <w:rFonts w:ascii="Arial" w:hAnsi="Arial" w:cs="Arial"/>
                <w:lang w:eastAsia="en-GB"/>
              </w:rPr>
              <w:t>Avaliable</w:t>
            </w:r>
            <w:proofErr w:type="spellEnd"/>
            <w:r w:rsidRPr="00E81686">
              <w:rPr>
                <w:rFonts w:ascii="Arial" w:hAnsi="Arial" w:cs="Arial"/>
                <w:lang w:eastAsia="en-GB"/>
              </w:rPr>
              <w:t xml:space="preserve"> from:https://www.hesa.ac.uk/data-and-analysis/students/whos-in-he#characteristics Accessed: 2nd January 2025</w:t>
            </w:r>
          </w:p>
        </w:tc>
      </w:tr>
      <w:tr w:rsidR="001C36CC" w:rsidRPr="00E81686" w14:paraId="48358DE5" w14:textId="77777777" w:rsidTr="009B410E">
        <w:trPr>
          <w:trHeight w:val="840"/>
        </w:trPr>
        <w:tc>
          <w:tcPr>
            <w:tcW w:w="8120" w:type="dxa"/>
            <w:tcBorders>
              <w:top w:val="nil"/>
              <w:left w:val="nil"/>
              <w:bottom w:val="nil"/>
              <w:right w:val="nil"/>
            </w:tcBorders>
            <w:shd w:val="clear" w:color="000000" w:fill="FFFFFF"/>
            <w:vAlign w:val="bottom"/>
            <w:hideMark/>
          </w:tcPr>
          <w:p w14:paraId="0DA6847E" w14:textId="77777777" w:rsidR="001C36CC" w:rsidRPr="00E81686" w:rsidRDefault="001C36CC" w:rsidP="009B410E">
            <w:pPr>
              <w:spacing w:line="360" w:lineRule="auto"/>
              <w:rPr>
                <w:rFonts w:ascii="Arial" w:hAnsi="Arial" w:cs="Arial"/>
                <w:lang w:eastAsia="en-GB"/>
              </w:rPr>
            </w:pPr>
            <w:r w:rsidRPr="00E81686">
              <w:rPr>
                <w:rFonts w:ascii="Arial" w:hAnsi="Arial" w:cs="Arial"/>
                <w:lang w:eastAsia="en-GB"/>
              </w:rPr>
              <w:t>Johnston, M. H., &amp; McKinney, M. F. (2016). Understanding dyslexia and its impact on music learning. Music Education Research, 18(3), 332-348</w:t>
            </w:r>
          </w:p>
        </w:tc>
      </w:tr>
      <w:tr w:rsidR="001C36CC" w:rsidRPr="00E81686" w14:paraId="69FF3558" w14:textId="77777777" w:rsidTr="009B410E">
        <w:trPr>
          <w:trHeight w:val="840"/>
        </w:trPr>
        <w:tc>
          <w:tcPr>
            <w:tcW w:w="8120" w:type="dxa"/>
            <w:tcBorders>
              <w:top w:val="nil"/>
              <w:left w:val="nil"/>
              <w:bottom w:val="nil"/>
              <w:right w:val="nil"/>
            </w:tcBorders>
            <w:shd w:val="clear" w:color="000000" w:fill="FFFFFF"/>
            <w:vAlign w:val="center"/>
            <w:hideMark/>
          </w:tcPr>
          <w:p w14:paraId="499165E7" w14:textId="77777777" w:rsidR="001C36CC" w:rsidRPr="00E81686" w:rsidRDefault="001C36CC" w:rsidP="009B410E">
            <w:pPr>
              <w:spacing w:line="360" w:lineRule="auto"/>
              <w:rPr>
                <w:rFonts w:ascii="Arial" w:hAnsi="Arial" w:cs="Arial"/>
                <w:lang w:eastAsia="en-GB"/>
              </w:rPr>
            </w:pPr>
            <w:r w:rsidRPr="00E81686">
              <w:rPr>
                <w:rFonts w:ascii="Arial" w:hAnsi="Arial" w:cs="Arial"/>
                <w:lang w:eastAsia="en-GB"/>
              </w:rPr>
              <w:t>Johnston, M. H., &amp; McKinney, M. F. (2016). Understanding dyslexia and its impact on music learning. Music Education Research, 18(3), 332-348.</w:t>
            </w:r>
          </w:p>
        </w:tc>
      </w:tr>
      <w:tr w:rsidR="001C36CC" w:rsidRPr="00E81686" w14:paraId="013644D4" w14:textId="77777777" w:rsidTr="009B410E">
        <w:trPr>
          <w:trHeight w:val="840"/>
        </w:trPr>
        <w:tc>
          <w:tcPr>
            <w:tcW w:w="8120" w:type="dxa"/>
            <w:tcBorders>
              <w:top w:val="nil"/>
              <w:left w:val="nil"/>
              <w:bottom w:val="nil"/>
              <w:right w:val="nil"/>
            </w:tcBorders>
            <w:shd w:val="clear" w:color="000000" w:fill="FFFFFF"/>
            <w:vAlign w:val="bottom"/>
            <w:hideMark/>
          </w:tcPr>
          <w:p w14:paraId="7EAE566B" w14:textId="77777777" w:rsidR="001C36CC" w:rsidRPr="00E81686" w:rsidRDefault="001C36CC" w:rsidP="009B410E">
            <w:pPr>
              <w:spacing w:line="360" w:lineRule="auto"/>
              <w:rPr>
                <w:rFonts w:ascii="Arial" w:hAnsi="Arial" w:cs="Arial"/>
                <w:lang w:eastAsia="en-GB"/>
              </w:rPr>
            </w:pPr>
            <w:proofErr w:type="spellStart"/>
            <w:r w:rsidRPr="00E81686">
              <w:rPr>
                <w:rFonts w:ascii="Arial" w:hAnsi="Arial" w:cs="Arial"/>
                <w:lang w:eastAsia="en-GB"/>
              </w:rPr>
              <w:t>Kopiez</w:t>
            </w:r>
            <w:proofErr w:type="spellEnd"/>
            <w:r w:rsidRPr="00E81686">
              <w:rPr>
                <w:rFonts w:ascii="Arial" w:hAnsi="Arial" w:cs="Arial"/>
                <w:lang w:eastAsia="en-GB"/>
              </w:rPr>
              <w:t xml:space="preserve">, R., Galley, N. and Lehmann, A.C. (2006) ‘The relationship between lateralisation, early start of training, and amount of practice in musicians: A </w:t>
            </w:r>
            <w:r w:rsidRPr="00E81686">
              <w:rPr>
                <w:rFonts w:ascii="Arial" w:hAnsi="Arial" w:cs="Arial"/>
                <w:lang w:eastAsia="en-GB"/>
              </w:rPr>
              <w:lastRenderedPageBreak/>
              <w:t>contribution to the problem of handedness in musicians’, Music Education Research, 8(1), pp. 97–115</w:t>
            </w:r>
          </w:p>
        </w:tc>
      </w:tr>
      <w:tr w:rsidR="001C36CC" w:rsidRPr="00E81686" w14:paraId="55DAD8F1" w14:textId="77777777" w:rsidTr="009B410E">
        <w:trPr>
          <w:trHeight w:val="840"/>
        </w:trPr>
        <w:tc>
          <w:tcPr>
            <w:tcW w:w="8120" w:type="dxa"/>
            <w:tcBorders>
              <w:top w:val="nil"/>
              <w:left w:val="nil"/>
              <w:bottom w:val="nil"/>
              <w:right w:val="nil"/>
            </w:tcBorders>
            <w:shd w:val="clear" w:color="000000" w:fill="FFFFFF"/>
            <w:vAlign w:val="center"/>
            <w:hideMark/>
          </w:tcPr>
          <w:p w14:paraId="19FB3988" w14:textId="77777777" w:rsidR="001C36CC" w:rsidRPr="00E81686" w:rsidRDefault="001C36CC" w:rsidP="009B410E">
            <w:pPr>
              <w:spacing w:line="360" w:lineRule="auto"/>
              <w:rPr>
                <w:rFonts w:ascii="Arial" w:hAnsi="Arial" w:cs="Arial"/>
                <w:lang w:eastAsia="en-GB"/>
              </w:rPr>
            </w:pPr>
            <w:r w:rsidRPr="00E81686">
              <w:rPr>
                <w:rFonts w:ascii="Arial" w:hAnsi="Arial" w:cs="Arial"/>
                <w:lang w:eastAsia="en-GB"/>
              </w:rPr>
              <w:t>Lamb, S. J., &amp; Gregory, A. H. (1993). The Relationship between Music and Reading in Beginning Readers. Educational Psychology, 13, 19-26.</w:t>
            </w:r>
          </w:p>
        </w:tc>
      </w:tr>
      <w:tr w:rsidR="001C36CC" w:rsidRPr="00E81686" w14:paraId="66494987" w14:textId="77777777" w:rsidTr="009B410E">
        <w:trPr>
          <w:trHeight w:val="840"/>
        </w:trPr>
        <w:tc>
          <w:tcPr>
            <w:tcW w:w="8120" w:type="dxa"/>
            <w:tcBorders>
              <w:top w:val="nil"/>
              <w:left w:val="nil"/>
              <w:bottom w:val="nil"/>
              <w:right w:val="nil"/>
            </w:tcBorders>
            <w:shd w:val="clear" w:color="000000" w:fill="FFFFFF"/>
            <w:vAlign w:val="bottom"/>
            <w:hideMark/>
          </w:tcPr>
          <w:p w14:paraId="47C18648" w14:textId="77777777" w:rsidR="001C36CC" w:rsidRPr="00E81686" w:rsidRDefault="001C36CC" w:rsidP="009B410E">
            <w:pPr>
              <w:spacing w:line="360" w:lineRule="auto"/>
              <w:rPr>
                <w:rFonts w:ascii="Arial" w:hAnsi="Arial" w:cs="Arial"/>
                <w:lang w:eastAsia="en-GB"/>
              </w:rPr>
            </w:pPr>
            <w:proofErr w:type="spellStart"/>
            <w:r w:rsidRPr="00E81686">
              <w:rPr>
                <w:rFonts w:ascii="Arial" w:hAnsi="Arial" w:cs="Arial"/>
                <w:lang w:eastAsia="en-GB"/>
              </w:rPr>
              <w:t>Linton.S</w:t>
            </w:r>
            <w:proofErr w:type="spellEnd"/>
            <w:r w:rsidRPr="00E81686">
              <w:rPr>
                <w:rFonts w:ascii="Arial" w:hAnsi="Arial" w:cs="Arial"/>
                <w:lang w:eastAsia="en-GB"/>
              </w:rPr>
              <w:t>. (1997), Claiming Disability: Knowledge and Identity (New York: New York University Press)</w:t>
            </w:r>
          </w:p>
        </w:tc>
      </w:tr>
      <w:tr w:rsidR="001C36CC" w:rsidRPr="00E81686" w14:paraId="421B7372" w14:textId="77777777" w:rsidTr="009B410E">
        <w:trPr>
          <w:trHeight w:val="840"/>
        </w:trPr>
        <w:tc>
          <w:tcPr>
            <w:tcW w:w="8120" w:type="dxa"/>
            <w:tcBorders>
              <w:top w:val="nil"/>
              <w:left w:val="nil"/>
              <w:bottom w:val="nil"/>
              <w:right w:val="nil"/>
            </w:tcBorders>
            <w:shd w:val="clear" w:color="000000" w:fill="FFFFFF"/>
            <w:vAlign w:val="bottom"/>
            <w:hideMark/>
          </w:tcPr>
          <w:p w14:paraId="2496A3ED" w14:textId="77777777" w:rsidR="001C36CC" w:rsidRPr="00E81686" w:rsidRDefault="001C36CC" w:rsidP="009B410E">
            <w:pPr>
              <w:spacing w:line="360" w:lineRule="auto"/>
              <w:rPr>
                <w:rFonts w:ascii="Arial" w:hAnsi="Arial" w:cs="Arial"/>
                <w:lang w:eastAsia="en-GB"/>
              </w:rPr>
            </w:pPr>
            <w:r w:rsidRPr="00E81686">
              <w:rPr>
                <w:rFonts w:ascii="Arial" w:hAnsi="Arial" w:cs="Arial"/>
                <w:lang w:eastAsia="en-GB"/>
              </w:rPr>
              <w:t>Nelson, K.P. and Hourigan, R.M. (2016) ‘A Comparative Case Study of Learning Strategies and Recommendations of Five Professional Musicians With Dyslexia’, Update : applications of research in music education, 35(1), pp. 54–65. Available at: https://doi.org/10.1177/8755123315581341.</w:t>
            </w:r>
          </w:p>
        </w:tc>
      </w:tr>
      <w:tr w:rsidR="001C36CC" w:rsidRPr="00E81686" w14:paraId="5C8EC82F" w14:textId="77777777" w:rsidTr="009B410E">
        <w:trPr>
          <w:trHeight w:val="840"/>
        </w:trPr>
        <w:tc>
          <w:tcPr>
            <w:tcW w:w="8120" w:type="dxa"/>
            <w:tcBorders>
              <w:top w:val="nil"/>
              <w:left w:val="nil"/>
              <w:bottom w:val="nil"/>
              <w:right w:val="nil"/>
            </w:tcBorders>
            <w:shd w:val="clear" w:color="000000" w:fill="FFFFFF"/>
            <w:vAlign w:val="bottom"/>
            <w:hideMark/>
          </w:tcPr>
          <w:p w14:paraId="3228A6AB" w14:textId="77777777" w:rsidR="001C36CC" w:rsidRPr="00E81686" w:rsidRDefault="001C36CC" w:rsidP="009B410E">
            <w:pPr>
              <w:spacing w:line="360" w:lineRule="auto"/>
              <w:rPr>
                <w:rFonts w:ascii="Arial" w:hAnsi="Arial" w:cs="Arial"/>
                <w:lang w:eastAsia="en-GB"/>
              </w:rPr>
            </w:pPr>
            <w:r w:rsidRPr="00E81686">
              <w:rPr>
                <w:rFonts w:ascii="Arial" w:hAnsi="Arial" w:cs="Arial"/>
                <w:lang w:eastAsia="en-GB"/>
              </w:rPr>
              <w:t xml:space="preserve">O’Byrne, C., </w:t>
            </w:r>
            <w:proofErr w:type="spellStart"/>
            <w:r w:rsidRPr="00E81686">
              <w:rPr>
                <w:rFonts w:ascii="Arial" w:hAnsi="Arial" w:cs="Arial"/>
                <w:lang w:eastAsia="en-GB"/>
              </w:rPr>
              <w:t>Jagoe</w:t>
            </w:r>
            <w:proofErr w:type="spellEnd"/>
            <w:r w:rsidRPr="00E81686">
              <w:rPr>
                <w:rFonts w:ascii="Arial" w:hAnsi="Arial" w:cs="Arial"/>
                <w:lang w:eastAsia="en-GB"/>
              </w:rPr>
              <w:t>, C. and Lawler, M. (2019) ‘Experiences of dyslexia and the transition to university: a case study of five students at different stages of study’, Higher education research and development, 38(5), pp. 1031–1045. Available at: https://doi.org/10.1080/07294360.2019.1602595.</w:t>
            </w:r>
          </w:p>
        </w:tc>
      </w:tr>
      <w:tr w:rsidR="001C36CC" w:rsidRPr="00E81686" w14:paraId="34ED68B2" w14:textId="77777777" w:rsidTr="009B410E">
        <w:trPr>
          <w:trHeight w:val="840"/>
        </w:trPr>
        <w:tc>
          <w:tcPr>
            <w:tcW w:w="8120" w:type="dxa"/>
            <w:tcBorders>
              <w:top w:val="nil"/>
              <w:left w:val="nil"/>
              <w:bottom w:val="nil"/>
              <w:right w:val="nil"/>
            </w:tcBorders>
            <w:shd w:val="clear" w:color="000000" w:fill="FFFFFF"/>
            <w:vAlign w:val="bottom"/>
            <w:hideMark/>
          </w:tcPr>
          <w:p w14:paraId="6CA299A6" w14:textId="77777777" w:rsidR="001C36CC" w:rsidRPr="00E81686" w:rsidRDefault="001C36CC" w:rsidP="009B410E">
            <w:pPr>
              <w:spacing w:line="360" w:lineRule="auto"/>
              <w:rPr>
                <w:rFonts w:ascii="Arial" w:hAnsi="Arial" w:cs="Arial"/>
                <w:lang w:eastAsia="en-GB"/>
              </w:rPr>
            </w:pPr>
            <w:r w:rsidRPr="00E81686">
              <w:rPr>
                <w:rFonts w:ascii="Arial" w:hAnsi="Arial" w:cs="Arial"/>
                <w:lang w:eastAsia="en-GB"/>
              </w:rPr>
              <w:t>Reid, G. (2020) Dyslexia and inclusion : classroom approaches for assessment, teaching and learning. Third edition. Abingdon, Oxon ; Routledge.</w:t>
            </w:r>
          </w:p>
        </w:tc>
      </w:tr>
      <w:tr w:rsidR="001C36CC" w:rsidRPr="00E81686" w14:paraId="40FC0EA4" w14:textId="77777777" w:rsidTr="009B410E">
        <w:trPr>
          <w:trHeight w:val="840"/>
        </w:trPr>
        <w:tc>
          <w:tcPr>
            <w:tcW w:w="8120" w:type="dxa"/>
            <w:tcBorders>
              <w:top w:val="nil"/>
              <w:left w:val="nil"/>
              <w:bottom w:val="nil"/>
              <w:right w:val="nil"/>
            </w:tcBorders>
            <w:shd w:val="clear" w:color="000000" w:fill="FFFFFF"/>
            <w:vAlign w:val="bottom"/>
            <w:hideMark/>
          </w:tcPr>
          <w:p w14:paraId="12D64404" w14:textId="77777777" w:rsidR="001C36CC" w:rsidRPr="00E81686" w:rsidRDefault="001C36CC" w:rsidP="009B410E">
            <w:pPr>
              <w:spacing w:line="360" w:lineRule="auto"/>
              <w:rPr>
                <w:rFonts w:ascii="Arial" w:hAnsi="Arial" w:cs="Arial"/>
                <w:lang w:eastAsia="en-GB"/>
              </w:rPr>
            </w:pPr>
            <w:r w:rsidRPr="00E81686">
              <w:rPr>
                <w:rFonts w:ascii="Arial" w:hAnsi="Arial" w:cs="Arial"/>
                <w:lang w:eastAsia="en-GB"/>
              </w:rPr>
              <w:t xml:space="preserve">S. Oglethorpe, Instrumental </w:t>
            </w:r>
            <w:proofErr w:type="spellStart"/>
            <w:r w:rsidRPr="00E81686">
              <w:rPr>
                <w:rFonts w:ascii="Arial" w:hAnsi="Arial" w:cs="Arial"/>
                <w:lang w:eastAsia="en-GB"/>
              </w:rPr>
              <w:t>Musicfor</w:t>
            </w:r>
            <w:proofErr w:type="spellEnd"/>
            <w:r w:rsidRPr="00E81686">
              <w:rPr>
                <w:rFonts w:ascii="Arial" w:hAnsi="Arial" w:cs="Arial"/>
                <w:lang w:eastAsia="en-GB"/>
              </w:rPr>
              <w:t xml:space="preserve"> </w:t>
            </w:r>
            <w:proofErr w:type="spellStart"/>
            <w:r w:rsidRPr="00E81686">
              <w:rPr>
                <w:rFonts w:ascii="Arial" w:hAnsi="Arial" w:cs="Arial"/>
                <w:lang w:eastAsia="en-GB"/>
              </w:rPr>
              <w:t>Dyslexies</w:t>
            </w:r>
            <w:proofErr w:type="spellEnd"/>
            <w:r w:rsidRPr="00E81686">
              <w:rPr>
                <w:rFonts w:ascii="Arial" w:hAnsi="Arial" w:cs="Arial"/>
                <w:lang w:eastAsia="en-GB"/>
              </w:rPr>
              <w:t xml:space="preserve">: A Teaching Handbook (London: </w:t>
            </w:r>
            <w:proofErr w:type="spellStart"/>
            <w:r w:rsidRPr="00E81686">
              <w:rPr>
                <w:rFonts w:ascii="Arial" w:hAnsi="Arial" w:cs="Arial"/>
                <w:lang w:eastAsia="en-GB"/>
              </w:rPr>
              <w:t>Whurr</w:t>
            </w:r>
            <w:proofErr w:type="spellEnd"/>
            <w:r w:rsidRPr="00E81686">
              <w:rPr>
                <w:rFonts w:ascii="Arial" w:hAnsi="Arial" w:cs="Arial"/>
                <w:lang w:eastAsia="en-GB"/>
              </w:rPr>
              <w:t>, 1996/2001)</w:t>
            </w:r>
          </w:p>
        </w:tc>
      </w:tr>
      <w:tr w:rsidR="001C36CC" w:rsidRPr="00E81686" w14:paraId="1448AFBC" w14:textId="77777777" w:rsidTr="009B410E">
        <w:trPr>
          <w:trHeight w:val="840"/>
        </w:trPr>
        <w:tc>
          <w:tcPr>
            <w:tcW w:w="8120" w:type="dxa"/>
            <w:tcBorders>
              <w:top w:val="nil"/>
              <w:left w:val="nil"/>
              <w:bottom w:val="nil"/>
              <w:right w:val="nil"/>
            </w:tcBorders>
            <w:shd w:val="clear" w:color="000000" w:fill="FFFFFF"/>
            <w:vAlign w:val="bottom"/>
            <w:hideMark/>
          </w:tcPr>
          <w:p w14:paraId="20CA8478" w14:textId="77777777" w:rsidR="001C36CC" w:rsidRPr="00E81686" w:rsidRDefault="001C36CC" w:rsidP="009B410E">
            <w:pPr>
              <w:spacing w:line="360" w:lineRule="auto"/>
              <w:rPr>
                <w:rFonts w:ascii="Arial" w:hAnsi="Arial" w:cs="Arial"/>
                <w:lang w:eastAsia="en-GB"/>
              </w:rPr>
            </w:pPr>
            <w:r w:rsidRPr="00E81686">
              <w:rPr>
                <w:rFonts w:ascii="Arial" w:hAnsi="Arial" w:cs="Arial"/>
                <w:lang w:eastAsia="en-GB"/>
              </w:rPr>
              <w:t>SEND Services .gov tps://educationhub.blog.gov.uk/2024/03/improving-support-children-young-people-special-education-needs-send/</w:t>
            </w:r>
          </w:p>
        </w:tc>
      </w:tr>
      <w:tr w:rsidR="001C36CC" w:rsidRPr="00E81686" w14:paraId="342AC788" w14:textId="77777777" w:rsidTr="009B410E">
        <w:trPr>
          <w:trHeight w:val="840"/>
        </w:trPr>
        <w:tc>
          <w:tcPr>
            <w:tcW w:w="8120" w:type="dxa"/>
            <w:tcBorders>
              <w:top w:val="nil"/>
              <w:left w:val="nil"/>
              <w:bottom w:val="nil"/>
              <w:right w:val="nil"/>
            </w:tcBorders>
            <w:shd w:val="clear" w:color="000000" w:fill="FFFFFF"/>
            <w:vAlign w:val="bottom"/>
            <w:hideMark/>
          </w:tcPr>
          <w:p w14:paraId="438A855B" w14:textId="77777777" w:rsidR="001C36CC" w:rsidRPr="00E81686" w:rsidRDefault="001C36CC" w:rsidP="009B410E">
            <w:pPr>
              <w:spacing w:line="360" w:lineRule="auto"/>
              <w:rPr>
                <w:rFonts w:ascii="Arial" w:hAnsi="Arial" w:cs="Arial"/>
                <w:lang w:eastAsia="en-GB"/>
              </w:rPr>
            </w:pPr>
            <w:proofErr w:type="spellStart"/>
            <w:r w:rsidRPr="00E81686">
              <w:rPr>
                <w:rFonts w:ascii="Arial" w:hAnsi="Arial" w:cs="Arial"/>
                <w:lang w:eastAsia="en-GB"/>
              </w:rPr>
              <w:t>Shaywitz</w:t>
            </w:r>
            <w:proofErr w:type="spellEnd"/>
            <w:r w:rsidRPr="00E81686">
              <w:rPr>
                <w:rFonts w:ascii="Arial" w:hAnsi="Arial" w:cs="Arial"/>
                <w:lang w:eastAsia="en-GB"/>
              </w:rPr>
              <w:t xml:space="preserve">, S.E. and </w:t>
            </w:r>
            <w:proofErr w:type="spellStart"/>
            <w:r w:rsidRPr="00E81686">
              <w:rPr>
                <w:rFonts w:ascii="Arial" w:hAnsi="Arial" w:cs="Arial"/>
                <w:lang w:eastAsia="en-GB"/>
              </w:rPr>
              <w:t>Shaywitz</w:t>
            </w:r>
            <w:proofErr w:type="spellEnd"/>
            <w:r w:rsidRPr="00E81686">
              <w:rPr>
                <w:rFonts w:ascii="Arial" w:hAnsi="Arial" w:cs="Arial"/>
                <w:lang w:eastAsia="en-GB"/>
              </w:rPr>
              <w:t xml:space="preserve">, B.A. (2020) Overcoming dyslexia: A new and complete science-based program for reading problems at any level. 2nd </w:t>
            </w:r>
            <w:proofErr w:type="spellStart"/>
            <w:r w:rsidRPr="00E81686">
              <w:rPr>
                <w:rFonts w:ascii="Arial" w:hAnsi="Arial" w:cs="Arial"/>
                <w:lang w:eastAsia="en-GB"/>
              </w:rPr>
              <w:t>edn</w:t>
            </w:r>
            <w:proofErr w:type="spellEnd"/>
            <w:r w:rsidRPr="00E81686">
              <w:rPr>
                <w:rFonts w:ascii="Arial" w:hAnsi="Arial" w:cs="Arial"/>
                <w:lang w:eastAsia="en-GB"/>
              </w:rPr>
              <w:t>. New York: Knopf.</w:t>
            </w:r>
          </w:p>
        </w:tc>
      </w:tr>
      <w:tr w:rsidR="001C36CC" w:rsidRPr="00E81686" w14:paraId="64ABDBC0" w14:textId="77777777" w:rsidTr="009B410E">
        <w:trPr>
          <w:trHeight w:val="840"/>
        </w:trPr>
        <w:tc>
          <w:tcPr>
            <w:tcW w:w="8120" w:type="dxa"/>
            <w:tcBorders>
              <w:top w:val="nil"/>
              <w:left w:val="nil"/>
              <w:bottom w:val="nil"/>
              <w:right w:val="nil"/>
            </w:tcBorders>
            <w:shd w:val="clear" w:color="000000" w:fill="FFFFFF"/>
            <w:vAlign w:val="bottom"/>
            <w:hideMark/>
          </w:tcPr>
          <w:p w14:paraId="68356D38" w14:textId="77777777" w:rsidR="001C36CC" w:rsidRPr="00E81686" w:rsidRDefault="001C36CC" w:rsidP="009B410E">
            <w:pPr>
              <w:spacing w:line="360" w:lineRule="auto"/>
              <w:rPr>
                <w:rFonts w:ascii="Arial" w:hAnsi="Arial" w:cs="Arial"/>
                <w:lang w:eastAsia="en-GB"/>
              </w:rPr>
            </w:pPr>
            <w:r w:rsidRPr="00E81686">
              <w:rPr>
                <w:rFonts w:ascii="Arial" w:hAnsi="Arial" w:cs="Arial"/>
                <w:lang w:eastAsia="en-GB"/>
              </w:rPr>
              <w:t>Shuler, S. C. (2011). Music Education for Life: Building Inclusive, Effective Twenty-First-Century Music Programs. Music Educators Journal, 98(1), 8–13.</w:t>
            </w:r>
          </w:p>
        </w:tc>
      </w:tr>
      <w:tr w:rsidR="001C36CC" w:rsidRPr="00E81686" w14:paraId="7C766F1A" w14:textId="77777777" w:rsidTr="009B410E">
        <w:trPr>
          <w:trHeight w:val="840"/>
        </w:trPr>
        <w:tc>
          <w:tcPr>
            <w:tcW w:w="8120" w:type="dxa"/>
            <w:tcBorders>
              <w:top w:val="nil"/>
              <w:left w:val="nil"/>
              <w:bottom w:val="nil"/>
              <w:right w:val="nil"/>
            </w:tcBorders>
            <w:shd w:val="clear" w:color="000000" w:fill="FFFFFF"/>
            <w:vAlign w:val="center"/>
            <w:hideMark/>
          </w:tcPr>
          <w:p w14:paraId="301A4FDC" w14:textId="77777777" w:rsidR="001C36CC" w:rsidRPr="00E81686" w:rsidRDefault="001C36CC" w:rsidP="009B410E">
            <w:pPr>
              <w:spacing w:line="360" w:lineRule="auto"/>
              <w:rPr>
                <w:rFonts w:ascii="Arial" w:hAnsi="Arial" w:cs="Arial"/>
                <w:lang w:eastAsia="en-GB"/>
              </w:rPr>
            </w:pPr>
            <w:r w:rsidRPr="00E81686">
              <w:rPr>
                <w:rFonts w:ascii="Arial" w:hAnsi="Arial" w:cs="Arial"/>
                <w:lang w:eastAsia="en-GB"/>
              </w:rPr>
              <w:t xml:space="preserve">Smith, J.A. (2015) Qualitative psychology: A practical guide to research methods. 3rd </w:t>
            </w:r>
            <w:proofErr w:type="spellStart"/>
            <w:r w:rsidRPr="00E81686">
              <w:rPr>
                <w:rFonts w:ascii="Arial" w:hAnsi="Arial" w:cs="Arial"/>
                <w:lang w:eastAsia="en-GB"/>
              </w:rPr>
              <w:t>edn</w:t>
            </w:r>
            <w:proofErr w:type="spellEnd"/>
            <w:r w:rsidRPr="00E81686">
              <w:rPr>
                <w:rFonts w:ascii="Arial" w:hAnsi="Arial" w:cs="Arial"/>
                <w:lang w:eastAsia="en-GB"/>
              </w:rPr>
              <w:t>. London: SAGE.</w:t>
            </w:r>
          </w:p>
        </w:tc>
      </w:tr>
      <w:tr w:rsidR="001C36CC" w:rsidRPr="00E81686" w14:paraId="6DE636A6" w14:textId="77777777" w:rsidTr="009B410E">
        <w:trPr>
          <w:trHeight w:val="840"/>
        </w:trPr>
        <w:tc>
          <w:tcPr>
            <w:tcW w:w="8120" w:type="dxa"/>
            <w:tcBorders>
              <w:top w:val="nil"/>
              <w:left w:val="nil"/>
              <w:bottom w:val="nil"/>
              <w:right w:val="nil"/>
            </w:tcBorders>
            <w:shd w:val="clear" w:color="000000" w:fill="FFFFFF"/>
            <w:vAlign w:val="bottom"/>
            <w:hideMark/>
          </w:tcPr>
          <w:p w14:paraId="669143E3" w14:textId="77777777" w:rsidR="001C36CC" w:rsidRPr="00E81686" w:rsidRDefault="001C36CC" w:rsidP="009B410E">
            <w:pPr>
              <w:spacing w:line="360" w:lineRule="auto"/>
              <w:rPr>
                <w:rFonts w:ascii="Arial" w:hAnsi="Arial" w:cs="Arial"/>
                <w:lang w:eastAsia="en-GB"/>
              </w:rPr>
            </w:pPr>
            <w:proofErr w:type="spellStart"/>
            <w:r w:rsidRPr="00E81686">
              <w:rPr>
                <w:rFonts w:ascii="Arial" w:hAnsi="Arial" w:cs="Arial"/>
                <w:lang w:eastAsia="en-GB"/>
              </w:rPr>
              <w:t>Snowling</w:t>
            </w:r>
            <w:proofErr w:type="spellEnd"/>
            <w:r w:rsidRPr="00E81686">
              <w:rPr>
                <w:rFonts w:ascii="Arial" w:hAnsi="Arial" w:cs="Arial"/>
                <w:lang w:eastAsia="en-GB"/>
              </w:rPr>
              <w:t xml:space="preserve">, M.J. (2013) Dyslexia: A cognitive developmental perspective. 2nd </w:t>
            </w:r>
            <w:proofErr w:type="spellStart"/>
            <w:r w:rsidRPr="00E81686">
              <w:rPr>
                <w:rFonts w:ascii="Arial" w:hAnsi="Arial" w:cs="Arial"/>
                <w:lang w:eastAsia="en-GB"/>
              </w:rPr>
              <w:t>edn</w:t>
            </w:r>
            <w:proofErr w:type="spellEnd"/>
            <w:r w:rsidRPr="00E81686">
              <w:rPr>
                <w:rFonts w:ascii="Arial" w:hAnsi="Arial" w:cs="Arial"/>
                <w:lang w:eastAsia="en-GB"/>
              </w:rPr>
              <w:t>. Oxford: Blackwell</w:t>
            </w:r>
          </w:p>
        </w:tc>
      </w:tr>
      <w:tr w:rsidR="001C36CC" w:rsidRPr="00E81686" w14:paraId="21146F26" w14:textId="77777777" w:rsidTr="009B410E">
        <w:trPr>
          <w:trHeight w:val="840"/>
        </w:trPr>
        <w:tc>
          <w:tcPr>
            <w:tcW w:w="8120" w:type="dxa"/>
            <w:tcBorders>
              <w:top w:val="nil"/>
              <w:left w:val="nil"/>
              <w:bottom w:val="nil"/>
              <w:right w:val="nil"/>
            </w:tcBorders>
            <w:shd w:val="clear" w:color="000000" w:fill="FFFFFF"/>
            <w:vAlign w:val="bottom"/>
            <w:hideMark/>
          </w:tcPr>
          <w:p w14:paraId="33CB80AE" w14:textId="77777777" w:rsidR="001C36CC" w:rsidRPr="00E81686" w:rsidRDefault="001C36CC" w:rsidP="009B410E">
            <w:pPr>
              <w:spacing w:line="360" w:lineRule="auto"/>
              <w:rPr>
                <w:rFonts w:ascii="Arial" w:hAnsi="Arial" w:cs="Arial"/>
                <w:lang w:eastAsia="en-GB"/>
              </w:rPr>
            </w:pPr>
            <w:r w:rsidRPr="00E81686">
              <w:rPr>
                <w:rFonts w:ascii="Arial" w:hAnsi="Arial" w:cs="Arial"/>
                <w:lang w:eastAsia="en-GB"/>
              </w:rPr>
              <w:t>Springer Austin, ATTENTION AND DYSLEXIA. 2013. Attention, Perception and Psychophysics, 75(4), pp. 633-634.</w:t>
            </w:r>
          </w:p>
        </w:tc>
      </w:tr>
      <w:tr w:rsidR="001C36CC" w:rsidRPr="00E81686" w14:paraId="10C75A06" w14:textId="77777777" w:rsidTr="009B410E">
        <w:trPr>
          <w:trHeight w:val="840"/>
        </w:trPr>
        <w:tc>
          <w:tcPr>
            <w:tcW w:w="8120" w:type="dxa"/>
            <w:tcBorders>
              <w:top w:val="nil"/>
              <w:left w:val="nil"/>
              <w:bottom w:val="nil"/>
              <w:right w:val="nil"/>
            </w:tcBorders>
            <w:shd w:val="clear" w:color="000000" w:fill="FFFFFF"/>
            <w:vAlign w:val="bottom"/>
            <w:hideMark/>
          </w:tcPr>
          <w:p w14:paraId="27F8D9C6" w14:textId="77777777" w:rsidR="001C36CC" w:rsidRPr="00E81686" w:rsidRDefault="001C36CC" w:rsidP="009B410E">
            <w:pPr>
              <w:spacing w:line="360" w:lineRule="auto"/>
              <w:rPr>
                <w:rFonts w:ascii="Arial" w:hAnsi="Arial" w:cs="Arial"/>
                <w:lang w:eastAsia="en-GB"/>
              </w:rPr>
            </w:pPr>
            <w:r w:rsidRPr="00E81686">
              <w:rPr>
                <w:rFonts w:ascii="Arial" w:hAnsi="Arial" w:cs="Arial"/>
                <w:lang w:eastAsia="en-GB"/>
              </w:rPr>
              <w:lastRenderedPageBreak/>
              <w:t xml:space="preserve">Swanson, E. and Wexler, J. (2017) ‘Selecting Appropriate Text for Adolescents With Disabilities’, Teaching exceptional children, 49(3), pp. 160–167. </w:t>
            </w:r>
          </w:p>
        </w:tc>
      </w:tr>
      <w:tr w:rsidR="001C36CC" w:rsidRPr="00E81686" w14:paraId="73991FA4" w14:textId="77777777" w:rsidTr="009B410E">
        <w:trPr>
          <w:trHeight w:val="840"/>
        </w:trPr>
        <w:tc>
          <w:tcPr>
            <w:tcW w:w="8120" w:type="dxa"/>
            <w:tcBorders>
              <w:top w:val="nil"/>
              <w:left w:val="nil"/>
              <w:bottom w:val="nil"/>
              <w:right w:val="nil"/>
            </w:tcBorders>
            <w:shd w:val="clear" w:color="000000" w:fill="FFFFFF"/>
            <w:vAlign w:val="center"/>
            <w:hideMark/>
          </w:tcPr>
          <w:p w14:paraId="4AD54A88" w14:textId="77777777" w:rsidR="001C36CC" w:rsidRPr="00E81686" w:rsidRDefault="001C36CC" w:rsidP="009B410E">
            <w:pPr>
              <w:spacing w:line="360" w:lineRule="auto"/>
              <w:rPr>
                <w:rFonts w:ascii="Arial" w:hAnsi="Arial" w:cs="Arial"/>
                <w:lang w:eastAsia="en-GB"/>
              </w:rPr>
            </w:pPr>
            <w:r w:rsidRPr="00E81686">
              <w:rPr>
                <w:rFonts w:ascii="Arial" w:hAnsi="Arial" w:cs="Arial"/>
                <w:lang w:eastAsia="en-GB"/>
              </w:rPr>
              <w:t xml:space="preserve">Swanson, H. L., &amp; </w:t>
            </w:r>
            <w:proofErr w:type="spellStart"/>
            <w:r w:rsidRPr="00E81686">
              <w:rPr>
                <w:rFonts w:ascii="Arial" w:hAnsi="Arial" w:cs="Arial"/>
                <w:lang w:eastAsia="en-GB"/>
              </w:rPr>
              <w:t>Sáez</w:t>
            </w:r>
            <w:proofErr w:type="spellEnd"/>
            <w:r w:rsidRPr="00E81686">
              <w:rPr>
                <w:rFonts w:ascii="Arial" w:hAnsi="Arial" w:cs="Arial"/>
                <w:lang w:eastAsia="en-GB"/>
              </w:rPr>
              <w:t>, L. (2003). The role of working memory and processing speed in children with reading disabilities: A longitudinal study. Learning Disabilities Research &amp; Practice, 18(2), 113-121.</w:t>
            </w:r>
          </w:p>
        </w:tc>
      </w:tr>
      <w:tr w:rsidR="001C36CC" w:rsidRPr="00E81686" w14:paraId="797242FD" w14:textId="77777777" w:rsidTr="009B410E">
        <w:trPr>
          <w:trHeight w:val="840"/>
        </w:trPr>
        <w:tc>
          <w:tcPr>
            <w:tcW w:w="8120" w:type="dxa"/>
            <w:tcBorders>
              <w:top w:val="nil"/>
              <w:left w:val="nil"/>
              <w:bottom w:val="nil"/>
              <w:right w:val="nil"/>
            </w:tcBorders>
            <w:shd w:val="clear" w:color="000000" w:fill="FFFFFF"/>
            <w:vAlign w:val="bottom"/>
            <w:hideMark/>
          </w:tcPr>
          <w:p w14:paraId="545FC76B" w14:textId="77777777" w:rsidR="001C36CC" w:rsidRPr="00E81686" w:rsidRDefault="001C36CC" w:rsidP="009B410E">
            <w:pPr>
              <w:spacing w:line="360" w:lineRule="auto"/>
              <w:rPr>
                <w:rFonts w:ascii="Arial" w:hAnsi="Arial" w:cs="Arial"/>
                <w:lang w:eastAsia="en-GB"/>
              </w:rPr>
            </w:pPr>
            <w:proofErr w:type="spellStart"/>
            <w:r w:rsidRPr="00E81686">
              <w:rPr>
                <w:rFonts w:ascii="Arial" w:hAnsi="Arial" w:cs="Arial"/>
                <w:lang w:eastAsia="en-GB"/>
              </w:rPr>
              <w:t>Szmalec</w:t>
            </w:r>
            <w:proofErr w:type="spellEnd"/>
            <w:r w:rsidRPr="00E81686">
              <w:rPr>
                <w:rFonts w:ascii="Arial" w:hAnsi="Arial" w:cs="Arial"/>
                <w:lang w:eastAsia="en-GB"/>
              </w:rPr>
              <w:t xml:space="preserve">, A., </w:t>
            </w:r>
            <w:proofErr w:type="spellStart"/>
            <w:r w:rsidRPr="00E81686">
              <w:rPr>
                <w:rFonts w:ascii="Arial" w:hAnsi="Arial" w:cs="Arial"/>
                <w:lang w:eastAsia="en-GB"/>
              </w:rPr>
              <w:t>Loncke</w:t>
            </w:r>
            <w:proofErr w:type="spellEnd"/>
            <w:r w:rsidRPr="00E81686">
              <w:rPr>
                <w:rFonts w:ascii="Arial" w:hAnsi="Arial" w:cs="Arial"/>
                <w:lang w:eastAsia="en-GB"/>
              </w:rPr>
              <w:t xml:space="preserve">, M., Page, M.P.A. and </w:t>
            </w:r>
            <w:proofErr w:type="spellStart"/>
            <w:r w:rsidRPr="00E81686">
              <w:rPr>
                <w:rFonts w:ascii="Arial" w:hAnsi="Arial" w:cs="Arial"/>
                <w:lang w:eastAsia="en-GB"/>
              </w:rPr>
              <w:t>Duyck</w:t>
            </w:r>
            <w:proofErr w:type="spellEnd"/>
            <w:r w:rsidRPr="00E81686">
              <w:rPr>
                <w:rFonts w:ascii="Arial" w:hAnsi="Arial" w:cs="Arial"/>
                <w:lang w:eastAsia="en-GB"/>
              </w:rPr>
              <w:t>, W. (2011) ‘Order or disorder? Impaired Hebb learning in dyslexia’, Journal of Experimental Psychology: Learning, Memory, and Cognition, 37(5), pp. 1270–1279.</w:t>
            </w:r>
          </w:p>
        </w:tc>
      </w:tr>
      <w:tr w:rsidR="001C36CC" w:rsidRPr="00E81686" w14:paraId="7B2147DE" w14:textId="77777777" w:rsidTr="009B410E">
        <w:trPr>
          <w:trHeight w:val="840"/>
        </w:trPr>
        <w:tc>
          <w:tcPr>
            <w:tcW w:w="8120" w:type="dxa"/>
            <w:tcBorders>
              <w:top w:val="nil"/>
              <w:left w:val="nil"/>
              <w:bottom w:val="nil"/>
              <w:right w:val="nil"/>
            </w:tcBorders>
            <w:shd w:val="clear" w:color="000000" w:fill="FFFFFF"/>
            <w:vAlign w:val="bottom"/>
            <w:hideMark/>
          </w:tcPr>
          <w:p w14:paraId="2F80CC10" w14:textId="77777777" w:rsidR="001C36CC" w:rsidRPr="00E81686" w:rsidRDefault="001C36CC" w:rsidP="009B410E">
            <w:pPr>
              <w:spacing w:line="360" w:lineRule="auto"/>
              <w:rPr>
                <w:rFonts w:ascii="Arial" w:hAnsi="Arial" w:cs="Arial"/>
                <w:lang w:eastAsia="en-GB"/>
              </w:rPr>
            </w:pPr>
            <w:proofErr w:type="spellStart"/>
            <w:r w:rsidRPr="00E81686">
              <w:rPr>
                <w:rFonts w:ascii="Arial" w:hAnsi="Arial" w:cs="Arial"/>
                <w:lang w:eastAsia="en-GB"/>
              </w:rPr>
              <w:t>Tisdell</w:t>
            </w:r>
            <w:proofErr w:type="spellEnd"/>
            <w:r w:rsidRPr="00E81686">
              <w:rPr>
                <w:rFonts w:ascii="Arial" w:hAnsi="Arial" w:cs="Arial"/>
                <w:lang w:eastAsia="en-GB"/>
              </w:rPr>
              <w:t>, E.J. (2016) Qualitative research : a guide to design and implementation. Fourth edition. San Francisco, C.A: Jossey-Bass.</w:t>
            </w:r>
          </w:p>
        </w:tc>
      </w:tr>
      <w:tr w:rsidR="001C36CC" w:rsidRPr="00E81686" w14:paraId="0FAB9B03" w14:textId="77777777" w:rsidTr="009B410E">
        <w:trPr>
          <w:trHeight w:val="840"/>
        </w:trPr>
        <w:tc>
          <w:tcPr>
            <w:tcW w:w="8120" w:type="dxa"/>
            <w:tcBorders>
              <w:top w:val="nil"/>
              <w:left w:val="nil"/>
              <w:bottom w:val="nil"/>
              <w:right w:val="nil"/>
            </w:tcBorders>
            <w:shd w:val="clear" w:color="000000" w:fill="FFFFFF"/>
            <w:vAlign w:val="center"/>
            <w:hideMark/>
          </w:tcPr>
          <w:p w14:paraId="46CF097B" w14:textId="77777777" w:rsidR="001C36CC" w:rsidRPr="00E81686" w:rsidRDefault="001C36CC" w:rsidP="009B410E">
            <w:pPr>
              <w:spacing w:line="360" w:lineRule="auto"/>
              <w:rPr>
                <w:rFonts w:ascii="Arial" w:hAnsi="Arial" w:cs="Arial"/>
                <w:lang w:eastAsia="en-GB"/>
              </w:rPr>
            </w:pPr>
            <w:r w:rsidRPr="00E81686">
              <w:rPr>
                <w:rFonts w:ascii="Arial" w:hAnsi="Arial" w:cs="Arial"/>
                <w:lang w:eastAsia="en-GB"/>
              </w:rPr>
              <w:t>UK Government (2024), The National Curriculum in England. Send code of Practice . Available at:https://www.gov.uk/government/publications/send-code-of-practice-0-to-25</w:t>
            </w:r>
          </w:p>
        </w:tc>
      </w:tr>
      <w:tr w:rsidR="001C36CC" w:rsidRPr="00E81686" w14:paraId="097F0D68" w14:textId="77777777" w:rsidTr="009B410E">
        <w:trPr>
          <w:trHeight w:val="840"/>
        </w:trPr>
        <w:tc>
          <w:tcPr>
            <w:tcW w:w="8120" w:type="dxa"/>
            <w:tcBorders>
              <w:top w:val="nil"/>
              <w:left w:val="nil"/>
              <w:bottom w:val="nil"/>
              <w:right w:val="nil"/>
            </w:tcBorders>
            <w:shd w:val="clear" w:color="000000" w:fill="FFFFFF"/>
            <w:vAlign w:val="bottom"/>
            <w:hideMark/>
          </w:tcPr>
          <w:p w14:paraId="45668813" w14:textId="77777777" w:rsidR="001C36CC" w:rsidRPr="00E81686" w:rsidRDefault="001C36CC" w:rsidP="009B410E">
            <w:pPr>
              <w:spacing w:line="360" w:lineRule="auto"/>
              <w:rPr>
                <w:rFonts w:ascii="Arial" w:hAnsi="Arial" w:cs="Arial"/>
                <w:lang w:eastAsia="en-GB"/>
              </w:rPr>
            </w:pPr>
            <w:r w:rsidRPr="00E81686">
              <w:rPr>
                <w:rFonts w:ascii="Arial" w:hAnsi="Arial" w:cs="Arial"/>
                <w:lang w:eastAsia="en-GB"/>
              </w:rPr>
              <w:t xml:space="preserve">Vance, K.O. (2004) ‘Adapting Music Instruction for Students with Dyslexia’, Music educators journal, 90(5), pp. 27–31. </w:t>
            </w:r>
          </w:p>
        </w:tc>
      </w:tr>
      <w:tr w:rsidR="001C36CC" w:rsidRPr="00E81686" w14:paraId="1E2B3185" w14:textId="77777777" w:rsidTr="009B410E">
        <w:trPr>
          <w:trHeight w:val="840"/>
        </w:trPr>
        <w:tc>
          <w:tcPr>
            <w:tcW w:w="8120" w:type="dxa"/>
            <w:tcBorders>
              <w:top w:val="nil"/>
              <w:left w:val="nil"/>
              <w:bottom w:val="nil"/>
              <w:right w:val="nil"/>
            </w:tcBorders>
            <w:shd w:val="clear" w:color="000000" w:fill="FFFFFF"/>
            <w:vAlign w:val="bottom"/>
            <w:hideMark/>
          </w:tcPr>
          <w:p w14:paraId="6A3213B7" w14:textId="77777777" w:rsidR="001C36CC" w:rsidRPr="00E81686" w:rsidRDefault="001C36CC" w:rsidP="009B410E">
            <w:pPr>
              <w:spacing w:line="360" w:lineRule="auto"/>
              <w:rPr>
                <w:rFonts w:ascii="Arial" w:hAnsi="Arial" w:cs="Arial"/>
                <w:lang w:eastAsia="en-GB"/>
              </w:rPr>
            </w:pPr>
            <w:proofErr w:type="spellStart"/>
            <w:r w:rsidRPr="00E81686">
              <w:rPr>
                <w:rFonts w:ascii="Arial" w:hAnsi="Arial" w:cs="Arial"/>
                <w:lang w:eastAsia="en-GB"/>
              </w:rPr>
              <w:t>Walda</w:t>
            </w:r>
            <w:proofErr w:type="spellEnd"/>
            <w:r w:rsidRPr="00E81686">
              <w:rPr>
                <w:rFonts w:ascii="Arial" w:hAnsi="Arial" w:cs="Arial"/>
                <w:lang w:eastAsia="en-GB"/>
              </w:rPr>
              <w:t>, S. et al. (2022) ‘Literacy Progress in Children with Dyslexia and the Role of Attention’, Reading &amp; writing quarterly, 38(1), pp. 19–32.</w:t>
            </w:r>
          </w:p>
        </w:tc>
      </w:tr>
      <w:tr w:rsidR="001C36CC" w:rsidRPr="00E81686" w14:paraId="6FC5D622" w14:textId="77777777" w:rsidTr="009B410E">
        <w:trPr>
          <w:trHeight w:val="840"/>
        </w:trPr>
        <w:tc>
          <w:tcPr>
            <w:tcW w:w="8120" w:type="dxa"/>
            <w:tcBorders>
              <w:top w:val="nil"/>
              <w:left w:val="nil"/>
              <w:bottom w:val="nil"/>
              <w:right w:val="nil"/>
            </w:tcBorders>
            <w:shd w:val="clear" w:color="000000" w:fill="FFFFFF"/>
            <w:vAlign w:val="center"/>
            <w:hideMark/>
          </w:tcPr>
          <w:p w14:paraId="7A176D37" w14:textId="77777777" w:rsidR="001C36CC" w:rsidRPr="00E81686" w:rsidRDefault="001C36CC" w:rsidP="009B410E">
            <w:pPr>
              <w:spacing w:line="360" w:lineRule="auto"/>
              <w:rPr>
                <w:rFonts w:ascii="Arial" w:hAnsi="Arial" w:cs="Arial"/>
                <w:lang w:eastAsia="en-GB"/>
              </w:rPr>
            </w:pPr>
            <w:r w:rsidRPr="00E81686">
              <w:rPr>
                <w:rFonts w:ascii="Arial" w:hAnsi="Arial" w:cs="Arial"/>
                <w:lang w:eastAsia="en-GB"/>
              </w:rPr>
              <w:t>Wang, J., Yamasaki, B. L., Weiss, Y., &amp; Booth, J. R. (2021). Both frontal and temporal cortex exhibit phonological and semantic specialization during spoken language processing in 7</w:t>
            </w:r>
            <w:r w:rsidRPr="00E81686">
              <w:rPr>
                <w:rFonts w:ascii="Cambria Math" w:hAnsi="Cambria Math" w:cs="Cambria Math"/>
                <w:lang w:eastAsia="en-GB"/>
              </w:rPr>
              <w:t>‐</w:t>
            </w:r>
            <w:r w:rsidRPr="00E81686">
              <w:rPr>
                <w:rFonts w:ascii="Arial" w:hAnsi="Arial" w:cs="Arial"/>
                <w:lang w:eastAsia="en-GB"/>
              </w:rPr>
              <w:t xml:space="preserve"> to 8</w:t>
            </w:r>
            <w:r w:rsidRPr="00E81686">
              <w:rPr>
                <w:rFonts w:ascii="Cambria Math" w:hAnsi="Cambria Math" w:cs="Cambria Math"/>
                <w:lang w:eastAsia="en-GB"/>
              </w:rPr>
              <w:t>‐</w:t>
            </w:r>
            <w:r w:rsidRPr="00E81686">
              <w:rPr>
                <w:rFonts w:ascii="Arial" w:hAnsi="Arial" w:cs="Arial"/>
                <w:lang w:eastAsia="en-GB"/>
              </w:rPr>
              <w:t>year</w:t>
            </w:r>
            <w:r w:rsidRPr="00E81686">
              <w:rPr>
                <w:rFonts w:ascii="Cambria Math" w:hAnsi="Cambria Math" w:cs="Cambria Math"/>
                <w:lang w:eastAsia="en-GB"/>
              </w:rPr>
              <w:t>‐</w:t>
            </w:r>
            <w:r w:rsidRPr="00E81686">
              <w:rPr>
                <w:rFonts w:ascii="Arial" w:hAnsi="Arial" w:cs="Arial"/>
                <w:lang w:eastAsia="en-GB"/>
              </w:rPr>
              <w:t>old children. Human Brain Mapping, 42(11), 3534–3546.</w:t>
            </w:r>
          </w:p>
        </w:tc>
      </w:tr>
      <w:tr w:rsidR="001C36CC" w:rsidRPr="00E81686" w14:paraId="17424941" w14:textId="77777777" w:rsidTr="009B410E">
        <w:trPr>
          <w:trHeight w:val="840"/>
        </w:trPr>
        <w:tc>
          <w:tcPr>
            <w:tcW w:w="8120" w:type="dxa"/>
            <w:tcBorders>
              <w:top w:val="nil"/>
              <w:left w:val="nil"/>
              <w:bottom w:val="nil"/>
              <w:right w:val="nil"/>
            </w:tcBorders>
            <w:shd w:val="clear" w:color="000000" w:fill="FFFFFF"/>
            <w:vAlign w:val="bottom"/>
            <w:hideMark/>
          </w:tcPr>
          <w:p w14:paraId="13B4B9A2" w14:textId="77777777" w:rsidR="001C36CC" w:rsidRPr="00E81686" w:rsidRDefault="001C36CC" w:rsidP="009B410E">
            <w:pPr>
              <w:spacing w:line="360" w:lineRule="auto"/>
              <w:rPr>
                <w:rFonts w:ascii="Arial" w:hAnsi="Arial" w:cs="Arial"/>
                <w:lang w:eastAsia="en-GB"/>
              </w:rPr>
            </w:pPr>
            <w:r w:rsidRPr="00E81686">
              <w:rPr>
                <w:rFonts w:ascii="Arial" w:hAnsi="Arial" w:cs="Arial"/>
                <w:lang w:eastAsia="en-GB"/>
              </w:rPr>
              <w:t xml:space="preserve">Westway Performing Arts (2024)unleashing creativity how many children take singing lessons each year. </w:t>
            </w:r>
            <w:proofErr w:type="spellStart"/>
            <w:r w:rsidRPr="00E81686">
              <w:rPr>
                <w:rFonts w:ascii="Arial" w:hAnsi="Arial" w:cs="Arial"/>
                <w:lang w:eastAsia="en-GB"/>
              </w:rPr>
              <w:t>Avaliable</w:t>
            </w:r>
            <w:proofErr w:type="spellEnd"/>
            <w:r w:rsidRPr="00E81686">
              <w:rPr>
                <w:rFonts w:ascii="Arial" w:hAnsi="Arial" w:cs="Arial"/>
                <w:lang w:eastAsia="en-GB"/>
              </w:rPr>
              <w:t xml:space="preserve"> at: https://www.westwayperformingarts.co.uk/our-blog/unleashing-creativity-how-many-children-take-singing-lessons-each-year</w:t>
            </w:r>
          </w:p>
        </w:tc>
      </w:tr>
    </w:tbl>
    <w:tbl>
      <w:tblPr>
        <w:tblpPr w:leftFromText="180" w:rightFromText="180" w:vertAnchor="text" w:horzAnchor="page" w:tblpX="1" w:tblpY="-12390"/>
        <w:tblW w:w="13720" w:type="dxa"/>
        <w:tblLook w:val="04A0" w:firstRow="1" w:lastRow="0" w:firstColumn="1" w:lastColumn="0" w:noHBand="0" w:noVBand="1"/>
      </w:tblPr>
      <w:tblGrid>
        <w:gridCol w:w="13720"/>
      </w:tblGrid>
      <w:tr w:rsidR="001C36CC" w:rsidRPr="004D369A" w14:paraId="7493D7FE" w14:textId="77777777" w:rsidTr="009B410E">
        <w:trPr>
          <w:trHeight w:val="570"/>
        </w:trPr>
        <w:tc>
          <w:tcPr>
            <w:tcW w:w="13720" w:type="dxa"/>
            <w:tcBorders>
              <w:top w:val="nil"/>
              <w:left w:val="nil"/>
              <w:bottom w:val="nil"/>
              <w:right w:val="nil"/>
            </w:tcBorders>
            <w:shd w:val="clear" w:color="000000" w:fill="FFFFFF"/>
            <w:vAlign w:val="bottom"/>
          </w:tcPr>
          <w:p w14:paraId="65010E70" w14:textId="77777777" w:rsidR="001C36CC" w:rsidRPr="004D369A" w:rsidRDefault="001C36CC" w:rsidP="009B410E">
            <w:pPr>
              <w:spacing w:line="360" w:lineRule="auto"/>
              <w:rPr>
                <w:rFonts w:ascii="Arial" w:hAnsi="Arial" w:cs="Arial"/>
                <w:lang w:eastAsia="en-GB"/>
              </w:rPr>
            </w:pPr>
          </w:p>
        </w:tc>
      </w:tr>
    </w:tbl>
    <w:p w14:paraId="66D22E65" w14:textId="77777777" w:rsidR="001C36CC" w:rsidRDefault="001C36CC" w:rsidP="001C36CC"/>
    <w:p w14:paraId="284AD41A" w14:textId="77777777" w:rsidR="001C36CC" w:rsidRPr="006D0C73" w:rsidRDefault="001C36CC" w:rsidP="001C36CC"/>
    <w:p w14:paraId="579278D7" w14:textId="77777777" w:rsidR="001C36CC" w:rsidRDefault="001C36CC" w:rsidP="0091535C"/>
    <w:sectPr w:rsidR="001C36CC">
      <w:headerReference w:type="default" r:id="rId36"/>
      <w:footerReference w:type="default" r:id="rId3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 w:author="Jess Sanchez" w:date="2025-02-24T18:30:00Z" w:initials="JS">
    <w:p w14:paraId="1E59F03B" w14:textId="77777777" w:rsidR="00623091" w:rsidRDefault="00623091" w:rsidP="004E5E1E">
      <w:pPr>
        <w:pStyle w:val="CommentText"/>
      </w:pPr>
      <w:r>
        <w:rPr>
          <w:rStyle w:val="CommentReference"/>
        </w:rPr>
        <w:annotationRef/>
      </w:r>
      <w:r>
        <w:t>1500 words need to condense to 900-1080</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E59F03B"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B67393C" w16cex:dateUtc="2025-02-24T18:3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E59F03B" w16cid:durableId="2B67393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58F33B" w14:textId="77777777" w:rsidR="007D0B50" w:rsidRDefault="007D0B50" w:rsidP="003B2DAA">
      <w:pPr>
        <w:spacing w:after="0" w:line="240" w:lineRule="auto"/>
      </w:pPr>
      <w:r>
        <w:separator/>
      </w:r>
    </w:p>
  </w:endnote>
  <w:endnote w:type="continuationSeparator" w:id="0">
    <w:p w14:paraId="71D80BF1" w14:textId="77777777" w:rsidR="007D0B50" w:rsidRDefault="007D0B50" w:rsidP="003B2D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SPCC Light">
    <w:altName w:val="Calibri"/>
    <w:panose1 w:val="00000000000000000000"/>
    <w:charset w:val="00"/>
    <w:family w:val="swiss"/>
    <w:notTrueType/>
    <w:pitch w:val="default"/>
    <w:sig w:usb0="00000003" w:usb1="00000000" w:usb2="00000000" w:usb3="00000000" w:csb0="00000001" w:csb1="00000000"/>
  </w:font>
  <w:font w:name="Lato">
    <w:charset w:val="00"/>
    <w:family w:val="swiss"/>
    <w:pitch w:val="variable"/>
    <w:sig w:usb0="E10002FF" w:usb1="5000ECFF" w:usb2="00000021"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2064839"/>
      <w:docPartObj>
        <w:docPartGallery w:val="Page Numbers (Bottom of Page)"/>
        <w:docPartUnique/>
      </w:docPartObj>
    </w:sdtPr>
    <w:sdtEndPr>
      <w:rPr>
        <w:noProof/>
      </w:rPr>
    </w:sdtEndPr>
    <w:sdtContent>
      <w:p w14:paraId="3CBACF9C" w14:textId="311F44B7" w:rsidR="001C36CC" w:rsidRDefault="001C36C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3D6533" w14:textId="04EABF55" w:rsidR="00662A75" w:rsidRDefault="00662A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0B7A3F" w14:textId="77777777" w:rsidR="007D0B50" w:rsidRDefault="007D0B50" w:rsidP="003B2DAA">
      <w:pPr>
        <w:spacing w:after="0" w:line="240" w:lineRule="auto"/>
      </w:pPr>
      <w:r>
        <w:separator/>
      </w:r>
    </w:p>
  </w:footnote>
  <w:footnote w:type="continuationSeparator" w:id="0">
    <w:p w14:paraId="661EF697" w14:textId="77777777" w:rsidR="007D0B50" w:rsidRDefault="007D0B50" w:rsidP="003B2D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97691F" w14:textId="6A84F6DB" w:rsidR="001C36CC" w:rsidRDefault="001C36CC">
    <w:pPr>
      <w:pStyle w:val="Header"/>
    </w:pPr>
    <w:r>
      <w:t>Jessica Bray (Sanchez)- Module 3</w:t>
    </w:r>
  </w:p>
  <w:p w14:paraId="6E494577" w14:textId="77777777" w:rsidR="001C36CC" w:rsidRDefault="001C36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83EC3"/>
    <w:multiLevelType w:val="multilevel"/>
    <w:tmpl w:val="10D03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213EF4"/>
    <w:multiLevelType w:val="multilevel"/>
    <w:tmpl w:val="8E2478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9F0C1D"/>
    <w:multiLevelType w:val="multilevel"/>
    <w:tmpl w:val="BDEA4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5A629B"/>
    <w:multiLevelType w:val="multilevel"/>
    <w:tmpl w:val="34980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573F36"/>
    <w:multiLevelType w:val="multilevel"/>
    <w:tmpl w:val="89D2E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F47E2A"/>
    <w:multiLevelType w:val="multilevel"/>
    <w:tmpl w:val="AD263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D96221"/>
    <w:multiLevelType w:val="hybridMultilevel"/>
    <w:tmpl w:val="AC48C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DB31D4"/>
    <w:multiLevelType w:val="multilevel"/>
    <w:tmpl w:val="8B108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656C83"/>
    <w:multiLevelType w:val="hybridMultilevel"/>
    <w:tmpl w:val="5C8C01B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A60426"/>
    <w:multiLevelType w:val="multilevel"/>
    <w:tmpl w:val="8B62A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526B2F"/>
    <w:multiLevelType w:val="multilevel"/>
    <w:tmpl w:val="5D529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48510B"/>
    <w:multiLevelType w:val="multilevel"/>
    <w:tmpl w:val="A51829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9753F4B"/>
    <w:multiLevelType w:val="multilevel"/>
    <w:tmpl w:val="ACE20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26F36E5"/>
    <w:multiLevelType w:val="multilevel"/>
    <w:tmpl w:val="6FCC6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81C6E72"/>
    <w:multiLevelType w:val="multilevel"/>
    <w:tmpl w:val="9CE68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F95498"/>
    <w:multiLevelType w:val="multilevel"/>
    <w:tmpl w:val="2A485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070788A"/>
    <w:multiLevelType w:val="hybridMultilevel"/>
    <w:tmpl w:val="1556E7CE"/>
    <w:lvl w:ilvl="0" w:tplc="87BCA642">
      <w:start w:val="1"/>
      <w:numFmt w:val="bullet"/>
      <w:lvlText w:val="•"/>
      <w:lvlJc w:val="left"/>
      <w:pPr>
        <w:tabs>
          <w:tab w:val="num" w:pos="720"/>
        </w:tabs>
        <w:ind w:left="720" w:hanging="360"/>
      </w:pPr>
      <w:rPr>
        <w:rFonts w:ascii="Times New Roman" w:hAnsi="Times New Roman" w:hint="default"/>
      </w:rPr>
    </w:lvl>
    <w:lvl w:ilvl="1" w:tplc="D7EE85DC" w:tentative="1">
      <w:start w:val="1"/>
      <w:numFmt w:val="bullet"/>
      <w:lvlText w:val="•"/>
      <w:lvlJc w:val="left"/>
      <w:pPr>
        <w:tabs>
          <w:tab w:val="num" w:pos="1440"/>
        </w:tabs>
        <w:ind w:left="1440" w:hanging="360"/>
      </w:pPr>
      <w:rPr>
        <w:rFonts w:ascii="Times New Roman" w:hAnsi="Times New Roman" w:hint="default"/>
      </w:rPr>
    </w:lvl>
    <w:lvl w:ilvl="2" w:tplc="A95A7EBC" w:tentative="1">
      <w:start w:val="1"/>
      <w:numFmt w:val="bullet"/>
      <w:lvlText w:val="•"/>
      <w:lvlJc w:val="left"/>
      <w:pPr>
        <w:tabs>
          <w:tab w:val="num" w:pos="2160"/>
        </w:tabs>
        <w:ind w:left="2160" w:hanging="360"/>
      </w:pPr>
      <w:rPr>
        <w:rFonts w:ascii="Times New Roman" w:hAnsi="Times New Roman" w:hint="default"/>
      </w:rPr>
    </w:lvl>
    <w:lvl w:ilvl="3" w:tplc="56C67E68" w:tentative="1">
      <w:start w:val="1"/>
      <w:numFmt w:val="bullet"/>
      <w:lvlText w:val="•"/>
      <w:lvlJc w:val="left"/>
      <w:pPr>
        <w:tabs>
          <w:tab w:val="num" w:pos="2880"/>
        </w:tabs>
        <w:ind w:left="2880" w:hanging="360"/>
      </w:pPr>
      <w:rPr>
        <w:rFonts w:ascii="Times New Roman" w:hAnsi="Times New Roman" w:hint="default"/>
      </w:rPr>
    </w:lvl>
    <w:lvl w:ilvl="4" w:tplc="038C540A" w:tentative="1">
      <w:start w:val="1"/>
      <w:numFmt w:val="bullet"/>
      <w:lvlText w:val="•"/>
      <w:lvlJc w:val="left"/>
      <w:pPr>
        <w:tabs>
          <w:tab w:val="num" w:pos="3600"/>
        </w:tabs>
        <w:ind w:left="3600" w:hanging="360"/>
      </w:pPr>
      <w:rPr>
        <w:rFonts w:ascii="Times New Roman" w:hAnsi="Times New Roman" w:hint="default"/>
      </w:rPr>
    </w:lvl>
    <w:lvl w:ilvl="5" w:tplc="8CFC33BA" w:tentative="1">
      <w:start w:val="1"/>
      <w:numFmt w:val="bullet"/>
      <w:lvlText w:val="•"/>
      <w:lvlJc w:val="left"/>
      <w:pPr>
        <w:tabs>
          <w:tab w:val="num" w:pos="4320"/>
        </w:tabs>
        <w:ind w:left="4320" w:hanging="360"/>
      </w:pPr>
      <w:rPr>
        <w:rFonts w:ascii="Times New Roman" w:hAnsi="Times New Roman" w:hint="default"/>
      </w:rPr>
    </w:lvl>
    <w:lvl w:ilvl="6" w:tplc="B9D804B8" w:tentative="1">
      <w:start w:val="1"/>
      <w:numFmt w:val="bullet"/>
      <w:lvlText w:val="•"/>
      <w:lvlJc w:val="left"/>
      <w:pPr>
        <w:tabs>
          <w:tab w:val="num" w:pos="5040"/>
        </w:tabs>
        <w:ind w:left="5040" w:hanging="360"/>
      </w:pPr>
      <w:rPr>
        <w:rFonts w:ascii="Times New Roman" w:hAnsi="Times New Roman" w:hint="default"/>
      </w:rPr>
    </w:lvl>
    <w:lvl w:ilvl="7" w:tplc="5340226C" w:tentative="1">
      <w:start w:val="1"/>
      <w:numFmt w:val="bullet"/>
      <w:lvlText w:val="•"/>
      <w:lvlJc w:val="left"/>
      <w:pPr>
        <w:tabs>
          <w:tab w:val="num" w:pos="5760"/>
        </w:tabs>
        <w:ind w:left="5760" w:hanging="360"/>
      </w:pPr>
      <w:rPr>
        <w:rFonts w:ascii="Times New Roman" w:hAnsi="Times New Roman" w:hint="default"/>
      </w:rPr>
    </w:lvl>
    <w:lvl w:ilvl="8" w:tplc="E4868BD8"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679C2377"/>
    <w:multiLevelType w:val="multilevel"/>
    <w:tmpl w:val="745093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E730ADE"/>
    <w:multiLevelType w:val="multilevel"/>
    <w:tmpl w:val="4B742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8402947">
    <w:abstractNumId w:val="17"/>
  </w:num>
  <w:num w:numId="2" w16cid:durableId="1250851523">
    <w:abstractNumId w:val="16"/>
  </w:num>
  <w:num w:numId="3" w16cid:durableId="1343507011">
    <w:abstractNumId w:val="11"/>
  </w:num>
  <w:num w:numId="4" w16cid:durableId="201940252">
    <w:abstractNumId w:val="0"/>
  </w:num>
  <w:num w:numId="5" w16cid:durableId="2115785447">
    <w:abstractNumId w:val="8"/>
  </w:num>
  <w:num w:numId="6" w16cid:durableId="942609046">
    <w:abstractNumId w:val="1"/>
  </w:num>
  <w:num w:numId="7" w16cid:durableId="683942192">
    <w:abstractNumId w:val="13"/>
  </w:num>
  <w:num w:numId="8" w16cid:durableId="1120682638">
    <w:abstractNumId w:val="6"/>
  </w:num>
  <w:num w:numId="9" w16cid:durableId="765612712">
    <w:abstractNumId w:val="3"/>
  </w:num>
  <w:num w:numId="10" w16cid:durableId="1286690852">
    <w:abstractNumId w:val="14"/>
  </w:num>
  <w:num w:numId="11" w16cid:durableId="984503700">
    <w:abstractNumId w:val="15"/>
  </w:num>
  <w:num w:numId="12" w16cid:durableId="1450272935">
    <w:abstractNumId w:val="2"/>
  </w:num>
  <w:num w:numId="13" w16cid:durableId="271522088">
    <w:abstractNumId w:val="7"/>
  </w:num>
  <w:num w:numId="14" w16cid:durableId="1126318717">
    <w:abstractNumId w:val="18"/>
  </w:num>
  <w:num w:numId="15" w16cid:durableId="1834493464">
    <w:abstractNumId w:val="9"/>
  </w:num>
  <w:num w:numId="16" w16cid:durableId="355156476">
    <w:abstractNumId w:val="5"/>
  </w:num>
  <w:num w:numId="17" w16cid:durableId="509299303">
    <w:abstractNumId w:val="12"/>
  </w:num>
  <w:num w:numId="18" w16cid:durableId="466239437">
    <w:abstractNumId w:val="4"/>
  </w:num>
  <w:num w:numId="19" w16cid:durableId="1667127822">
    <w:abstractNumId w:val="1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ess Sanchez">
    <w15:presenceInfo w15:providerId="AD" w15:userId="S::jessica.bray@bbc.co.uk::84bcbf94-3395-4fb9-a930-15effc835a8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17A"/>
    <w:rsid w:val="000011C1"/>
    <w:rsid w:val="0001036C"/>
    <w:rsid w:val="00013E93"/>
    <w:rsid w:val="00032A80"/>
    <w:rsid w:val="000411A1"/>
    <w:rsid w:val="00042E23"/>
    <w:rsid w:val="000455F4"/>
    <w:rsid w:val="0005491B"/>
    <w:rsid w:val="0006234B"/>
    <w:rsid w:val="000623FF"/>
    <w:rsid w:val="00070E02"/>
    <w:rsid w:val="000713F4"/>
    <w:rsid w:val="000756E3"/>
    <w:rsid w:val="00080335"/>
    <w:rsid w:val="000808C1"/>
    <w:rsid w:val="000937C9"/>
    <w:rsid w:val="000A3A6A"/>
    <w:rsid w:val="000B274E"/>
    <w:rsid w:val="000B2FE4"/>
    <w:rsid w:val="000E0F46"/>
    <w:rsid w:val="000E2D4E"/>
    <w:rsid w:val="000F4D21"/>
    <w:rsid w:val="000F51F9"/>
    <w:rsid w:val="000F6903"/>
    <w:rsid w:val="0010567E"/>
    <w:rsid w:val="00106DB2"/>
    <w:rsid w:val="00111370"/>
    <w:rsid w:val="00116644"/>
    <w:rsid w:val="00121015"/>
    <w:rsid w:val="00125C8B"/>
    <w:rsid w:val="00135EA4"/>
    <w:rsid w:val="00136BF6"/>
    <w:rsid w:val="00140B32"/>
    <w:rsid w:val="001461EC"/>
    <w:rsid w:val="00162E76"/>
    <w:rsid w:val="00163845"/>
    <w:rsid w:val="00187F66"/>
    <w:rsid w:val="00190ADC"/>
    <w:rsid w:val="00190DB5"/>
    <w:rsid w:val="00192654"/>
    <w:rsid w:val="001A0CC6"/>
    <w:rsid w:val="001A144E"/>
    <w:rsid w:val="001A3921"/>
    <w:rsid w:val="001A48C5"/>
    <w:rsid w:val="001A72FF"/>
    <w:rsid w:val="001B3001"/>
    <w:rsid w:val="001C36CC"/>
    <w:rsid w:val="001D0543"/>
    <w:rsid w:val="001D52EF"/>
    <w:rsid w:val="001E43E5"/>
    <w:rsid w:val="001F0C88"/>
    <w:rsid w:val="001F10FD"/>
    <w:rsid w:val="001F2E50"/>
    <w:rsid w:val="001F741D"/>
    <w:rsid w:val="002015A0"/>
    <w:rsid w:val="00204F45"/>
    <w:rsid w:val="002162CA"/>
    <w:rsid w:val="00221B40"/>
    <w:rsid w:val="00224EBF"/>
    <w:rsid w:val="00231061"/>
    <w:rsid w:val="002359A4"/>
    <w:rsid w:val="0024331A"/>
    <w:rsid w:val="00244FDC"/>
    <w:rsid w:val="00257C32"/>
    <w:rsid w:val="00260B18"/>
    <w:rsid w:val="0026305C"/>
    <w:rsid w:val="00263587"/>
    <w:rsid w:val="00263CD1"/>
    <w:rsid w:val="00264449"/>
    <w:rsid w:val="00265FB9"/>
    <w:rsid w:val="0028418B"/>
    <w:rsid w:val="002A017A"/>
    <w:rsid w:val="002C1F8D"/>
    <w:rsid w:val="002C7CEC"/>
    <w:rsid w:val="002D0F52"/>
    <w:rsid w:val="002D1F46"/>
    <w:rsid w:val="002F166E"/>
    <w:rsid w:val="002F2D4B"/>
    <w:rsid w:val="00300653"/>
    <w:rsid w:val="00307058"/>
    <w:rsid w:val="00310DFE"/>
    <w:rsid w:val="00312F83"/>
    <w:rsid w:val="00320B5E"/>
    <w:rsid w:val="00322BD8"/>
    <w:rsid w:val="00333239"/>
    <w:rsid w:val="0033421B"/>
    <w:rsid w:val="00334320"/>
    <w:rsid w:val="003370CB"/>
    <w:rsid w:val="003371DF"/>
    <w:rsid w:val="00350DB1"/>
    <w:rsid w:val="00360A4C"/>
    <w:rsid w:val="003625D5"/>
    <w:rsid w:val="0036390C"/>
    <w:rsid w:val="0036725B"/>
    <w:rsid w:val="0037343C"/>
    <w:rsid w:val="0038086D"/>
    <w:rsid w:val="00382D16"/>
    <w:rsid w:val="00383A79"/>
    <w:rsid w:val="0039280F"/>
    <w:rsid w:val="003B2DAA"/>
    <w:rsid w:val="003C538B"/>
    <w:rsid w:val="003D0E90"/>
    <w:rsid w:val="003D1865"/>
    <w:rsid w:val="003E3BE0"/>
    <w:rsid w:val="003E5941"/>
    <w:rsid w:val="003F1E72"/>
    <w:rsid w:val="00410B4C"/>
    <w:rsid w:val="00416661"/>
    <w:rsid w:val="004206D7"/>
    <w:rsid w:val="00433EF5"/>
    <w:rsid w:val="00444033"/>
    <w:rsid w:val="004520D2"/>
    <w:rsid w:val="00461598"/>
    <w:rsid w:val="004622F0"/>
    <w:rsid w:val="0046639F"/>
    <w:rsid w:val="0046773F"/>
    <w:rsid w:val="0047386B"/>
    <w:rsid w:val="00475B10"/>
    <w:rsid w:val="004771AD"/>
    <w:rsid w:val="00482DAC"/>
    <w:rsid w:val="004859B4"/>
    <w:rsid w:val="00486B36"/>
    <w:rsid w:val="004A18E0"/>
    <w:rsid w:val="004A4FB2"/>
    <w:rsid w:val="004A531C"/>
    <w:rsid w:val="004B4D37"/>
    <w:rsid w:val="004C18F6"/>
    <w:rsid w:val="004C6160"/>
    <w:rsid w:val="004D369A"/>
    <w:rsid w:val="004D3BB4"/>
    <w:rsid w:val="004D6845"/>
    <w:rsid w:val="004E2FC1"/>
    <w:rsid w:val="004E3087"/>
    <w:rsid w:val="004E4447"/>
    <w:rsid w:val="004F317F"/>
    <w:rsid w:val="004F4890"/>
    <w:rsid w:val="00512358"/>
    <w:rsid w:val="005265CC"/>
    <w:rsid w:val="00535FB7"/>
    <w:rsid w:val="005471F0"/>
    <w:rsid w:val="00554385"/>
    <w:rsid w:val="005567B8"/>
    <w:rsid w:val="00556A1D"/>
    <w:rsid w:val="00556CF6"/>
    <w:rsid w:val="00571949"/>
    <w:rsid w:val="005727CE"/>
    <w:rsid w:val="00581231"/>
    <w:rsid w:val="00581C31"/>
    <w:rsid w:val="00591F35"/>
    <w:rsid w:val="005940E4"/>
    <w:rsid w:val="00594941"/>
    <w:rsid w:val="00594EE6"/>
    <w:rsid w:val="005A27DC"/>
    <w:rsid w:val="005A40C8"/>
    <w:rsid w:val="005A5549"/>
    <w:rsid w:val="005B0BAA"/>
    <w:rsid w:val="005B5C53"/>
    <w:rsid w:val="005B6C10"/>
    <w:rsid w:val="005C0C14"/>
    <w:rsid w:val="005C3BA9"/>
    <w:rsid w:val="005C78BA"/>
    <w:rsid w:val="005E257F"/>
    <w:rsid w:val="005E3F77"/>
    <w:rsid w:val="005F6B2A"/>
    <w:rsid w:val="00606CF4"/>
    <w:rsid w:val="00617D7E"/>
    <w:rsid w:val="00623091"/>
    <w:rsid w:val="0063594B"/>
    <w:rsid w:val="00642095"/>
    <w:rsid w:val="00651548"/>
    <w:rsid w:val="00652A58"/>
    <w:rsid w:val="00655D6C"/>
    <w:rsid w:val="00662A75"/>
    <w:rsid w:val="00666481"/>
    <w:rsid w:val="00666FBB"/>
    <w:rsid w:val="0068052E"/>
    <w:rsid w:val="00680D94"/>
    <w:rsid w:val="00687BF2"/>
    <w:rsid w:val="006B07D9"/>
    <w:rsid w:val="006B43F5"/>
    <w:rsid w:val="006C635E"/>
    <w:rsid w:val="006C7F35"/>
    <w:rsid w:val="006D0C73"/>
    <w:rsid w:val="006D20DC"/>
    <w:rsid w:val="006D7858"/>
    <w:rsid w:val="006E2A5E"/>
    <w:rsid w:val="006E2BC7"/>
    <w:rsid w:val="006E40AC"/>
    <w:rsid w:val="006F28F7"/>
    <w:rsid w:val="00700719"/>
    <w:rsid w:val="00710A7E"/>
    <w:rsid w:val="007143CC"/>
    <w:rsid w:val="00723D11"/>
    <w:rsid w:val="00732FF0"/>
    <w:rsid w:val="00733119"/>
    <w:rsid w:val="007344A3"/>
    <w:rsid w:val="007639ED"/>
    <w:rsid w:val="007675F3"/>
    <w:rsid w:val="00767B7A"/>
    <w:rsid w:val="00782A77"/>
    <w:rsid w:val="007937D2"/>
    <w:rsid w:val="007A4AB3"/>
    <w:rsid w:val="007A4C1E"/>
    <w:rsid w:val="007B3529"/>
    <w:rsid w:val="007C150C"/>
    <w:rsid w:val="007C6721"/>
    <w:rsid w:val="007D0B50"/>
    <w:rsid w:val="007E5195"/>
    <w:rsid w:val="007F6F54"/>
    <w:rsid w:val="007F74F1"/>
    <w:rsid w:val="007F7B4D"/>
    <w:rsid w:val="008014A2"/>
    <w:rsid w:val="00801FDA"/>
    <w:rsid w:val="00807105"/>
    <w:rsid w:val="00817EF5"/>
    <w:rsid w:val="00840948"/>
    <w:rsid w:val="00851296"/>
    <w:rsid w:val="00882F64"/>
    <w:rsid w:val="00894969"/>
    <w:rsid w:val="008954CA"/>
    <w:rsid w:val="008A0287"/>
    <w:rsid w:val="008A30DE"/>
    <w:rsid w:val="008A591E"/>
    <w:rsid w:val="008B3207"/>
    <w:rsid w:val="008B63C3"/>
    <w:rsid w:val="008C0099"/>
    <w:rsid w:val="008C691B"/>
    <w:rsid w:val="008D7DB3"/>
    <w:rsid w:val="008E396B"/>
    <w:rsid w:val="008E3C92"/>
    <w:rsid w:val="0090162F"/>
    <w:rsid w:val="009026C4"/>
    <w:rsid w:val="00902D18"/>
    <w:rsid w:val="0091535C"/>
    <w:rsid w:val="00916F3F"/>
    <w:rsid w:val="0092569B"/>
    <w:rsid w:val="00930E03"/>
    <w:rsid w:val="00947D42"/>
    <w:rsid w:val="009609B8"/>
    <w:rsid w:val="00995FAA"/>
    <w:rsid w:val="009A0905"/>
    <w:rsid w:val="009B446E"/>
    <w:rsid w:val="009B740B"/>
    <w:rsid w:val="009C44EC"/>
    <w:rsid w:val="009D470B"/>
    <w:rsid w:val="009D4DA7"/>
    <w:rsid w:val="009E47FC"/>
    <w:rsid w:val="009F018B"/>
    <w:rsid w:val="00A035A2"/>
    <w:rsid w:val="00A072DD"/>
    <w:rsid w:val="00A12556"/>
    <w:rsid w:val="00A24FE3"/>
    <w:rsid w:val="00A47579"/>
    <w:rsid w:val="00A4775B"/>
    <w:rsid w:val="00A5511D"/>
    <w:rsid w:val="00A654E3"/>
    <w:rsid w:val="00A659DA"/>
    <w:rsid w:val="00A91E70"/>
    <w:rsid w:val="00AA243F"/>
    <w:rsid w:val="00AB4746"/>
    <w:rsid w:val="00AB77EB"/>
    <w:rsid w:val="00AC4C61"/>
    <w:rsid w:val="00AD3102"/>
    <w:rsid w:val="00AD4C0A"/>
    <w:rsid w:val="00AE0EBE"/>
    <w:rsid w:val="00AE4247"/>
    <w:rsid w:val="00B20893"/>
    <w:rsid w:val="00B20D09"/>
    <w:rsid w:val="00B37DFA"/>
    <w:rsid w:val="00B51A2B"/>
    <w:rsid w:val="00B629DF"/>
    <w:rsid w:val="00B67F1C"/>
    <w:rsid w:val="00B75B27"/>
    <w:rsid w:val="00B91717"/>
    <w:rsid w:val="00BA4EBE"/>
    <w:rsid w:val="00BA57C4"/>
    <w:rsid w:val="00BA6AED"/>
    <w:rsid w:val="00BB0A69"/>
    <w:rsid w:val="00BB26AE"/>
    <w:rsid w:val="00BB5C69"/>
    <w:rsid w:val="00BC29F3"/>
    <w:rsid w:val="00BD146A"/>
    <w:rsid w:val="00BD1ADE"/>
    <w:rsid w:val="00BD43C1"/>
    <w:rsid w:val="00BE4CC2"/>
    <w:rsid w:val="00BE6587"/>
    <w:rsid w:val="00C00894"/>
    <w:rsid w:val="00C05FA7"/>
    <w:rsid w:val="00C06964"/>
    <w:rsid w:val="00C06FAC"/>
    <w:rsid w:val="00C100AC"/>
    <w:rsid w:val="00C12E6C"/>
    <w:rsid w:val="00C13890"/>
    <w:rsid w:val="00C14CDF"/>
    <w:rsid w:val="00C16DDD"/>
    <w:rsid w:val="00C223DB"/>
    <w:rsid w:val="00C23767"/>
    <w:rsid w:val="00C46EBD"/>
    <w:rsid w:val="00C566F2"/>
    <w:rsid w:val="00C57631"/>
    <w:rsid w:val="00C62AFB"/>
    <w:rsid w:val="00C62DAA"/>
    <w:rsid w:val="00C6378F"/>
    <w:rsid w:val="00C639F2"/>
    <w:rsid w:val="00C646A3"/>
    <w:rsid w:val="00C75129"/>
    <w:rsid w:val="00C77BD8"/>
    <w:rsid w:val="00C91FC9"/>
    <w:rsid w:val="00C929D6"/>
    <w:rsid w:val="00C92B12"/>
    <w:rsid w:val="00C9684F"/>
    <w:rsid w:val="00CA1358"/>
    <w:rsid w:val="00CB0F0A"/>
    <w:rsid w:val="00CB2B98"/>
    <w:rsid w:val="00CC5DA8"/>
    <w:rsid w:val="00CD09FB"/>
    <w:rsid w:val="00CD1461"/>
    <w:rsid w:val="00CD570C"/>
    <w:rsid w:val="00CE0F36"/>
    <w:rsid w:val="00CE3EF7"/>
    <w:rsid w:val="00CF1260"/>
    <w:rsid w:val="00CF4159"/>
    <w:rsid w:val="00CF67B8"/>
    <w:rsid w:val="00D07701"/>
    <w:rsid w:val="00D13171"/>
    <w:rsid w:val="00D23E32"/>
    <w:rsid w:val="00D3138C"/>
    <w:rsid w:val="00D33ED4"/>
    <w:rsid w:val="00D3480F"/>
    <w:rsid w:val="00D40B40"/>
    <w:rsid w:val="00D4225A"/>
    <w:rsid w:val="00D470A2"/>
    <w:rsid w:val="00D529E7"/>
    <w:rsid w:val="00D60172"/>
    <w:rsid w:val="00D71A63"/>
    <w:rsid w:val="00D804A4"/>
    <w:rsid w:val="00D86A97"/>
    <w:rsid w:val="00D908DB"/>
    <w:rsid w:val="00D95A18"/>
    <w:rsid w:val="00DA0EB1"/>
    <w:rsid w:val="00DA77A5"/>
    <w:rsid w:val="00DB2C03"/>
    <w:rsid w:val="00DB489F"/>
    <w:rsid w:val="00DB4F75"/>
    <w:rsid w:val="00DB7A15"/>
    <w:rsid w:val="00DC3418"/>
    <w:rsid w:val="00DC62EF"/>
    <w:rsid w:val="00DC6873"/>
    <w:rsid w:val="00DD50BD"/>
    <w:rsid w:val="00DF1EE2"/>
    <w:rsid w:val="00DF5EBB"/>
    <w:rsid w:val="00E018DE"/>
    <w:rsid w:val="00E13195"/>
    <w:rsid w:val="00E149BA"/>
    <w:rsid w:val="00E24614"/>
    <w:rsid w:val="00E440FE"/>
    <w:rsid w:val="00E54573"/>
    <w:rsid w:val="00E54B87"/>
    <w:rsid w:val="00E556BF"/>
    <w:rsid w:val="00E62EA9"/>
    <w:rsid w:val="00E66364"/>
    <w:rsid w:val="00E67034"/>
    <w:rsid w:val="00E735D5"/>
    <w:rsid w:val="00E74C3D"/>
    <w:rsid w:val="00E764AE"/>
    <w:rsid w:val="00E7795B"/>
    <w:rsid w:val="00E77F0A"/>
    <w:rsid w:val="00E81686"/>
    <w:rsid w:val="00E81960"/>
    <w:rsid w:val="00E87CA3"/>
    <w:rsid w:val="00E87D2A"/>
    <w:rsid w:val="00E92804"/>
    <w:rsid w:val="00EA2CD0"/>
    <w:rsid w:val="00EA3CF9"/>
    <w:rsid w:val="00EC65F3"/>
    <w:rsid w:val="00ED12CE"/>
    <w:rsid w:val="00ED42A1"/>
    <w:rsid w:val="00ED50B7"/>
    <w:rsid w:val="00EE0263"/>
    <w:rsid w:val="00F03BB9"/>
    <w:rsid w:val="00F11580"/>
    <w:rsid w:val="00F12E33"/>
    <w:rsid w:val="00F166AC"/>
    <w:rsid w:val="00F204D2"/>
    <w:rsid w:val="00F22B6F"/>
    <w:rsid w:val="00F2430E"/>
    <w:rsid w:val="00F24A9F"/>
    <w:rsid w:val="00F2767B"/>
    <w:rsid w:val="00F4298F"/>
    <w:rsid w:val="00F55CF4"/>
    <w:rsid w:val="00F6559F"/>
    <w:rsid w:val="00F6638F"/>
    <w:rsid w:val="00F73DB6"/>
    <w:rsid w:val="00F757E9"/>
    <w:rsid w:val="00F91C0B"/>
    <w:rsid w:val="00F92D7E"/>
    <w:rsid w:val="00F93328"/>
    <w:rsid w:val="00F9625E"/>
    <w:rsid w:val="00FA044D"/>
    <w:rsid w:val="00FB1655"/>
    <w:rsid w:val="00FB370A"/>
    <w:rsid w:val="00FC68E4"/>
    <w:rsid w:val="00FE0AB9"/>
    <w:rsid w:val="00FE39C5"/>
    <w:rsid w:val="00FE5A07"/>
    <w:rsid w:val="00FF4C61"/>
    <w:rsid w:val="00FF7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99292"/>
  <w15:chartTrackingRefBased/>
  <w15:docId w15:val="{DFAA713D-C855-4772-8D00-BA85A24B3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0"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6C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6C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140B32"/>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next w:val="Normal"/>
    <w:link w:val="Heading4Char"/>
    <w:uiPriority w:val="9"/>
    <w:unhideWhenUsed/>
    <w:qFormat/>
    <w:rsid w:val="00AB77EB"/>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42095"/>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40B32"/>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unhideWhenUsed/>
    <w:rsid w:val="00140B3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140B32"/>
    <w:rPr>
      <w:color w:val="0000FF"/>
      <w:u w:val="single"/>
    </w:rPr>
  </w:style>
  <w:style w:type="paragraph" w:styleId="ListParagraph">
    <w:name w:val="List Paragraph"/>
    <w:basedOn w:val="Normal"/>
    <w:uiPriority w:val="34"/>
    <w:qFormat/>
    <w:rsid w:val="005C3BA9"/>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3B2D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2DAA"/>
  </w:style>
  <w:style w:type="paragraph" w:styleId="Footer">
    <w:name w:val="footer"/>
    <w:basedOn w:val="Normal"/>
    <w:link w:val="FooterChar"/>
    <w:uiPriority w:val="99"/>
    <w:unhideWhenUsed/>
    <w:rsid w:val="003B2D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2DAA"/>
  </w:style>
  <w:style w:type="character" w:styleId="Emphasis">
    <w:name w:val="Emphasis"/>
    <w:basedOn w:val="DefaultParagraphFont"/>
    <w:uiPriority w:val="20"/>
    <w:qFormat/>
    <w:rsid w:val="00EA3CF9"/>
    <w:rPr>
      <w:i/>
      <w:iCs/>
    </w:rPr>
  </w:style>
  <w:style w:type="character" w:customStyle="1" w:styleId="Heading1Char">
    <w:name w:val="Heading 1 Char"/>
    <w:basedOn w:val="DefaultParagraphFont"/>
    <w:link w:val="Heading1"/>
    <w:uiPriority w:val="9"/>
    <w:rsid w:val="005B6C1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B6C10"/>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5B6C1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B6C10"/>
    <w:rPr>
      <w:rFonts w:eastAsiaTheme="minorEastAsia"/>
      <w:color w:val="5A5A5A" w:themeColor="text1" w:themeTint="A5"/>
      <w:spacing w:val="15"/>
    </w:rPr>
  </w:style>
  <w:style w:type="character" w:styleId="SubtleEmphasis">
    <w:name w:val="Subtle Emphasis"/>
    <w:basedOn w:val="DefaultParagraphFont"/>
    <w:uiPriority w:val="19"/>
    <w:qFormat/>
    <w:rsid w:val="005B6C10"/>
    <w:rPr>
      <w:i/>
      <w:iCs/>
      <w:color w:val="404040" w:themeColor="text1" w:themeTint="BF"/>
    </w:rPr>
  </w:style>
  <w:style w:type="character" w:styleId="CommentReference">
    <w:name w:val="annotation reference"/>
    <w:basedOn w:val="DefaultParagraphFont"/>
    <w:uiPriority w:val="99"/>
    <w:semiHidden/>
    <w:unhideWhenUsed/>
    <w:rsid w:val="00623091"/>
    <w:rPr>
      <w:sz w:val="16"/>
      <w:szCs w:val="16"/>
    </w:rPr>
  </w:style>
  <w:style w:type="paragraph" w:styleId="CommentText">
    <w:name w:val="annotation text"/>
    <w:basedOn w:val="Normal"/>
    <w:link w:val="CommentTextChar"/>
    <w:uiPriority w:val="99"/>
    <w:unhideWhenUsed/>
    <w:rsid w:val="00623091"/>
    <w:pPr>
      <w:spacing w:line="240" w:lineRule="auto"/>
    </w:pPr>
    <w:rPr>
      <w:sz w:val="20"/>
      <w:szCs w:val="20"/>
    </w:rPr>
  </w:style>
  <w:style w:type="character" w:customStyle="1" w:styleId="CommentTextChar">
    <w:name w:val="Comment Text Char"/>
    <w:basedOn w:val="DefaultParagraphFont"/>
    <w:link w:val="CommentText"/>
    <w:uiPriority w:val="99"/>
    <w:rsid w:val="00623091"/>
    <w:rPr>
      <w:sz w:val="20"/>
      <w:szCs w:val="20"/>
    </w:rPr>
  </w:style>
  <w:style w:type="paragraph" w:styleId="CommentSubject">
    <w:name w:val="annotation subject"/>
    <w:basedOn w:val="CommentText"/>
    <w:next w:val="CommentText"/>
    <w:link w:val="CommentSubjectChar"/>
    <w:uiPriority w:val="99"/>
    <w:semiHidden/>
    <w:unhideWhenUsed/>
    <w:rsid w:val="00623091"/>
    <w:rPr>
      <w:b/>
      <w:bCs/>
    </w:rPr>
  </w:style>
  <w:style w:type="character" w:customStyle="1" w:styleId="CommentSubjectChar">
    <w:name w:val="Comment Subject Char"/>
    <w:basedOn w:val="CommentTextChar"/>
    <w:link w:val="CommentSubject"/>
    <w:uiPriority w:val="99"/>
    <w:semiHidden/>
    <w:rsid w:val="00623091"/>
    <w:rPr>
      <w:b/>
      <w:bCs/>
      <w:sz w:val="20"/>
      <w:szCs w:val="20"/>
    </w:rPr>
  </w:style>
  <w:style w:type="character" w:customStyle="1" w:styleId="Heading4Char">
    <w:name w:val="Heading 4 Char"/>
    <w:basedOn w:val="DefaultParagraphFont"/>
    <w:link w:val="Heading4"/>
    <w:uiPriority w:val="9"/>
    <w:rsid w:val="00AB77EB"/>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3E5941"/>
    <w:rPr>
      <w:b/>
      <w:bCs/>
    </w:rPr>
  </w:style>
  <w:style w:type="table" w:styleId="PlainTable1">
    <w:name w:val="Plain Table 1"/>
    <w:basedOn w:val="TableNormal"/>
    <w:uiPriority w:val="41"/>
    <w:rsid w:val="003E594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itle">
    <w:name w:val="Title"/>
    <w:basedOn w:val="Normal"/>
    <w:next w:val="Normal"/>
    <w:link w:val="TitleChar"/>
    <w:uiPriority w:val="10"/>
    <w:qFormat/>
    <w:rsid w:val="00350DB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0DB1"/>
    <w:rPr>
      <w:rFonts w:asciiTheme="majorHAnsi" w:eastAsiaTheme="majorEastAsia" w:hAnsiTheme="majorHAnsi" w:cstheme="majorBidi"/>
      <w:spacing w:val="-10"/>
      <w:kern w:val="28"/>
      <w:sz w:val="56"/>
      <w:szCs w:val="56"/>
    </w:rPr>
  </w:style>
  <w:style w:type="character" w:customStyle="1" w:styleId="apple-tab-span">
    <w:name w:val="apple-tab-span"/>
    <w:basedOn w:val="DefaultParagraphFont"/>
    <w:rsid w:val="00DC6873"/>
  </w:style>
  <w:style w:type="paragraph" w:customStyle="1" w:styleId="Default">
    <w:name w:val="Default"/>
    <w:rsid w:val="004520D2"/>
    <w:pPr>
      <w:autoSpaceDE w:val="0"/>
      <w:autoSpaceDN w:val="0"/>
      <w:adjustRightInd w:val="0"/>
      <w:spacing w:after="0" w:line="240" w:lineRule="auto"/>
    </w:pPr>
    <w:rPr>
      <w:rFonts w:ascii="NSPCC Light" w:eastAsiaTheme="minorEastAsia" w:hAnsi="NSPCC Light" w:cs="NSPCC Light"/>
      <w:color w:val="000000"/>
      <w:kern w:val="0"/>
      <w:sz w:val="24"/>
      <w:szCs w:val="24"/>
      <w14:ligatures w14:val="none"/>
    </w:rPr>
  </w:style>
  <w:style w:type="character" w:styleId="IntenseEmphasis">
    <w:name w:val="Intense Emphasis"/>
    <w:basedOn w:val="DefaultParagraphFont"/>
    <w:uiPriority w:val="21"/>
    <w:qFormat/>
    <w:rsid w:val="004520D2"/>
    <w:rPr>
      <w:b/>
      <w:bCs/>
      <w:i/>
      <w:iCs/>
      <w:color w:val="4472C4" w:themeColor="accent1"/>
    </w:rPr>
  </w:style>
  <w:style w:type="character" w:styleId="UnresolvedMention">
    <w:name w:val="Unresolved Mention"/>
    <w:basedOn w:val="DefaultParagraphFont"/>
    <w:uiPriority w:val="99"/>
    <w:semiHidden/>
    <w:unhideWhenUsed/>
    <w:rsid w:val="004520D2"/>
    <w:rPr>
      <w:color w:val="605E5C"/>
      <w:shd w:val="clear" w:color="auto" w:fill="E1DFDD"/>
    </w:rPr>
  </w:style>
  <w:style w:type="character" w:customStyle="1" w:styleId="Heading5Char">
    <w:name w:val="Heading 5 Char"/>
    <w:basedOn w:val="DefaultParagraphFont"/>
    <w:link w:val="Heading5"/>
    <w:uiPriority w:val="9"/>
    <w:rsid w:val="00642095"/>
    <w:rPr>
      <w:rFonts w:asciiTheme="majorHAnsi" w:eastAsiaTheme="majorEastAsia" w:hAnsiTheme="majorHAnsi" w:cstheme="majorBidi"/>
      <w:color w:val="2F5496" w:themeColor="accent1" w:themeShade="BF"/>
    </w:rPr>
  </w:style>
  <w:style w:type="paragraph" w:customStyle="1" w:styleId="TableHeading">
    <w:name w:val="Table Heading"/>
    <w:qFormat/>
    <w:rsid w:val="00BB5C69"/>
    <w:pPr>
      <w:spacing w:after="0" w:line="240" w:lineRule="auto"/>
    </w:pPr>
    <w:rPr>
      <w:rFonts w:ascii="Lato" w:eastAsia="Lato" w:hAnsi="Lato" w:cs="Lato"/>
      <w:b/>
      <w:color w:val="000000"/>
      <w:kern w:val="0"/>
      <w:sz w:val="26"/>
      <w:szCs w:val="26"/>
      <w:lang w:eastAsia="en-GB"/>
      <w14:ligatures w14:val="none"/>
    </w:rPr>
  </w:style>
  <w:style w:type="paragraph" w:styleId="Quote">
    <w:name w:val="Quote"/>
    <w:link w:val="QuoteChar"/>
    <w:qFormat/>
    <w:rsid w:val="00BB5C69"/>
    <w:pPr>
      <w:spacing w:after="0" w:line="240" w:lineRule="auto"/>
      <w:ind w:left="100"/>
    </w:pPr>
    <w:rPr>
      <w:rFonts w:ascii="Lato" w:eastAsia="Lato" w:hAnsi="Lato" w:cs="Lato"/>
      <w:color w:val="000000"/>
      <w:kern w:val="0"/>
      <w:sz w:val="24"/>
      <w:szCs w:val="24"/>
      <w:lang w:eastAsia="en-GB"/>
      <w14:ligatures w14:val="none"/>
    </w:rPr>
  </w:style>
  <w:style w:type="character" w:customStyle="1" w:styleId="QuoteChar">
    <w:name w:val="Quote Char"/>
    <w:basedOn w:val="DefaultParagraphFont"/>
    <w:link w:val="Quote"/>
    <w:rsid w:val="00BB5C69"/>
    <w:rPr>
      <w:rFonts w:ascii="Lato" w:eastAsia="Lato" w:hAnsi="Lato" w:cs="Lato"/>
      <w:color w:val="000000"/>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31354">
      <w:bodyDiv w:val="1"/>
      <w:marLeft w:val="0"/>
      <w:marRight w:val="0"/>
      <w:marTop w:val="0"/>
      <w:marBottom w:val="0"/>
      <w:divBdr>
        <w:top w:val="none" w:sz="0" w:space="0" w:color="auto"/>
        <w:left w:val="none" w:sz="0" w:space="0" w:color="auto"/>
        <w:bottom w:val="none" w:sz="0" w:space="0" w:color="auto"/>
        <w:right w:val="none" w:sz="0" w:space="0" w:color="auto"/>
      </w:divBdr>
    </w:div>
    <w:div w:id="34743580">
      <w:bodyDiv w:val="1"/>
      <w:marLeft w:val="0"/>
      <w:marRight w:val="0"/>
      <w:marTop w:val="0"/>
      <w:marBottom w:val="0"/>
      <w:divBdr>
        <w:top w:val="none" w:sz="0" w:space="0" w:color="auto"/>
        <w:left w:val="none" w:sz="0" w:space="0" w:color="auto"/>
        <w:bottom w:val="none" w:sz="0" w:space="0" w:color="auto"/>
        <w:right w:val="none" w:sz="0" w:space="0" w:color="auto"/>
      </w:divBdr>
    </w:div>
    <w:div w:id="64190144">
      <w:bodyDiv w:val="1"/>
      <w:marLeft w:val="0"/>
      <w:marRight w:val="0"/>
      <w:marTop w:val="0"/>
      <w:marBottom w:val="0"/>
      <w:divBdr>
        <w:top w:val="none" w:sz="0" w:space="0" w:color="auto"/>
        <w:left w:val="none" w:sz="0" w:space="0" w:color="auto"/>
        <w:bottom w:val="none" w:sz="0" w:space="0" w:color="auto"/>
        <w:right w:val="none" w:sz="0" w:space="0" w:color="auto"/>
      </w:divBdr>
    </w:div>
    <w:div w:id="69810114">
      <w:bodyDiv w:val="1"/>
      <w:marLeft w:val="0"/>
      <w:marRight w:val="0"/>
      <w:marTop w:val="0"/>
      <w:marBottom w:val="0"/>
      <w:divBdr>
        <w:top w:val="none" w:sz="0" w:space="0" w:color="auto"/>
        <w:left w:val="none" w:sz="0" w:space="0" w:color="auto"/>
        <w:bottom w:val="none" w:sz="0" w:space="0" w:color="auto"/>
        <w:right w:val="none" w:sz="0" w:space="0" w:color="auto"/>
      </w:divBdr>
    </w:div>
    <w:div w:id="73745824">
      <w:bodyDiv w:val="1"/>
      <w:marLeft w:val="0"/>
      <w:marRight w:val="0"/>
      <w:marTop w:val="0"/>
      <w:marBottom w:val="0"/>
      <w:divBdr>
        <w:top w:val="none" w:sz="0" w:space="0" w:color="auto"/>
        <w:left w:val="none" w:sz="0" w:space="0" w:color="auto"/>
        <w:bottom w:val="none" w:sz="0" w:space="0" w:color="auto"/>
        <w:right w:val="none" w:sz="0" w:space="0" w:color="auto"/>
      </w:divBdr>
    </w:div>
    <w:div w:id="81419997">
      <w:bodyDiv w:val="1"/>
      <w:marLeft w:val="0"/>
      <w:marRight w:val="0"/>
      <w:marTop w:val="0"/>
      <w:marBottom w:val="0"/>
      <w:divBdr>
        <w:top w:val="none" w:sz="0" w:space="0" w:color="auto"/>
        <w:left w:val="none" w:sz="0" w:space="0" w:color="auto"/>
        <w:bottom w:val="none" w:sz="0" w:space="0" w:color="auto"/>
        <w:right w:val="none" w:sz="0" w:space="0" w:color="auto"/>
      </w:divBdr>
    </w:div>
    <w:div w:id="86583123">
      <w:bodyDiv w:val="1"/>
      <w:marLeft w:val="0"/>
      <w:marRight w:val="0"/>
      <w:marTop w:val="0"/>
      <w:marBottom w:val="0"/>
      <w:divBdr>
        <w:top w:val="none" w:sz="0" w:space="0" w:color="auto"/>
        <w:left w:val="none" w:sz="0" w:space="0" w:color="auto"/>
        <w:bottom w:val="none" w:sz="0" w:space="0" w:color="auto"/>
        <w:right w:val="none" w:sz="0" w:space="0" w:color="auto"/>
      </w:divBdr>
    </w:div>
    <w:div w:id="97919675">
      <w:bodyDiv w:val="1"/>
      <w:marLeft w:val="0"/>
      <w:marRight w:val="0"/>
      <w:marTop w:val="0"/>
      <w:marBottom w:val="0"/>
      <w:divBdr>
        <w:top w:val="none" w:sz="0" w:space="0" w:color="auto"/>
        <w:left w:val="none" w:sz="0" w:space="0" w:color="auto"/>
        <w:bottom w:val="none" w:sz="0" w:space="0" w:color="auto"/>
        <w:right w:val="none" w:sz="0" w:space="0" w:color="auto"/>
      </w:divBdr>
    </w:div>
    <w:div w:id="98717929">
      <w:bodyDiv w:val="1"/>
      <w:marLeft w:val="0"/>
      <w:marRight w:val="0"/>
      <w:marTop w:val="0"/>
      <w:marBottom w:val="0"/>
      <w:divBdr>
        <w:top w:val="none" w:sz="0" w:space="0" w:color="auto"/>
        <w:left w:val="none" w:sz="0" w:space="0" w:color="auto"/>
        <w:bottom w:val="none" w:sz="0" w:space="0" w:color="auto"/>
        <w:right w:val="none" w:sz="0" w:space="0" w:color="auto"/>
      </w:divBdr>
    </w:div>
    <w:div w:id="105776686">
      <w:bodyDiv w:val="1"/>
      <w:marLeft w:val="0"/>
      <w:marRight w:val="0"/>
      <w:marTop w:val="0"/>
      <w:marBottom w:val="0"/>
      <w:divBdr>
        <w:top w:val="none" w:sz="0" w:space="0" w:color="auto"/>
        <w:left w:val="none" w:sz="0" w:space="0" w:color="auto"/>
        <w:bottom w:val="none" w:sz="0" w:space="0" w:color="auto"/>
        <w:right w:val="none" w:sz="0" w:space="0" w:color="auto"/>
      </w:divBdr>
    </w:div>
    <w:div w:id="116261865">
      <w:bodyDiv w:val="1"/>
      <w:marLeft w:val="0"/>
      <w:marRight w:val="0"/>
      <w:marTop w:val="0"/>
      <w:marBottom w:val="0"/>
      <w:divBdr>
        <w:top w:val="none" w:sz="0" w:space="0" w:color="auto"/>
        <w:left w:val="none" w:sz="0" w:space="0" w:color="auto"/>
        <w:bottom w:val="none" w:sz="0" w:space="0" w:color="auto"/>
        <w:right w:val="none" w:sz="0" w:space="0" w:color="auto"/>
      </w:divBdr>
    </w:div>
    <w:div w:id="117839060">
      <w:bodyDiv w:val="1"/>
      <w:marLeft w:val="0"/>
      <w:marRight w:val="0"/>
      <w:marTop w:val="0"/>
      <w:marBottom w:val="0"/>
      <w:divBdr>
        <w:top w:val="none" w:sz="0" w:space="0" w:color="auto"/>
        <w:left w:val="none" w:sz="0" w:space="0" w:color="auto"/>
        <w:bottom w:val="none" w:sz="0" w:space="0" w:color="auto"/>
        <w:right w:val="none" w:sz="0" w:space="0" w:color="auto"/>
      </w:divBdr>
    </w:div>
    <w:div w:id="132254693">
      <w:bodyDiv w:val="1"/>
      <w:marLeft w:val="0"/>
      <w:marRight w:val="0"/>
      <w:marTop w:val="0"/>
      <w:marBottom w:val="0"/>
      <w:divBdr>
        <w:top w:val="none" w:sz="0" w:space="0" w:color="auto"/>
        <w:left w:val="none" w:sz="0" w:space="0" w:color="auto"/>
        <w:bottom w:val="none" w:sz="0" w:space="0" w:color="auto"/>
        <w:right w:val="none" w:sz="0" w:space="0" w:color="auto"/>
      </w:divBdr>
    </w:div>
    <w:div w:id="137307625">
      <w:bodyDiv w:val="1"/>
      <w:marLeft w:val="0"/>
      <w:marRight w:val="0"/>
      <w:marTop w:val="0"/>
      <w:marBottom w:val="0"/>
      <w:divBdr>
        <w:top w:val="none" w:sz="0" w:space="0" w:color="auto"/>
        <w:left w:val="none" w:sz="0" w:space="0" w:color="auto"/>
        <w:bottom w:val="none" w:sz="0" w:space="0" w:color="auto"/>
        <w:right w:val="none" w:sz="0" w:space="0" w:color="auto"/>
      </w:divBdr>
    </w:div>
    <w:div w:id="167672356">
      <w:bodyDiv w:val="1"/>
      <w:marLeft w:val="0"/>
      <w:marRight w:val="0"/>
      <w:marTop w:val="0"/>
      <w:marBottom w:val="0"/>
      <w:divBdr>
        <w:top w:val="none" w:sz="0" w:space="0" w:color="auto"/>
        <w:left w:val="none" w:sz="0" w:space="0" w:color="auto"/>
        <w:bottom w:val="none" w:sz="0" w:space="0" w:color="auto"/>
        <w:right w:val="none" w:sz="0" w:space="0" w:color="auto"/>
      </w:divBdr>
    </w:div>
    <w:div w:id="173498735">
      <w:bodyDiv w:val="1"/>
      <w:marLeft w:val="0"/>
      <w:marRight w:val="0"/>
      <w:marTop w:val="0"/>
      <w:marBottom w:val="0"/>
      <w:divBdr>
        <w:top w:val="none" w:sz="0" w:space="0" w:color="auto"/>
        <w:left w:val="none" w:sz="0" w:space="0" w:color="auto"/>
        <w:bottom w:val="none" w:sz="0" w:space="0" w:color="auto"/>
        <w:right w:val="none" w:sz="0" w:space="0" w:color="auto"/>
      </w:divBdr>
    </w:div>
    <w:div w:id="173811726">
      <w:bodyDiv w:val="1"/>
      <w:marLeft w:val="0"/>
      <w:marRight w:val="0"/>
      <w:marTop w:val="0"/>
      <w:marBottom w:val="0"/>
      <w:divBdr>
        <w:top w:val="none" w:sz="0" w:space="0" w:color="auto"/>
        <w:left w:val="none" w:sz="0" w:space="0" w:color="auto"/>
        <w:bottom w:val="none" w:sz="0" w:space="0" w:color="auto"/>
        <w:right w:val="none" w:sz="0" w:space="0" w:color="auto"/>
      </w:divBdr>
    </w:div>
    <w:div w:id="186480191">
      <w:bodyDiv w:val="1"/>
      <w:marLeft w:val="0"/>
      <w:marRight w:val="0"/>
      <w:marTop w:val="0"/>
      <w:marBottom w:val="0"/>
      <w:divBdr>
        <w:top w:val="none" w:sz="0" w:space="0" w:color="auto"/>
        <w:left w:val="none" w:sz="0" w:space="0" w:color="auto"/>
        <w:bottom w:val="none" w:sz="0" w:space="0" w:color="auto"/>
        <w:right w:val="none" w:sz="0" w:space="0" w:color="auto"/>
      </w:divBdr>
    </w:div>
    <w:div w:id="206920276">
      <w:bodyDiv w:val="1"/>
      <w:marLeft w:val="0"/>
      <w:marRight w:val="0"/>
      <w:marTop w:val="0"/>
      <w:marBottom w:val="0"/>
      <w:divBdr>
        <w:top w:val="none" w:sz="0" w:space="0" w:color="auto"/>
        <w:left w:val="none" w:sz="0" w:space="0" w:color="auto"/>
        <w:bottom w:val="none" w:sz="0" w:space="0" w:color="auto"/>
        <w:right w:val="none" w:sz="0" w:space="0" w:color="auto"/>
      </w:divBdr>
    </w:div>
    <w:div w:id="212891773">
      <w:bodyDiv w:val="1"/>
      <w:marLeft w:val="0"/>
      <w:marRight w:val="0"/>
      <w:marTop w:val="0"/>
      <w:marBottom w:val="0"/>
      <w:divBdr>
        <w:top w:val="none" w:sz="0" w:space="0" w:color="auto"/>
        <w:left w:val="none" w:sz="0" w:space="0" w:color="auto"/>
        <w:bottom w:val="none" w:sz="0" w:space="0" w:color="auto"/>
        <w:right w:val="none" w:sz="0" w:space="0" w:color="auto"/>
      </w:divBdr>
    </w:div>
    <w:div w:id="268509917">
      <w:bodyDiv w:val="1"/>
      <w:marLeft w:val="0"/>
      <w:marRight w:val="0"/>
      <w:marTop w:val="0"/>
      <w:marBottom w:val="0"/>
      <w:divBdr>
        <w:top w:val="none" w:sz="0" w:space="0" w:color="auto"/>
        <w:left w:val="none" w:sz="0" w:space="0" w:color="auto"/>
        <w:bottom w:val="none" w:sz="0" w:space="0" w:color="auto"/>
        <w:right w:val="none" w:sz="0" w:space="0" w:color="auto"/>
      </w:divBdr>
    </w:div>
    <w:div w:id="297348048">
      <w:bodyDiv w:val="1"/>
      <w:marLeft w:val="0"/>
      <w:marRight w:val="0"/>
      <w:marTop w:val="0"/>
      <w:marBottom w:val="0"/>
      <w:divBdr>
        <w:top w:val="none" w:sz="0" w:space="0" w:color="auto"/>
        <w:left w:val="none" w:sz="0" w:space="0" w:color="auto"/>
        <w:bottom w:val="none" w:sz="0" w:space="0" w:color="auto"/>
        <w:right w:val="none" w:sz="0" w:space="0" w:color="auto"/>
      </w:divBdr>
    </w:div>
    <w:div w:id="299506921">
      <w:bodyDiv w:val="1"/>
      <w:marLeft w:val="0"/>
      <w:marRight w:val="0"/>
      <w:marTop w:val="0"/>
      <w:marBottom w:val="0"/>
      <w:divBdr>
        <w:top w:val="none" w:sz="0" w:space="0" w:color="auto"/>
        <w:left w:val="none" w:sz="0" w:space="0" w:color="auto"/>
        <w:bottom w:val="none" w:sz="0" w:space="0" w:color="auto"/>
        <w:right w:val="none" w:sz="0" w:space="0" w:color="auto"/>
      </w:divBdr>
    </w:div>
    <w:div w:id="304507719">
      <w:bodyDiv w:val="1"/>
      <w:marLeft w:val="0"/>
      <w:marRight w:val="0"/>
      <w:marTop w:val="0"/>
      <w:marBottom w:val="0"/>
      <w:divBdr>
        <w:top w:val="none" w:sz="0" w:space="0" w:color="auto"/>
        <w:left w:val="none" w:sz="0" w:space="0" w:color="auto"/>
        <w:bottom w:val="none" w:sz="0" w:space="0" w:color="auto"/>
        <w:right w:val="none" w:sz="0" w:space="0" w:color="auto"/>
      </w:divBdr>
    </w:div>
    <w:div w:id="315258547">
      <w:bodyDiv w:val="1"/>
      <w:marLeft w:val="0"/>
      <w:marRight w:val="0"/>
      <w:marTop w:val="0"/>
      <w:marBottom w:val="0"/>
      <w:divBdr>
        <w:top w:val="none" w:sz="0" w:space="0" w:color="auto"/>
        <w:left w:val="none" w:sz="0" w:space="0" w:color="auto"/>
        <w:bottom w:val="none" w:sz="0" w:space="0" w:color="auto"/>
        <w:right w:val="none" w:sz="0" w:space="0" w:color="auto"/>
      </w:divBdr>
    </w:div>
    <w:div w:id="318387871">
      <w:bodyDiv w:val="1"/>
      <w:marLeft w:val="0"/>
      <w:marRight w:val="0"/>
      <w:marTop w:val="0"/>
      <w:marBottom w:val="0"/>
      <w:divBdr>
        <w:top w:val="none" w:sz="0" w:space="0" w:color="auto"/>
        <w:left w:val="none" w:sz="0" w:space="0" w:color="auto"/>
        <w:bottom w:val="none" w:sz="0" w:space="0" w:color="auto"/>
        <w:right w:val="none" w:sz="0" w:space="0" w:color="auto"/>
      </w:divBdr>
    </w:div>
    <w:div w:id="324435227">
      <w:bodyDiv w:val="1"/>
      <w:marLeft w:val="0"/>
      <w:marRight w:val="0"/>
      <w:marTop w:val="0"/>
      <w:marBottom w:val="0"/>
      <w:divBdr>
        <w:top w:val="none" w:sz="0" w:space="0" w:color="auto"/>
        <w:left w:val="none" w:sz="0" w:space="0" w:color="auto"/>
        <w:bottom w:val="none" w:sz="0" w:space="0" w:color="auto"/>
        <w:right w:val="none" w:sz="0" w:space="0" w:color="auto"/>
      </w:divBdr>
    </w:div>
    <w:div w:id="335309320">
      <w:bodyDiv w:val="1"/>
      <w:marLeft w:val="0"/>
      <w:marRight w:val="0"/>
      <w:marTop w:val="0"/>
      <w:marBottom w:val="0"/>
      <w:divBdr>
        <w:top w:val="none" w:sz="0" w:space="0" w:color="auto"/>
        <w:left w:val="none" w:sz="0" w:space="0" w:color="auto"/>
        <w:bottom w:val="none" w:sz="0" w:space="0" w:color="auto"/>
        <w:right w:val="none" w:sz="0" w:space="0" w:color="auto"/>
      </w:divBdr>
    </w:div>
    <w:div w:id="336545660">
      <w:bodyDiv w:val="1"/>
      <w:marLeft w:val="0"/>
      <w:marRight w:val="0"/>
      <w:marTop w:val="0"/>
      <w:marBottom w:val="0"/>
      <w:divBdr>
        <w:top w:val="none" w:sz="0" w:space="0" w:color="auto"/>
        <w:left w:val="none" w:sz="0" w:space="0" w:color="auto"/>
        <w:bottom w:val="none" w:sz="0" w:space="0" w:color="auto"/>
        <w:right w:val="none" w:sz="0" w:space="0" w:color="auto"/>
      </w:divBdr>
    </w:div>
    <w:div w:id="340738533">
      <w:bodyDiv w:val="1"/>
      <w:marLeft w:val="0"/>
      <w:marRight w:val="0"/>
      <w:marTop w:val="0"/>
      <w:marBottom w:val="0"/>
      <w:divBdr>
        <w:top w:val="none" w:sz="0" w:space="0" w:color="auto"/>
        <w:left w:val="none" w:sz="0" w:space="0" w:color="auto"/>
        <w:bottom w:val="none" w:sz="0" w:space="0" w:color="auto"/>
        <w:right w:val="none" w:sz="0" w:space="0" w:color="auto"/>
      </w:divBdr>
    </w:div>
    <w:div w:id="344870714">
      <w:bodyDiv w:val="1"/>
      <w:marLeft w:val="0"/>
      <w:marRight w:val="0"/>
      <w:marTop w:val="0"/>
      <w:marBottom w:val="0"/>
      <w:divBdr>
        <w:top w:val="none" w:sz="0" w:space="0" w:color="auto"/>
        <w:left w:val="none" w:sz="0" w:space="0" w:color="auto"/>
        <w:bottom w:val="none" w:sz="0" w:space="0" w:color="auto"/>
        <w:right w:val="none" w:sz="0" w:space="0" w:color="auto"/>
      </w:divBdr>
    </w:div>
    <w:div w:id="366026334">
      <w:bodyDiv w:val="1"/>
      <w:marLeft w:val="0"/>
      <w:marRight w:val="0"/>
      <w:marTop w:val="0"/>
      <w:marBottom w:val="0"/>
      <w:divBdr>
        <w:top w:val="none" w:sz="0" w:space="0" w:color="auto"/>
        <w:left w:val="none" w:sz="0" w:space="0" w:color="auto"/>
        <w:bottom w:val="none" w:sz="0" w:space="0" w:color="auto"/>
        <w:right w:val="none" w:sz="0" w:space="0" w:color="auto"/>
      </w:divBdr>
    </w:div>
    <w:div w:id="405877748">
      <w:bodyDiv w:val="1"/>
      <w:marLeft w:val="0"/>
      <w:marRight w:val="0"/>
      <w:marTop w:val="0"/>
      <w:marBottom w:val="0"/>
      <w:divBdr>
        <w:top w:val="none" w:sz="0" w:space="0" w:color="auto"/>
        <w:left w:val="none" w:sz="0" w:space="0" w:color="auto"/>
        <w:bottom w:val="none" w:sz="0" w:space="0" w:color="auto"/>
        <w:right w:val="none" w:sz="0" w:space="0" w:color="auto"/>
      </w:divBdr>
      <w:divsChild>
        <w:div w:id="785318339">
          <w:marLeft w:val="547"/>
          <w:marRight w:val="0"/>
          <w:marTop w:val="0"/>
          <w:marBottom w:val="0"/>
          <w:divBdr>
            <w:top w:val="none" w:sz="0" w:space="0" w:color="auto"/>
            <w:left w:val="none" w:sz="0" w:space="0" w:color="auto"/>
            <w:bottom w:val="none" w:sz="0" w:space="0" w:color="auto"/>
            <w:right w:val="none" w:sz="0" w:space="0" w:color="auto"/>
          </w:divBdr>
        </w:div>
      </w:divsChild>
    </w:div>
    <w:div w:id="408231100">
      <w:bodyDiv w:val="1"/>
      <w:marLeft w:val="0"/>
      <w:marRight w:val="0"/>
      <w:marTop w:val="0"/>
      <w:marBottom w:val="0"/>
      <w:divBdr>
        <w:top w:val="none" w:sz="0" w:space="0" w:color="auto"/>
        <w:left w:val="none" w:sz="0" w:space="0" w:color="auto"/>
        <w:bottom w:val="none" w:sz="0" w:space="0" w:color="auto"/>
        <w:right w:val="none" w:sz="0" w:space="0" w:color="auto"/>
      </w:divBdr>
    </w:div>
    <w:div w:id="416563736">
      <w:bodyDiv w:val="1"/>
      <w:marLeft w:val="0"/>
      <w:marRight w:val="0"/>
      <w:marTop w:val="0"/>
      <w:marBottom w:val="0"/>
      <w:divBdr>
        <w:top w:val="none" w:sz="0" w:space="0" w:color="auto"/>
        <w:left w:val="none" w:sz="0" w:space="0" w:color="auto"/>
        <w:bottom w:val="none" w:sz="0" w:space="0" w:color="auto"/>
        <w:right w:val="none" w:sz="0" w:space="0" w:color="auto"/>
      </w:divBdr>
    </w:div>
    <w:div w:id="416830113">
      <w:bodyDiv w:val="1"/>
      <w:marLeft w:val="0"/>
      <w:marRight w:val="0"/>
      <w:marTop w:val="0"/>
      <w:marBottom w:val="0"/>
      <w:divBdr>
        <w:top w:val="none" w:sz="0" w:space="0" w:color="auto"/>
        <w:left w:val="none" w:sz="0" w:space="0" w:color="auto"/>
        <w:bottom w:val="none" w:sz="0" w:space="0" w:color="auto"/>
        <w:right w:val="none" w:sz="0" w:space="0" w:color="auto"/>
      </w:divBdr>
    </w:div>
    <w:div w:id="430004507">
      <w:bodyDiv w:val="1"/>
      <w:marLeft w:val="0"/>
      <w:marRight w:val="0"/>
      <w:marTop w:val="0"/>
      <w:marBottom w:val="0"/>
      <w:divBdr>
        <w:top w:val="none" w:sz="0" w:space="0" w:color="auto"/>
        <w:left w:val="none" w:sz="0" w:space="0" w:color="auto"/>
        <w:bottom w:val="none" w:sz="0" w:space="0" w:color="auto"/>
        <w:right w:val="none" w:sz="0" w:space="0" w:color="auto"/>
      </w:divBdr>
    </w:div>
    <w:div w:id="446118601">
      <w:bodyDiv w:val="1"/>
      <w:marLeft w:val="0"/>
      <w:marRight w:val="0"/>
      <w:marTop w:val="0"/>
      <w:marBottom w:val="0"/>
      <w:divBdr>
        <w:top w:val="none" w:sz="0" w:space="0" w:color="auto"/>
        <w:left w:val="none" w:sz="0" w:space="0" w:color="auto"/>
        <w:bottom w:val="none" w:sz="0" w:space="0" w:color="auto"/>
        <w:right w:val="none" w:sz="0" w:space="0" w:color="auto"/>
      </w:divBdr>
    </w:div>
    <w:div w:id="456027919">
      <w:bodyDiv w:val="1"/>
      <w:marLeft w:val="0"/>
      <w:marRight w:val="0"/>
      <w:marTop w:val="0"/>
      <w:marBottom w:val="0"/>
      <w:divBdr>
        <w:top w:val="none" w:sz="0" w:space="0" w:color="auto"/>
        <w:left w:val="none" w:sz="0" w:space="0" w:color="auto"/>
        <w:bottom w:val="none" w:sz="0" w:space="0" w:color="auto"/>
        <w:right w:val="none" w:sz="0" w:space="0" w:color="auto"/>
      </w:divBdr>
    </w:div>
    <w:div w:id="469517960">
      <w:bodyDiv w:val="1"/>
      <w:marLeft w:val="0"/>
      <w:marRight w:val="0"/>
      <w:marTop w:val="0"/>
      <w:marBottom w:val="0"/>
      <w:divBdr>
        <w:top w:val="none" w:sz="0" w:space="0" w:color="auto"/>
        <w:left w:val="none" w:sz="0" w:space="0" w:color="auto"/>
        <w:bottom w:val="none" w:sz="0" w:space="0" w:color="auto"/>
        <w:right w:val="none" w:sz="0" w:space="0" w:color="auto"/>
      </w:divBdr>
    </w:div>
    <w:div w:id="493499809">
      <w:bodyDiv w:val="1"/>
      <w:marLeft w:val="0"/>
      <w:marRight w:val="0"/>
      <w:marTop w:val="0"/>
      <w:marBottom w:val="0"/>
      <w:divBdr>
        <w:top w:val="none" w:sz="0" w:space="0" w:color="auto"/>
        <w:left w:val="none" w:sz="0" w:space="0" w:color="auto"/>
        <w:bottom w:val="none" w:sz="0" w:space="0" w:color="auto"/>
        <w:right w:val="none" w:sz="0" w:space="0" w:color="auto"/>
      </w:divBdr>
    </w:div>
    <w:div w:id="503591955">
      <w:bodyDiv w:val="1"/>
      <w:marLeft w:val="0"/>
      <w:marRight w:val="0"/>
      <w:marTop w:val="0"/>
      <w:marBottom w:val="0"/>
      <w:divBdr>
        <w:top w:val="none" w:sz="0" w:space="0" w:color="auto"/>
        <w:left w:val="none" w:sz="0" w:space="0" w:color="auto"/>
        <w:bottom w:val="none" w:sz="0" w:space="0" w:color="auto"/>
        <w:right w:val="none" w:sz="0" w:space="0" w:color="auto"/>
      </w:divBdr>
    </w:div>
    <w:div w:id="512304153">
      <w:bodyDiv w:val="1"/>
      <w:marLeft w:val="0"/>
      <w:marRight w:val="0"/>
      <w:marTop w:val="0"/>
      <w:marBottom w:val="0"/>
      <w:divBdr>
        <w:top w:val="none" w:sz="0" w:space="0" w:color="auto"/>
        <w:left w:val="none" w:sz="0" w:space="0" w:color="auto"/>
        <w:bottom w:val="none" w:sz="0" w:space="0" w:color="auto"/>
        <w:right w:val="none" w:sz="0" w:space="0" w:color="auto"/>
      </w:divBdr>
    </w:div>
    <w:div w:id="523127869">
      <w:bodyDiv w:val="1"/>
      <w:marLeft w:val="0"/>
      <w:marRight w:val="0"/>
      <w:marTop w:val="0"/>
      <w:marBottom w:val="0"/>
      <w:divBdr>
        <w:top w:val="none" w:sz="0" w:space="0" w:color="auto"/>
        <w:left w:val="none" w:sz="0" w:space="0" w:color="auto"/>
        <w:bottom w:val="none" w:sz="0" w:space="0" w:color="auto"/>
        <w:right w:val="none" w:sz="0" w:space="0" w:color="auto"/>
      </w:divBdr>
    </w:div>
    <w:div w:id="556555990">
      <w:bodyDiv w:val="1"/>
      <w:marLeft w:val="0"/>
      <w:marRight w:val="0"/>
      <w:marTop w:val="0"/>
      <w:marBottom w:val="0"/>
      <w:divBdr>
        <w:top w:val="none" w:sz="0" w:space="0" w:color="auto"/>
        <w:left w:val="none" w:sz="0" w:space="0" w:color="auto"/>
        <w:bottom w:val="none" w:sz="0" w:space="0" w:color="auto"/>
        <w:right w:val="none" w:sz="0" w:space="0" w:color="auto"/>
      </w:divBdr>
    </w:div>
    <w:div w:id="566112802">
      <w:bodyDiv w:val="1"/>
      <w:marLeft w:val="0"/>
      <w:marRight w:val="0"/>
      <w:marTop w:val="0"/>
      <w:marBottom w:val="0"/>
      <w:divBdr>
        <w:top w:val="none" w:sz="0" w:space="0" w:color="auto"/>
        <w:left w:val="none" w:sz="0" w:space="0" w:color="auto"/>
        <w:bottom w:val="none" w:sz="0" w:space="0" w:color="auto"/>
        <w:right w:val="none" w:sz="0" w:space="0" w:color="auto"/>
      </w:divBdr>
    </w:div>
    <w:div w:id="577593937">
      <w:bodyDiv w:val="1"/>
      <w:marLeft w:val="0"/>
      <w:marRight w:val="0"/>
      <w:marTop w:val="0"/>
      <w:marBottom w:val="0"/>
      <w:divBdr>
        <w:top w:val="none" w:sz="0" w:space="0" w:color="auto"/>
        <w:left w:val="none" w:sz="0" w:space="0" w:color="auto"/>
        <w:bottom w:val="none" w:sz="0" w:space="0" w:color="auto"/>
        <w:right w:val="none" w:sz="0" w:space="0" w:color="auto"/>
      </w:divBdr>
    </w:div>
    <w:div w:id="578028855">
      <w:bodyDiv w:val="1"/>
      <w:marLeft w:val="0"/>
      <w:marRight w:val="0"/>
      <w:marTop w:val="0"/>
      <w:marBottom w:val="0"/>
      <w:divBdr>
        <w:top w:val="none" w:sz="0" w:space="0" w:color="auto"/>
        <w:left w:val="none" w:sz="0" w:space="0" w:color="auto"/>
        <w:bottom w:val="none" w:sz="0" w:space="0" w:color="auto"/>
        <w:right w:val="none" w:sz="0" w:space="0" w:color="auto"/>
      </w:divBdr>
    </w:div>
    <w:div w:id="587539192">
      <w:bodyDiv w:val="1"/>
      <w:marLeft w:val="0"/>
      <w:marRight w:val="0"/>
      <w:marTop w:val="0"/>
      <w:marBottom w:val="0"/>
      <w:divBdr>
        <w:top w:val="none" w:sz="0" w:space="0" w:color="auto"/>
        <w:left w:val="none" w:sz="0" w:space="0" w:color="auto"/>
        <w:bottom w:val="none" w:sz="0" w:space="0" w:color="auto"/>
        <w:right w:val="none" w:sz="0" w:space="0" w:color="auto"/>
      </w:divBdr>
    </w:div>
    <w:div w:id="587739589">
      <w:bodyDiv w:val="1"/>
      <w:marLeft w:val="0"/>
      <w:marRight w:val="0"/>
      <w:marTop w:val="0"/>
      <w:marBottom w:val="0"/>
      <w:divBdr>
        <w:top w:val="none" w:sz="0" w:space="0" w:color="auto"/>
        <w:left w:val="none" w:sz="0" w:space="0" w:color="auto"/>
        <w:bottom w:val="none" w:sz="0" w:space="0" w:color="auto"/>
        <w:right w:val="none" w:sz="0" w:space="0" w:color="auto"/>
      </w:divBdr>
    </w:div>
    <w:div w:id="599068842">
      <w:bodyDiv w:val="1"/>
      <w:marLeft w:val="0"/>
      <w:marRight w:val="0"/>
      <w:marTop w:val="0"/>
      <w:marBottom w:val="0"/>
      <w:divBdr>
        <w:top w:val="none" w:sz="0" w:space="0" w:color="auto"/>
        <w:left w:val="none" w:sz="0" w:space="0" w:color="auto"/>
        <w:bottom w:val="none" w:sz="0" w:space="0" w:color="auto"/>
        <w:right w:val="none" w:sz="0" w:space="0" w:color="auto"/>
      </w:divBdr>
    </w:div>
    <w:div w:id="607010778">
      <w:bodyDiv w:val="1"/>
      <w:marLeft w:val="0"/>
      <w:marRight w:val="0"/>
      <w:marTop w:val="0"/>
      <w:marBottom w:val="0"/>
      <w:divBdr>
        <w:top w:val="none" w:sz="0" w:space="0" w:color="auto"/>
        <w:left w:val="none" w:sz="0" w:space="0" w:color="auto"/>
        <w:bottom w:val="none" w:sz="0" w:space="0" w:color="auto"/>
        <w:right w:val="none" w:sz="0" w:space="0" w:color="auto"/>
      </w:divBdr>
    </w:div>
    <w:div w:id="610740740">
      <w:bodyDiv w:val="1"/>
      <w:marLeft w:val="0"/>
      <w:marRight w:val="0"/>
      <w:marTop w:val="0"/>
      <w:marBottom w:val="0"/>
      <w:divBdr>
        <w:top w:val="none" w:sz="0" w:space="0" w:color="auto"/>
        <w:left w:val="none" w:sz="0" w:space="0" w:color="auto"/>
        <w:bottom w:val="none" w:sz="0" w:space="0" w:color="auto"/>
        <w:right w:val="none" w:sz="0" w:space="0" w:color="auto"/>
      </w:divBdr>
    </w:div>
    <w:div w:id="611085168">
      <w:bodyDiv w:val="1"/>
      <w:marLeft w:val="0"/>
      <w:marRight w:val="0"/>
      <w:marTop w:val="0"/>
      <w:marBottom w:val="0"/>
      <w:divBdr>
        <w:top w:val="none" w:sz="0" w:space="0" w:color="auto"/>
        <w:left w:val="none" w:sz="0" w:space="0" w:color="auto"/>
        <w:bottom w:val="none" w:sz="0" w:space="0" w:color="auto"/>
        <w:right w:val="none" w:sz="0" w:space="0" w:color="auto"/>
      </w:divBdr>
    </w:div>
    <w:div w:id="654722304">
      <w:bodyDiv w:val="1"/>
      <w:marLeft w:val="0"/>
      <w:marRight w:val="0"/>
      <w:marTop w:val="0"/>
      <w:marBottom w:val="0"/>
      <w:divBdr>
        <w:top w:val="none" w:sz="0" w:space="0" w:color="auto"/>
        <w:left w:val="none" w:sz="0" w:space="0" w:color="auto"/>
        <w:bottom w:val="none" w:sz="0" w:space="0" w:color="auto"/>
        <w:right w:val="none" w:sz="0" w:space="0" w:color="auto"/>
      </w:divBdr>
    </w:div>
    <w:div w:id="655493711">
      <w:bodyDiv w:val="1"/>
      <w:marLeft w:val="0"/>
      <w:marRight w:val="0"/>
      <w:marTop w:val="0"/>
      <w:marBottom w:val="0"/>
      <w:divBdr>
        <w:top w:val="none" w:sz="0" w:space="0" w:color="auto"/>
        <w:left w:val="none" w:sz="0" w:space="0" w:color="auto"/>
        <w:bottom w:val="none" w:sz="0" w:space="0" w:color="auto"/>
        <w:right w:val="none" w:sz="0" w:space="0" w:color="auto"/>
      </w:divBdr>
    </w:div>
    <w:div w:id="669941257">
      <w:bodyDiv w:val="1"/>
      <w:marLeft w:val="0"/>
      <w:marRight w:val="0"/>
      <w:marTop w:val="0"/>
      <w:marBottom w:val="0"/>
      <w:divBdr>
        <w:top w:val="none" w:sz="0" w:space="0" w:color="auto"/>
        <w:left w:val="none" w:sz="0" w:space="0" w:color="auto"/>
        <w:bottom w:val="none" w:sz="0" w:space="0" w:color="auto"/>
        <w:right w:val="none" w:sz="0" w:space="0" w:color="auto"/>
      </w:divBdr>
    </w:div>
    <w:div w:id="671224598">
      <w:bodyDiv w:val="1"/>
      <w:marLeft w:val="0"/>
      <w:marRight w:val="0"/>
      <w:marTop w:val="0"/>
      <w:marBottom w:val="0"/>
      <w:divBdr>
        <w:top w:val="none" w:sz="0" w:space="0" w:color="auto"/>
        <w:left w:val="none" w:sz="0" w:space="0" w:color="auto"/>
        <w:bottom w:val="none" w:sz="0" w:space="0" w:color="auto"/>
        <w:right w:val="none" w:sz="0" w:space="0" w:color="auto"/>
      </w:divBdr>
    </w:div>
    <w:div w:id="694886409">
      <w:bodyDiv w:val="1"/>
      <w:marLeft w:val="0"/>
      <w:marRight w:val="0"/>
      <w:marTop w:val="0"/>
      <w:marBottom w:val="0"/>
      <w:divBdr>
        <w:top w:val="none" w:sz="0" w:space="0" w:color="auto"/>
        <w:left w:val="none" w:sz="0" w:space="0" w:color="auto"/>
        <w:bottom w:val="none" w:sz="0" w:space="0" w:color="auto"/>
        <w:right w:val="none" w:sz="0" w:space="0" w:color="auto"/>
      </w:divBdr>
    </w:div>
    <w:div w:id="703870020">
      <w:bodyDiv w:val="1"/>
      <w:marLeft w:val="0"/>
      <w:marRight w:val="0"/>
      <w:marTop w:val="0"/>
      <w:marBottom w:val="0"/>
      <w:divBdr>
        <w:top w:val="none" w:sz="0" w:space="0" w:color="auto"/>
        <w:left w:val="none" w:sz="0" w:space="0" w:color="auto"/>
        <w:bottom w:val="none" w:sz="0" w:space="0" w:color="auto"/>
        <w:right w:val="none" w:sz="0" w:space="0" w:color="auto"/>
      </w:divBdr>
    </w:div>
    <w:div w:id="712585314">
      <w:bodyDiv w:val="1"/>
      <w:marLeft w:val="0"/>
      <w:marRight w:val="0"/>
      <w:marTop w:val="0"/>
      <w:marBottom w:val="0"/>
      <w:divBdr>
        <w:top w:val="none" w:sz="0" w:space="0" w:color="auto"/>
        <w:left w:val="none" w:sz="0" w:space="0" w:color="auto"/>
        <w:bottom w:val="none" w:sz="0" w:space="0" w:color="auto"/>
        <w:right w:val="none" w:sz="0" w:space="0" w:color="auto"/>
      </w:divBdr>
    </w:div>
    <w:div w:id="723219216">
      <w:bodyDiv w:val="1"/>
      <w:marLeft w:val="0"/>
      <w:marRight w:val="0"/>
      <w:marTop w:val="0"/>
      <w:marBottom w:val="0"/>
      <w:divBdr>
        <w:top w:val="none" w:sz="0" w:space="0" w:color="auto"/>
        <w:left w:val="none" w:sz="0" w:space="0" w:color="auto"/>
        <w:bottom w:val="none" w:sz="0" w:space="0" w:color="auto"/>
        <w:right w:val="none" w:sz="0" w:space="0" w:color="auto"/>
      </w:divBdr>
    </w:div>
    <w:div w:id="726225130">
      <w:bodyDiv w:val="1"/>
      <w:marLeft w:val="0"/>
      <w:marRight w:val="0"/>
      <w:marTop w:val="0"/>
      <w:marBottom w:val="0"/>
      <w:divBdr>
        <w:top w:val="none" w:sz="0" w:space="0" w:color="auto"/>
        <w:left w:val="none" w:sz="0" w:space="0" w:color="auto"/>
        <w:bottom w:val="none" w:sz="0" w:space="0" w:color="auto"/>
        <w:right w:val="none" w:sz="0" w:space="0" w:color="auto"/>
      </w:divBdr>
    </w:div>
    <w:div w:id="728067834">
      <w:bodyDiv w:val="1"/>
      <w:marLeft w:val="0"/>
      <w:marRight w:val="0"/>
      <w:marTop w:val="0"/>
      <w:marBottom w:val="0"/>
      <w:divBdr>
        <w:top w:val="none" w:sz="0" w:space="0" w:color="auto"/>
        <w:left w:val="none" w:sz="0" w:space="0" w:color="auto"/>
        <w:bottom w:val="none" w:sz="0" w:space="0" w:color="auto"/>
        <w:right w:val="none" w:sz="0" w:space="0" w:color="auto"/>
      </w:divBdr>
    </w:div>
    <w:div w:id="729498819">
      <w:bodyDiv w:val="1"/>
      <w:marLeft w:val="0"/>
      <w:marRight w:val="0"/>
      <w:marTop w:val="0"/>
      <w:marBottom w:val="0"/>
      <w:divBdr>
        <w:top w:val="none" w:sz="0" w:space="0" w:color="auto"/>
        <w:left w:val="none" w:sz="0" w:space="0" w:color="auto"/>
        <w:bottom w:val="none" w:sz="0" w:space="0" w:color="auto"/>
        <w:right w:val="none" w:sz="0" w:space="0" w:color="auto"/>
      </w:divBdr>
    </w:div>
    <w:div w:id="742024499">
      <w:bodyDiv w:val="1"/>
      <w:marLeft w:val="0"/>
      <w:marRight w:val="0"/>
      <w:marTop w:val="0"/>
      <w:marBottom w:val="0"/>
      <w:divBdr>
        <w:top w:val="none" w:sz="0" w:space="0" w:color="auto"/>
        <w:left w:val="none" w:sz="0" w:space="0" w:color="auto"/>
        <w:bottom w:val="none" w:sz="0" w:space="0" w:color="auto"/>
        <w:right w:val="none" w:sz="0" w:space="0" w:color="auto"/>
      </w:divBdr>
    </w:div>
    <w:div w:id="754286251">
      <w:bodyDiv w:val="1"/>
      <w:marLeft w:val="0"/>
      <w:marRight w:val="0"/>
      <w:marTop w:val="0"/>
      <w:marBottom w:val="0"/>
      <w:divBdr>
        <w:top w:val="none" w:sz="0" w:space="0" w:color="auto"/>
        <w:left w:val="none" w:sz="0" w:space="0" w:color="auto"/>
        <w:bottom w:val="none" w:sz="0" w:space="0" w:color="auto"/>
        <w:right w:val="none" w:sz="0" w:space="0" w:color="auto"/>
      </w:divBdr>
    </w:div>
    <w:div w:id="787285381">
      <w:bodyDiv w:val="1"/>
      <w:marLeft w:val="0"/>
      <w:marRight w:val="0"/>
      <w:marTop w:val="0"/>
      <w:marBottom w:val="0"/>
      <w:divBdr>
        <w:top w:val="none" w:sz="0" w:space="0" w:color="auto"/>
        <w:left w:val="none" w:sz="0" w:space="0" w:color="auto"/>
        <w:bottom w:val="none" w:sz="0" w:space="0" w:color="auto"/>
        <w:right w:val="none" w:sz="0" w:space="0" w:color="auto"/>
      </w:divBdr>
    </w:div>
    <w:div w:id="793986370">
      <w:bodyDiv w:val="1"/>
      <w:marLeft w:val="0"/>
      <w:marRight w:val="0"/>
      <w:marTop w:val="0"/>
      <w:marBottom w:val="0"/>
      <w:divBdr>
        <w:top w:val="none" w:sz="0" w:space="0" w:color="auto"/>
        <w:left w:val="none" w:sz="0" w:space="0" w:color="auto"/>
        <w:bottom w:val="none" w:sz="0" w:space="0" w:color="auto"/>
        <w:right w:val="none" w:sz="0" w:space="0" w:color="auto"/>
      </w:divBdr>
    </w:div>
    <w:div w:id="808716744">
      <w:bodyDiv w:val="1"/>
      <w:marLeft w:val="0"/>
      <w:marRight w:val="0"/>
      <w:marTop w:val="0"/>
      <w:marBottom w:val="0"/>
      <w:divBdr>
        <w:top w:val="none" w:sz="0" w:space="0" w:color="auto"/>
        <w:left w:val="none" w:sz="0" w:space="0" w:color="auto"/>
        <w:bottom w:val="none" w:sz="0" w:space="0" w:color="auto"/>
        <w:right w:val="none" w:sz="0" w:space="0" w:color="auto"/>
      </w:divBdr>
    </w:div>
    <w:div w:id="817452793">
      <w:bodyDiv w:val="1"/>
      <w:marLeft w:val="0"/>
      <w:marRight w:val="0"/>
      <w:marTop w:val="0"/>
      <w:marBottom w:val="0"/>
      <w:divBdr>
        <w:top w:val="none" w:sz="0" w:space="0" w:color="auto"/>
        <w:left w:val="none" w:sz="0" w:space="0" w:color="auto"/>
        <w:bottom w:val="none" w:sz="0" w:space="0" w:color="auto"/>
        <w:right w:val="none" w:sz="0" w:space="0" w:color="auto"/>
      </w:divBdr>
    </w:div>
    <w:div w:id="817724190">
      <w:bodyDiv w:val="1"/>
      <w:marLeft w:val="0"/>
      <w:marRight w:val="0"/>
      <w:marTop w:val="0"/>
      <w:marBottom w:val="0"/>
      <w:divBdr>
        <w:top w:val="none" w:sz="0" w:space="0" w:color="auto"/>
        <w:left w:val="none" w:sz="0" w:space="0" w:color="auto"/>
        <w:bottom w:val="none" w:sz="0" w:space="0" w:color="auto"/>
        <w:right w:val="none" w:sz="0" w:space="0" w:color="auto"/>
      </w:divBdr>
    </w:div>
    <w:div w:id="847671126">
      <w:bodyDiv w:val="1"/>
      <w:marLeft w:val="0"/>
      <w:marRight w:val="0"/>
      <w:marTop w:val="0"/>
      <w:marBottom w:val="0"/>
      <w:divBdr>
        <w:top w:val="none" w:sz="0" w:space="0" w:color="auto"/>
        <w:left w:val="none" w:sz="0" w:space="0" w:color="auto"/>
        <w:bottom w:val="none" w:sz="0" w:space="0" w:color="auto"/>
        <w:right w:val="none" w:sz="0" w:space="0" w:color="auto"/>
      </w:divBdr>
    </w:div>
    <w:div w:id="864055284">
      <w:bodyDiv w:val="1"/>
      <w:marLeft w:val="0"/>
      <w:marRight w:val="0"/>
      <w:marTop w:val="0"/>
      <w:marBottom w:val="0"/>
      <w:divBdr>
        <w:top w:val="none" w:sz="0" w:space="0" w:color="auto"/>
        <w:left w:val="none" w:sz="0" w:space="0" w:color="auto"/>
        <w:bottom w:val="none" w:sz="0" w:space="0" w:color="auto"/>
        <w:right w:val="none" w:sz="0" w:space="0" w:color="auto"/>
      </w:divBdr>
      <w:divsChild>
        <w:div w:id="1734112925">
          <w:marLeft w:val="0"/>
          <w:marRight w:val="0"/>
          <w:marTop w:val="0"/>
          <w:marBottom w:val="0"/>
          <w:divBdr>
            <w:top w:val="none" w:sz="0" w:space="0" w:color="auto"/>
            <w:left w:val="none" w:sz="0" w:space="0" w:color="auto"/>
            <w:bottom w:val="none" w:sz="0" w:space="0" w:color="auto"/>
            <w:right w:val="none" w:sz="0" w:space="0" w:color="auto"/>
          </w:divBdr>
        </w:div>
        <w:div w:id="40637441">
          <w:marLeft w:val="0"/>
          <w:marRight w:val="0"/>
          <w:marTop w:val="0"/>
          <w:marBottom w:val="0"/>
          <w:divBdr>
            <w:top w:val="none" w:sz="0" w:space="0" w:color="auto"/>
            <w:left w:val="none" w:sz="0" w:space="0" w:color="auto"/>
            <w:bottom w:val="none" w:sz="0" w:space="0" w:color="auto"/>
            <w:right w:val="none" w:sz="0" w:space="0" w:color="auto"/>
          </w:divBdr>
        </w:div>
        <w:div w:id="1762529804">
          <w:marLeft w:val="0"/>
          <w:marRight w:val="0"/>
          <w:marTop w:val="0"/>
          <w:marBottom w:val="0"/>
          <w:divBdr>
            <w:top w:val="none" w:sz="0" w:space="0" w:color="auto"/>
            <w:left w:val="none" w:sz="0" w:space="0" w:color="auto"/>
            <w:bottom w:val="none" w:sz="0" w:space="0" w:color="auto"/>
            <w:right w:val="none" w:sz="0" w:space="0" w:color="auto"/>
          </w:divBdr>
        </w:div>
        <w:div w:id="1501241164">
          <w:marLeft w:val="0"/>
          <w:marRight w:val="0"/>
          <w:marTop w:val="0"/>
          <w:marBottom w:val="0"/>
          <w:divBdr>
            <w:top w:val="none" w:sz="0" w:space="0" w:color="auto"/>
            <w:left w:val="none" w:sz="0" w:space="0" w:color="auto"/>
            <w:bottom w:val="none" w:sz="0" w:space="0" w:color="auto"/>
            <w:right w:val="none" w:sz="0" w:space="0" w:color="auto"/>
          </w:divBdr>
        </w:div>
        <w:div w:id="562910130">
          <w:marLeft w:val="0"/>
          <w:marRight w:val="0"/>
          <w:marTop w:val="0"/>
          <w:marBottom w:val="0"/>
          <w:divBdr>
            <w:top w:val="none" w:sz="0" w:space="0" w:color="auto"/>
            <w:left w:val="none" w:sz="0" w:space="0" w:color="auto"/>
            <w:bottom w:val="none" w:sz="0" w:space="0" w:color="auto"/>
            <w:right w:val="none" w:sz="0" w:space="0" w:color="auto"/>
          </w:divBdr>
        </w:div>
        <w:div w:id="2127788">
          <w:marLeft w:val="0"/>
          <w:marRight w:val="0"/>
          <w:marTop w:val="0"/>
          <w:marBottom w:val="0"/>
          <w:divBdr>
            <w:top w:val="none" w:sz="0" w:space="0" w:color="auto"/>
            <w:left w:val="none" w:sz="0" w:space="0" w:color="auto"/>
            <w:bottom w:val="none" w:sz="0" w:space="0" w:color="auto"/>
            <w:right w:val="none" w:sz="0" w:space="0" w:color="auto"/>
          </w:divBdr>
        </w:div>
        <w:div w:id="474295795">
          <w:marLeft w:val="0"/>
          <w:marRight w:val="0"/>
          <w:marTop w:val="0"/>
          <w:marBottom w:val="0"/>
          <w:divBdr>
            <w:top w:val="none" w:sz="0" w:space="0" w:color="auto"/>
            <w:left w:val="none" w:sz="0" w:space="0" w:color="auto"/>
            <w:bottom w:val="none" w:sz="0" w:space="0" w:color="auto"/>
            <w:right w:val="none" w:sz="0" w:space="0" w:color="auto"/>
          </w:divBdr>
        </w:div>
        <w:div w:id="910502819">
          <w:marLeft w:val="0"/>
          <w:marRight w:val="0"/>
          <w:marTop w:val="0"/>
          <w:marBottom w:val="0"/>
          <w:divBdr>
            <w:top w:val="none" w:sz="0" w:space="0" w:color="auto"/>
            <w:left w:val="none" w:sz="0" w:space="0" w:color="auto"/>
            <w:bottom w:val="none" w:sz="0" w:space="0" w:color="auto"/>
            <w:right w:val="none" w:sz="0" w:space="0" w:color="auto"/>
          </w:divBdr>
        </w:div>
        <w:div w:id="1834640122">
          <w:marLeft w:val="0"/>
          <w:marRight w:val="0"/>
          <w:marTop w:val="0"/>
          <w:marBottom w:val="0"/>
          <w:divBdr>
            <w:top w:val="none" w:sz="0" w:space="0" w:color="auto"/>
            <w:left w:val="none" w:sz="0" w:space="0" w:color="auto"/>
            <w:bottom w:val="none" w:sz="0" w:space="0" w:color="auto"/>
            <w:right w:val="none" w:sz="0" w:space="0" w:color="auto"/>
          </w:divBdr>
        </w:div>
        <w:div w:id="849492821">
          <w:marLeft w:val="0"/>
          <w:marRight w:val="0"/>
          <w:marTop w:val="0"/>
          <w:marBottom w:val="0"/>
          <w:divBdr>
            <w:top w:val="none" w:sz="0" w:space="0" w:color="auto"/>
            <w:left w:val="none" w:sz="0" w:space="0" w:color="auto"/>
            <w:bottom w:val="none" w:sz="0" w:space="0" w:color="auto"/>
            <w:right w:val="none" w:sz="0" w:space="0" w:color="auto"/>
          </w:divBdr>
        </w:div>
        <w:div w:id="1370229682">
          <w:marLeft w:val="0"/>
          <w:marRight w:val="0"/>
          <w:marTop w:val="0"/>
          <w:marBottom w:val="0"/>
          <w:divBdr>
            <w:top w:val="none" w:sz="0" w:space="0" w:color="auto"/>
            <w:left w:val="none" w:sz="0" w:space="0" w:color="auto"/>
            <w:bottom w:val="none" w:sz="0" w:space="0" w:color="auto"/>
            <w:right w:val="none" w:sz="0" w:space="0" w:color="auto"/>
          </w:divBdr>
        </w:div>
      </w:divsChild>
    </w:div>
    <w:div w:id="886257925">
      <w:bodyDiv w:val="1"/>
      <w:marLeft w:val="0"/>
      <w:marRight w:val="0"/>
      <w:marTop w:val="0"/>
      <w:marBottom w:val="0"/>
      <w:divBdr>
        <w:top w:val="none" w:sz="0" w:space="0" w:color="auto"/>
        <w:left w:val="none" w:sz="0" w:space="0" w:color="auto"/>
        <w:bottom w:val="none" w:sz="0" w:space="0" w:color="auto"/>
        <w:right w:val="none" w:sz="0" w:space="0" w:color="auto"/>
      </w:divBdr>
    </w:div>
    <w:div w:id="912198002">
      <w:bodyDiv w:val="1"/>
      <w:marLeft w:val="0"/>
      <w:marRight w:val="0"/>
      <w:marTop w:val="0"/>
      <w:marBottom w:val="0"/>
      <w:divBdr>
        <w:top w:val="none" w:sz="0" w:space="0" w:color="auto"/>
        <w:left w:val="none" w:sz="0" w:space="0" w:color="auto"/>
        <w:bottom w:val="none" w:sz="0" w:space="0" w:color="auto"/>
        <w:right w:val="none" w:sz="0" w:space="0" w:color="auto"/>
      </w:divBdr>
    </w:div>
    <w:div w:id="913010826">
      <w:bodyDiv w:val="1"/>
      <w:marLeft w:val="0"/>
      <w:marRight w:val="0"/>
      <w:marTop w:val="0"/>
      <w:marBottom w:val="0"/>
      <w:divBdr>
        <w:top w:val="none" w:sz="0" w:space="0" w:color="auto"/>
        <w:left w:val="none" w:sz="0" w:space="0" w:color="auto"/>
        <w:bottom w:val="none" w:sz="0" w:space="0" w:color="auto"/>
        <w:right w:val="none" w:sz="0" w:space="0" w:color="auto"/>
      </w:divBdr>
    </w:div>
    <w:div w:id="930511191">
      <w:bodyDiv w:val="1"/>
      <w:marLeft w:val="0"/>
      <w:marRight w:val="0"/>
      <w:marTop w:val="0"/>
      <w:marBottom w:val="0"/>
      <w:divBdr>
        <w:top w:val="none" w:sz="0" w:space="0" w:color="auto"/>
        <w:left w:val="none" w:sz="0" w:space="0" w:color="auto"/>
        <w:bottom w:val="none" w:sz="0" w:space="0" w:color="auto"/>
        <w:right w:val="none" w:sz="0" w:space="0" w:color="auto"/>
      </w:divBdr>
    </w:div>
    <w:div w:id="940070360">
      <w:bodyDiv w:val="1"/>
      <w:marLeft w:val="0"/>
      <w:marRight w:val="0"/>
      <w:marTop w:val="0"/>
      <w:marBottom w:val="0"/>
      <w:divBdr>
        <w:top w:val="none" w:sz="0" w:space="0" w:color="auto"/>
        <w:left w:val="none" w:sz="0" w:space="0" w:color="auto"/>
        <w:bottom w:val="none" w:sz="0" w:space="0" w:color="auto"/>
        <w:right w:val="none" w:sz="0" w:space="0" w:color="auto"/>
      </w:divBdr>
    </w:div>
    <w:div w:id="961108803">
      <w:bodyDiv w:val="1"/>
      <w:marLeft w:val="0"/>
      <w:marRight w:val="0"/>
      <w:marTop w:val="0"/>
      <w:marBottom w:val="0"/>
      <w:divBdr>
        <w:top w:val="none" w:sz="0" w:space="0" w:color="auto"/>
        <w:left w:val="none" w:sz="0" w:space="0" w:color="auto"/>
        <w:bottom w:val="none" w:sz="0" w:space="0" w:color="auto"/>
        <w:right w:val="none" w:sz="0" w:space="0" w:color="auto"/>
      </w:divBdr>
    </w:div>
    <w:div w:id="976106141">
      <w:bodyDiv w:val="1"/>
      <w:marLeft w:val="0"/>
      <w:marRight w:val="0"/>
      <w:marTop w:val="0"/>
      <w:marBottom w:val="0"/>
      <w:divBdr>
        <w:top w:val="none" w:sz="0" w:space="0" w:color="auto"/>
        <w:left w:val="none" w:sz="0" w:space="0" w:color="auto"/>
        <w:bottom w:val="none" w:sz="0" w:space="0" w:color="auto"/>
        <w:right w:val="none" w:sz="0" w:space="0" w:color="auto"/>
      </w:divBdr>
    </w:div>
    <w:div w:id="999042971">
      <w:bodyDiv w:val="1"/>
      <w:marLeft w:val="0"/>
      <w:marRight w:val="0"/>
      <w:marTop w:val="0"/>
      <w:marBottom w:val="0"/>
      <w:divBdr>
        <w:top w:val="none" w:sz="0" w:space="0" w:color="auto"/>
        <w:left w:val="none" w:sz="0" w:space="0" w:color="auto"/>
        <w:bottom w:val="none" w:sz="0" w:space="0" w:color="auto"/>
        <w:right w:val="none" w:sz="0" w:space="0" w:color="auto"/>
      </w:divBdr>
    </w:div>
    <w:div w:id="1018434644">
      <w:bodyDiv w:val="1"/>
      <w:marLeft w:val="0"/>
      <w:marRight w:val="0"/>
      <w:marTop w:val="0"/>
      <w:marBottom w:val="0"/>
      <w:divBdr>
        <w:top w:val="none" w:sz="0" w:space="0" w:color="auto"/>
        <w:left w:val="none" w:sz="0" w:space="0" w:color="auto"/>
        <w:bottom w:val="none" w:sz="0" w:space="0" w:color="auto"/>
        <w:right w:val="none" w:sz="0" w:space="0" w:color="auto"/>
      </w:divBdr>
    </w:div>
    <w:div w:id="1037390091">
      <w:bodyDiv w:val="1"/>
      <w:marLeft w:val="0"/>
      <w:marRight w:val="0"/>
      <w:marTop w:val="0"/>
      <w:marBottom w:val="0"/>
      <w:divBdr>
        <w:top w:val="none" w:sz="0" w:space="0" w:color="auto"/>
        <w:left w:val="none" w:sz="0" w:space="0" w:color="auto"/>
        <w:bottom w:val="none" w:sz="0" w:space="0" w:color="auto"/>
        <w:right w:val="none" w:sz="0" w:space="0" w:color="auto"/>
      </w:divBdr>
    </w:div>
    <w:div w:id="1053499752">
      <w:bodyDiv w:val="1"/>
      <w:marLeft w:val="0"/>
      <w:marRight w:val="0"/>
      <w:marTop w:val="0"/>
      <w:marBottom w:val="0"/>
      <w:divBdr>
        <w:top w:val="none" w:sz="0" w:space="0" w:color="auto"/>
        <w:left w:val="none" w:sz="0" w:space="0" w:color="auto"/>
        <w:bottom w:val="none" w:sz="0" w:space="0" w:color="auto"/>
        <w:right w:val="none" w:sz="0" w:space="0" w:color="auto"/>
      </w:divBdr>
    </w:div>
    <w:div w:id="1075009917">
      <w:bodyDiv w:val="1"/>
      <w:marLeft w:val="0"/>
      <w:marRight w:val="0"/>
      <w:marTop w:val="0"/>
      <w:marBottom w:val="0"/>
      <w:divBdr>
        <w:top w:val="none" w:sz="0" w:space="0" w:color="auto"/>
        <w:left w:val="none" w:sz="0" w:space="0" w:color="auto"/>
        <w:bottom w:val="none" w:sz="0" w:space="0" w:color="auto"/>
        <w:right w:val="none" w:sz="0" w:space="0" w:color="auto"/>
      </w:divBdr>
    </w:div>
    <w:div w:id="1082530338">
      <w:bodyDiv w:val="1"/>
      <w:marLeft w:val="0"/>
      <w:marRight w:val="0"/>
      <w:marTop w:val="0"/>
      <w:marBottom w:val="0"/>
      <w:divBdr>
        <w:top w:val="none" w:sz="0" w:space="0" w:color="auto"/>
        <w:left w:val="none" w:sz="0" w:space="0" w:color="auto"/>
        <w:bottom w:val="none" w:sz="0" w:space="0" w:color="auto"/>
        <w:right w:val="none" w:sz="0" w:space="0" w:color="auto"/>
      </w:divBdr>
    </w:div>
    <w:div w:id="1082949002">
      <w:bodyDiv w:val="1"/>
      <w:marLeft w:val="0"/>
      <w:marRight w:val="0"/>
      <w:marTop w:val="0"/>
      <w:marBottom w:val="0"/>
      <w:divBdr>
        <w:top w:val="none" w:sz="0" w:space="0" w:color="auto"/>
        <w:left w:val="none" w:sz="0" w:space="0" w:color="auto"/>
        <w:bottom w:val="none" w:sz="0" w:space="0" w:color="auto"/>
        <w:right w:val="none" w:sz="0" w:space="0" w:color="auto"/>
      </w:divBdr>
    </w:div>
    <w:div w:id="1117137536">
      <w:bodyDiv w:val="1"/>
      <w:marLeft w:val="0"/>
      <w:marRight w:val="0"/>
      <w:marTop w:val="0"/>
      <w:marBottom w:val="0"/>
      <w:divBdr>
        <w:top w:val="none" w:sz="0" w:space="0" w:color="auto"/>
        <w:left w:val="none" w:sz="0" w:space="0" w:color="auto"/>
        <w:bottom w:val="none" w:sz="0" w:space="0" w:color="auto"/>
        <w:right w:val="none" w:sz="0" w:space="0" w:color="auto"/>
      </w:divBdr>
    </w:div>
    <w:div w:id="1129129756">
      <w:bodyDiv w:val="1"/>
      <w:marLeft w:val="0"/>
      <w:marRight w:val="0"/>
      <w:marTop w:val="0"/>
      <w:marBottom w:val="0"/>
      <w:divBdr>
        <w:top w:val="none" w:sz="0" w:space="0" w:color="auto"/>
        <w:left w:val="none" w:sz="0" w:space="0" w:color="auto"/>
        <w:bottom w:val="none" w:sz="0" w:space="0" w:color="auto"/>
        <w:right w:val="none" w:sz="0" w:space="0" w:color="auto"/>
      </w:divBdr>
    </w:div>
    <w:div w:id="1141575546">
      <w:bodyDiv w:val="1"/>
      <w:marLeft w:val="0"/>
      <w:marRight w:val="0"/>
      <w:marTop w:val="0"/>
      <w:marBottom w:val="0"/>
      <w:divBdr>
        <w:top w:val="none" w:sz="0" w:space="0" w:color="auto"/>
        <w:left w:val="none" w:sz="0" w:space="0" w:color="auto"/>
        <w:bottom w:val="none" w:sz="0" w:space="0" w:color="auto"/>
        <w:right w:val="none" w:sz="0" w:space="0" w:color="auto"/>
      </w:divBdr>
    </w:div>
    <w:div w:id="1159808866">
      <w:bodyDiv w:val="1"/>
      <w:marLeft w:val="0"/>
      <w:marRight w:val="0"/>
      <w:marTop w:val="0"/>
      <w:marBottom w:val="0"/>
      <w:divBdr>
        <w:top w:val="none" w:sz="0" w:space="0" w:color="auto"/>
        <w:left w:val="none" w:sz="0" w:space="0" w:color="auto"/>
        <w:bottom w:val="none" w:sz="0" w:space="0" w:color="auto"/>
        <w:right w:val="none" w:sz="0" w:space="0" w:color="auto"/>
      </w:divBdr>
    </w:div>
    <w:div w:id="1180267680">
      <w:bodyDiv w:val="1"/>
      <w:marLeft w:val="0"/>
      <w:marRight w:val="0"/>
      <w:marTop w:val="0"/>
      <w:marBottom w:val="0"/>
      <w:divBdr>
        <w:top w:val="none" w:sz="0" w:space="0" w:color="auto"/>
        <w:left w:val="none" w:sz="0" w:space="0" w:color="auto"/>
        <w:bottom w:val="none" w:sz="0" w:space="0" w:color="auto"/>
        <w:right w:val="none" w:sz="0" w:space="0" w:color="auto"/>
      </w:divBdr>
    </w:div>
    <w:div w:id="1180587315">
      <w:bodyDiv w:val="1"/>
      <w:marLeft w:val="0"/>
      <w:marRight w:val="0"/>
      <w:marTop w:val="0"/>
      <w:marBottom w:val="0"/>
      <w:divBdr>
        <w:top w:val="none" w:sz="0" w:space="0" w:color="auto"/>
        <w:left w:val="none" w:sz="0" w:space="0" w:color="auto"/>
        <w:bottom w:val="none" w:sz="0" w:space="0" w:color="auto"/>
        <w:right w:val="none" w:sz="0" w:space="0" w:color="auto"/>
      </w:divBdr>
    </w:div>
    <w:div w:id="1182865129">
      <w:bodyDiv w:val="1"/>
      <w:marLeft w:val="0"/>
      <w:marRight w:val="0"/>
      <w:marTop w:val="0"/>
      <w:marBottom w:val="0"/>
      <w:divBdr>
        <w:top w:val="none" w:sz="0" w:space="0" w:color="auto"/>
        <w:left w:val="none" w:sz="0" w:space="0" w:color="auto"/>
        <w:bottom w:val="none" w:sz="0" w:space="0" w:color="auto"/>
        <w:right w:val="none" w:sz="0" w:space="0" w:color="auto"/>
      </w:divBdr>
    </w:div>
    <w:div w:id="1198784700">
      <w:bodyDiv w:val="1"/>
      <w:marLeft w:val="0"/>
      <w:marRight w:val="0"/>
      <w:marTop w:val="0"/>
      <w:marBottom w:val="0"/>
      <w:divBdr>
        <w:top w:val="none" w:sz="0" w:space="0" w:color="auto"/>
        <w:left w:val="none" w:sz="0" w:space="0" w:color="auto"/>
        <w:bottom w:val="none" w:sz="0" w:space="0" w:color="auto"/>
        <w:right w:val="none" w:sz="0" w:space="0" w:color="auto"/>
      </w:divBdr>
    </w:div>
    <w:div w:id="1228296898">
      <w:bodyDiv w:val="1"/>
      <w:marLeft w:val="0"/>
      <w:marRight w:val="0"/>
      <w:marTop w:val="0"/>
      <w:marBottom w:val="0"/>
      <w:divBdr>
        <w:top w:val="none" w:sz="0" w:space="0" w:color="auto"/>
        <w:left w:val="none" w:sz="0" w:space="0" w:color="auto"/>
        <w:bottom w:val="none" w:sz="0" w:space="0" w:color="auto"/>
        <w:right w:val="none" w:sz="0" w:space="0" w:color="auto"/>
      </w:divBdr>
    </w:div>
    <w:div w:id="1231383407">
      <w:bodyDiv w:val="1"/>
      <w:marLeft w:val="0"/>
      <w:marRight w:val="0"/>
      <w:marTop w:val="0"/>
      <w:marBottom w:val="0"/>
      <w:divBdr>
        <w:top w:val="none" w:sz="0" w:space="0" w:color="auto"/>
        <w:left w:val="none" w:sz="0" w:space="0" w:color="auto"/>
        <w:bottom w:val="none" w:sz="0" w:space="0" w:color="auto"/>
        <w:right w:val="none" w:sz="0" w:space="0" w:color="auto"/>
      </w:divBdr>
    </w:div>
    <w:div w:id="1274900063">
      <w:bodyDiv w:val="1"/>
      <w:marLeft w:val="0"/>
      <w:marRight w:val="0"/>
      <w:marTop w:val="0"/>
      <w:marBottom w:val="0"/>
      <w:divBdr>
        <w:top w:val="none" w:sz="0" w:space="0" w:color="auto"/>
        <w:left w:val="none" w:sz="0" w:space="0" w:color="auto"/>
        <w:bottom w:val="none" w:sz="0" w:space="0" w:color="auto"/>
        <w:right w:val="none" w:sz="0" w:space="0" w:color="auto"/>
      </w:divBdr>
    </w:div>
    <w:div w:id="1282954869">
      <w:bodyDiv w:val="1"/>
      <w:marLeft w:val="0"/>
      <w:marRight w:val="0"/>
      <w:marTop w:val="0"/>
      <w:marBottom w:val="0"/>
      <w:divBdr>
        <w:top w:val="none" w:sz="0" w:space="0" w:color="auto"/>
        <w:left w:val="none" w:sz="0" w:space="0" w:color="auto"/>
        <w:bottom w:val="none" w:sz="0" w:space="0" w:color="auto"/>
        <w:right w:val="none" w:sz="0" w:space="0" w:color="auto"/>
      </w:divBdr>
    </w:div>
    <w:div w:id="1283271419">
      <w:bodyDiv w:val="1"/>
      <w:marLeft w:val="0"/>
      <w:marRight w:val="0"/>
      <w:marTop w:val="0"/>
      <w:marBottom w:val="0"/>
      <w:divBdr>
        <w:top w:val="none" w:sz="0" w:space="0" w:color="auto"/>
        <w:left w:val="none" w:sz="0" w:space="0" w:color="auto"/>
        <w:bottom w:val="none" w:sz="0" w:space="0" w:color="auto"/>
        <w:right w:val="none" w:sz="0" w:space="0" w:color="auto"/>
      </w:divBdr>
    </w:div>
    <w:div w:id="1340735694">
      <w:bodyDiv w:val="1"/>
      <w:marLeft w:val="0"/>
      <w:marRight w:val="0"/>
      <w:marTop w:val="0"/>
      <w:marBottom w:val="0"/>
      <w:divBdr>
        <w:top w:val="none" w:sz="0" w:space="0" w:color="auto"/>
        <w:left w:val="none" w:sz="0" w:space="0" w:color="auto"/>
        <w:bottom w:val="none" w:sz="0" w:space="0" w:color="auto"/>
        <w:right w:val="none" w:sz="0" w:space="0" w:color="auto"/>
      </w:divBdr>
    </w:div>
    <w:div w:id="1349674348">
      <w:bodyDiv w:val="1"/>
      <w:marLeft w:val="0"/>
      <w:marRight w:val="0"/>
      <w:marTop w:val="0"/>
      <w:marBottom w:val="0"/>
      <w:divBdr>
        <w:top w:val="none" w:sz="0" w:space="0" w:color="auto"/>
        <w:left w:val="none" w:sz="0" w:space="0" w:color="auto"/>
        <w:bottom w:val="none" w:sz="0" w:space="0" w:color="auto"/>
        <w:right w:val="none" w:sz="0" w:space="0" w:color="auto"/>
      </w:divBdr>
    </w:div>
    <w:div w:id="1350722664">
      <w:bodyDiv w:val="1"/>
      <w:marLeft w:val="0"/>
      <w:marRight w:val="0"/>
      <w:marTop w:val="0"/>
      <w:marBottom w:val="0"/>
      <w:divBdr>
        <w:top w:val="none" w:sz="0" w:space="0" w:color="auto"/>
        <w:left w:val="none" w:sz="0" w:space="0" w:color="auto"/>
        <w:bottom w:val="none" w:sz="0" w:space="0" w:color="auto"/>
        <w:right w:val="none" w:sz="0" w:space="0" w:color="auto"/>
      </w:divBdr>
    </w:div>
    <w:div w:id="1373653500">
      <w:bodyDiv w:val="1"/>
      <w:marLeft w:val="0"/>
      <w:marRight w:val="0"/>
      <w:marTop w:val="0"/>
      <w:marBottom w:val="0"/>
      <w:divBdr>
        <w:top w:val="none" w:sz="0" w:space="0" w:color="auto"/>
        <w:left w:val="none" w:sz="0" w:space="0" w:color="auto"/>
        <w:bottom w:val="none" w:sz="0" w:space="0" w:color="auto"/>
        <w:right w:val="none" w:sz="0" w:space="0" w:color="auto"/>
      </w:divBdr>
    </w:div>
    <w:div w:id="1384525962">
      <w:bodyDiv w:val="1"/>
      <w:marLeft w:val="0"/>
      <w:marRight w:val="0"/>
      <w:marTop w:val="0"/>
      <w:marBottom w:val="0"/>
      <w:divBdr>
        <w:top w:val="none" w:sz="0" w:space="0" w:color="auto"/>
        <w:left w:val="none" w:sz="0" w:space="0" w:color="auto"/>
        <w:bottom w:val="none" w:sz="0" w:space="0" w:color="auto"/>
        <w:right w:val="none" w:sz="0" w:space="0" w:color="auto"/>
      </w:divBdr>
    </w:div>
    <w:div w:id="1392460585">
      <w:bodyDiv w:val="1"/>
      <w:marLeft w:val="0"/>
      <w:marRight w:val="0"/>
      <w:marTop w:val="0"/>
      <w:marBottom w:val="0"/>
      <w:divBdr>
        <w:top w:val="none" w:sz="0" w:space="0" w:color="auto"/>
        <w:left w:val="none" w:sz="0" w:space="0" w:color="auto"/>
        <w:bottom w:val="none" w:sz="0" w:space="0" w:color="auto"/>
        <w:right w:val="none" w:sz="0" w:space="0" w:color="auto"/>
      </w:divBdr>
    </w:div>
    <w:div w:id="1403018920">
      <w:bodyDiv w:val="1"/>
      <w:marLeft w:val="0"/>
      <w:marRight w:val="0"/>
      <w:marTop w:val="0"/>
      <w:marBottom w:val="0"/>
      <w:divBdr>
        <w:top w:val="none" w:sz="0" w:space="0" w:color="auto"/>
        <w:left w:val="none" w:sz="0" w:space="0" w:color="auto"/>
        <w:bottom w:val="none" w:sz="0" w:space="0" w:color="auto"/>
        <w:right w:val="none" w:sz="0" w:space="0" w:color="auto"/>
      </w:divBdr>
    </w:div>
    <w:div w:id="1415661048">
      <w:bodyDiv w:val="1"/>
      <w:marLeft w:val="0"/>
      <w:marRight w:val="0"/>
      <w:marTop w:val="0"/>
      <w:marBottom w:val="0"/>
      <w:divBdr>
        <w:top w:val="none" w:sz="0" w:space="0" w:color="auto"/>
        <w:left w:val="none" w:sz="0" w:space="0" w:color="auto"/>
        <w:bottom w:val="none" w:sz="0" w:space="0" w:color="auto"/>
        <w:right w:val="none" w:sz="0" w:space="0" w:color="auto"/>
      </w:divBdr>
    </w:div>
    <w:div w:id="1420831137">
      <w:bodyDiv w:val="1"/>
      <w:marLeft w:val="0"/>
      <w:marRight w:val="0"/>
      <w:marTop w:val="0"/>
      <w:marBottom w:val="0"/>
      <w:divBdr>
        <w:top w:val="none" w:sz="0" w:space="0" w:color="auto"/>
        <w:left w:val="none" w:sz="0" w:space="0" w:color="auto"/>
        <w:bottom w:val="none" w:sz="0" w:space="0" w:color="auto"/>
        <w:right w:val="none" w:sz="0" w:space="0" w:color="auto"/>
      </w:divBdr>
    </w:div>
    <w:div w:id="1422683592">
      <w:bodyDiv w:val="1"/>
      <w:marLeft w:val="0"/>
      <w:marRight w:val="0"/>
      <w:marTop w:val="0"/>
      <w:marBottom w:val="0"/>
      <w:divBdr>
        <w:top w:val="none" w:sz="0" w:space="0" w:color="auto"/>
        <w:left w:val="none" w:sz="0" w:space="0" w:color="auto"/>
        <w:bottom w:val="none" w:sz="0" w:space="0" w:color="auto"/>
        <w:right w:val="none" w:sz="0" w:space="0" w:color="auto"/>
      </w:divBdr>
      <w:divsChild>
        <w:div w:id="494229762">
          <w:marLeft w:val="547"/>
          <w:marRight w:val="0"/>
          <w:marTop w:val="0"/>
          <w:marBottom w:val="0"/>
          <w:divBdr>
            <w:top w:val="none" w:sz="0" w:space="0" w:color="auto"/>
            <w:left w:val="none" w:sz="0" w:space="0" w:color="auto"/>
            <w:bottom w:val="none" w:sz="0" w:space="0" w:color="auto"/>
            <w:right w:val="none" w:sz="0" w:space="0" w:color="auto"/>
          </w:divBdr>
        </w:div>
      </w:divsChild>
    </w:div>
    <w:div w:id="1428037152">
      <w:bodyDiv w:val="1"/>
      <w:marLeft w:val="0"/>
      <w:marRight w:val="0"/>
      <w:marTop w:val="0"/>
      <w:marBottom w:val="0"/>
      <w:divBdr>
        <w:top w:val="none" w:sz="0" w:space="0" w:color="auto"/>
        <w:left w:val="none" w:sz="0" w:space="0" w:color="auto"/>
        <w:bottom w:val="none" w:sz="0" w:space="0" w:color="auto"/>
        <w:right w:val="none" w:sz="0" w:space="0" w:color="auto"/>
      </w:divBdr>
    </w:div>
    <w:div w:id="1435974146">
      <w:bodyDiv w:val="1"/>
      <w:marLeft w:val="0"/>
      <w:marRight w:val="0"/>
      <w:marTop w:val="0"/>
      <w:marBottom w:val="0"/>
      <w:divBdr>
        <w:top w:val="none" w:sz="0" w:space="0" w:color="auto"/>
        <w:left w:val="none" w:sz="0" w:space="0" w:color="auto"/>
        <w:bottom w:val="none" w:sz="0" w:space="0" w:color="auto"/>
        <w:right w:val="none" w:sz="0" w:space="0" w:color="auto"/>
      </w:divBdr>
    </w:div>
    <w:div w:id="1442264796">
      <w:bodyDiv w:val="1"/>
      <w:marLeft w:val="0"/>
      <w:marRight w:val="0"/>
      <w:marTop w:val="0"/>
      <w:marBottom w:val="0"/>
      <w:divBdr>
        <w:top w:val="none" w:sz="0" w:space="0" w:color="auto"/>
        <w:left w:val="none" w:sz="0" w:space="0" w:color="auto"/>
        <w:bottom w:val="none" w:sz="0" w:space="0" w:color="auto"/>
        <w:right w:val="none" w:sz="0" w:space="0" w:color="auto"/>
      </w:divBdr>
    </w:div>
    <w:div w:id="1446385785">
      <w:bodyDiv w:val="1"/>
      <w:marLeft w:val="0"/>
      <w:marRight w:val="0"/>
      <w:marTop w:val="0"/>
      <w:marBottom w:val="0"/>
      <w:divBdr>
        <w:top w:val="none" w:sz="0" w:space="0" w:color="auto"/>
        <w:left w:val="none" w:sz="0" w:space="0" w:color="auto"/>
        <w:bottom w:val="none" w:sz="0" w:space="0" w:color="auto"/>
        <w:right w:val="none" w:sz="0" w:space="0" w:color="auto"/>
      </w:divBdr>
    </w:div>
    <w:div w:id="1452213922">
      <w:bodyDiv w:val="1"/>
      <w:marLeft w:val="0"/>
      <w:marRight w:val="0"/>
      <w:marTop w:val="0"/>
      <w:marBottom w:val="0"/>
      <w:divBdr>
        <w:top w:val="none" w:sz="0" w:space="0" w:color="auto"/>
        <w:left w:val="none" w:sz="0" w:space="0" w:color="auto"/>
        <w:bottom w:val="none" w:sz="0" w:space="0" w:color="auto"/>
        <w:right w:val="none" w:sz="0" w:space="0" w:color="auto"/>
      </w:divBdr>
    </w:div>
    <w:div w:id="1452625419">
      <w:bodyDiv w:val="1"/>
      <w:marLeft w:val="0"/>
      <w:marRight w:val="0"/>
      <w:marTop w:val="0"/>
      <w:marBottom w:val="0"/>
      <w:divBdr>
        <w:top w:val="none" w:sz="0" w:space="0" w:color="auto"/>
        <w:left w:val="none" w:sz="0" w:space="0" w:color="auto"/>
        <w:bottom w:val="none" w:sz="0" w:space="0" w:color="auto"/>
        <w:right w:val="none" w:sz="0" w:space="0" w:color="auto"/>
      </w:divBdr>
    </w:div>
    <w:div w:id="1464620091">
      <w:bodyDiv w:val="1"/>
      <w:marLeft w:val="0"/>
      <w:marRight w:val="0"/>
      <w:marTop w:val="0"/>
      <w:marBottom w:val="0"/>
      <w:divBdr>
        <w:top w:val="none" w:sz="0" w:space="0" w:color="auto"/>
        <w:left w:val="none" w:sz="0" w:space="0" w:color="auto"/>
        <w:bottom w:val="none" w:sz="0" w:space="0" w:color="auto"/>
        <w:right w:val="none" w:sz="0" w:space="0" w:color="auto"/>
      </w:divBdr>
    </w:div>
    <w:div w:id="1480071185">
      <w:bodyDiv w:val="1"/>
      <w:marLeft w:val="0"/>
      <w:marRight w:val="0"/>
      <w:marTop w:val="0"/>
      <w:marBottom w:val="0"/>
      <w:divBdr>
        <w:top w:val="none" w:sz="0" w:space="0" w:color="auto"/>
        <w:left w:val="none" w:sz="0" w:space="0" w:color="auto"/>
        <w:bottom w:val="none" w:sz="0" w:space="0" w:color="auto"/>
        <w:right w:val="none" w:sz="0" w:space="0" w:color="auto"/>
      </w:divBdr>
    </w:div>
    <w:div w:id="1485312445">
      <w:bodyDiv w:val="1"/>
      <w:marLeft w:val="0"/>
      <w:marRight w:val="0"/>
      <w:marTop w:val="0"/>
      <w:marBottom w:val="0"/>
      <w:divBdr>
        <w:top w:val="none" w:sz="0" w:space="0" w:color="auto"/>
        <w:left w:val="none" w:sz="0" w:space="0" w:color="auto"/>
        <w:bottom w:val="none" w:sz="0" w:space="0" w:color="auto"/>
        <w:right w:val="none" w:sz="0" w:space="0" w:color="auto"/>
      </w:divBdr>
    </w:div>
    <w:div w:id="1505314791">
      <w:bodyDiv w:val="1"/>
      <w:marLeft w:val="0"/>
      <w:marRight w:val="0"/>
      <w:marTop w:val="0"/>
      <w:marBottom w:val="0"/>
      <w:divBdr>
        <w:top w:val="none" w:sz="0" w:space="0" w:color="auto"/>
        <w:left w:val="none" w:sz="0" w:space="0" w:color="auto"/>
        <w:bottom w:val="none" w:sz="0" w:space="0" w:color="auto"/>
        <w:right w:val="none" w:sz="0" w:space="0" w:color="auto"/>
      </w:divBdr>
    </w:div>
    <w:div w:id="1516068146">
      <w:bodyDiv w:val="1"/>
      <w:marLeft w:val="0"/>
      <w:marRight w:val="0"/>
      <w:marTop w:val="0"/>
      <w:marBottom w:val="0"/>
      <w:divBdr>
        <w:top w:val="none" w:sz="0" w:space="0" w:color="auto"/>
        <w:left w:val="none" w:sz="0" w:space="0" w:color="auto"/>
        <w:bottom w:val="none" w:sz="0" w:space="0" w:color="auto"/>
        <w:right w:val="none" w:sz="0" w:space="0" w:color="auto"/>
      </w:divBdr>
    </w:div>
    <w:div w:id="1543711973">
      <w:bodyDiv w:val="1"/>
      <w:marLeft w:val="0"/>
      <w:marRight w:val="0"/>
      <w:marTop w:val="0"/>
      <w:marBottom w:val="0"/>
      <w:divBdr>
        <w:top w:val="none" w:sz="0" w:space="0" w:color="auto"/>
        <w:left w:val="none" w:sz="0" w:space="0" w:color="auto"/>
        <w:bottom w:val="none" w:sz="0" w:space="0" w:color="auto"/>
        <w:right w:val="none" w:sz="0" w:space="0" w:color="auto"/>
      </w:divBdr>
    </w:div>
    <w:div w:id="1549948859">
      <w:bodyDiv w:val="1"/>
      <w:marLeft w:val="0"/>
      <w:marRight w:val="0"/>
      <w:marTop w:val="0"/>
      <w:marBottom w:val="0"/>
      <w:divBdr>
        <w:top w:val="none" w:sz="0" w:space="0" w:color="auto"/>
        <w:left w:val="none" w:sz="0" w:space="0" w:color="auto"/>
        <w:bottom w:val="none" w:sz="0" w:space="0" w:color="auto"/>
        <w:right w:val="none" w:sz="0" w:space="0" w:color="auto"/>
      </w:divBdr>
    </w:div>
    <w:div w:id="1554152504">
      <w:bodyDiv w:val="1"/>
      <w:marLeft w:val="0"/>
      <w:marRight w:val="0"/>
      <w:marTop w:val="0"/>
      <w:marBottom w:val="0"/>
      <w:divBdr>
        <w:top w:val="none" w:sz="0" w:space="0" w:color="auto"/>
        <w:left w:val="none" w:sz="0" w:space="0" w:color="auto"/>
        <w:bottom w:val="none" w:sz="0" w:space="0" w:color="auto"/>
        <w:right w:val="none" w:sz="0" w:space="0" w:color="auto"/>
      </w:divBdr>
    </w:div>
    <w:div w:id="1554850189">
      <w:bodyDiv w:val="1"/>
      <w:marLeft w:val="0"/>
      <w:marRight w:val="0"/>
      <w:marTop w:val="0"/>
      <w:marBottom w:val="0"/>
      <w:divBdr>
        <w:top w:val="none" w:sz="0" w:space="0" w:color="auto"/>
        <w:left w:val="none" w:sz="0" w:space="0" w:color="auto"/>
        <w:bottom w:val="none" w:sz="0" w:space="0" w:color="auto"/>
        <w:right w:val="none" w:sz="0" w:space="0" w:color="auto"/>
      </w:divBdr>
    </w:div>
    <w:div w:id="1593318122">
      <w:bodyDiv w:val="1"/>
      <w:marLeft w:val="0"/>
      <w:marRight w:val="0"/>
      <w:marTop w:val="0"/>
      <w:marBottom w:val="0"/>
      <w:divBdr>
        <w:top w:val="none" w:sz="0" w:space="0" w:color="auto"/>
        <w:left w:val="none" w:sz="0" w:space="0" w:color="auto"/>
        <w:bottom w:val="none" w:sz="0" w:space="0" w:color="auto"/>
        <w:right w:val="none" w:sz="0" w:space="0" w:color="auto"/>
      </w:divBdr>
    </w:div>
    <w:div w:id="1600021874">
      <w:bodyDiv w:val="1"/>
      <w:marLeft w:val="0"/>
      <w:marRight w:val="0"/>
      <w:marTop w:val="0"/>
      <w:marBottom w:val="0"/>
      <w:divBdr>
        <w:top w:val="none" w:sz="0" w:space="0" w:color="auto"/>
        <w:left w:val="none" w:sz="0" w:space="0" w:color="auto"/>
        <w:bottom w:val="none" w:sz="0" w:space="0" w:color="auto"/>
        <w:right w:val="none" w:sz="0" w:space="0" w:color="auto"/>
      </w:divBdr>
    </w:div>
    <w:div w:id="1613979885">
      <w:bodyDiv w:val="1"/>
      <w:marLeft w:val="0"/>
      <w:marRight w:val="0"/>
      <w:marTop w:val="0"/>
      <w:marBottom w:val="0"/>
      <w:divBdr>
        <w:top w:val="none" w:sz="0" w:space="0" w:color="auto"/>
        <w:left w:val="none" w:sz="0" w:space="0" w:color="auto"/>
        <w:bottom w:val="none" w:sz="0" w:space="0" w:color="auto"/>
        <w:right w:val="none" w:sz="0" w:space="0" w:color="auto"/>
      </w:divBdr>
    </w:div>
    <w:div w:id="1622028011">
      <w:bodyDiv w:val="1"/>
      <w:marLeft w:val="0"/>
      <w:marRight w:val="0"/>
      <w:marTop w:val="0"/>
      <w:marBottom w:val="0"/>
      <w:divBdr>
        <w:top w:val="none" w:sz="0" w:space="0" w:color="auto"/>
        <w:left w:val="none" w:sz="0" w:space="0" w:color="auto"/>
        <w:bottom w:val="none" w:sz="0" w:space="0" w:color="auto"/>
        <w:right w:val="none" w:sz="0" w:space="0" w:color="auto"/>
      </w:divBdr>
    </w:div>
    <w:div w:id="1637907079">
      <w:bodyDiv w:val="1"/>
      <w:marLeft w:val="0"/>
      <w:marRight w:val="0"/>
      <w:marTop w:val="0"/>
      <w:marBottom w:val="0"/>
      <w:divBdr>
        <w:top w:val="none" w:sz="0" w:space="0" w:color="auto"/>
        <w:left w:val="none" w:sz="0" w:space="0" w:color="auto"/>
        <w:bottom w:val="none" w:sz="0" w:space="0" w:color="auto"/>
        <w:right w:val="none" w:sz="0" w:space="0" w:color="auto"/>
      </w:divBdr>
    </w:div>
    <w:div w:id="1651325418">
      <w:bodyDiv w:val="1"/>
      <w:marLeft w:val="0"/>
      <w:marRight w:val="0"/>
      <w:marTop w:val="0"/>
      <w:marBottom w:val="0"/>
      <w:divBdr>
        <w:top w:val="none" w:sz="0" w:space="0" w:color="auto"/>
        <w:left w:val="none" w:sz="0" w:space="0" w:color="auto"/>
        <w:bottom w:val="none" w:sz="0" w:space="0" w:color="auto"/>
        <w:right w:val="none" w:sz="0" w:space="0" w:color="auto"/>
      </w:divBdr>
    </w:div>
    <w:div w:id="1662464585">
      <w:bodyDiv w:val="1"/>
      <w:marLeft w:val="0"/>
      <w:marRight w:val="0"/>
      <w:marTop w:val="0"/>
      <w:marBottom w:val="0"/>
      <w:divBdr>
        <w:top w:val="none" w:sz="0" w:space="0" w:color="auto"/>
        <w:left w:val="none" w:sz="0" w:space="0" w:color="auto"/>
        <w:bottom w:val="none" w:sz="0" w:space="0" w:color="auto"/>
        <w:right w:val="none" w:sz="0" w:space="0" w:color="auto"/>
      </w:divBdr>
    </w:div>
    <w:div w:id="1696540579">
      <w:bodyDiv w:val="1"/>
      <w:marLeft w:val="0"/>
      <w:marRight w:val="0"/>
      <w:marTop w:val="0"/>
      <w:marBottom w:val="0"/>
      <w:divBdr>
        <w:top w:val="none" w:sz="0" w:space="0" w:color="auto"/>
        <w:left w:val="none" w:sz="0" w:space="0" w:color="auto"/>
        <w:bottom w:val="none" w:sz="0" w:space="0" w:color="auto"/>
        <w:right w:val="none" w:sz="0" w:space="0" w:color="auto"/>
      </w:divBdr>
    </w:div>
    <w:div w:id="1701468928">
      <w:bodyDiv w:val="1"/>
      <w:marLeft w:val="0"/>
      <w:marRight w:val="0"/>
      <w:marTop w:val="0"/>
      <w:marBottom w:val="0"/>
      <w:divBdr>
        <w:top w:val="none" w:sz="0" w:space="0" w:color="auto"/>
        <w:left w:val="none" w:sz="0" w:space="0" w:color="auto"/>
        <w:bottom w:val="none" w:sz="0" w:space="0" w:color="auto"/>
        <w:right w:val="none" w:sz="0" w:space="0" w:color="auto"/>
      </w:divBdr>
    </w:div>
    <w:div w:id="1708140507">
      <w:bodyDiv w:val="1"/>
      <w:marLeft w:val="0"/>
      <w:marRight w:val="0"/>
      <w:marTop w:val="0"/>
      <w:marBottom w:val="0"/>
      <w:divBdr>
        <w:top w:val="none" w:sz="0" w:space="0" w:color="auto"/>
        <w:left w:val="none" w:sz="0" w:space="0" w:color="auto"/>
        <w:bottom w:val="none" w:sz="0" w:space="0" w:color="auto"/>
        <w:right w:val="none" w:sz="0" w:space="0" w:color="auto"/>
      </w:divBdr>
    </w:div>
    <w:div w:id="1714650705">
      <w:bodyDiv w:val="1"/>
      <w:marLeft w:val="0"/>
      <w:marRight w:val="0"/>
      <w:marTop w:val="0"/>
      <w:marBottom w:val="0"/>
      <w:divBdr>
        <w:top w:val="none" w:sz="0" w:space="0" w:color="auto"/>
        <w:left w:val="none" w:sz="0" w:space="0" w:color="auto"/>
        <w:bottom w:val="none" w:sz="0" w:space="0" w:color="auto"/>
        <w:right w:val="none" w:sz="0" w:space="0" w:color="auto"/>
      </w:divBdr>
    </w:div>
    <w:div w:id="1716347605">
      <w:bodyDiv w:val="1"/>
      <w:marLeft w:val="0"/>
      <w:marRight w:val="0"/>
      <w:marTop w:val="0"/>
      <w:marBottom w:val="0"/>
      <w:divBdr>
        <w:top w:val="none" w:sz="0" w:space="0" w:color="auto"/>
        <w:left w:val="none" w:sz="0" w:space="0" w:color="auto"/>
        <w:bottom w:val="none" w:sz="0" w:space="0" w:color="auto"/>
        <w:right w:val="none" w:sz="0" w:space="0" w:color="auto"/>
      </w:divBdr>
    </w:div>
    <w:div w:id="1718048163">
      <w:bodyDiv w:val="1"/>
      <w:marLeft w:val="0"/>
      <w:marRight w:val="0"/>
      <w:marTop w:val="0"/>
      <w:marBottom w:val="0"/>
      <w:divBdr>
        <w:top w:val="none" w:sz="0" w:space="0" w:color="auto"/>
        <w:left w:val="none" w:sz="0" w:space="0" w:color="auto"/>
        <w:bottom w:val="none" w:sz="0" w:space="0" w:color="auto"/>
        <w:right w:val="none" w:sz="0" w:space="0" w:color="auto"/>
      </w:divBdr>
    </w:div>
    <w:div w:id="1736003403">
      <w:bodyDiv w:val="1"/>
      <w:marLeft w:val="0"/>
      <w:marRight w:val="0"/>
      <w:marTop w:val="0"/>
      <w:marBottom w:val="0"/>
      <w:divBdr>
        <w:top w:val="none" w:sz="0" w:space="0" w:color="auto"/>
        <w:left w:val="none" w:sz="0" w:space="0" w:color="auto"/>
        <w:bottom w:val="none" w:sz="0" w:space="0" w:color="auto"/>
        <w:right w:val="none" w:sz="0" w:space="0" w:color="auto"/>
      </w:divBdr>
    </w:div>
    <w:div w:id="1739093827">
      <w:bodyDiv w:val="1"/>
      <w:marLeft w:val="0"/>
      <w:marRight w:val="0"/>
      <w:marTop w:val="0"/>
      <w:marBottom w:val="0"/>
      <w:divBdr>
        <w:top w:val="none" w:sz="0" w:space="0" w:color="auto"/>
        <w:left w:val="none" w:sz="0" w:space="0" w:color="auto"/>
        <w:bottom w:val="none" w:sz="0" w:space="0" w:color="auto"/>
        <w:right w:val="none" w:sz="0" w:space="0" w:color="auto"/>
      </w:divBdr>
    </w:div>
    <w:div w:id="1739283558">
      <w:bodyDiv w:val="1"/>
      <w:marLeft w:val="0"/>
      <w:marRight w:val="0"/>
      <w:marTop w:val="0"/>
      <w:marBottom w:val="0"/>
      <w:divBdr>
        <w:top w:val="none" w:sz="0" w:space="0" w:color="auto"/>
        <w:left w:val="none" w:sz="0" w:space="0" w:color="auto"/>
        <w:bottom w:val="none" w:sz="0" w:space="0" w:color="auto"/>
        <w:right w:val="none" w:sz="0" w:space="0" w:color="auto"/>
      </w:divBdr>
    </w:div>
    <w:div w:id="1739401167">
      <w:bodyDiv w:val="1"/>
      <w:marLeft w:val="0"/>
      <w:marRight w:val="0"/>
      <w:marTop w:val="0"/>
      <w:marBottom w:val="0"/>
      <w:divBdr>
        <w:top w:val="none" w:sz="0" w:space="0" w:color="auto"/>
        <w:left w:val="none" w:sz="0" w:space="0" w:color="auto"/>
        <w:bottom w:val="none" w:sz="0" w:space="0" w:color="auto"/>
        <w:right w:val="none" w:sz="0" w:space="0" w:color="auto"/>
      </w:divBdr>
    </w:div>
    <w:div w:id="1777139860">
      <w:bodyDiv w:val="1"/>
      <w:marLeft w:val="0"/>
      <w:marRight w:val="0"/>
      <w:marTop w:val="0"/>
      <w:marBottom w:val="0"/>
      <w:divBdr>
        <w:top w:val="none" w:sz="0" w:space="0" w:color="auto"/>
        <w:left w:val="none" w:sz="0" w:space="0" w:color="auto"/>
        <w:bottom w:val="none" w:sz="0" w:space="0" w:color="auto"/>
        <w:right w:val="none" w:sz="0" w:space="0" w:color="auto"/>
      </w:divBdr>
    </w:div>
    <w:div w:id="1814256351">
      <w:bodyDiv w:val="1"/>
      <w:marLeft w:val="0"/>
      <w:marRight w:val="0"/>
      <w:marTop w:val="0"/>
      <w:marBottom w:val="0"/>
      <w:divBdr>
        <w:top w:val="none" w:sz="0" w:space="0" w:color="auto"/>
        <w:left w:val="none" w:sz="0" w:space="0" w:color="auto"/>
        <w:bottom w:val="none" w:sz="0" w:space="0" w:color="auto"/>
        <w:right w:val="none" w:sz="0" w:space="0" w:color="auto"/>
      </w:divBdr>
    </w:div>
    <w:div w:id="1815950289">
      <w:bodyDiv w:val="1"/>
      <w:marLeft w:val="0"/>
      <w:marRight w:val="0"/>
      <w:marTop w:val="0"/>
      <w:marBottom w:val="0"/>
      <w:divBdr>
        <w:top w:val="none" w:sz="0" w:space="0" w:color="auto"/>
        <w:left w:val="none" w:sz="0" w:space="0" w:color="auto"/>
        <w:bottom w:val="none" w:sz="0" w:space="0" w:color="auto"/>
        <w:right w:val="none" w:sz="0" w:space="0" w:color="auto"/>
      </w:divBdr>
    </w:div>
    <w:div w:id="1833327788">
      <w:bodyDiv w:val="1"/>
      <w:marLeft w:val="0"/>
      <w:marRight w:val="0"/>
      <w:marTop w:val="0"/>
      <w:marBottom w:val="0"/>
      <w:divBdr>
        <w:top w:val="none" w:sz="0" w:space="0" w:color="auto"/>
        <w:left w:val="none" w:sz="0" w:space="0" w:color="auto"/>
        <w:bottom w:val="none" w:sz="0" w:space="0" w:color="auto"/>
        <w:right w:val="none" w:sz="0" w:space="0" w:color="auto"/>
      </w:divBdr>
    </w:div>
    <w:div w:id="1836413619">
      <w:bodyDiv w:val="1"/>
      <w:marLeft w:val="0"/>
      <w:marRight w:val="0"/>
      <w:marTop w:val="0"/>
      <w:marBottom w:val="0"/>
      <w:divBdr>
        <w:top w:val="none" w:sz="0" w:space="0" w:color="auto"/>
        <w:left w:val="none" w:sz="0" w:space="0" w:color="auto"/>
        <w:bottom w:val="none" w:sz="0" w:space="0" w:color="auto"/>
        <w:right w:val="none" w:sz="0" w:space="0" w:color="auto"/>
      </w:divBdr>
    </w:div>
    <w:div w:id="1841193832">
      <w:bodyDiv w:val="1"/>
      <w:marLeft w:val="0"/>
      <w:marRight w:val="0"/>
      <w:marTop w:val="0"/>
      <w:marBottom w:val="0"/>
      <w:divBdr>
        <w:top w:val="none" w:sz="0" w:space="0" w:color="auto"/>
        <w:left w:val="none" w:sz="0" w:space="0" w:color="auto"/>
        <w:bottom w:val="none" w:sz="0" w:space="0" w:color="auto"/>
        <w:right w:val="none" w:sz="0" w:space="0" w:color="auto"/>
      </w:divBdr>
    </w:div>
    <w:div w:id="1881354488">
      <w:bodyDiv w:val="1"/>
      <w:marLeft w:val="0"/>
      <w:marRight w:val="0"/>
      <w:marTop w:val="0"/>
      <w:marBottom w:val="0"/>
      <w:divBdr>
        <w:top w:val="none" w:sz="0" w:space="0" w:color="auto"/>
        <w:left w:val="none" w:sz="0" w:space="0" w:color="auto"/>
        <w:bottom w:val="none" w:sz="0" w:space="0" w:color="auto"/>
        <w:right w:val="none" w:sz="0" w:space="0" w:color="auto"/>
      </w:divBdr>
    </w:div>
    <w:div w:id="1892111313">
      <w:bodyDiv w:val="1"/>
      <w:marLeft w:val="0"/>
      <w:marRight w:val="0"/>
      <w:marTop w:val="0"/>
      <w:marBottom w:val="0"/>
      <w:divBdr>
        <w:top w:val="none" w:sz="0" w:space="0" w:color="auto"/>
        <w:left w:val="none" w:sz="0" w:space="0" w:color="auto"/>
        <w:bottom w:val="none" w:sz="0" w:space="0" w:color="auto"/>
        <w:right w:val="none" w:sz="0" w:space="0" w:color="auto"/>
      </w:divBdr>
    </w:div>
    <w:div w:id="1893032761">
      <w:bodyDiv w:val="1"/>
      <w:marLeft w:val="0"/>
      <w:marRight w:val="0"/>
      <w:marTop w:val="0"/>
      <w:marBottom w:val="0"/>
      <w:divBdr>
        <w:top w:val="none" w:sz="0" w:space="0" w:color="auto"/>
        <w:left w:val="none" w:sz="0" w:space="0" w:color="auto"/>
        <w:bottom w:val="none" w:sz="0" w:space="0" w:color="auto"/>
        <w:right w:val="none" w:sz="0" w:space="0" w:color="auto"/>
      </w:divBdr>
    </w:div>
    <w:div w:id="1901357319">
      <w:bodyDiv w:val="1"/>
      <w:marLeft w:val="0"/>
      <w:marRight w:val="0"/>
      <w:marTop w:val="0"/>
      <w:marBottom w:val="0"/>
      <w:divBdr>
        <w:top w:val="none" w:sz="0" w:space="0" w:color="auto"/>
        <w:left w:val="none" w:sz="0" w:space="0" w:color="auto"/>
        <w:bottom w:val="none" w:sz="0" w:space="0" w:color="auto"/>
        <w:right w:val="none" w:sz="0" w:space="0" w:color="auto"/>
      </w:divBdr>
      <w:divsChild>
        <w:div w:id="1966352493">
          <w:marLeft w:val="0"/>
          <w:marRight w:val="0"/>
          <w:marTop w:val="0"/>
          <w:marBottom w:val="0"/>
          <w:divBdr>
            <w:top w:val="none" w:sz="0" w:space="0" w:color="auto"/>
            <w:left w:val="none" w:sz="0" w:space="0" w:color="auto"/>
            <w:bottom w:val="none" w:sz="0" w:space="0" w:color="auto"/>
            <w:right w:val="none" w:sz="0" w:space="0" w:color="auto"/>
          </w:divBdr>
          <w:divsChild>
            <w:div w:id="1894348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4006413">
      <w:bodyDiv w:val="1"/>
      <w:marLeft w:val="0"/>
      <w:marRight w:val="0"/>
      <w:marTop w:val="0"/>
      <w:marBottom w:val="0"/>
      <w:divBdr>
        <w:top w:val="none" w:sz="0" w:space="0" w:color="auto"/>
        <w:left w:val="none" w:sz="0" w:space="0" w:color="auto"/>
        <w:bottom w:val="none" w:sz="0" w:space="0" w:color="auto"/>
        <w:right w:val="none" w:sz="0" w:space="0" w:color="auto"/>
      </w:divBdr>
    </w:div>
    <w:div w:id="1915240998">
      <w:bodyDiv w:val="1"/>
      <w:marLeft w:val="0"/>
      <w:marRight w:val="0"/>
      <w:marTop w:val="0"/>
      <w:marBottom w:val="0"/>
      <w:divBdr>
        <w:top w:val="none" w:sz="0" w:space="0" w:color="auto"/>
        <w:left w:val="none" w:sz="0" w:space="0" w:color="auto"/>
        <w:bottom w:val="none" w:sz="0" w:space="0" w:color="auto"/>
        <w:right w:val="none" w:sz="0" w:space="0" w:color="auto"/>
      </w:divBdr>
    </w:div>
    <w:div w:id="1920284022">
      <w:bodyDiv w:val="1"/>
      <w:marLeft w:val="0"/>
      <w:marRight w:val="0"/>
      <w:marTop w:val="0"/>
      <w:marBottom w:val="0"/>
      <w:divBdr>
        <w:top w:val="none" w:sz="0" w:space="0" w:color="auto"/>
        <w:left w:val="none" w:sz="0" w:space="0" w:color="auto"/>
        <w:bottom w:val="none" w:sz="0" w:space="0" w:color="auto"/>
        <w:right w:val="none" w:sz="0" w:space="0" w:color="auto"/>
      </w:divBdr>
    </w:div>
    <w:div w:id="1928417052">
      <w:bodyDiv w:val="1"/>
      <w:marLeft w:val="0"/>
      <w:marRight w:val="0"/>
      <w:marTop w:val="0"/>
      <w:marBottom w:val="0"/>
      <w:divBdr>
        <w:top w:val="none" w:sz="0" w:space="0" w:color="auto"/>
        <w:left w:val="none" w:sz="0" w:space="0" w:color="auto"/>
        <w:bottom w:val="none" w:sz="0" w:space="0" w:color="auto"/>
        <w:right w:val="none" w:sz="0" w:space="0" w:color="auto"/>
      </w:divBdr>
    </w:div>
    <w:div w:id="1935555156">
      <w:bodyDiv w:val="1"/>
      <w:marLeft w:val="0"/>
      <w:marRight w:val="0"/>
      <w:marTop w:val="0"/>
      <w:marBottom w:val="0"/>
      <w:divBdr>
        <w:top w:val="none" w:sz="0" w:space="0" w:color="auto"/>
        <w:left w:val="none" w:sz="0" w:space="0" w:color="auto"/>
        <w:bottom w:val="none" w:sz="0" w:space="0" w:color="auto"/>
        <w:right w:val="none" w:sz="0" w:space="0" w:color="auto"/>
      </w:divBdr>
    </w:div>
    <w:div w:id="2023431143">
      <w:bodyDiv w:val="1"/>
      <w:marLeft w:val="0"/>
      <w:marRight w:val="0"/>
      <w:marTop w:val="0"/>
      <w:marBottom w:val="0"/>
      <w:divBdr>
        <w:top w:val="none" w:sz="0" w:space="0" w:color="auto"/>
        <w:left w:val="none" w:sz="0" w:space="0" w:color="auto"/>
        <w:bottom w:val="none" w:sz="0" w:space="0" w:color="auto"/>
        <w:right w:val="none" w:sz="0" w:space="0" w:color="auto"/>
      </w:divBdr>
    </w:div>
    <w:div w:id="2048555884">
      <w:bodyDiv w:val="1"/>
      <w:marLeft w:val="0"/>
      <w:marRight w:val="0"/>
      <w:marTop w:val="0"/>
      <w:marBottom w:val="0"/>
      <w:divBdr>
        <w:top w:val="none" w:sz="0" w:space="0" w:color="auto"/>
        <w:left w:val="none" w:sz="0" w:space="0" w:color="auto"/>
        <w:bottom w:val="none" w:sz="0" w:space="0" w:color="auto"/>
        <w:right w:val="none" w:sz="0" w:space="0" w:color="auto"/>
      </w:divBdr>
    </w:div>
    <w:div w:id="2051957962">
      <w:bodyDiv w:val="1"/>
      <w:marLeft w:val="0"/>
      <w:marRight w:val="0"/>
      <w:marTop w:val="0"/>
      <w:marBottom w:val="0"/>
      <w:divBdr>
        <w:top w:val="none" w:sz="0" w:space="0" w:color="auto"/>
        <w:left w:val="none" w:sz="0" w:space="0" w:color="auto"/>
        <w:bottom w:val="none" w:sz="0" w:space="0" w:color="auto"/>
        <w:right w:val="none" w:sz="0" w:space="0" w:color="auto"/>
      </w:divBdr>
    </w:div>
    <w:div w:id="2054839046">
      <w:bodyDiv w:val="1"/>
      <w:marLeft w:val="0"/>
      <w:marRight w:val="0"/>
      <w:marTop w:val="0"/>
      <w:marBottom w:val="0"/>
      <w:divBdr>
        <w:top w:val="none" w:sz="0" w:space="0" w:color="auto"/>
        <w:left w:val="none" w:sz="0" w:space="0" w:color="auto"/>
        <w:bottom w:val="none" w:sz="0" w:space="0" w:color="auto"/>
        <w:right w:val="none" w:sz="0" w:space="0" w:color="auto"/>
      </w:divBdr>
    </w:div>
    <w:div w:id="2056079125">
      <w:bodyDiv w:val="1"/>
      <w:marLeft w:val="0"/>
      <w:marRight w:val="0"/>
      <w:marTop w:val="0"/>
      <w:marBottom w:val="0"/>
      <w:divBdr>
        <w:top w:val="none" w:sz="0" w:space="0" w:color="auto"/>
        <w:left w:val="none" w:sz="0" w:space="0" w:color="auto"/>
        <w:bottom w:val="none" w:sz="0" w:space="0" w:color="auto"/>
        <w:right w:val="none" w:sz="0" w:space="0" w:color="auto"/>
      </w:divBdr>
    </w:div>
    <w:div w:id="2071951810">
      <w:bodyDiv w:val="1"/>
      <w:marLeft w:val="0"/>
      <w:marRight w:val="0"/>
      <w:marTop w:val="0"/>
      <w:marBottom w:val="0"/>
      <w:divBdr>
        <w:top w:val="none" w:sz="0" w:space="0" w:color="auto"/>
        <w:left w:val="none" w:sz="0" w:space="0" w:color="auto"/>
        <w:bottom w:val="none" w:sz="0" w:space="0" w:color="auto"/>
        <w:right w:val="none" w:sz="0" w:space="0" w:color="auto"/>
      </w:divBdr>
    </w:div>
    <w:div w:id="2077974179">
      <w:bodyDiv w:val="1"/>
      <w:marLeft w:val="0"/>
      <w:marRight w:val="0"/>
      <w:marTop w:val="0"/>
      <w:marBottom w:val="0"/>
      <w:divBdr>
        <w:top w:val="none" w:sz="0" w:space="0" w:color="auto"/>
        <w:left w:val="none" w:sz="0" w:space="0" w:color="auto"/>
        <w:bottom w:val="none" w:sz="0" w:space="0" w:color="auto"/>
        <w:right w:val="none" w:sz="0" w:space="0" w:color="auto"/>
      </w:divBdr>
    </w:div>
    <w:div w:id="2100632583">
      <w:bodyDiv w:val="1"/>
      <w:marLeft w:val="0"/>
      <w:marRight w:val="0"/>
      <w:marTop w:val="0"/>
      <w:marBottom w:val="0"/>
      <w:divBdr>
        <w:top w:val="none" w:sz="0" w:space="0" w:color="auto"/>
        <w:left w:val="none" w:sz="0" w:space="0" w:color="auto"/>
        <w:bottom w:val="none" w:sz="0" w:space="0" w:color="auto"/>
        <w:right w:val="none" w:sz="0" w:space="0" w:color="auto"/>
      </w:divBdr>
    </w:div>
    <w:div w:id="2113281672">
      <w:bodyDiv w:val="1"/>
      <w:marLeft w:val="0"/>
      <w:marRight w:val="0"/>
      <w:marTop w:val="0"/>
      <w:marBottom w:val="0"/>
      <w:divBdr>
        <w:top w:val="none" w:sz="0" w:space="0" w:color="auto"/>
        <w:left w:val="none" w:sz="0" w:space="0" w:color="auto"/>
        <w:bottom w:val="none" w:sz="0" w:space="0" w:color="auto"/>
        <w:right w:val="none" w:sz="0" w:space="0" w:color="auto"/>
      </w:divBdr>
    </w:div>
    <w:div w:id="2124570112">
      <w:bodyDiv w:val="1"/>
      <w:marLeft w:val="0"/>
      <w:marRight w:val="0"/>
      <w:marTop w:val="0"/>
      <w:marBottom w:val="0"/>
      <w:divBdr>
        <w:top w:val="none" w:sz="0" w:space="0" w:color="auto"/>
        <w:left w:val="none" w:sz="0" w:space="0" w:color="auto"/>
        <w:bottom w:val="none" w:sz="0" w:space="0" w:color="auto"/>
        <w:right w:val="none" w:sz="0" w:space="0" w:color="auto"/>
      </w:divBdr>
    </w:div>
    <w:div w:id="2127120221">
      <w:bodyDiv w:val="1"/>
      <w:marLeft w:val="0"/>
      <w:marRight w:val="0"/>
      <w:marTop w:val="0"/>
      <w:marBottom w:val="0"/>
      <w:divBdr>
        <w:top w:val="none" w:sz="0" w:space="0" w:color="auto"/>
        <w:left w:val="none" w:sz="0" w:space="0" w:color="auto"/>
        <w:bottom w:val="none" w:sz="0" w:space="0" w:color="auto"/>
        <w:right w:val="none" w:sz="0" w:space="0" w:color="auto"/>
      </w:divBdr>
    </w:div>
    <w:div w:id="2139299893">
      <w:bodyDiv w:val="1"/>
      <w:marLeft w:val="0"/>
      <w:marRight w:val="0"/>
      <w:marTop w:val="0"/>
      <w:marBottom w:val="0"/>
      <w:divBdr>
        <w:top w:val="none" w:sz="0" w:space="0" w:color="auto"/>
        <w:left w:val="none" w:sz="0" w:space="0" w:color="auto"/>
        <w:bottom w:val="none" w:sz="0" w:space="0" w:color="auto"/>
        <w:right w:val="none" w:sz="0" w:space="0" w:color="auto"/>
      </w:divBdr>
    </w:div>
    <w:div w:id="2143303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18/08/relationships/commentsExtensible" Target="commentsExtensible.xml"/><Relationship Id="rId18" Type="http://schemas.openxmlformats.org/officeDocument/2006/relationships/image" Target="media/image8.png"/><Relationship Id="rId26" Type="http://schemas.openxmlformats.org/officeDocument/2006/relationships/image" Target="media/image16.png"/><Relationship Id="rId39" Type="http://schemas.microsoft.com/office/2011/relationships/people" Target="people.xml"/><Relationship Id="rId3" Type="http://schemas.openxmlformats.org/officeDocument/2006/relationships/settings" Target="settings.xml"/><Relationship Id="rId21" Type="http://schemas.openxmlformats.org/officeDocument/2006/relationships/image" Target="media/image11.png"/><Relationship Id="rId34" Type="http://schemas.openxmlformats.org/officeDocument/2006/relationships/image" Target="media/image24.png"/><Relationship Id="rId7" Type="http://schemas.openxmlformats.org/officeDocument/2006/relationships/image" Target="media/image1.png"/><Relationship Id="rId12" Type="http://schemas.microsoft.com/office/2016/09/relationships/commentsIds" Target="commentsIds.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numbering" Target="numbering.xml"/><Relationship Id="rId6" Type="http://schemas.openxmlformats.org/officeDocument/2006/relationships/endnotes" Target="endnotes.xml"/><Relationship Id="rId11" Type="http://schemas.microsoft.com/office/2011/relationships/commentsExtended" Target="commentsExtended.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eader" Target="header1.xml"/><Relationship Id="rId10" Type="http://schemas.openxmlformats.org/officeDocument/2006/relationships/comments" Target="comment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s://doi.org/10.7748/nr.23.1.21.e13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35</Pages>
  <Words>7997</Words>
  <Characters>45585</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Sanchez</dc:creator>
  <cp:keywords/>
  <dc:description/>
  <cp:lastModifiedBy>Jess Sanchez</cp:lastModifiedBy>
  <cp:revision>2</cp:revision>
  <dcterms:created xsi:type="dcterms:W3CDTF">2025-02-25T02:59:00Z</dcterms:created>
  <dcterms:modified xsi:type="dcterms:W3CDTF">2025-02-25T02:59:00Z</dcterms:modified>
</cp:coreProperties>
</file>