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7662" w:rsidRDefault="00772B18" w:rsidP="002B7662">
      <w:pPr>
        <w:pStyle w:val="NormalWeb"/>
        <w:spacing w:before="0" w:beforeAutospacing="0" w:after="0" w:afterAutospacing="0"/>
        <w:ind w:left="-180" w:right="-334"/>
        <w:rPr>
          <w:rFonts w:ascii="Trebuchet MS" w:hAnsi="Trebuchet MS" w:cs="Tahoma"/>
          <w:sz w:val="24"/>
          <w:szCs w:val="24"/>
        </w:rPr>
      </w:pPr>
      <w:r>
        <w:rPr>
          <w:rFonts w:ascii="Trebuchet MS" w:hAnsi="Trebuchet MS" w:cs="Tahoma"/>
          <w:sz w:val="24"/>
          <w:szCs w:val="24"/>
        </w:rPr>
        <w:t xml:space="preserve"> </w:t>
      </w:r>
      <w:r w:rsidR="002B7662">
        <w:rPr>
          <w:noProof/>
          <w:lang w:eastAsia="en-GB"/>
        </w:rPr>
        <w:drawing>
          <wp:inline distT="0" distB="0" distL="0" distR="0">
            <wp:extent cx="2879725" cy="1050925"/>
            <wp:effectExtent l="19050" t="19050" r="15875" b="15875"/>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79725" cy="1050925"/>
                    </a:xfrm>
                    <a:prstGeom prst="rect">
                      <a:avLst/>
                    </a:prstGeom>
                    <a:noFill/>
                    <a:ln w="19050" cmpd="sng">
                      <a:solidFill>
                        <a:srgbClr val="000000"/>
                      </a:solidFill>
                      <a:miter lim="800000"/>
                      <a:headEnd/>
                      <a:tailEnd/>
                    </a:ln>
                    <a:effectLst/>
                  </pic:spPr>
                </pic:pic>
              </a:graphicData>
            </a:graphic>
          </wp:inline>
        </w:drawing>
      </w:r>
    </w:p>
    <w:p w:rsidR="002B7662" w:rsidRDefault="002B7662" w:rsidP="002B7662">
      <w:pPr>
        <w:pStyle w:val="Heading1"/>
        <w:jc w:val="center"/>
        <w:rPr>
          <w:lang w:val="cy-GB"/>
        </w:rPr>
      </w:pPr>
      <w:proofErr w:type="spellStart"/>
      <w:r>
        <w:rPr>
          <w:lang w:val="cy-GB"/>
        </w:rPr>
        <w:t>Undergraduate</w:t>
      </w:r>
      <w:proofErr w:type="spellEnd"/>
      <w:r>
        <w:rPr>
          <w:lang w:val="cy-GB"/>
        </w:rPr>
        <w:t xml:space="preserve"> </w:t>
      </w:r>
      <w:proofErr w:type="spellStart"/>
      <w:r>
        <w:rPr>
          <w:lang w:val="cy-GB"/>
        </w:rPr>
        <w:t>assignment</w:t>
      </w:r>
      <w:proofErr w:type="spellEnd"/>
      <w:r>
        <w:rPr>
          <w:lang w:val="cy-GB"/>
        </w:rPr>
        <w:t xml:space="preserve"> </w:t>
      </w:r>
      <w:proofErr w:type="spellStart"/>
      <w:r>
        <w:rPr>
          <w:lang w:val="cy-GB"/>
        </w:rPr>
        <w:t>feedback</w:t>
      </w:r>
      <w:proofErr w:type="spellEnd"/>
      <w:r>
        <w:rPr>
          <w:lang w:val="cy-GB"/>
        </w:rPr>
        <w:t xml:space="preserve"> </w:t>
      </w:r>
      <w:proofErr w:type="spellStart"/>
      <w:r>
        <w:rPr>
          <w:lang w:val="cy-GB"/>
        </w:rPr>
        <w:t>form</w:t>
      </w:r>
      <w:proofErr w:type="spellEnd"/>
    </w:p>
    <w:p w:rsidR="002B7662" w:rsidRDefault="002B7662" w:rsidP="002B7662">
      <w:pPr>
        <w:jc w:val="center"/>
        <w:rPr>
          <w:rFonts w:ascii="Arial" w:hAnsi="Arial" w:cs="Arial"/>
          <w:b/>
          <w:lang w:val="cy-GB"/>
        </w:rPr>
      </w:pPr>
      <w:r>
        <w:rPr>
          <w:rFonts w:ascii="Arial" w:hAnsi="Arial" w:cs="Arial"/>
          <w:b/>
          <w:lang w:val="cy-GB"/>
        </w:rPr>
        <w:t xml:space="preserve">(to be </w:t>
      </w:r>
      <w:proofErr w:type="spellStart"/>
      <w:r>
        <w:rPr>
          <w:rFonts w:ascii="Arial" w:hAnsi="Arial" w:cs="Arial"/>
          <w:b/>
          <w:lang w:val="cy-GB"/>
        </w:rPr>
        <w:t>completed</w:t>
      </w:r>
      <w:proofErr w:type="spellEnd"/>
      <w:r>
        <w:rPr>
          <w:rFonts w:ascii="Arial" w:hAnsi="Arial" w:cs="Arial"/>
          <w:b/>
          <w:lang w:val="cy-GB"/>
        </w:rPr>
        <w:t xml:space="preserve"> by </w:t>
      </w:r>
      <w:proofErr w:type="spellStart"/>
      <w:r>
        <w:rPr>
          <w:rFonts w:ascii="Arial" w:hAnsi="Arial" w:cs="Arial"/>
          <w:b/>
          <w:lang w:val="cy-GB"/>
        </w:rPr>
        <w:t>marker</w:t>
      </w:r>
      <w:proofErr w:type="spellEnd"/>
      <w:r>
        <w:rPr>
          <w:rFonts w:ascii="Arial" w:hAnsi="Arial" w:cs="Arial"/>
          <w:b/>
          <w:lang w:val="cy-GB"/>
        </w:rPr>
        <w:t>)</w:t>
      </w:r>
    </w:p>
    <w:p w:rsidR="002B7662" w:rsidRDefault="002B7662" w:rsidP="002B7662">
      <w:pPr>
        <w:pStyle w:val="Heading3"/>
        <w:rPr>
          <w:rFonts w:ascii="Trebuchet MS" w:hAnsi="Trebuchet M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8"/>
        <w:gridCol w:w="1980"/>
        <w:gridCol w:w="1987"/>
      </w:tblGrid>
      <w:tr w:rsidR="002B7662" w:rsidTr="002B7662">
        <w:trPr>
          <w:trHeight w:val="718"/>
        </w:trPr>
        <w:tc>
          <w:tcPr>
            <w:tcW w:w="8755" w:type="dxa"/>
            <w:gridSpan w:val="3"/>
            <w:tcBorders>
              <w:top w:val="single" w:sz="4" w:space="0" w:color="auto"/>
              <w:left w:val="single" w:sz="4" w:space="0" w:color="auto"/>
              <w:bottom w:val="single" w:sz="4" w:space="0" w:color="auto"/>
              <w:right w:val="single" w:sz="4" w:space="0" w:color="auto"/>
            </w:tcBorders>
            <w:vAlign w:val="center"/>
          </w:tcPr>
          <w:p w:rsidR="002B7662" w:rsidRDefault="002B7662">
            <w:pPr>
              <w:pStyle w:val="NormalWeb"/>
              <w:spacing w:before="0" w:beforeAutospacing="0" w:after="0" w:afterAutospacing="0" w:line="256" w:lineRule="auto"/>
              <w:ind w:right="34"/>
              <w:rPr>
                <w:rFonts w:ascii="Calibri" w:hAnsi="Calibri" w:cs="Tahoma"/>
                <w:i/>
                <w:sz w:val="24"/>
                <w:szCs w:val="24"/>
              </w:rPr>
            </w:pPr>
            <w:r>
              <w:rPr>
                <w:rFonts w:ascii="Calibri" w:hAnsi="Calibri" w:cs="Tahoma"/>
                <w:i/>
                <w:sz w:val="24"/>
                <w:szCs w:val="24"/>
              </w:rPr>
              <w:t>Student Name:</w:t>
            </w:r>
          </w:p>
          <w:p w:rsidR="002B7662" w:rsidRDefault="002B7662">
            <w:pPr>
              <w:pStyle w:val="NormalWeb"/>
              <w:spacing w:before="0" w:beforeAutospacing="0" w:after="0" w:afterAutospacing="0" w:line="256" w:lineRule="auto"/>
              <w:ind w:right="34"/>
              <w:rPr>
                <w:rFonts w:ascii="Calibri" w:hAnsi="Calibri" w:cs="Tahoma"/>
                <w:i/>
                <w:sz w:val="24"/>
                <w:szCs w:val="24"/>
              </w:rPr>
            </w:pPr>
          </w:p>
        </w:tc>
      </w:tr>
      <w:tr w:rsidR="002B7662" w:rsidTr="002B7662">
        <w:trPr>
          <w:trHeight w:val="849"/>
        </w:trPr>
        <w:tc>
          <w:tcPr>
            <w:tcW w:w="4788" w:type="dxa"/>
            <w:tcBorders>
              <w:top w:val="single" w:sz="4" w:space="0" w:color="auto"/>
              <w:left w:val="single" w:sz="4" w:space="0" w:color="auto"/>
              <w:bottom w:val="single" w:sz="4" w:space="0" w:color="auto"/>
              <w:right w:val="single" w:sz="4" w:space="0" w:color="auto"/>
            </w:tcBorders>
            <w:vAlign w:val="center"/>
          </w:tcPr>
          <w:p w:rsidR="002B7662" w:rsidRDefault="002B7662">
            <w:pPr>
              <w:pStyle w:val="NormalWeb"/>
              <w:spacing w:before="0" w:beforeAutospacing="0" w:after="0" w:afterAutospacing="0" w:line="256" w:lineRule="auto"/>
              <w:ind w:right="34"/>
              <w:rPr>
                <w:rFonts w:ascii="Calibri" w:hAnsi="Calibri" w:cs="Tahoma"/>
                <w:i/>
                <w:sz w:val="24"/>
                <w:szCs w:val="24"/>
              </w:rPr>
            </w:pPr>
            <w:r>
              <w:rPr>
                <w:rFonts w:ascii="Calibri" w:hAnsi="Calibri" w:cs="Tahoma"/>
                <w:i/>
                <w:sz w:val="24"/>
                <w:szCs w:val="24"/>
              </w:rPr>
              <w:t xml:space="preserve">Module Code: </w:t>
            </w:r>
          </w:p>
          <w:p w:rsidR="002B7662" w:rsidRDefault="002B7662">
            <w:pPr>
              <w:pStyle w:val="NormalWeb"/>
              <w:spacing w:before="0" w:beforeAutospacing="0" w:after="0" w:afterAutospacing="0" w:line="256" w:lineRule="auto"/>
              <w:ind w:right="34"/>
              <w:rPr>
                <w:rFonts w:ascii="Calibri" w:hAnsi="Calibri" w:cs="Tahoma"/>
                <w:i/>
                <w:sz w:val="24"/>
                <w:szCs w:val="24"/>
              </w:rPr>
            </w:pPr>
          </w:p>
          <w:p w:rsidR="002B7662" w:rsidRDefault="002B7662">
            <w:pPr>
              <w:pStyle w:val="NormalWeb"/>
              <w:spacing w:before="0" w:beforeAutospacing="0" w:after="0" w:afterAutospacing="0" w:line="256" w:lineRule="auto"/>
              <w:ind w:right="34"/>
              <w:rPr>
                <w:rFonts w:ascii="Calibri" w:hAnsi="Calibri" w:cs="Tahoma"/>
                <w:i/>
                <w:sz w:val="24"/>
                <w:szCs w:val="24"/>
              </w:rPr>
            </w:pPr>
            <w:r>
              <w:rPr>
                <w:rFonts w:ascii="Calibri" w:hAnsi="Calibri" w:cs="Tahoma"/>
                <w:i/>
                <w:sz w:val="24"/>
                <w:szCs w:val="24"/>
              </w:rPr>
              <w:t xml:space="preserve">Module title: </w:t>
            </w:r>
          </w:p>
          <w:p w:rsidR="002B7662" w:rsidRDefault="002B7662">
            <w:pPr>
              <w:pStyle w:val="NormalWeb"/>
              <w:spacing w:before="0" w:beforeAutospacing="0" w:after="0" w:afterAutospacing="0" w:line="256" w:lineRule="auto"/>
              <w:ind w:right="34"/>
              <w:rPr>
                <w:rFonts w:ascii="Calibri" w:hAnsi="Calibri" w:cs="Tahoma"/>
                <w:i/>
                <w:sz w:val="24"/>
                <w:szCs w:val="24"/>
              </w:rPr>
            </w:pPr>
          </w:p>
        </w:tc>
        <w:tc>
          <w:tcPr>
            <w:tcW w:w="3967" w:type="dxa"/>
            <w:gridSpan w:val="2"/>
            <w:tcBorders>
              <w:top w:val="single" w:sz="4" w:space="0" w:color="auto"/>
              <w:left w:val="single" w:sz="4" w:space="0" w:color="auto"/>
              <w:bottom w:val="single" w:sz="4" w:space="0" w:color="auto"/>
              <w:right w:val="single" w:sz="4" w:space="0" w:color="auto"/>
            </w:tcBorders>
            <w:hideMark/>
          </w:tcPr>
          <w:p w:rsidR="002B7662" w:rsidRDefault="002B7662">
            <w:pPr>
              <w:pStyle w:val="NormalWeb"/>
              <w:spacing w:before="0" w:beforeAutospacing="0" w:after="0" w:afterAutospacing="0" w:line="256" w:lineRule="auto"/>
              <w:ind w:right="34"/>
              <w:rPr>
                <w:rFonts w:ascii="Calibri" w:hAnsi="Calibri" w:cs="Tahoma"/>
                <w:i/>
                <w:sz w:val="24"/>
                <w:szCs w:val="24"/>
              </w:rPr>
            </w:pPr>
            <w:r>
              <w:rPr>
                <w:rFonts w:ascii="Calibri" w:hAnsi="Calibri" w:cs="Tahoma"/>
                <w:i/>
                <w:sz w:val="24"/>
                <w:szCs w:val="24"/>
              </w:rPr>
              <w:t>Student number:</w:t>
            </w:r>
          </w:p>
        </w:tc>
      </w:tr>
      <w:tr w:rsidR="002B7662" w:rsidTr="002B7662">
        <w:trPr>
          <w:trHeight w:val="3972"/>
        </w:trPr>
        <w:tc>
          <w:tcPr>
            <w:tcW w:w="8755" w:type="dxa"/>
            <w:gridSpan w:val="3"/>
            <w:tcBorders>
              <w:top w:val="single" w:sz="4" w:space="0" w:color="auto"/>
              <w:left w:val="single" w:sz="4" w:space="0" w:color="auto"/>
              <w:bottom w:val="single" w:sz="4" w:space="0" w:color="auto"/>
              <w:right w:val="single" w:sz="4" w:space="0" w:color="auto"/>
            </w:tcBorders>
          </w:tcPr>
          <w:p w:rsidR="002B7662" w:rsidRDefault="002B7662">
            <w:pPr>
              <w:pStyle w:val="NormalWeb"/>
              <w:spacing w:before="0" w:beforeAutospacing="0" w:after="0" w:afterAutospacing="0" w:line="256" w:lineRule="auto"/>
              <w:rPr>
                <w:rFonts w:ascii="Calibri" w:hAnsi="Calibri" w:cs="Tahoma"/>
                <w:i/>
                <w:sz w:val="24"/>
                <w:szCs w:val="24"/>
              </w:rPr>
            </w:pPr>
            <w:r>
              <w:rPr>
                <w:rFonts w:ascii="Calibri" w:hAnsi="Calibri" w:cs="Tahoma"/>
                <w:i/>
                <w:sz w:val="24"/>
                <w:szCs w:val="24"/>
              </w:rPr>
              <w:t>For completion by marker:</w:t>
            </w:r>
          </w:p>
          <w:p w:rsidR="002B7662" w:rsidRDefault="002B7662">
            <w:pPr>
              <w:pStyle w:val="NormalWeb"/>
              <w:spacing w:line="256" w:lineRule="auto"/>
              <w:rPr>
                <w:rFonts w:ascii="Calibri" w:hAnsi="Calibri" w:cs="Tahoma"/>
                <w:i/>
                <w:sz w:val="24"/>
                <w:szCs w:val="24"/>
              </w:rPr>
            </w:pPr>
            <w:r>
              <w:rPr>
                <w:rFonts w:ascii="Calibri" w:hAnsi="Calibri" w:cs="Tahoma"/>
                <w:i/>
                <w:sz w:val="24"/>
                <w:szCs w:val="24"/>
              </w:rPr>
              <w:t>Comments:</w:t>
            </w:r>
          </w:p>
          <w:p w:rsidR="002B7662" w:rsidRDefault="002B7662">
            <w:pPr>
              <w:pStyle w:val="NormalWeb"/>
              <w:spacing w:line="256" w:lineRule="auto"/>
              <w:rPr>
                <w:rFonts w:ascii="Calibri" w:hAnsi="Calibri" w:cs="Tahoma"/>
                <w:i/>
                <w:sz w:val="24"/>
                <w:szCs w:val="24"/>
              </w:rPr>
            </w:pPr>
          </w:p>
          <w:p w:rsidR="002B7662" w:rsidRDefault="002B7662">
            <w:pPr>
              <w:pStyle w:val="NormalWeb"/>
              <w:spacing w:line="256" w:lineRule="auto"/>
              <w:rPr>
                <w:rFonts w:ascii="Calibri" w:hAnsi="Calibri" w:cs="Tahoma"/>
                <w:i/>
                <w:sz w:val="24"/>
                <w:szCs w:val="24"/>
              </w:rPr>
            </w:pPr>
          </w:p>
          <w:p w:rsidR="002B7662" w:rsidRDefault="002B7662">
            <w:pPr>
              <w:pStyle w:val="NormalWeb"/>
              <w:spacing w:line="256" w:lineRule="auto"/>
              <w:rPr>
                <w:rFonts w:ascii="Calibri" w:hAnsi="Calibri" w:cs="Tahoma"/>
                <w:i/>
                <w:sz w:val="24"/>
                <w:szCs w:val="24"/>
              </w:rPr>
            </w:pPr>
          </w:p>
          <w:p w:rsidR="002B7662" w:rsidRDefault="002B7662">
            <w:pPr>
              <w:pStyle w:val="NormalWeb"/>
              <w:spacing w:line="256" w:lineRule="auto"/>
              <w:rPr>
                <w:rFonts w:ascii="Calibri" w:hAnsi="Calibri" w:cs="Tahoma"/>
                <w:i/>
                <w:sz w:val="24"/>
                <w:szCs w:val="24"/>
              </w:rPr>
            </w:pPr>
          </w:p>
          <w:p w:rsidR="002B7662" w:rsidRDefault="002B7662">
            <w:pPr>
              <w:pStyle w:val="NormalWeb"/>
              <w:spacing w:line="256" w:lineRule="auto"/>
              <w:rPr>
                <w:rFonts w:ascii="Calibri" w:hAnsi="Calibri" w:cs="Tahoma"/>
                <w:i/>
                <w:sz w:val="24"/>
                <w:szCs w:val="24"/>
              </w:rPr>
            </w:pPr>
          </w:p>
          <w:p w:rsidR="002B7662" w:rsidRDefault="002B7662">
            <w:pPr>
              <w:pStyle w:val="NormalWeb"/>
              <w:spacing w:line="256" w:lineRule="auto"/>
              <w:rPr>
                <w:rFonts w:ascii="Calibri" w:hAnsi="Calibri" w:cs="Tahoma"/>
                <w:i/>
                <w:sz w:val="24"/>
                <w:szCs w:val="24"/>
              </w:rPr>
            </w:pPr>
          </w:p>
          <w:p w:rsidR="002B7662" w:rsidRDefault="002B7662">
            <w:pPr>
              <w:pStyle w:val="NormalWeb"/>
              <w:spacing w:line="256" w:lineRule="auto"/>
              <w:rPr>
                <w:rFonts w:ascii="Calibri" w:hAnsi="Calibri" w:cs="Tahoma"/>
                <w:i/>
                <w:sz w:val="24"/>
                <w:szCs w:val="24"/>
              </w:rPr>
            </w:pPr>
          </w:p>
          <w:p w:rsidR="002B7662" w:rsidRDefault="002B7662">
            <w:pPr>
              <w:pStyle w:val="NormalWeb"/>
              <w:spacing w:line="256" w:lineRule="auto"/>
              <w:rPr>
                <w:rFonts w:ascii="Calibri" w:hAnsi="Calibri" w:cs="Tahoma"/>
                <w:i/>
                <w:sz w:val="24"/>
                <w:szCs w:val="24"/>
              </w:rPr>
            </w:pPr>
          </w:p>
          <w:p w:rsidR="002B7662" w:rsidRDefault="002B7662">
            <w:pPr>
              <w:pStyle w:val="NormalWeb"/>
              <w:spacing w:line="256" w:lineRule="auto"/>
              <w:rPr>
                <w:rFonts w:ascii="Calibri" w:hAnsi="Calibri" w:cs="Tahoma"/>
                <w:i/>
                <w:sz w:val="24"/>
                <w:szCs w:val="24"/>
              </w:rPr>
            </w:pPr>
          </w:p>
          <w:p w:rsidR="002B7662" w:rsidRDefault="002B7662">
            <w:pPr>
              <w:pStyle w:val="NormalWeb"/>
              <w:spacing w:line="256" w:lineRule="auto"/>
              <w:rPr>
                <w:rFonts w:ascii="Calibri" w:hAnsi="Calibri" w:cs="Tahoma"/>
                <w:i/>
                <w:sz w:val="24"/>
                <w:szCs w:val="24"/>
              </w:rPr>
            </w:pPr>
          </w:p>
          <w:p w:rsidR="002B7662" w:rsidRDefault="002B7662">
            <w:pPr>
              <w:pStyle w:val="NormalWeb"/>
              <w:spacing w:line="256" w:lineRule="auto"/>
              <w:rPr>
                <w:rFonts w:ascii="Calibri" w:hAnsi="Calibri" w:cs="Tahoma"/>
                <w:i/>
                <w:sz w:val="24"/>
                <w:szCs w:val="24"/>
              </w:rPr>
            </w:pPr>
          </w:p>
        </w:tc>
      </w:tr>
      <w:tr w:rsidR="002B7662" w:rsidTr="002B7662">
        <w:trPr>
          <w:trHeight w:val="492"/>
        </w:trPr>
        <w:tc>
          <w:tcPr>
            <w:tcW w:w="6768" w:type="dxa"/>
            <w:gridSpan w:val="2"/>
            <w:tcBorders>
              <w:top w:val="single" w:sz="4" w:space="0" w:color="auto"/>
              <w:left w:val="single" w:sz="4" w:space="0" w:color="auto"/>
              <w:bottom w:val="single" w:sz="4" w:space="0" w:color="auto"/>
              <w:right w:val="single" w:sz="4" w:space="0" w:color="auto"/>
            </w:tcBorders>
            <w:vAlign w:val="center"/>
            <w:hideMark/>
          </w:tcPr>
          <w:p w:rsidR="002B7662" w:rsidRDefault="002B7662">
            <w:pPr>
              <w:pStyle w:val="NormalWeb"/>
              <w:spacing w:beforeAutospacing="0" w:afterAutospacing="0" w:line="256" w:lineRule="auto"/>
              <w:ind w:left="142" w:right="34"/>
              <w:rPr>
                <w:rFonts w:ascii="Calibri" w:hAnsi="Calibri" w:cs="Tahoma"/>
                <w:i/>
                <w:sz w:val="24"/>
                <w:szCs w:val="24"/>
              </w:rPr>
            </w:pPr>
            <w:r>
              <w:rPr>
                <w:rFonts w:ascii="Calibri" w:hAnsi="Calibri" w:cs="Tahoma"/>
                <w:i/>
                <w:sz w:val="24"/>
                <w:szCs w:val="24"/>
              </w:rPr>
              <w:t>Marker’s signature:</w:t>
            </w:r>
          </w:p>
        </w:tc>
        <w:tc>
          <w:tcPr>
            <w:tcW w:w="1987" w:type="dxa"/>
            <w:tcBorders>
              <w:top w:val="single" w:sz="4" w:space="0" w:color="auto"/>
              <w:left w:val="single" w:sz="4" w:space="0" w:color="auto"/>
              <w:bottom w:val="single" w:sz="4" w:space="0" w:color="auto"/>
              <w:right w:val="single" w:sz="4" w:space="0" w:color="auto"/>
            </w:tcBorders>
            <w:vAlign w:val="center"/>
            <w:hideMark/>
          </w:tcPr>
          <w:p w:rsidR="002B7662" w:rsidRDefault="002B7662">
            <w:pPr>
              <w:pStyle w:val="NormalWeb"/>
              <w:spacing w:beforeAutospacing="0" w:after="0" w:afterAutospacing="0" w:line="256" w:lineRule="auto"/>
              <w:ind w:left="142" w:right="34"/>
              <w:rPr>
                <w:rFonts w:ascii="Calibri" w:hAnsi="Calibri" w:cs="Tahoma"/>
                <w:i/>
                <w:sz w:val="24"/>
                <w:szCs w:val="24"/>
              </w:rPr>
            </w:pPr>
            <w:r>
              <w:rPr>
                <w:rFonts w:ascii="Calibri" w:hAnsi="Calibri" w:cs="Tahoma"/>
                <w:i/>
                <w:sz w:val="24"/>
                <w:szCs w:val="24"/>
              </w:rPr>
              <w:t>Date:</w:t>
            </w:r>
          </w:p>
        </w:tc>
      </w:tr>
      <w:tr w:rsidR="002B7662" w:rsidTr="002B7662">
        <w:tc>
          <w:tcPr>
            <w:tcW w:w="8755" w:type="dxa"/>
            <w:gridSpan w:val="3"/>
            <w:tcBorders>
              <w:top w:val="single" w:sz="4" w:space="0" w:color="auto"/>
              <w:left w:val="single" w:sz="4" w:space="0" w:color="auto"/>
              <w:bottom w:val="single" w:sz="4" w:space="0" w:color="auto"/>
              <w:right w:val="single" w:sz="4" w:space="0" w:color="auto"/>
            </w:tcBorders>
            <w:vAlign w:val="center"/>
            <w:hideMark/>
          </w:tcPr>
          <w:p w:rsidR="002B7662" w:rsidRDefault="002B7662">
            <w:pPr>
              <w:pStyle w:val="NormalWeb"/>
              <w:spacing w:before="0" w:beforeAutospacing="0" w:after="0" w:afterAutospacing="0" w:line="256" w:lineRule="auto"/>
              <w:ind w:left="142" w:right="34"/>
              <w:rPr>
                <w:rFonts w:ascii="Calibri" w:hAnsi="Calibri" w:cs="Tahoma"/>
                <w:i/>
                <w:sz w:val="24"/>
                <w:szCs w:val="24"/>
              </w:rPr>
            </w:pPr>
            <w:r>
              <w:rPr>
                <w:rFonts w:ascii="Calibri" w:hAnsi="Calibri" w:cs="Tahoma"/>
                <w:i/>
                <w:sz w:val="24"/>
                <w:szCs w:val="24"/>
              </w:rPr>
              <w:t xml:space="preserve">Provisional mark: </w:t>
            </w:r>
          </w:p>
          <w:p w:rsidR="002B7662" w:rsidRDefault="002B7662">
            <w:pPr>
              <w:pStyle w:val="NormalWeb"/>
              <w:spacing w:before="0" w:beforeAutospacing="0" w:after="0" w:afterAutospacing="0" w:line="256" w:lineRule="auto"/>
              <w:ind w:left="142" w:right="34"/>
              <w:rPr>
                <w:rFonts w:ascii="Calibri" w:hAnsi="Calibri" w:cs="Tahoma"/>
                <w:i/>
                <w:sz w:val="24"/>
                <w:szCs w:val="24"/>
              </w:rPr>
            </w:pPr>
            <w:r>
              <w:rPr>
                <w:rFonts w:ascii="Calibri" w:hAnsi="Calibri" w:cs="Tahoma"/>
                <w:b/>
                <w:i/>
                <w:sz w:val="24"/>
                <w:szCs w:val="24"/>
              </w:rPr>
              <w:t>NB.</w:t>
            </w:r>
            <w:r>
              <w:rPr>
                <w:rFonts w:ascii="Calibri" w:hAnsi="Calibri" w:cs="Tahoma"/>
                <w:i/>
                <w:sz w:val="24"/>
                <w:szCs w:val="24"/>
              </w:rPr>
              <w:t xml:space="preserve">  All marks are provisional until confirmed by the final examination board. </w:t>
            </w:r>
          </w:p>
        </w:tc>
      </w:tr>
    </w:tbl>
    <w:p w:rsidR="002B7662" w:rsidRDefault="002B7662"/>
    <w:p w:rsidR="00E11042" w:rsidRPr="00C24861" w:rsidRDefault="00E11042" w:rsidP="00E11042">
      <w:pPr>
        <w:pStyle w:val="NoSpacing"/>
        <w:rPr>
          <w:b/>
          <w:sz w:val="24"/>
          <w:szCs w:val="24"/>
        </w:rPr>
      </w:pPr>
      <w:r w:rsidRPr="00C24861">
        <w:rPr>
          <w:b/>
          <w:sz w:val="24"/>
          <w:szCs w:val="24"/>
        </w:rPr>
        <w:lastRenderedPageBreak/>
        <w:t>Christopher Lawrance</w:t>
      </w:r>
    </w:p>
    <w:p w:rsidR="00E11042" w:rsidRPr="00C24861" w:rsidRDefault="00E11042" w:rsidP="00E11042">
      <w:pPr>
        <w:pStyle w:val="NoSpacing"/>
        <w:rPr>
          <w:b/>
          <w:sz w:val="24"/>
          <w:szCs w:val="24"/>
        </w:rPr>
      </w:pPr>
      <w:r w:rsidRPr="00C24861">
        <w:rPr>
          <w:b/>
          <w:sz w:val="24"/>
          <w:szCs w:val="24"/>
        </w:rPr>
        <w:t>Student 1401550</w:t>
      </w:r>
    </w:p>
    <w:p w:rsidR="00E11042" w:rsidRPr="00C24861" w:rsidRDefault="00E11042" w:rsidP="00E11042">
      <w:pPr>
        <w:pStyle w:val="NoSpacing"/>
        <w:rPr>
          <w:b/>
          <w:sz w:val="24"/>
          <w:szCs w:val="24"/>
        </w:rPr>
      </w:pPr>
      <w:r w:rsidRPr="00C24861">
        <w:rPr>
          <w:b/>
          <w:sz w:val="24"/>
          <w:szCs w:val="24"/>
        </w:rPr>
        <w:t>HPAH6001</w:t>
      </w:r>
    </w:p>
    <w:p w:rsidR="00E11042" w:rsidRPr="00C24861" w:rsidRDefault="00E11042" w:rsidP="00E11042">
      <w:pPr>
        <w:pStyle w:val="NoSpacing"/>
        <w:rPr>
          <w:b/>
          <w:sz w:val="24"/>
          <w:szCs w:val="24"/>
        </w:rPr>
      </w:pPr>
    </w:p>
    <w:p w:rsidR="00E11042" w:rsidRPr="00C24861" w:rsidRDefault="00E11042" w:rsidP="00762909">
      <w:pPr>
        <w:pStyle w:val="NoSpacing"/>
        <w:rPr>
          <w:b/>
          <w:sz w:val="24"/>
          <w:szCs w:val="24"/>
        </w:rPr>
      </w:pPr>
      <w:r w:rsidRPr="00C24861">
        <w:rPr>
          <w:b/>
          <w:sz w:val="24"/>
          <w:szCs w:val="24"/>
        </w:rPr>
        <w:t>5. The Noon-Day Demon. The World Health Organization claims “an estimated 350 million “people suffer from depression. Evidence of depression can be found in ancient and medieval texts.</w:t>
      </w:r>
      <w:r w:rsidR="00762909" w:rsidRPr="00C24861">
        <w:t xml:space="preserve"> </w:t>
      </w:r>
      <w:r w:rsidR="00762909" w:rsidRPr="00C24861">
        <w:rPr>
          <w:b/>
          <w:sz w:val="24"/>
          <w:szCs w:val="24"/>
        </w:rPr>
        <w:t>What insight can religious approaches to mental health offer either to those who care for the mentally ill or some of those 350 million?</w:t>
      </w:r>
    </w:p>
    <w:p w:rsidR="00E11042" w:rsidRDefault="00E11042" w:rsidP="00E11042">
      <w:pPr>
        <w:pStyle w:val="NoSpacing"/>
        <w:rPr>
          <w:b/>
          <w:sz w:val="24"/>
          <w:szCs w:val="24"/>
        </w:rPr>
      </w:pPr>
    </w:p>
    <w:p w:rsidR="00FF49B1" w:rsidRPr="00A6537D" w:rsidRDefault="00F41643" w:rsidP="00E11042">
      <w:pPr>
        <w:pStyle w:val="NoSpacing"/>
        <w:rPr>
          <w:sz w:val="24"/>
          <w:szCs w:val="24"/>
          <w:u w:val="single"/>
        </w:rPr>
      </w:pPr>
      <w:r w:rsidRPr="00A6537D">
        <w:rPr>
          <w:sz w:val="24"/>
          <w:szCs w:val="24"/>
          <w:u w:val="single"/>
        </w:rPr>
        <w:t xml:space="preserve">An overview of the institutional body of the Christian Churches approach towards mental health, in treatment of patients </w:t>
      </w:r>
      <w:r w:rsidR="00766E11">
        <w:rPr>
          <w:sz w:val="24"/>
          <w:szCs w:val="24"/>
          <w:u w:val="single"/>
        </w:rPr>
        <w:t xml:space="preserve">within and outside of </w:t>
      </w:r>
      <w:r w:rsidRPr="00A6537D">
        <w:rPr>
          <w:sz w:val="24"/>
          <w:szCs w:val="24"/>
          <w:u w:val="single"/>
        </w:rPr>
        <w:t>its ranks.</w:t>
      </w:r>
    </w:p>
    <w:p w:rsidR="00FF49B1" w:rsidRDefault="00FF49B1" w:rsidP="00E11042">
      <w:pPr>
        <w:pStyle w:val="NoSpacing"/>
        <w:rPr>
          <w:b/>
          <w:sz w:val="24"/>
          <w:szCs w:val="24"/>
        </w:rPr>
      </w:pPr>
    </w:p>
    <w:p w:rsidR="00E11042" w:rsidRDefault="0010607E" w:rsidP="00E11042">
      <w:pPr>
        <w:pStyle w:val="NoSpacing"/>
        <w:rPr>
          <w:sz w:val="24"/>
          <w:szCs w:val="24"/>
        </w:rPr>
      </w:pPr>
      <w:r>
        <w:rPr>
          <w:sz w:val="24"/>
          <w:szCs w:val="24"/>
        </w:rPr>
        <w:t xml:space="preserve">This will be an essay </w:t>
      </w:r>
      <w:r w:rsidR="00762909">
        <w:rPr>
          <w:sz w:val="24"/>
          <w:szCs w:val="24"/>
        </w:rPr>
        <w:t xml:space="preserve">focusing on the noon day demon, </w:t>
      </w:r>
      <w:r w:rsidR="004D26A3">
        <w:rPr>
          <w:sz w:val="24"/>
          <w:szCs w:val="24"/>
        </w:rPr>
        <w:t xml:space="preserve">which concentrates </w:t>
      </w:r>
      <w:r>
        <w:rPr>
          <w:sz w:val="24"/>
          <w:szCs w:val="24"/>
        </w:rPr>
        <w:t xml:space="preserve">on answering the question </w:t>
      </w:r>
      <w:r w:rsidR="0093299C">
        <w:rPr>
          <w:sz w:val="24"/>
          <w:szCs w:val="24"/>
        </w:rPr>
        <w:t xml:space="preserve">of providing insight into religious approaches towards mental health, specifically those utilised by the Christian Clergymen of the middle ages who were often most those who would care for the sick. Also I will feature examples of mental illness identified within the ranks of the Christian religious institutions body itself, namely, the records kept by Christian Monastics within the dark ages of monks beginning to show </w:t>
      </w:r>
      <w:r w:rsidR="008A18EC">
        <w:rPr>
          <w:sz w:val="24"/>
          <w:szCs w:val="24"/>
        </w:rPr>
        <w:t>clear</w:t>
      </w:r>
      <w:r w:rsidR="0093299C">
        <w:rPr>
          <w:sz w:val="24"/>
          <w:szCs w:val="24"/>
        </w:rPr>
        <w:t xml:space="preserve"> and </w:t>
      </w:r>
      <w:r w:rsidR="00F6779D">
        <w:rPr>
          <w:sz w:val="24"/>
          <w:szCs w:val="24"/>
        </w:rPr>
        <w:t xml:space="preserve">unusually </w:t>
      </w:r>
      <w:r w:rsidR="0093299C">
        <w:rPr>
          <w:sz w:val="24"/>
          <w:szCs w:val="24"/>
        </w:rPr>
        <w:t xml:space="preserve">persistent signs of </w:t>
      </w:r>
      <w:r w:rsidR="00F6779D">
        <w:rPr>
          <w:sz w:val="24"/>
          <w:szCs w:val="24"/>
        </w:rPr>
        <w:t xml:space="preserve">extreme </w:t>
      </w:r>
      <w:r w:rsidR="00F100C7">
        <w:rPr>
          <w:sz w:val="24"/>
          <w:szCs w:val="24"/>
        </w:rPr>
        <w:t>weariness, sorrow and melancholia</w:t>
      </w:r>
      <w:r w:rsidR="0093299C">
        <w:rPr>
          <w:sz w:val="24"/>
          <w:szCs w:val="24"/>
        </w:rPr>
        <w:t>. Also outlining how these same monastics</w:t>
      </w:r>
      <w:r w:rsidR="0086097F">
        <w:rPr>
          <w:sz w:val="24"/>
          <w:szCs w:val="24"/>
        </w:rPr>
        <w:t xml:space="preserve"> began to document</w:t>
      </w:r>
      <w:r w:rsidR="0093299C">
        <w:rPr>
          <w:sz w:val="24"/>
          <w:szCs w:val="24"/>
        </w:rPr>
        <w:t xml:space="preserve"> these c</w:t>
      </w:r>
      <w:r>
        <w:rPr>
          <w:sz w:val="24"/>
          <w:szCs w:val="24"/>
        </w:rPr>
        <w:t>ases not in the sense of the record</w:t>
      </w:r>
      <w:r w:rsidR="0093299C">
        <w:rPr>
          <w:sz w:val="24"/>
          <w:szCs w:val="24"/>
        </w:rPr>
        <w:t xml:space="preserve"> keeping of specific </w:t>
      </w:r>
      <w:r w:rsidR="00673B65">
        <w:rPr>
          <w:sz w:val="24"/>
          <w:szCs w:val="24"/>
        </w:rPr>
        <w:t>monks</w:t>
      </w:r>
      <w:r w:rsidR="0093299C">
        <w:rPr>
          <w:sz w:val="24"/>
          <w:szCs w:val="24"/>
        </w:rPr>
        <w:t xml:space="preserve"> who were afflicted, but of </w:t>
      </w:r>
      <w:r>
        <w:rPr>
          <w:sz w:val="24"/>
          <w:szCs w:val="24"/>
        </w:rPr>
        <w:t xml:space="preserve">keeping records of specific symptoms </w:t>
      </w:r>
      <w:r w:rsidR="0086097F">
        <w:rPr>
          <w:sz w:val="24"/>
          <w:szCs w:val="24"/>
        </w:rPr>
        <w:t xml:space="preserve">of </w:t>
      </w:r>
      <w:r w:rsidR="00673B65">
        <w:rPr>
          <w:sz w:val="24"/>
          <w:szCs w:val="24"/>
        </w:rPr>
        <w:t>which afflicted monks</w:t>
      </w:r>
      <w:r>
        <w:rPr>
          <w:sz w:val="24"/>
          <w:szCs w:val="24"/>
        </w:rPr>
        <w:t xml:space="preserve"> </w:t>
      </w:r>
      <w:r w:rsidR="0093299C">
        <w:rPr>
          <w:sz w:val="24"/>
          <w:szCs w:val="24"/>
        </w:rPr>
        <w:t xml:space="preserve">displayed within their </w:t>
      </w:r>
      <w:r>
        <w:rPr>
          <w:sz w:val="24"/>
          <w:szCs w:val="24"/>
        </w:rPr>
        <w:t>breakdowns;</w:t>
      </w:r>
      <w:r w:rsidR="008A18EC">
        <w:rPr>
          <w:sz w:val="24"/>
          <w:szCs w:val="24"/>
        </w:rPr>
        <w:t xml:space="preserve"> symptoms which began to become recognisable and familiar to</w:t>
      </w:r>
      <w:r>
        <w:rPr>
          <w:sz w:val="24"/>
          <w:szCs w:val="24"/>
        </w:rPr>
        <w:t xml:space="preserve"> monastics who made observations of other afflicted brethren; </w:t>
      </w:r>
      <w:r w:rsidR="00EE74E5">
        <w:rPr>
          <w:sz w:val="24"/>
          <w:szCs w:val="24"/>
        </w:rPr>
        <w:t xml:space="preserve">symptoms which in time </w:t>
      </w:r>
      <w:r w:rsidR="00673B65">
        <w:rPr>
          <w:sz w:val="24"/>
          <w:szCs w:val="24"/>
        </w:rPr>
        <w:t xml:space="preserve">also </w:t>
      </w:r>
      <w:r w:rsidR="00EE74E5">
        <w:rPr>
          <w:sz w:val="24"/>
          <w:szCs w:val="24"/>
        </w:rPr>
        <w:t xml:space="preserve">became perceived to be indicative of </w:t>
      </w:r>
      <w:r>
        <w:rPr>
          <w:sz w:val="24"/>
          <w:szCs w:val="24"/>
        </w:rPr>
        <w:t xml:space="preserve">a </w:t>
      </w:r>
      <w:r w:rsidR="00EE74E5">
        <w:rPr>
          <w:sz w:val="24"/>
          <w:szCs w:val="24"/>
        </w:rPr>
        <w:t xml:space="preserve">much </w:t>
      </w:r>
      <w:r w:rsidR="00673B65">
        <w:rPr>
          <w:sz w:val="24"/>
          <w:szCs w:val="24"/>
        </w:rPr>
        <w:t>bigger problem. This problem is also one</w:t>
      </w:r>
      <w:r>
        <w:rPr>
          <w:sz w:val="24"/>
          <w:szCs w:val="24"/>
        </w:rPr>
        <w:t xml:space="preserve"> which at the time was also perceived to be of a spiritual concern, in that it was perceived to be in fact a spiritual attack of </w:t>
      </w:r>
      <w:r w:rsidR="00FF2B78">
        <w:rPr>
          <w:sz w:val="24"/>
          <w:szCs w:val="24"/>
        </w:rPr>
        <w:t>a malevolent force</w:t>
      </w:r>
      <w:r>
        <w:rPr>
          <w:sz w:val="24"/>
          <w:szCs w:val="24"/>
        </w:rPr>
        <w:t xml:space="preserve"> upon these Holy men and women of God; a spiritual attack carried out by the troublesome “demon of acedia”. </w:t>
      </w:r>
    </w:p>
    <w:p w:rsidR="0010607E" w:rsidRDefault="0010607E" w:rsidP="00E11042">
      <w:pPr>
        <w:pStyle w:val="NoSpacing"/>
        <w:rPr>
          <w:sz w:val="24"/>
          <w:szCs w:val="24"/>
        </w:rPr>
      </w:pPr>
    </w:p>
    <w:p w:rsidR="00EB2EF9" w:rsidRDefault="0010607E" w:rsidP="00E11042">
      <w:pPr>
        <w:pStyle w:val="NoSpacing"/>
        <w:rPr>
          <w:sz w:val="24"/>
          <w:szCs w:val="24"/>
        </w:rPr>
      </w:pPr>
      <w:r>
        <w:rPr>
          <w:sz w:val="24"/>
          <w:szCs w:val="24"/>
        </w:rPr>
        <w:t>However, I s</w:t>
      </w:r>
      <w:r w:rsidR="00F100C7">
        <w:rPr>
          <w:sz w:val="24"/>
          <w:szCs w:val="24"/>
        </w:rPr>
        <w:t>hall be</w:t>
      </w:r>
      <w:r w:rsidR="00FD374E">
        <w:rPr>
          <w:sz w:val="24"/>
          <w:szCs w:val="24"/>
        </w:rPr>
        <w:t xml:space="preserve">gin this essay </w:t>
      </w:r>
      <w:r w:rsidR="00F100C7">
        <w:rPr>
          <w:sz w:val="24"/>
          <w:szCs w:val="24"/>
        </w:rPr>
        <w:t>by</w:t>
      </w:r>
      <w:r w:rsidR="009463F1">
        <w:rPr>
          <w:sz w:val="24"/>
          <w:szCs w:val="24"/>
        </w:rPr>
        <w:t xml:space="preserve"> outlining the medical care which was present within the middle ages. It goes without saying that by today’s standards it was primitive </w:t>
      </w:r>
      <w:r w:rsidR="00EB2EF9">
        <w:rPr>
          <w:sz w:val="24"/>
          <w:szCs w:val="24"/>
        </w:rPr>
        <w:t xml:space="preserve">in certain areas </w:t>
      </w:r>
      <w:r w:rsidR="009463F1">
        <w:rPr>
          <w:sz w:val="24"/>
          <w:szCs w:val="24"/>
        </w:rPr>
        <w:t xml:space="preserve">to say the least, with a woeful level of misunderstanding concerning the nature of what was placed before them within the various places of care which arose within the middle ages; the first hospitals. Such an </w:t>
      </w:r>
      <w:r w:rsidR="00EB2EF9">
        <w:rPr>
          <w:sz w:val="24"/>
          <w:szCs w:val="24"/>
        </w:rPr>
        <w:t>example of this</w:t>
      </w:r>
      <w:r w:rsidR="009463F1">
        <w:rPr>
          <w:sz w:val="24"/>
          <w:szCs w:val="24"/>
        </w:rPr>
        <w:t xml:space="preserve"> misunderstanding being the belief amongst the clergymen who cared for the sick within these hospitals, that a mentally ill person was in fact </w:t>
      </w:r>
      <w:r w:rsidR="00EB2EF9">
        <w:rPr>
          <w:sz w:val="24"/>
          <w:szCs w:val="24"/>
        </w:rPr>
        <w:t xml:space="preserve">wholly </w:t>
      </w:r>
      <w:r w:rsidR="009463F1">
        <w:rPr>
          <w:sz w:val="24"/>
          <w:szCs w:val="24"/>
        </w:rPr>
        <w:t>“possessed by th</w:t>
      </w:r>
      <w:r w:rsidR="00EB2EF9">
        <w:rPr>
          <w:sz w:val="24"/>
          <w:szCs w:val="24"/>
        </w:rPr>
        <w:t xml:space="preserve">e devil and by evil spirits, and </w:t>
      </w:r>
      <w:r w:rsidR="009463F1">
        <w:rPr>
          <w:sz w:val="24"/>
          <w:szCs w:val="24"/>
        </w:rPr>
        <w:t>was considered to be a witch or sorcerer who could in fact produce the illness in others”</w:t>
      </w:r>
      <w:r w:rsidR="00CF4AB6">
        <w:rPr>
          <w:rStyle w:val="FootnoteReference"/>
          <w:sz w:val="24"/>
          <w:szCs w:val="24"/>
        </w:rPr>
        <w:footnoteReference w:id="1"/>
      </w:r>
      <w:r w:rsidR="009463F1">
        <w:rPr>
          <w:sz w:val="24"/>
          <w:szCs w:val="24"/>
        </w:rPr>
        <w:t>. It seems then</w:t>
      </w:r>
      <w:r w:rsidR="00914904">
        <w:rPr>
          <w:sz w:val="24"/>
          <w:szCs w:val="24"/>
        </w:rPr>
        <w:t xml:space="preserve"> that</w:t>
      </w:r>
      <w:r w:rsidR="009463F1">
        <w:rPr>
          <w:sz w:val="24"/>
          <w:szCs w:val="24"/>
        </w:rPr>
        <w:t xml:space="preserve"> in ways the medieval system of healthcare was somewhat lacking towards its patients at least by today’s standards, however in its defence it has been stated by </w:t>
      </w:r>
      <w:r w:rsidR="00762D90">
        <w:rPr>
          <w:sz w:val="24"/>
          <w:szCs w:val="24"/>
        </w:rPr>
        <w:t>scholars</w:t>
      </w:r>
      <w:r w:rsidR="009463F1">
        <w:rPr>
          <w:sz w:val="24"/>
          <w:szCs w:val="24"/>
        </w:rPr>
        <w:t xml:space="preserve"> that</w:t>
      </w:r>
      <w:r w:rsidR="00762D90">
        <w:rPr>
          <w:sz w:val="24"/>
          <w:szCs w:val="24"/>
        </w:rPr>
        <w:t xml:space="preserve"> in fact it still surpassed the standards</w:t>
      </w:r>
      <w:r w:rsidR="00146CCB">
        <w:rPr>
          <w:sz w:val="24"/>
          <w:szCs w:val="24"/>
        </w:rPr>
        <w:t xml:space="preserve"> of medical care in terms of devotion</w:t>
      </w:r>
      <w:r w:rsidR="00762D90">
        <w:rPr>
          <w:sz w:val="24"/>
          <w:szCs w:val="24"/>
        </w:rPr>
        <w:t xml:space="preserve"> to the </w:t>
      </w:r>
      <w:r w:rsidR="00762D90" w:rsidRPr="00146CCB">
        <w:rPr>
          <w:i/>
          <w:sz w:val="24"/>
          <w:szCs w:val="24"/>
        </w:rPr>
        <w:t>wellbeing</w:t>
      </w:r>
      <w:r w:rsidR="00762D90">
        <w:rPr>
          <w:sz w:val="24"/>
          <w:szCs w:val="24"/>
        </w:rPr>
        <w:t xml:space="preserve"> of the sick</w:t>
      </w:r>
      <w:r w:rsidR="00CF4AB6">
        <w:rPr>
          <w:rStyle w:val="FootnoteReference"/>
          <w:sz w:val="24"/>
          <w:szCs w:val="24"/>
        </w:rPr>
        <w:footnoteReference w:id="2"/>
      </w:r>
      <w:r w:rsidR="00E64082">
        <w:rPr>
          <w:sz w:val="24"/>
          <w:szCs w:val="24"/>
        </w:rPr>
        <w:t xml:space="preserve"> </w:t>
      </w:r>
      <w:r w:rsidR="00762D90">
        <w:rPr>
          <w:sz w:val="24"/>
          <w:szCs w:val="24"/>
        </w:rPr>
        <w:t xml:space="preserve">when pitted against certain examples of cruel and harsh </w:t>
      </w:r>
      <w:r w:rsidR="00964481">
        <w:rPr>
          <w:sz w:val="24"/>
          <w:szCs w:val="24"/>
        </w:rPr>
        <w:t>centres</w:t>
      </w:r>
      <w:r w:rsidR="00762D90">
        <w:rPr>
          <w:sz w:val="24"/>
          <w:szCs w:val="24"/>
        </w:rPr>
        <w:t xml:space="preserve"> of treatment and “care” for the mentally ill such as </w:t>
      </w:r>
      <w:r w:rsidR="00146CCB">
        <w:rPr>
          <w:sz w:val="24"/>
          <w:szCs w:val="24"/>
        </w:rPr>
        <w:t xml:space="preserve">London’s </w:t>
      </w:r>
      <w:r w:rsidR="00762D90">
        <w:rPr>
          <w:sz w:val="24"/>
          <w:szCs w:val="24"/>
        </w:rPr>
        <w:t>Bedlam mental institution within the 18</w:t>
      </w:r>
      <w:r w:rsidR="00762D90" w:rsidRPr="00762D90">
        <w:rPr>
          <w:sz w:val="24"/>
          <w:szCs w:val="24"/>
          <w:vertAlign w:val="superscript"/>
        </w:rPr>
        <w:t>th</w:t>
      </w:r>
      <w:r w:rsidR="00762D90">
        <w:rPr>
          <w:sz w:val="24"/>
          <w:szCs w:val="24"/>
        </w:rPr>
        <w:t xml:space="preserve"> and 19</w:t>
      </w:r>
      <w:r w:rsidR="00762D90" w:rsidRPr="00762D90">
        <w:rPr>
          <w:sz w:val="24"/>
          <w:szCs w:val="24"/>
          <w:vertAlign w:val="superscript"/>
        </w:rPr>
        <w:t>th</w:t>
      </w:r>
      <w:r w:rsidR="00146CCB">
        <w:rPr>
          <w:sz w:val="24"/>
          <w:szCs w:val="24"/>
        </w:rPr>
        <w:t xml:space="preserve"> centuries; where mentally ill patients </w:t>
      </w:r>
      <w:r w:rsidR="00E64082">
        <w:rPr>
          <w:sz w:val="24"/>
          <w:szCs w:val="24"/>
        </w:rPr>
        <w:t xml:space="preserve">who had been </w:t>
      </w:r>
      <w:r w:rsidR="00146CCB">
        <w:rPr>
          <w:sz w:val="24"/>
          <w:szCs w:val="24"/>
        </w:rPr>
        <w:t xml:space="preserve">admitted </w:t>
      </w:r>
      <w:r w:rsidR="00762D90">
        <w:rPr>
          <w:sz w:val="24"/>
          <w:szCs w:val="24"/>
        </w:rPr>
        <w:t xml:space="preserve">were beaten, neglected and </w:t>
      </w:r>
      <w:r w:rsidR="00762D90">
        <w:rPr>
          <w:sz w:val="24"/>
          <w:szCs w:val="24"/>
        </w:rPr>
        <w:lastRenderedPageBreak/>
        <w:t>starved</w:t>
      </w:r>
      <w:r w:rsidR="00CF4AB6">
        <w:rPr>
          <w:rStyle w:val="FootnoteReference"/>
          <w:sz w:val="24"/>
          <w:szCs w:val="24"/>
        </w:rPr>
        <w:footnoteReference w:id="3"/>
      </w:r>
      <w:r w:rsidR="009A62CF">
        <w:rPr>
          <w:b/>
          <w:sz w:val="24"/>
          <w:szCs w:val="24"/>
        </w:rPr>
        <w:t xml:space="preserve">. </w:t>
      </w:r>
      <w:r w:rsidR="00822B3E">
        <w:rPr>
          <w:sz w:val="24"/>
          <w:szCs w:val="24"/>
        </w:rPr>
        <w:t xml:space="preserve">It is also worth mentioning that, </w:t>
      </w:r>
      <w:r w:rsidR="00EB2EF9">
        <w:rPr>
          <w:sz w:val="24"/>
          <w:szCs w:val="24"/>
        </w:rPr>
        <w:t>within the medieval era there were men who were devoting themselves to observing mental illnesses not within a strict</w:t>
      </w:r>
      <w:r w:rsidR="00DB5AAA">
        <w:rPr>
          <w:sz w:val="24"/>
          <w:szCs w:val="24"/>
        </w:rPr>
        <w:t xml:space="preserve"> perception or belief that mental illness was </w:t>
      </w:r>
      <w:r w:rsidR="00EB2EF9">
        <w:rPr>
          <w:sz w:val="24"/>
          <w:szCs w:val="24"/>
        </w:rPr>
        <w:t xml:space="preserve">brought about by </w:t>
      </w:r>
      <w:r w:rsidR="00E64082">
        <w:rPr>
          <w:sz w:val="24"/>
          <w:szCs w:val="24"/>
        </w:rPr>
        <w:t xml:space="preserve">purely </w:t>
      </w:r>
      <w:r w:rsidR="00EB2EF9">
        <w:rPr>
          <w:sz w:val="24"/>
          <w:szCs w:val="24"/>
        </w:rPr>
        <w:t>supernatural causes, bu</w:t>
      </w:r>
      <w:r w:rsidR="00E64082">
        <w:rPr>
          <w:sz w:val="24"/>
          <w:szCs w:val="24"/>
        </w:rPr>
        <w:t xml:space="preserve">t trying to understand </w:t>
      </w:r>
      <w:r w:rsidR="00DB5AAA">
        <w:rPr>
          <w:sz w:val="24"/>
          <w:szCs w:val="24"/>
        </w:rPr>
        <w:t xml:space="preserve">the ways in which it originated or was </w:t>
      </w:r>
      <w:r w:rsidR="00EB2EF9">
        <w:rPr>
          <w:sz w:val="24"/>
          <w:szCs w:val="24"/>
        </w:rPr>
        <w:t>caused perhaps by factors within the natural world, the tangible</w:t>
      </w:r>
      <w:r w:rsidR="00EF6A30">
        <w:rPr>
          <w:sz w:val="24"/>
          <w:szCs w:val="24"/>
        </w:rPr>
        <w:t xml:space="preserve"> world, of the afflicted individual</w:t>
      </w:r>
      <w:r w:rsidR="00CF4AB6">
        <w:rPr>
          <w:rStyle w:val="FootnoteReference"/>
          <w:sz w:val="24"/>
          <w:szCs w:val="24"/>
        </w:rPr>
        <w:footnoteReference w:id="4"/>
      </w:r>
      <w:r w:rsidR="00EB2EF9">
        <w:rPr>
          <w:sz w:val="24"/>
          <w:szCs w:val="24"/>
        </w:rPr>
        <w:t xml:space="preserve">. </w:t>
      </w:r>
      <w:r w:rsidR="00A454BB">
        <w:rPr>
          <w:sz w:val="24"/>
          <w:szCs w:val="24"/>
        </w:rPr>
        <w:t>So then, it</w:t>
      </w:r>
      <w:r w:rsidR="00E3152D">
        <w:rPr>
          <w:sz w:val="24"/>
          <w:szCs w:val="24"/>
        </w:rPr>
        <w:t xml:space="preserve"> is</w:t>
      </w:r>
      <w:r w:rsidR="00A454BB">
        <w:rPr>
          <w:sz w:val="24"/>
          <w:szCs w:val="24"/>
        </w:rPr>
        <w:t xml:space="preserve"> more than fair to comment </w:t>
      </w:r>
      <w:r w:rsidR="00E3152D">
        <w:rPr>
          <w:sz w:val="24"/>
          <w:szCs w:val="24"/>
        </w:rPr>
        <w:t>that</w:t>
      </w:r>
      <w:r w:rsidR="00A454BB">
        <w:rPr>
          <w:sz w:val="24"/>
          <w:szCs w:val="24"/>
        </w:rPr>
        <w:t xml:space="preserve"> of course</w:t>
      </w:r>
      <w:r w:rsidR="00E3152D">
        <w:rPr>
          <w:sz w:val="24"/>
          <w:szCs w:val="24"/>
        </w:rPr>
        <w:t xml:space="preserve"> during this t</w:t>
      </w:r>
      <w:r w:rsidR="00A454BB">
        <w:rPr>
          <w:sz w:val="24"/>
          <w:szCs w:val="24"/>
        </w:rPr>
        <w:t xml:space="preserve">ime period Europe was </w:t>
      </w:r>
      <w:r w:rsidR="00E3152D">
        <w:rPr>
          <w:sz w:val="24"/>
          <w:szCs w:val="24"/>
        </w:rPr>
        <w:t xml:space="preserve">a very piously Christian </w:t>
      </w:r>
      <w:r w:rsidR="00602605">
        <w:rPr>
          <w:sz w:val="24"/>
          <w:szCs w:val="24"/>
        </w:rPr>
        <w:t>Bloc, and so of course, despite the fact that there were methods used by the inhabitants of Europe at that time which did not strictly revolve around prayer or intercession, such as herbal remedies. Nonetheless</w:t>
      </w:r>
      <w:r w:rsidR="00A454BB">
        <w:rPr>
          <w:sz w:val="24"/>
          <w:szCs w:val="24"/>
        </w:rPr>
        <w:t>,</w:t>
      </w:r>
      <w:r w:rsidR="00602605">
        <w:rPr>
          <w:sz w:val="24"/>
          <w:szCs w:val="24"/>
        </w:rPr>
        <w:t xml:space="preserve"> due to the pious culture and strict expectations of the time concerning being religiously observant, the beliefs and perspective of the Christian Church was always going to have an influential effe</w:t>
      </w:r>
      <w:r w:rsidR="00914904">
        <w:rPr>
          <w:sz w:val="24"/>
          <w:szCs w:val="24"/>
        </w:rPr>
        <w:t>ct on the approaches of that time period taken</w:t>
      </w:r>
      <w:r w:rsidR="00602605">
        <w:rPr>
          <w:sz w:val="24"/>
          <w:szCs w:val="24"/>
        </w:rPr>
        <w:t xml:space="preserve"> towards treatment of illnesses. An example of this being for instance the fact that snake bites within Europe were treated with a mix of natural remedies and prayer, as one scholar outlines within his work “the bite of the viper was to be smeared with ear wax while thrice repeating the prayer of St. John”</w:t>
      </w:r>
      <w:r w:rsidR="00CF4AB6">
        <w:rPr>
          <w:rStyle w:val="FootnoteReference"/>
          <w:sz w:val="24"/>
          <w:szCs w:val="24"/>
        </w:rPr>
        <w:footnoteReference w:id="5"/>
      </w:r>
      <w:r w:rsidR="00602605">
        <w:rPr>
          <w:sz w:val="24"/>
          <w:szCs w:val="24"/>
        </w:rPr>
        <w:t xml:space="preserve">. </w:t>
      </w:r>
    </w:p>
    <w:p w:rsidR="00E64082" w:rsidRDefault="00E64082" w:rsidP="00E11042">
      <w:pPr>
        <w:pStyle w:val="NoSpacing"/>
        <w:rPr>
          <w:sz w:val="24"/>
          <w:szCs w:val="24"/>
        </w:rPr>
      </w:pPr>
    </w:p>
    <w:p w:rsidR="005A7902" w:rsidRDefault="002331F3" w:rsidP="00E11042">
      <w:pPr>
        <w:pStyle w:val="NoSpacing"/>
        <w:rPr>
          <w:sz w:val="24"/>
          <w:szCs w:val="24"/>
        </w:rPr>
      </w:pPr>
      <w:r>
        <w:rPr>
          <w:sz w:val="24"/>
          <w:szCs w:val="24"/>
        </w:rPr>
        <w:t xml:space="preserve">Mental Illness as it was </w:t>
      </w:r>
      <w:r w:rsidR="005166FE">
        <w:rPr>
          <w:sz w:val="24"/>
          <w:szCs w:val="24"/>
        </w:rPr>
        <w:t>understood and</w:t>
      </w:r>
      <w:r>
        <w:rPr>
          <w:sz w:val="24"/>
          <w:szCs w:val="24"/>
        </w:rPr>
        <w:t xml:space="preserve"> recorded by the body of the Christian institution or Church however also appears to have been an issue for certain Christian monastics, who, perhaps were beginning to drift past the mere prospect of seeming a little stir crazy and becoming enough of a concern for their peers as to warrant an investigation into the causes of their behaviour, as well as </w:t>
      </w:r>
      <w:r w:rsidR="005166FE">
        <w:rPr>
          <w:sz w:val="24"/>
          <w:szCs w:val="24"/>
        </w:rPr>
        <w:t>produce a clear</w:t>
      </w:r>
      <w:r>
        <w:rPr>
          <w:sz w:val="24"/>
          <w:szCs w:val="24"/>
        </w:rPr>
        <w:t xml:space="preserve"> </w:t>
      </w:r>
      <w:r w:rsidR="00D043F8">
        <w:rPr>
          <w:sz w:val="24"/>
          <w:szCs w:val="24"/>
        </w:rPr>
        <w:t>identification</w:t>
      </w:r>
      <w:r>
        <w:rPr>
          <w:sz w:val="24"/>
          <w:szCs w:val="24"/>
        </w:rPr>
        <w:t xml:space="preserve"> of certai</w:t>
      </w:r>
      <w:r w:rsidR="00D91F96">
        <w:rPr>
          <w:sz w:val="24"/>
          <w:szCs w:val="24"/>
        </w:rPr>
        <w:t xml:space="preserve">n </w:t>
      </w:r>
      <w:r w:rsidR="005A7902">
        <w:rPr>
          <w:sz w:val="24"/>
          <w:szCs w:val="24"/>
        </w:rPr>
        <w:t xml:space="preserve">symptoms and </w:t>
      </w:r>
      <w:r w:rsidR="00467713">
        <w:rPr>
          <w:sz w:val="24"/>
          <w:szCs w:val="24"/>
        </w:rPr>
        <w:t xml:space="preserve">also </w:t>
      </w:r>
      <w:r w:rsidR="005166FE">
        <w:rPr>
          <w:sz w:val="24"/>
          <w:szCs w:val="24"/>
        </w:rPr>
        <w:t>develop</w:t>
      </w:r>
      <w:r w:rsidR="00D91F96">
        <w:rPr>
          <w:sz w:val="24"/>
          <w:szCs w:val="24"/>
        </w:rPr>
        <w:t xml:space="preserve"> methods </w:t>
      </w:r>
      <w:r w:rsidR="00D043F8">
        <w:rPr>
          <w:sz w:val="24"/>
          <w:szCs w:val="24"/>
        </w:rPr>
        <w:t xml:space="preserve">to try and combat it. </w:t>
      </w:r>
      <w:r w:rsidR="005A7902">
        <w:rPr>
          <w:sz w:val="24"/>
          <w:szCs w:val="24"/>
        </w:rPr>
        <w:t xml:space="preserve">The Christian Monk Evagrius of Pontus (345-399 CE) describes this melancholic affliction which arises within certain brethren as “the demon of acedia” and outlines some of its symptoms as such: </w:t>
      </w:r>
    </w:p>
    <w:p w:rsidR="005A7902" w:rsidRDefault="005A7902" w:rsidP="00E11042">
      <w:pPr>
        <w:pStyle w:val="NoSpacing"/>
        <w:rPr>
          <w:sz w:val="24"/>
          <w:szCs w:val="24"/>
        </w:rPr>
      </w:pPr>
    </w:p>
    <w:p w:rsidR="005A7902" w:rsidRDefault="005A7902" w:rsidP="00BD363D">
      <w:pPr>
        <w:pStyle w:val="NoSpacing"/>
        <w:ind w:left="567" w:right="567"/>
        <w:rPr>
          <w:sz w:val="24"/>
          <w:szCs w:val="24"/>
        </w:rPr>
      </w:pPr>
      <w:r>
        <w:rPr>
          <w:sz w:val="24"/>
          <w:szCs w:val="24"/>
        </w:rPr>
        <w:t xml:space="preserve">The </w:t>
      </w:r>
      <w:r w:rsidR="0030318E">
        <w:rPr>
          <w:sz w:val="24"/>
          <w:szCs w:val="24"/>
        </w:rPr>
        <w:t xml:space="preserve">demon of acedia, which is also called the noonday demon, is the most burdensome of all the demons. It besets the monk at about the fourth hour of the morning, encircling his soul until about the eighth hour. First it makes the sun seem to slow down or stop moving, so that the day appears to be fifty hours long. Then it makes the monk keep looking out of his window and forces him to go bounding out of his cell to examine the sun to see how much longer it is to 3 o’ clock and to look around in all directions in case any of the brethren is there. </w:t>
      </w:r>
      <w:r w:rsidR="00BD363D">
        <w:rPr>
          <w:sz w:val="24"/>
          <w:szCs w:val="24"/>
        </w:rPr>
        <w:t>Then it makes him hate the place and his way of life and his manual work. It makes him think that there is no charity left among the brethren and no one is going to come and visit him. It makes him desire other places where he can easily find all that he needs and practice an easier, more convenient craft.</w:t>
      </w:r>
      <w:r w:rsidR="00FE4316">
        <w:rPr>
          <w:rStyle w:val="FootnoteReference"/>
          <w:sz w:val="24"/>
          <w:szCs w:val="24"/>
        </w:rPr>
        <w:footnoteReference w:id="6"/>
      </w:r>
      <w:r w:rsidR="00BD363D">
        <w:rPr>
          <w:sz w:val="24"/>
          <w:szCs w:val="24"/>
        </w:rPr>
        <w:t xml:space="preserve"> </w:t>
      </w:r>
    </w:p>
    <w:p w:rsidR="00672EA8" w:rsidRDefault="00672EA8" w:rsidP="00E11042">
      <w:pPr>
        <w:pStyle w:val="NoSpacing"/>
        <w:rPr>
          <w:sz w:val="24"/>
          <w:szCs w:val="24"/>
        </w:rPr>
      </w:pPr>
    </w:p>
    <w:p w:rsidR="00902DB5" w:rsidRDefault="00F847C3" w:rsidP="00E11042">
      <w:pPr>
        <w:pStyle w:val="NoSpacing"/>
        <w:rPr>
          <w:sz w:val="24"/>
          <w:szCs w:val="24"/>
        </w:rPr>
      </w:pPr>
      <w:r>
        <w:rPr>
          <w:sz w:val="24"/>
          <w:szCs w:val="24"/>
        </w:rPr>
        <w:t>Accounts of other monks observing the demon of acedia seemingly at work seem to more than corroborate with testimonies of other monastics about its harmful effects upon certain members of t</w:t>
      </w:r>
      <w:r w:rsidR="00044615">
        <w:rPr>
          <w:sz w:val="24"/>
          <w:szCs w:val="24"/>
        </w:rPr>
        <w:t xml:space="preserve">heir community. </w:t>
      </w:r>
      <w:r w:rsidR="007A73A8">
        <w:rPr>
          <w:sz w:val="24"/>
          <w:szCs w:val="24"/>
        </w:rPr>
        <w:t xml:space="preserve">From this account of the effects of acedia on monastics which the monk Evagrius witnessed personally within his own monastery, what seems interesting </w:t>
      </w:r>
      <w:r w:rsidR="007A73A8">
        <w:rPr>
          <w:sz w:val="24"/>
          <w:szCs w:val="24"/>
        </w:rPr>
        <w:lastRenderedPageBreak/>
        <w:t>within thi</w:t>
      </w:r>
      <w:r w:rsidR="009647AB">
        <w:rPr>
          <w:sz w:val="24"/>
          <w:szCs w:val="24"/>
        </w:rPr>
        <w:t>s account</w:t>
      </w:r>
      <w:r w:rsidR="00296808">
        <w:rPr>
          <w:sz w:val="24"/>
          <w:szCs w:val="24"/>
        </w:rPr>
        <w:t xml:space="preserve"> is the dissimilarity</w:t>
      </w:r>
      <w:r w:rsidR="007A73A8">
        <w:rPr>
          <w:sz w:val="24"/>
          <w:szCs w:val="24"/>
        </w:rPr>
        <w:t xml:space="preserve"> of symptoms, phases or perhaps variations in the way that acedia manifests itself within different monastics. For instance, with</w:t>
      </w:r>
      <w:r w:rsidR="00296808">
        <w:rPr>
          <w:sz w:val="24"/>
          <w:szCs w:val="24"/>
        </w:rPr>
        <w:t>in the referenced q</w:t>
      </w:r>
      <w:r w:rsidR="007A73A8">
        <w:rPr>
          <w:sz w:val="24"/>
          <w:szCs w:val="24"/>
        </w:rPr>
        <w:t xml:space="preserve">uote by Evagrius, he specifically states that “it makes him (the monk) desire others places where he </w:t>
      </w:r>
      <w:r w:rsidR="00BF0B5A">
        <w:rPr>
          <w:sz w:val="24"/>
          <w:szCs w:val="24"/>
        </w:rPr>
        <w:t xml:space="preserve">can </w:t>
      </w:r>
      <w:r w:rsidR="007A73A8">
        <w:rPr>
          <w:sz w:val="24"/>
          <w:szCs w:val="24"/>
        </w:rPr>
        <w:t>easily find all that he needs and practice an easier, more convenient craft”. From this statement then</w:t>
      </w:r>
      <w:r w:rsidR="00BF0B5A">
        <w:rPr>
          <w:sz w:val="24"/>
          <w:szCs w:val="24"/>
        </w:rPr>
        <w:t>,</w:t>
      </w:r>
      <w:r w:rsidR="007A73A8">
        <w:rPr>
          <w:sz w:val="24"/>
          <w:szCs w:val="24"/>
        </w:rPr>
        <w:t xml:space="preserve"> </w:t>
      </w:r>
      <w:r w:rsidR="00BF0B5A">
        <w:rPr>
          <w:sz w:val="24"/>
          <w:szCs w:val="24"/>
        </w:rPr>
        <w:t xml:space="preserve">revealing </w:t>
      </w:r>
      <w:r w:rsidR="007A73A8">
        <w:rPr>
          <w:sz w:val="24"/>
          <w:szCs w:val="24"/>
        </w:rPr>
        <w:t>one manifestation of the spirit of acedia</w:t>
      </w:r>
      <w:r w:rsidR="00F6260C">
        <w:rPr>
          <w:sz w:val="24"/>
          <w:szCs w:val="24"/>
        </w:rPr>
        <w:t xml:space="preserve"> at work</w:t>
      </w:r>
      <w:r w:rsidR="007A73A8">
        <w:rPr>
          <w:sz w:val="24"/>
          <w:szCs w:val="24"/>
        </w:rPr>
        <w:t xml:space="preserve"> within a particular monk, </w:t>
      </w:r>
      <w:r w:rsidR="00F6260C">
        <w:rPr>
          <w:sz w:val="24"/>
          <w:szCs w:val="24"/>
        </w:rPr>
        <w:t xml:space="preserve">the spirit is clearly and for all </w:t>
      </w:r>
      <w:r w:rsidR="007A73A8">
        <w:rPr>
          <w:sz w:val="24"/>
          <w:szCs w:val="24"/>
        </w:rPr>
        <w:t>int</w:t>
      </w:r>
      <w:r w:rsidR="00F6260C">
        <w:rPr>
          <w:sz w:val="24"/>
          <w:szCs w:val="24"/>
        </w:rPr>
        <w:t xml:space="preserve">ents and purposes </w:t>
      </w:r>
      <w:r w:rsidR="007A73A8">
        <w:rPr>
          <w:sz w:val="24"/>
          <w:szCs w:val="24"/>
        </w:rPr>
        <w:t xml:space="preserve">producing within him a desire to forsake the monastic life </w:t>
      </w:r>
      <w:r w:rsidR="00D046AC">
        <w:rPr>
          <w:sz w:val="24"/>
          <w:szCs w:val="24"/>
        </w:rPr>
        <w:t xml:space="preserve">and </w:t>
      </w:r>
      <w:r w:rsidR="007A73A8">
        <w:rPr>
          <w:sz w:val="24"/>
          <w:szCs w:val="24"/>
        </w:rPr>
        <w:t>retreat back into a normal life of being a functioning member of society.</w:t>
      </w:r>
      <w:r w:rsidR="00BF0B5A">
        <w:rPr>
          <w:sz w:val="24"/>
          <w:szCs w:val="24"/>
        </w:rPr>
        <w:t xml:space="preserve"> It seems relevant then to cite the</w:t>
      </w:r>
      <w:r w:rsidR="007A73A8">
        <w:rPr>
          <w:sz w:val="24"/>
          <w:szCs w:val="24"/>
        </w:rPr>
        <w:t xml:space="preserve"> contrast to th</w:t>
      </w:r>
      <w:r w:rsidR="00BF0B5A">
        <w:rPr>
          <w:sz w:val="24"/>
          <w:szCs w:val="24"/>
        </w:rPr>
        <w:t>is one manifestation of acedia. That contrast of course</w:t>
      </w:r>
      <w:r w:rsidR="0089293F">
        <w:rPr>
          <w:sz w:val="24"/>
          <w:szCs w:val="24"/>
        </w:rPr>
        <w:t xml:space="preserve"> being that acedia seems to be just as able to tempt </w:t>
      </w:r>
      <w:r w:rsidR="00D046AC">
        <w:rPr>
          <w:sz w:val="24"/>
          <w:szCs w:val="24"/>
        </w:rPr>
        <w:t>a different</w:t>
      </w:r>
      <w:r w:rsidR="00BF0B5A">
        <w:rPr>
          <w:sz w:val="24"/>
          <w:szCs w:val="24"/>
        </w:rPr>
        <w:t xml:space="preserve"> </w:t>
      </w:r>
      <w:r w:rsidR="0089293F">
        <w:rPr>
          <w:sz w:val="24"/>
          <w:szCs w:val="24"/>
        </w:rPr>
        <w:t xml:space="preserve">monastic </w:t>
      </w:r>
      <w:r>
        <w:rPr>
          <w:sz w:val="24"/>
          <w:szCs w:val="24"/>
        </w:rPr>
        <w:t xml:space="preserve">to </w:t>
      </w:r>
      <w:r w:rsidR="00902DB5">
        <w:rPr>
          <w:sz w:val="24"/>
          <w:szCs w:val="24"/>
        </w:rPr>
        <w:t>try to accomplish extremely difficult</w:t>
      </w:r>
      <w:r w:rsidR="00D046AC">
        <w:rPr>
          <w:sz w:val="24"/>
          <w:szCs w:val="24"/>
        </w:rPr>
        <w:t xml:space="preserve"> feat</w:t>
      </w:r>
      <w:r w:rsidR="00902DB5">
        <w:rPr>
          <w:sz w:val="24"/>
          <w:szCs w:val="24"/>
        </w:rPr>
        <w:t xml:space="preserve"> of ascetic</w:t>
      </w:r>
      <w:r w:rsidR="00D046AC">
        <w:rPr>
          <w:sz w:val="24"/>
          <w:szCs w:val="24"/>
        </w:rPr>
        <w:t xml:space="preserve"> practice that is</w:t>
      </w:r>
      <w:r w:rsidR="00902DB5">
        <w:rPr>
          <w:sz w:val="24"/>
          <w:szCs w:val="24"/>
        </w:rPr>
        <w:t xml:space="preserve"> way beyond the realistic abilities of what they could actually accomplish</w:t>
      </w:r>
      <w:r w:rsidR="0089293F">
        <w:rPr>
          <w:sz w:val="24"/>
          <w:szCs w:val="24"/>
        </w:rPr>
        <w:t xml:space="preserve">, in an imitation of particularly revered </w:t>
      </w:r>
      <w:r w:rsidR="00BF0B5A">
        <w:rPr>
          <w:sz w:val="24"/>
          <w:szCs w:val="24"/>
        </w:rPr>
        <w:t xml:space="preserve">and </w:t>
      </w:r>
      <w:r w:rsidR="00F6260C">
        <w:rPr>
          <w:sz w:val="24"/>
          <w:szCs w:val="24"/>
        </w:rPr>
        <w:t xml:space="preserve">incredibly experienced </w:t>
      </w:r>
      <w:r w:rsidR="0089293F">
        <w:rPr>
          <w:sz w:val="24"/>
          <w:szCs w:val="24"/>
        </w:rPr>
        <w:t>monks such as Anthony the Great</w:t>
      </w:r>
      <w:r w:rsidR="00902DB5">
        <w:rPr>
          <w:sz w:val="24"/>
          <w:szCs w:val="24"/>
        </w:rPr>
        <w:t xml:space="preserve">. </w:t>
      </w:r>
      <w:r w:rsidR="009647AB">
        <w:rPr>
          <w:sz w:val="24"/>
          <w:szCs w:val="24"/>
        </w:rPr>
        <w:t>This manifestation of hubris,</w:t>
      </w:r>
      <w:r w:rsidR="00902DB5">
        <w:rPr>
          <w:sz w:val="24"/>
          <w:szCs w:val="24"/>
        </w:rPr>
        <w:t xml:space="preserve"> which is observed as being a particular </w:t>
      </w:r>
      <w:r w:rsidR="009647AB">
        <w:rPr>
          <w:sz w:val="24"/>
          <w:szCs w:val="24"/>
        </w:rPr>
        <w:t xml:space="preserve">indicator </w:t>
      </w:r>
      <w:r w:rsidR="00902DB5">
        <w:rPr>
          <w:sz w:val="24"/>
          <w:szCs w:val="24"/>
        </w:rPr>
        <w:t xml:space="preserve">of the demon of acedia’s activity within a monk, almost certainly ends with the monk failing to achieve their unrealistic and herculean feat of acetic undertaking, with </w:t>
      </w:r>
      <w:r w:rsidR="009647AB">
        <w:rPr>
          <w:sz w:val="24"/>
          <w:szCs w:val="24"/>
        </w:rPr>
        <w:t>the after effect being that</w:t>
      </w:r>
      <w:r w:rsidR="00902DB5">
        <w:rPr>
          <w:sz w:val="24"/>
          <w:szCs w:val="24"/>
        </w:rPr>
        <w:t xml:space="preserve"> they become overwhelmed with shame and wish then to abandon the monastic life altogether</w:t>
      </w:r>
      <w:r w:rsidR="00FE4316">
        <w:rPr>
          <w:rStyle w:val="FootnoteReference"/>
          <w:sz w:val="24"/>
          <w:szCs w:val="24"/>
        </w:rPr>
        <w:footnoteReference w:id="7"/>
      </w:r>
      <w:r w:rsidR="00044615">
        <w:rPr>
          <w:sz w:val="24"/>
          <w:szCs w:val="24"/>
        </w:rPr>
        <w:t xml:space="preserve">. This recognisable </w:t>
      </w:r>
      <w:r w:rsidR="009647AB">
        <w:rPr>
          <w:sz w:val="24"/>
          <w:szCs w:val="24"/>
        </w:rPr>
        <w:t>indicator</w:t>
      </w:r>
      <w:r w:rsidR="00044615">
        <w:rPr>
          <w:sz w:val="24"/>
          <w:szCs w:val="24"/>
        </w:rPr>
        <w:t xml:space="preserve"> is</w:t>
      </w:r>
      <w:r w:rsidR="00902DB5">
        <w:rPr>
          <w:sz w:val="24"/>
          <w:szCs w:val="24"/>
        </w:rPr>
        <w:t xml:space="preserve"> similar to another which is the symptom of the monk being convinced that the monastery is not up to their standards in terms of skill as an acetic, or that other </w:t>
      </w:r>
      <w:r w:rsidR="00044615">
        <w:rPr>
          <w:sz w:val="24"/>
          <w:szCs w:val="24"/>
        </w:rPr>
        <w:t>monasteries</w:t>
      </w:r>
      <w:r w:rsidR="00902DB5">
        <w:rPr>
          <w:sz w:val="24"/>
          <w:szCs w:val="24"/>
        </w:rPr>
        <w:t xml:space="preserve"> are putting their own </w:t>
      </w:r>
      <w:r w:rsidR="00044615">
        <w:rPr>
          <w:sz w:val="24"/>
          <w:szCs w:val="24"/>
        </w:rPr>
        <w:t>monastery</w:t>
      </w:r>
      <w:r w:rsidR="00902DB5">
        <w:rPr>
          <w:sz w:val="24"/>
          <w:szCs w:val="24"/>
        </w:rPr>
        <w:t xml:space="preserve"> to shame in other parts of the Christian world.</w:t>
      </w:r>
    </w:p>
    <w:p w:rsidR="00F847C3" w:rsidRDefault="00F847C3" w:rsidP="00E11042">
      <w:pPr>
        <w:pStyle w:val="NoSpacing"/>
        <w:rPr>
          <w:sz w:val="24"/>
          <w:szCs w:val="24"/>
        </w:rPr>
      </w:pPr>
    </w:p>
    <w:p w:rsidR="00BD363D" w:rsidRDefault="00E115BA" w:rsidP="008210AF">
      <w:pPr>
        <w:pStyle w:val="NoSpacing"/>
        <w:rPr>
          <w:sz w:val="24"/>
          <w:szCs w:val="24"/>
        </w:rPr>
      </w:pPr>
      <w:r>
        <w:rPr>
          <w:sz w:val="24"/>
          <w:szCs w:val="24"/>
        </w:rPr>
        <w:t>A modern medical explanation</w:t>
      </w:r>
      <w:r w:rsidR="009356BC">
        <w:rPr>
          <w:sz w:val="24"/>
          <w:szCs w:val="24"/>
        </w:rPr>
        <w:t xml:space="preserve"> for this certain phenomena of the spirit of ace</w:t>
      </w:r>
      <w:r w:rsidR="0099691F">
        <w:rPr>
          <w:sz w:val="24"/>
          <w:szCs w:val="24"/>
        </w:rPr>
        <w:t>dia having a troublesome effect</w:t>
      </w:r>
      <w:r>
        <w:rPr>
          <w:sz w:val="24"/>
          <w:szCs w:val="24"/>
        </w:rPr>
        <w:t xml:space="preserve"> o</w:t>
      </w:r>
      <w:r w:rsidR="0099691F">
        <w:rPr>
          <w:sz w:val="24"/>
          <w:szCs w:val="24"/>
        </w:rPr>
        <w:t xml:space="preserve">n the Holy monastics </w:t>
      </w:r>
      <w:r>
        <w:rPr>
          <w:sz w:val="24"/>
          <w:szCs w:val="24"/>
        </w:rPr>
        <w:t>is that the individual monks are possibly experie</w:t>
      </w:r>
      <w:r w:rsidR="00DB2C55">
        <w:rPr>
          <w:sz w:val="24"/>
          <w:szCs w:val="24"/>
        </w:rPr>
        <w:t>ncing what we now diagnose as “M</w:t>
      </w:r>
      <w:r>
        <w:rPr>
          <w:sz w:val="24"/>
          <w:szCs w:val="24"/>
        </w:rPr>
        <w:t xml:space="preserve">ajor depressive disorder”. </w:t>
      </w:r>
      <w:r w:rsidR="00BC0FAD">
        <w:rPr>
          <w:sz w:val="24"/>
          <w:szCs w:val="24"/>
        </w:rPr>
        <w:t>Major depressive disorder as outlined by the American Psychiatric Association is an mental illness where a patient reports</w:t>
      </w:r>
      <w:r w:rsidR="00D864AA">
        <w:rPr>
          <w:sz w:val="24"/>
          <w:szCs w:val="24"/>
        </w:rPr>
        <w:t xml:space="preserve"> five or more symptoms out of a list of nine within a two week period, these could include lack of interest in daily activities, sleepiness, self-reproach (feelings of worthlessness), and lack of concentration</w:t>
      </w:r>
      <w:r w:rsidR="00FE4316">
        <w:rPr>
          <w:rStyle w:val="FootnoteReference"/>
          <w:sz w:val="24"/>
          <w:szCs w:val="24"/>
        </w:rPr>
        <w:footnoteReference w:id="8"/>
      </w:r>
      <w:r w:rsidR="00D864AA">
        <w:rPr>
          <w:sz w:val="24"/>
          <w:szCs w:val="24"/>
        </w:rPr>
        <w:t xml:space="preserve">. </w:t>
      </w:r>
      <w:r w:rsidR="00E21DEC">
        <w:rPr>
          <w:sz w:val="24"/>
          <w:szCs w:val="24"/>
        </w:rPr>
        <w:t xml:space="preserve">Other </w:t>
      </w:r>
      <w:r w:rsidR="00F15D20" w:rsidRPr="008210AF">
        <w:rPr>
          <w:sz w:val="24"/>
          <w:szCs w:val="24"/>
        </w:rPr>
        <w:t>symptoms</w:t>
      </w:r>
      <w:r w:rsidR="00E21DEC">
        <w:rPr>
          <w:sz w:val="24"/>
          <w:szCs w:val="24"/>
        </w:rPr>
        <w:t xml:space="preserve"> also range </w:t>
      </w:r>
      <w:r w:rsidR="008210AF" w:rsidRPr="008210AF">
        <w:rPr>
          <w:sz w:val="24"/>
          <w:szCs w:val="24"/>
        </w:rPr>
        <w:t>with</w:t>
      </w:r>
      <w:r w:rsidR="00E21DEC">
        <w:rPr>
          <w:sz w:val="24"/>
          <w:szCs w:val="24"/>
        </w:rPr>
        <w:t>in</w:t>
      </w:r>
      <w:r w:rsidR="008210AF" w:rsidRPr="008210AF">
        <w:rPr>
          <w:sz w:val="24"/>
          <w:szCs w:val="24"/>
        </w:rPr>
        <w:t xml:space="preserve"> the community from tedium, lack of desire to pray, </w:t>
      </w:r>
      <w:r w:rsidR="00F15D20" w:rsidRPr="008210AF">
        <w:rPr>
          <w:sz w:val="24"/>
          <w:szCs w:val="24"/>
        </w:rPr>
        <w:t>excessive</w:t>
      </w:r>
      <w:r w:rsidR="008210AF" w:rsidRPr="008210AF">
        <w:rPr>
          <w:sz w:val="24"/>
          <w:szCs w:val="24"/>
        </w:rPr>
        <w:t xml:space="preserve"> </w:t>
      </w:r>
      <w:r w:rsidR="00F15D20" w:rsidRPr="008210AF">
        <w:rPr>
          <w:sz w:val="24"/>
          <w:szCs w:val="24"/>
        </w:rPr>
        <w:t>hospitality</w:t>
      </w:r>
      <w:r w:rsidR="008210AF" w:rsidRPr="008210AF">
        <w:rPr>
          <w:sz w:val="24"/>
          <w:szCs w:val="24"/>
        </w:rPr>
        <w:t xml:space="preserve">, excessive asceticism, criticism of fellow monastics, </w:t>
      </w:r>
      <w:r w:rsidR="00E21DEC">
        <w:rPr>
          <w:sz w:val="24"/>
          <w:szCs w:val="24"/>
        </w:rPr>
        <w:t xml:space="preserve">and a </w:t>
      </w:r>
      <w:r w:rsidR="008210AF" w:rsidRPr="008210AF">
        <w:rPr>
          <w:sz w:val="24"/>
          <w:szCs w:val="24"/>
        </w:rPr>
        <w:t>belief that brethren hinder asc</w:t>
      </w:r>
      <w:r w:rsidR="00772B18">
        <w:rPr>
          <w:sz w:val="24"/>
          <w:szCs w:val="24"/>
        </w:rPr>
        <w:t xml:space="preserve">eticism. </w:t>
      </w:r>
    </w:p>
    <w:p w:rsidR="00F23E1F" w:rsidRDefault="00F23E1F" w:rsidP="008210AF">
      <w:pPr>
        <w:pStyle w:val="NoSpacing"/>
        <w:rPr>
          <w:sz w:val="24"/>
          <w:szCs w:val="24"/>
        </w:rPr>
      </w:pPr>
    </w:p>
    <w:p w:rsidR="00CF4AB6" w:rsidRDefault="00F23E1F" w:rsidP="008210AF">
      <w:pPr>
        <w:pStyle w:val="NoSpacing"/>
        <w:rPr>
          <w:sz w:val="24"/>
          <w:szCs w:val="24"/>
        </w:rPr>
      </w:pPr>
      <w:r>
        <w:rPr>
          <w:sz w:val="24"/>
          <w:szCs w:val="24"/>
        </w:rPr>
        <w:t xml:space="preserve">There is also a sociological aspect to the deviant and unusual behaviour of the monastics which was attributed at the time to the demon of acedia, but what certain scholars are now attributing to the phenomenon of </w:t>
      </w:r>
      <w:r w:rsidRPr="00970E8D">
        <w:rPr>
          <w:i/>
          <w:sz w:val="24"/>
          <w:szCs w:val="24"/>
        </w:rPr>
        <w:t>Anomie</w:t>
      </w:r>
      <w:r>
        <w:rPr>
          <w:sz w:val="24"/>
          <w:szCs w:val="24"/>
        </w:rPr>
        <w:t xml:space="preserve">. </w:t>
      </w:r>
      <w:r w:rsidR="00D57B99">
        <w:rPr>
          <w:sz w:val="24"/>
          <w:szCs w:val="24"/>
        </w:rPr>
        <w:t>This social theory came from none other than the renowned 19</w:t>
      </w:r>
      <w:r w:rsidR="00D57B99" w:rsidRPr="00D57B99">
        <w:rPr>
          <w:sz w:val="24"/>
          <w:szCs w:val="24"/>
          <w:vertAlign w:val="superscript"/>
        </w:rPr>
        <w:t>th</w:t>
      </w:r>
      <w:r w:rsidR="00D57B99">
        <w:rPr>
          <w:sz w:val="24"/>
          <w:szCs w:val="24"/>
        </w:rPr>
        <w:t xml:space="preserve"> century sociologist Emile Durkheim </w:t>
      </w:r>
      <w:r w:rsidR="00607AA8">
        <w:rPr>
          <w:sz w:val="24"/>
          <w:szCs w:val="24"/>
        </w:rPr>
        <w:t>(1858-1917), within it he theorised that “Anomie</w:t>
      </w:r>
      <w:r w:rsidR="00973EDC">
        <w:rPr>
          <w:sz w:val="24"/>
          <w:szCs w:val="24"/>
        </w:rPr>
        <w:t xml:space="preserve"> prevails within a society where the wearying and disorienting disjuncture between the expectations of society (goals), on the</w:t>
      </w:r>
      <w:bookmarkStart w:id="0" w:name="_GoBack"/>
      <w:bookmarkEnd w:id="0"/>
      <w:r w:rsidR="00973EDC">
        <w:rPr>
          <w:sz w:val="24"/>
          <w:szCs w:val="24"/>
        </w:rPr>
        <w:t xml:space="preserve"> one hand, and the </w:t>
      </w:r>
      <w:r w:rsidR="00607AA8">
        <w:rPr>
          <w:sz w:val="24"/>
          <w:szCs w:val="24"/>
        </w:rPr>
        <w:t>individual’s</w:t>
      </w:r>
      <w:r w:rsidR="00973EDC">
        <w:rPr>
          <w:sz w:val="24"/>
          <w:szCs w:val="24"/>
        </w:rPr>
        <w:t xml:space="preserve"> abilities to achieve these goals (means</w:t>
      </w:r>
      <w:r w:rsidR="00607AA8">
        <w:rPr>
          <w:sz w:val="24"/>
          <w:szCs w:val="24"/>
        </w:rPr>
        <w:t>)”.</w:t>
      </w:r>
      <w:r w:rsidR="00FE4316">
        <w:rPr>
          <w:rStyle w:val="FootnoteReference"/>
          <w:sz w:val="24"/>
          <w:szCs w:val="24"/>
        </w:rPr>
        <w:footnoteReference w:id="9"/>
      </w:r>
      <w:r w:rsidR="00607AA8">
        <w:rPr>
          <w:sz w:val="24"/>
          <w:szCs w:val="24"/>
        </w:rPr>
        <w:t xml:space="preserve"> The </w:t>
      </w:r>
      <w:r w:rsidR="00CF4AB6">
        <w:rPr>
          <w:sz w:val="24"/>
          <w:szCs w:val="24"/>
        </w:rPr>
        <w:t>scholar</w:t>
      </w:r>
      <w:r w:rsidR="00607AA8">
        <w:rPr>
          <w:sz w:val="24"/>
          <w:szCs w:val="24"/>
        </w:rPr>
        <w:t xml:space="preserve"> Robert Merton </w:t>
      </w:r>
      <w:r w:rsidR="009E406F">
        <w:rPr>
          <w:sz w:val="24"/>
          <w:szCs w:val="24"/>
        </w:rPr>
        <w:t xml:space="preserve">(1910-2003) </w:t>
      </w:r>
      <w:r w:rsidR="00607AA8">
        <w:rPr>
          <w:sz w:val="24"/>
          <w:szCs w:val="24"/>
        </w:rPr>
        <w:t>builds on this the</w:t>
      </w:r>
      <w:r w:rsidR="00CF4AB6">
        <w:rPr>
          <w:sz w:val="24"/>
          <w:szCs w:val="24"/>
        </w:rPr>
        <w:t>ory by posing the theory that:</w:t>
      </w:r>
    </w:p>
    <w:p w:rsidR="00CF4AB6" w:rsidRDefault="00CF4AB6" w:rsidP="008210AF">
      <w:pPr>
        <w:pStyle w:val="NoSpacing"/>
        <w:rPr>
          <w:sz w:val="24"/>
          <w:szCs w:val="24"/>
        </w:rPr>
      </w:pPr>
    </w:p>
    <w:p w:rsidR="00F23E1F" w:rsidRPr="00607AA8" w:rsidRDefault="00CF4AB6" w:rsidP="00CF4AB6">
      <w:pPr>
        <w:pStyle w:val="NoSpacing"/>
        <w:ind w:left="567" w:right="567"/>
        <w:rPr>
          <w:sz w:val="24"/>
          <w:szCs w:val="24"/>
        </w:rPr>
      </w:pPr>
      <w:r>
        <w:rPr>
          <w:sz w:val="24"/>
          <w:szCs w:val="24"/>
        </w:rPr>
        <w:lastRenderedPageBreak/>
        <w:t>“</w:t>
      </w:r>
      <w:r w:rsidR="00FE4316">
        <w:rPr>
          <w:sz w:val="24"/>
          <w:szCs w:val="24"/>
        </w:rPr>
        <w:t>Anomie</w:t>
      </w:r>
      <w:r>
        <w:rPr>
          <w:sz w:val="24"/>
          <w:szCs w:val="24"/>
        </w:rPr>
        <w:t xml:space="preserve"> is a structural condition from which a variety of deviant or aberrant behaviours arise, behaviours as disparate as crime, suicide, delinquency, alcoholism, drug addiction, hoboism, mental disorders, excessive conformity with social norms, rebellious or revolutionary activity, and workplace behaviour that might be labelled passive-aggressive”</w:t>
      </w:r>
      <w:r w:rsidR="00FE4316">
        <w:rPr>
          <w:rStyle w:val="FootnoteReference"/>
          <w:sz w:val="24"/>
          <w:szCs w:val="24"/>
        </w:rPr>
        <w:footnoteReference w:id="10"/>
      </w:r>
      <w:r>
        <w:rPr>
          <w:sz w:val="24"/>
          <w:szCs w:val="24"/>
        </w:rPr>
        <w:t xml:space="preserve"> </w:t>
      </w:r>
    </w:p>
    <w:p w:rsidR="00BD363D" w:rsidRDefault="00BD363D" w:rsidP="00E11042">
      <w:pPr>
        <w:pStyle w:val="NoSpacing"/>
        <w:rPr>
          <w:sz w:val="24"/>
          <w:szCs w:val="24"/>
        </w:rPr>
      </w:pPr>
    </w:p>
    <w:p w:rsidR="00FE4316" w:rsidRDefault="00E91701" w:rsidP="00E11042">
      <w:pPr>
        <w:pStyle w:val="NoSpacing"/>
        <w:rPr>
          <w:sz w:val="24"/>
          <w:szCs w:val="24"/>
        </w:rPr>
      </w:pPr>
      <w:r>
        <w:rPr>
          <w:sz w:val="24"/>
          <w:szCs w:val="24"/>
        </w:rPr>
        <w:t xml:space="preserve">A few of these traits can obviously be seen as being </w:t>
      </w:r>
      <w:r w:rsidR="004A0AB6">
        <w:rPr>
          <w:sz w:val="24"/>
          <w:szCs w:val="24"/>
        </w:rPr>
        <w:t>displayed by monastic</w:t>
      </w:r>
      <w:r w:rsidR="00784B8A">
        <w:rPr>
          <w:sz w:val="24"/>
          <w:szCs w:val="24"/>
        </w:rPr>
        <w:t>s</w:t>
      </w:r>
      <w:r w:rsidR="004A0AB6">
        <w:rPr>
          <w:sz w:val="24"/>
          <w:szCs w:val="24"/>
        </w:rPr>
        <w:t xml:space="preserve"> who are experiencing s</w:t>
      </w:r>
      <w:r w:rsidR="00784B8A">
        <w:rPr>
          <w:sz w:val="24"/>
          <w:szCs w:val="24"/>
        </w:rPr>
        <w:t xml:space="preserve">ymptoms of the demon of acedia. </w:t>
      </w:r>
    </w:p>
    <w:p w:rsidR="00BD363D" w:rsidRDefault="00BD363D" w:rsidP="00E11042">
      <w:pPr>
        <w:pStyle w:val="NoSpacing"/>
        <w:rPr>
          <w:sz w:val="24"/>
          <w:szCs w:val="24"/>
        </w:rPr>
      </w:pPr>
    </w:p>
    <w:p w:rsidR="00BD363D" w:rsidRDefault="00F41643" w:rsidP="00E11042">
      <w:pPr>
        <w:pStyle w:val="NoSpacing"/>
        <w:rPr>
          <w:sz w:val="24"/>
          <w:szCs w:val="24"/>
        </w:rPr>
      </w:pPr>
      <w:r>
        <w:rPr>
          <w:sz w:val="24"/>
          <w:szCs w:val="24"/>
        </w:rPr>
        <w:t xml:space="preserve">In conclusion I would state that the medieval perceptions </w:t>
      </w:r>
      <w:r w:rsidR="005307A1">
        <w:rPr>
          <w:sz w:val="24"/>
          <w:szCs w:val="24"/>
        </w:rPr>
        <w:t xml:space="preserve">of mental health were </w:t>
      </w:r>
      <w:r w:rsidR="004A0AB6">
        <w:rPr>
          <w:sz w:val="24"/>
          <w:szCs w:val="24"/>
        </w:rPr>
        <w:t xml:space="preserve">based </w:t>
      </w:r>
      <w:r w:rsidR="00DB2C55">
        <w:rPr>
          <w:sz w:val="24"/>
          <w:szCs w:val="24"/>
        </w:rPr>
        <w:t xml:space="preserve">upon conclusions made by Catholic clergy who only considered the spiritual aspects of a particular illness, or at least would only approach an illness with the spiritual in tandem with perhaps a caregiving approach. </w:t>
      </w:r>
      <w:r w:rsidR="00806B29">
        <w:rPr>
          <w:sz w:val="24"/>
          <w:szCs w:val="24"/>
        </w:rPr>
        <w:t>A caregiving approach as noted by scholars as being so attentive and popular, that certain individuals would try to gain access into certain medieval hospitals unduly; forging certain identifying armbands which were given to return patients</w:t>
      </w:r>
      <w:r w:rsidR="00806B29">
        <w:rPr>
          <w:rStyle w:val="FootnoteReference"/>
          <w:sz w:val="24"/>
          <w:szCs w:val="24"/>
        </w:rPr>
        <w:footnoteReference w:id="11"/>
      </w:r>
      <w:r w:rsidR="00BD7C89">
        <w:rPr>
          <w:sz w:val="24"/>
          <w:szCs w:val="24"/>
        </w:rPr>
        <w:t xml:space="preserve">. </w:t>
      </w:r>
      <w:r w:rsidR="00DB2C55">
        <w:rPr>
          <w:sz w:val="24"/>
          <w:szCs w:val="24"/>
        </w:rPr>
        <w:t xml:space="preserve">Monasteries within the middle ages would often be places with which as mentioned with this work that the spirit of acedia would begin to manifest itself amount the monastics of the cloister. Begin diagnosed by modern science as perhaps being in fact cases of Major depressive disorder. However, by my own deduction, although it seems like for a percentage of cases it may very have been genuine cases of depression, perhaps it is also due to the fact that the life of the ascetic was Spartan, harsh and mundane to say the least. Perhaps then it is down to mere dissatisfaction of the monks just as much as anything else? Considering again the harshness of the life with which they have undertaken with being members of the cloister. </w:t>
      </w:r>
    </w:p>
    <w:p w:rsidR="00BD363D" w:rsidRDefault="00BD363D" w:rsidP="00E11042">
      <w:pPr>
        <w:pStyle w:val="NoSpacing"/>
        <w:rPr>
          <w:sz w:val="24"/>
          <w:szCs w:val="24"/>
        </w:rPr>
      </w:pPr>
    </w:p>
    <w:p w:rsidR="00BD363D" w:rsidRDefault="00BD363D" w:rsidP="00E11042">
      <w:pPr>
        <w:pStyle w:val="NoSpacing"/>
        <w:rPr>
          <w:sz w:val="24"/>
          <w:szCs w:val="24"/>
        </w:rPr>
      </w:pPr>
    </w:p>
    <w:p w:rsidR="00762D90" w:rsidRDefault="00762D90" w:rsidP="00E11042">
      <w:pPr>
        <w:pStyle w:val="NoSpacing"/>
        <w:rPr>
          <w:sz w:val="24"/>
          <w:szCs w:val="24"/>
        </w:rPr>
      </w:pPr>
    </w:p>
    <w:p w:rsidR="00762D90" w:rsidRDefault="00762D90" w:rsidP="00E11042">
      <w:pPr>
        <w:pStyle w:val="NoSpacing"/>
        <w:rPr>
          <w:sz w:val="24"/>
          <w:szCs w:val="24"/>
        </w:rPr>
      </w:pPr>
    </w:p>
    <w:p w:rsidR="00607AA8" w:rsidRDefault="00607AA8" w:rsidP="00E11042">
      <w:pPr>
        <w:pStyle w:val="NoSpacing"/>
        <w:rPr>
          <w:sz w:val="24"/>
          <w:szCs w:val="24"/>
        </w:rPr>
      </w:pPr>
    </w:p>
    <w:p w:rsidR="00607AA8" w:rsidRDefault="00607AA8" w:rsidP="00E11042">
      <w:pPr>
        <w:pStyle w:val="NoSpacing"/>
        <w:rPr>
          <w:sz w:val="24"/>
          <w:szCs w:val="24"/>
        </w:rPr>
      </w:pPr>
    </w:p>
    <w:p w:rsidR="00607AA8" w:rsidRDefault="00607AA8" w:rsidP="00E11042">
      <w:pPr>
        <w:pStyle w:val="NoSpacing"/>
        <w:rPr>
          <w:sz w:val="24"/>
          <w:szCs w:val="24"/>
        </w:rPr>
      </w:pPr>
    </w:p>
    <w:p w:rsidR="00607AA8" w:rsidRDefault="00607AA8" w:rsidP="00E11042">
      <w:pPr>
        <w:pStyle w:val="NoSpacing"/>
        <w:rPr>
          <w:sz w:val="24"/>
          <w:szCs w:val="24"/>
        </w:rPr>
      </w:pPr>
    </w:p>
    <w:p w:rsidR="00FE4316" w:rsidRDefault="00FE4316" w:rsidP="00BD363D">
      <w:pPr>
        <w:pStyle w:val="NoSpacing"/>
        <w:jc w:val="center"/>
        <w:rPr>
          <w:sz w:val="28"/>
          <w:szCs w:val="24"/>
          <w:u w:val="single"/>
        </w:rPr>
      </w:pPr>
    </w:p>
    <w:p w:rsidR="00FE4316" w:rsidRDefault="00FE4316" w:rsidP="00BD363D">
      <w:pPr>
        <w:pStyle w:val="NoSpacing"/>
        <w:jc w:val="center"/>
        <w:rPr>
          <w:sz w:val="28"/>
          <w:szCs w:val="24"/>
          <w:u w:val="single"/>
        </w:rPr>
      </w:pPr>
    </w:p>
    <w:p w:rsidR="00FE4316" w:rsidRDefault="00FE4316" w:rsidP="00BD363D">
      <w:pPr>
        <w:pStyle w:val="NoSpacing"/>
        <w:jc w:val="center"/>
        <w:rPr>
          <w:sz w:val="28"/>
          <w:szCs w:val="24"/>
          <w:u w:val="single"/>
        </w:rPr>
      </w:pPr>
    </w:p>
    <w:p w:rsidR="00FE4316" w:rsidRDefault="00FE4316" w:rsidP="00BD363D">
      <w:pPr>
        <w:pStyle w:val="NoSpacing"/>
        <w:jc w:val="center"/>
        <w:rPr>
          <w:sz w:val="28"/>
          <w:szCs w:val="24"/>
          <w:u w:val="single"/>
        </w:rPr>
      </w:pPr>
    </w:p>
    <w:p w:rsidR="00FE4316" w:rsidRDefault="00FE4316" w:rsidP="00BD363D">
      <w:pPr>
        <w:pStyle w:val="NoSpacing"/>
        <w:jc w:val="center"/>
        <w:rPr>
          <w:sz w:val="28"/>
          <w:szCs w:val="24"/>
          <w:u w:val="single"/>
        </w:rPr>
      </w:pPr>
    </w:p>
    <w:p w:rsidR="001615E2" w:rsidRDefault="001615E2" w:rsidP="001615E2">
      <w:pPr>
        <w:pStyle w:val="NoSpacing"/>
        <w:rPr>
          <w:sz w:val="28"/>
          <w:szCs w:val="24"/>
          <w:u w:val="single"/>
        </w:rPr>
      </w:pPr>
    </w:p>
    <w:p w:rsidR="001615E2" w:rsidRDefault="001615E2" w:rsidP="001615E2">
      <w:pPr>
        <w:pStyle w:val="NoSpacing"/>
        <w:rPr>
          <w:sz w:val="28"/>
          <w:szCs w:val="24"/>
          <w:u w:val="single"/>
        </w:rPr>
      </w:pPr>
    </w:p>
    <w:p w:rsidR="001615E2" w:rsidRDefault="001615E2" w:rsidP="001615E2">
      <w:pPr>
        <w:pStyle w:val="NoSpacing"/>
        <w:rPr>
          <w:sz w:val="28"/>
          <w:szCs w:val="24"/>
          <w:u w:val="single"/>
        </w:rPr>
      </w:pPr>
    </w:p>
    <w:p w:rsidR="001615E2" w:rsidRDefault="001615E2" w:rsidP="001615E2">
      <w:pPr>
        <w:pStyle w:val="NoSpacing"/>
        <w:rPr>
          <w:sz w:val="28"/>
          <w:szCs w:val="24"/>
          <w:u w:val="single"/>
        </w:rPr>
      </w:pPr>
    </w:p>
    <w:p w:rsidR="00762D90" w:rsidRPr="00BD363D" w:rsidRDefault="00762D90" w:rsidP="001615E2">
      <w:pPr>
        <w:pStyle w:val="NoSpacing"/>
        <w:jc w:val="center"/>
        <w:rPr>
          <w:sz w:val="28"/>
          <w:szCs w:val="24"/>
          <w:u w:val="single"/>
        </w:rPr>
      </w:pPr>
      <w:r w:rsidRPr="00C24861">
        <w:rPr>
          <w:sz w:val="28"/>
          <w:szCs w:val="24"/>
          <w:u w:val="single"/>
        </w:rPr>
        <w:lastRenderedPageBreak/>
        <w:t>Bibliography</w:t>
      </w:r>
    </w:p>
    <w:p w:rsidR="00762D90" w:rsidRDefault="00762D90" w:rsidP="00762D90"/>
    <w:p w:rsidR="00286BCE" w:rsidRPr="001615E2" w:rsidRDefault="00286BCE" w:rsidP="00286BCE">
      <w:pPr>
        <w:jc w:val="center"/>
        <w:rPr>
          <w:sz w:val="24"/>
          <w:u w:val="single"/>
        </w:rPr>
      </w:pPr>
      <w:r w:rsidRPr="001615E2">
        <w:rPr>
          <w:sz w:val="24"/>
          <w:u w:val="single"/>
        </w:rPr>
        <w:t>Books:</w:t>
      </w:r>
    </w:p>
    <w:p w:rsidR="00286BCE" w:rsidRPr="001615E2" w:rsidRDefault="00286BCE" w:rsidP="00286BCE">
      <w:pPr>
        <w:pStyle w:val="ListParagraph"/>
        <w:numPr>
          <w:ilvl w:val="0"/>
          <w:numId w:val="1"/>
        </w:numPr>
        <w:rPr>
          <w:sz w:val="24"/>
        </w:rPr>
      </w:pPr>
      <w:r w:rsidRPr="001615E2">
        <w:rPr>
          <w:sz w:val="24"/>
        </w:rPr>
        <w:t xml:space="preserve">Aquinas, Thomas, The Summa </w:t>
      </w:r>
      <w:proofErr w:type="spellStart"/>
      <w:r w:rsidRPr="001615E2">
        <w:rPr>
          <w:sz w:val="24"/>
        </w:rPr>
        <w:t>Theologica</w:t>
      </w:r>
      <w:proofErr w:type="spellEnd"/>
      <w:r w:rsidRPr="001615E2">
        <w:rPr>
          <w:sz w:val="24"/>
        </w:rPr>
        <w:t xml:space="preserve">, Revised edition. </w:t>
      </w:r>
      <w:proofErr w:type="spellStart"/>
      <w:r w:rsidRPr="001615E2">
        <w:rPr>
          <w:sz w:val="24"/>
        </w:rPr>
        <w:t>edn</w:t>
      </w:r>
      <w:proofErr w:type="spellEnd"/>
      <w:r w:rsidRPr="001615E2">
        <w:rPr>
          <w:sz w:val="24"/>
        </w:rPr>
        <w:t xml:space="preserve"> (London etc.: London etc. : Benton, 1971)</w:t>
      </w:r>
    </w:p>
    <w:p w:rsidR="00286BCE" w:rsidRPr="001615E2" w:rsidRDefault="00286BCE" w:rsidP="00286BCE">
      <w:pPr>
        <w:pStyle w:val="ListParagraph"/>
        <w:rPr>
          <w:sz w:val="24"/>
        </w:rPr>
      </w:pPr>
    </w:p>
    <w:p w:rsidR="00607AA8" w:rsidRPr="001615E2" w:rsidRDefault="00607AA8" w:rsidP="00762D90">
      <w:pPr>
        <w:pStyle w:val="ListParagraph"/>
        <w:numPr>
          <w:ilvl w:val="0"/>
          <w:numId w:val="1"/>
        </w:numPr>
        <w:rPr>
          <w:sz w:val="24"/>
        </w:rPr>
      </w:pPr>
      <w:proofErr w:type="spellStart"/>
      <w:r w:rsidRPr="001615E2">
        <w:rPr>
          <w:sz w:val="24"/>
        </w:rPr>
        <w:t>Crislip</w:t>
      </w:r>
      <w:proofErr w:type="spellEnd"/>
      <w:r w:rsidRPr="001615E2">
        <w:rPr>
          <w:sz w:val="24"/>
        </w:rPr>
        <w:t xml:space="preserve">, Andrew, </w:t>
      </w:r>
      <w:r w:rsidRPr="001615E2">
        <w:rPr>
          <w:i/>
          <w:sz w:val="24"/>
        </w:rPr>
        <w:t xml:space="preserve">'The Sin of Sloth </w:t>
      </w:r>
      <w:proofErr w:type="gramStart"/>
      <w:r w:rsidRPr="001615E2">
        <w:rPr>
          <w:i/>
          <w:sz w:val="24"/>
        </w:rPr>
        <w:t>Or</w:t>
      </w:r>
      <w:proofErr w:type="gramEnd"/>
      <w:r w:rsidRPr="001615E2">
        <w:rPr>
          <w:i/>
          <w:sz w:val="24"/>
        </w:rPr>
        <w:t xml:space="preserve"> the Illness of the Demons</w:t>
      </w:r>
      <w:r w:rsidRPr="001615E2">
        <w:rPr>
          <w:sz w:val="24"/>
        </w:rPr>
        <w:t>? the Demon of Acedia in Early Christian Monasticism', The Harvard Theological Review, 98 (2005), 143-169</w:t>
      </w:r>
    </w:p>
    <w:p w:rsidR="00286BCE" w:rsidRPr="001615E2" w:rsidRDefault="00286BCE" w:rsidP="00286BCE">
      <w:pPr>
        <w:pStyle w:val="ListParagraph"/>
        <w:rPr>
          <w:sz w:val="24"/>
        </w:rPr>
      </w:pPr>
    </w:p>
    <w:p w:rsidR="00286BCE" w:rsidRPr="001615E2" w:rsidRDefault="00286BCE" w:rsidP="00286BCE">
      <w:pPr>
        <w:pStyle w:val="ListParagraph"/>
        <w:rPr>
          <w:sz w:val="24"/>
        </w:rPr>
      </w:pPr>
    </w:p>
    <w:p w:rsidR="00286BCE" w:rsidRPr="001615E2" w:rsidRDefault="00286BCE" w:rsidP="00286BCE">
      <w:pPr>
        <w:pStyle w:val="ListParagraph"/>
        <w:numPr>
          <w:ilvl w:val="0"/>
          <w:numId w:val="1"/>
        </w:numPr>
        <w:rPr>
          <w:sz w:val="24"/>
        </w:rPr>
      </w:pPr>
      <w:proofErr w:type="spellStart"/>
      <w:r w:rsidRPr="001615E2">
        <w:rPr>
          <w:sz w:val="24"/>
        </w:rPr>
        <w:t>Evagrius</w:t>
      </w:r>
      <w:proofErr w:type="spellEnd"/>
      <w:r w:rsidRPr="001615E2">
        <w:rPr>
          <w:sz w:val="24"/>
        </w:rPr>
        <w:t xml:space="preserve"> of Pontus – </w:t>
      </w:r>
      <w:r w:rsidRPr="001615E2">
        <w:rPr>
          <w:i/>
          <w:sz w:val="24"/>
        </w:rPr>
        <w:t xml:space="preserve">Eight </w:t>
      </w:r>
      <w:proofErr w:type="spellStart"/>
      <w:r w:rsidRPr="001615E2">
        <w:rPr>
          <w:i/>
          <w:sz w:val="24"/>
        </w:rPr>
        <w:t>Logismoi</w:t>
      </w:r>
      <w:proofErr w:type="spellEnd"/>
    </w:p>
    <w:p w:rsidR="00286BCE" w:rsidRPr="001615E2" w:rsidRDefault="00286BCE" w:rsidP="00286BCE">
      <w:pPr>
        <w:rPr>
          <w:sz w:val="24"/>
        </w:rPr>
      </w:pPr>
    </w:p>
    <w:p w:rsidR="00286BCE" w:rsidRPr="001615E2" w:rsidRDefault="00286BCE" w:rsidP="00286BCE">
      <w:pPr>
        <w:pStyle w:val="ListParagraph"/>
        <w:numPr>
          <w:ilvl w:val="0"/>
          <w:numId w:val="1"/>
        </w:numPr>
        <w:rPr>
          <w:sz w:val="24"/>
        </w:rPr>
      </w:pPr>
      <w:r w:rsidRPr="001615E2">
        <w:rPr>
          <w:sz w:val="24"/>
        </w:rPr>
        <w:t>Kroll, Jerome, "A Reappraisal Of Psychiatry In The Middle Ages", Archives Of General Psychiatry, 29 (1973), 276 &lt;https://doi.org/10.1001/archpsyc.1973.04200020098014&gt;</w:t>
      </w:r>
    </w:p>
    <w:p w:rsidR="00286BCE" w:rsidRPr="001615E2" w:rsidRDefault="00286BCE" w:rsidP="00762D90">
      <w:pPr>
        <w:rPr>
          <w:sz w:val="24"/>
          <w:u w:val="single"/>
        </w:rPr>
      </w:pPr>
    </w:p>
    <w:p w:rsidR="00BF6DC9" w:rsidRPr="001615E2" w:rsidRDefault="00762D90" w:rsidP="00286BCE">
      <w:pPr>
        <w:tabs>
          <w:tab w:val="left" w:pos="1192"/>
        </w:tabs>
        <w:jc w:val="center"/>
        <w:rPr>
          <w:sz w:val="24"/>
          <w:u w:val="single"/>
        </w:rPr>
      </w:pPr>
      <w:r w:rsidRPr="001615E2">
        <w:rPr>
          <w:sz w:val="24"/>
          <w:u w:val="single"/>
        </w:rPr>
        <w:t>Newspaper article:</w:t>
      </w:r>
    </w:p>
    <w:p w:rsidR="00762D90" w:rsidRPr="001615E2" w:rsidRDefault="00762D90" w:rsidP="00286BCE">
      <w:pPr>
        <w:pStyle w:val="ListParagraph"/>
        <w:numPr>
          <w:ilvl w:val="0"/>
          <w:numId w:val="1"/>
        </w:numPr>
        <w:tabs>
          <w:tab w:val="left" w:pos="1192"/>
        </w:tabs>
        <w:rPr>
          <w:sz w:val="24"/>
        </w:rPr>
      </w:pPr>
      <w:r w:rsidRPr="001615E2">
        <w:rPr>
          <w:sz w:val="24"/>
        </w:rPr>
        <w:t>http://www.dailymail.co.uk/news/article-4381710/Haunting-portraits-women-Bedlam-Hospital.html</w:t>
      </w:r>
    </w:p>
    <w:sectPr w:rsidR="00762D90" w:rsidRPr="001615E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F4AB6" w:rsidRDefault="00CF4AB6" w:rsidP="00CF4AB6">
      <w:pPr>
        <w:spacing w:after="0" w:line="240" w:lineRule="auto"/>
      </w:pPr>
      <w:r>
        <w:separator/>
      </w:r>
    </w:p>
  </w:endnote>
  <w:endnote w:type="continuationSeparator" w:id="0">
    <w:p w:rsidR="00CF4AB6" w:rsidRDefault="00CF4AB6" w:rsidP="00CF4A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F4AB6" w:rsidRDefault="00CF4AB6" w:rsidP="00CF4AB6">
      <w:pPr>
        <w:spacing w:after="0" w:line="240" w:lineRule="auto"/>
      </w:pPr>
      <w:r>
        <w:separator/>
      </w:r>
    </w:p>
  </w:footnote>
  <w:footnote w:type="continuationSeparator" w:id="0">
    <w:p w:rsidR="00CF4AB6" w:rsidRDefault="00CF4AB6" w:rsidP="00CF4AB6">
      <w:pPr>
        <w:spacing w:after="0" w:line="240" w:lineRule="auto"/>
      </w:pPr>
      <w:r>
        <w:continuationSeparator/>
      </w:r>
    </w:p>
  </w:footnote>
  <w:footnote w:id="1">
    <w:p w:rsidR="00CF4AB6" w:rsidRDefault="00CF4AB6">
      <w:pPr>
        <w:pStyle w:val="FootnoteText"/>
      </w:pPr>
      <w:r>
        <w:rPr>
          <w:rStyle w:val="FootnoteReference"/>
        </w:rPr>
        <w:footnoteRef/>
      </w:r>
      <w:r>
        <w:t xml:space="preserve"> </w:t>
      </w:r>
      <w:r w:rsidR="00FE4316" w:rsidRPr="00FE4316">
        <w:t>Kroll, Jerome, "</w:t>
      </w:r>
      <w:r w:rsidR="00FE4316" w:rsidRPr="00FE4316">
        <w:rPr>
          <w:i/>
        </w:rPr>
        <w:t xml:space="preserve">A Reappraisal </w:t>
      </w:r>
      <w:proofErr w:type="gramStart"/>
      <w:r w:rsidR="00FE4316" w:rsidRPr="00FE4316">
        <w:rPr>
          <w:i/>
        </w:rPr>
        <w:t>Of Psychiatry In The</w:t>
      </w:r>
      <w:proofErr w:type="gramEnd"/>
      <w:r w:rsidR="00FE4316" w:rsidRPr="00FE4316">
        <w:rPr>
          <w:i/>
        </w:rPr>
        <w:t xml:space="preserve"> Middle Ages</w:t>
      </w:r>
      <w:r w:rsidR="00FE4316" w:rsidRPr="00FE4316">
        <w:t xml:space="preserve">", Archives Of General Psychiatry, 29 (1973), 276 </w:t>
      </w:r>
      <w:hyperlink r:id="rId1" w:history="1">
        <w:r w:rsidR="00FE4316" w:rsidRPr="00363549">
          <w:rPr>
            <w:rStyle w:val="Hyperlink"/>
          </w:rPr>
          <w:t>https://doi.org/10.1001/archpsyc.1973.04200020098014</w:t>
        </w:r>
      </w:hyperlink>
      <w:r w:rsidR="00FE4316">
        <w:t xml:space="preserve">. </w:t>
      </w:r>
      <w:proofErr w:type="spellStart"/>
      <w:r w:rsidR="00FE4316">
        <w:t>Pg</w:t>
      </w:r>
      <w:proofErr w:type="spellEnd"/>
      <w:r w:rsidR="00FE4316">
        <w:t xml:space="preserve"> 279</w:t>
      </w:r>
    </w:p>
  </w:footnote>
  <w:footnote w:id="2">
    <w:p w:rsidR="00CF4AB6" w:rsidRDefault="00CF4AB6">
      <w:pPr>
        <w:pStyle w:val="FootnoteText"/>
      </w:pPr>
      <w:r>
        <w:rPr>
          <w:rStyle w:val="FootnoteReference"/>
        </w:rPr>
        <w:footnoteRef/>
      </w:r>
      <w:r>
        <w:t xml:space="preserve"> </w:t>
      </w:r>
      <w:r w:rsidR="00FE4316" w:rsidRPr="00FE4316">
        <w:t>Kroll, Jerome, "</w:t>
      </w:r>
      <w:r w:rsidR="00FE4316" w:rsidRPr="00FE4316">
        <w:rPr>
          <w:i/>
        </w:rPr>
        <w:t xml:space="preserve">A Reappraisal </w:t>
      </w:r>
      <w:proofErr w:type="gramStart"/>
      <w:r w:rsidR="00FE4316" w:rsidRPr="00FE4316">
        <w:rPr>
          <w:i/>
        </w:rPr>
        <w:t>Of Psychiatry In The</w:t>
      </w:r>
      <w:proofErr w:type="gramEnd"/>
      <w:r w:rsidR="00FE4316" w:rsidRPr="00FE4316">
        <w:rPr>
          <w:i/>
        </w:rPr>
        <w:t xml:space="preserve"> Middle Ages</w:t>
      </w:r>
      <w:r w:rsidR="00FE4316" w:rsidRPr="00FE4316">
        <w:t xml:space="preserve">", Archives Of General Psychiatry, 29 (1973), 276 </w:t>
      </w:r>
      <w:hyperlink r:id="rId2" w:history="1">
        <w:r w:rsidR="00FE4316" w:rsidRPr="00363549">
          <w:rPr>
            <w:rStyle w:val="Hyperlink"/>
          </w:rPr>
          <w:t>https://doi.org/10.1001/archpsyc.1973.04200020098014</w:t>
        </w:r>
      </w:hyperlink>
      <w:r w:rsidR="00FE4316">
        <w:t xml:space="preserve">. </w:t>
      </w:r>
      <w:proofErr w:type="spellStart"/>
      <w:r w:rsidR="00FE4316">
        <w:t>Pg</w:t>
      </w:r>
      <w:proofErr w:type="spellEnd"/>
      <w:r w:rsidR="00FE4316">
        <w:t xml:space="preserve"> 279</w:t>
      </w:r>
    </w:p>
  </w:footnote>
  <w:footnote w:id="3">
    <w:p w:rsidR="00CF4AB6" w:rsidRDefault="00CF4AB6">
      <w:pPr>
        <w:pStyle w:val="FootnoteText"/>
      </w:pPr>
      <w:r>
        <w:rPr>
          <w:rStyle w:val="FootnoteReference"/>
        </w:rPr>
        <w:footnoteRef/>
      </w:r>
      <w:r>
        <w:t xml:space="preserve"> </w:t>
      </w:r>
      <w:r w:rsidR="00FE4316" w:rsidRPr="00FE4316">
        <w:t>http://www.dailymail.co.uk/news/article-4381710/Haunting-portraits-women-Bedlam-Hospital.html</w:t>
      </w:r>
    </w:p>
  </w:footnote>
  <w:footnote w:id="4">
    <w:p w:rsidR="00CF4AB6" w:rsidRDefault="00CF4AB6">
      <w:pPr>
        <w:pStyle w:val="FootnoteText"/>
      </w:pPr>
      <w:r>
        <w:rPr>
          <w:rStyle w:val="FootnoteReference"/>
        </w:rPr>
        <w:footnoteRef/>
      </w:r>
      <w:r>
        <w:t xml:space="preserve"> </w:t>
      </w:r>
      <w:r w:rsidR="00FE4316" w:rsidRPr="00FE4316">
        <w:t>Kroll, Jerome, "</w:t>
      </w:r>
      <w:r w:rsidR="00FE4316" w:rsidRPr="00FE4316">
        <w:rPr>
          <w:i/>
        </w:rPr>
        <w:t xml:space="preserve">A Reappraisal </w:t>
      </w:r>
      <w:proofErr w:type="gramStart"/>
      <w:r w:rsidR="00FE4316" w:rsidRPr="00FE4316">
        <w:rPr>
          <w:i/>
        </w:rPr>
        <w:t>Of Psychiatry In The</w:t>
      </w:r>
      <w:proofErr w:type="gramEnd"/>
      <w:r w:rsidR="00FE4316" w:rsidRPr="00FE4316">
        <w:rPr>
          <w:i/>
        </w:rPr>
        <w:t xml:space="preserve"> Middle Ages</w:t>
      </w:r>
      <w:r w:rsidR="00FE4316" w:rsidRPr="00FE4316">
        <w:t xml:space="preserve">", Archives Of General Psychiatry, 29 (1973), 276 </w:t>
      </w:r>
      <w:hyperlink r:id="rId3" w:history="1">
        <w:r w:rsidR="00FE4316" w:rsidRPr="00363549">
          <w:rPr>
            <w:rStyle w:val="Hyperlink"/>
          </w:rPr>
          <w:t>https://doi.org/10.1001/archpsyc.1973.04200020098014</w:t>
        </w:r>
      </w:hyperlink>
      <w:r w:rsidR="00FE4316">
        <w:t xml:space="preserve">. </w:t>
      </w:r>
      <w:proofErr w:type="spellStart"/>
      <w:r w:rsidR="00FE4316">
        <w:t>Pg</w:t>
      </w:r>
      <w:proofErr w:type="spellEnd"/>
      <w:r w:rsidR="00FE4316">
        <w:t xml:space="preserve"> 278</w:t>
      </w:r>
    </w:p>
  </w:footnote>
  <w:footnote w:id="5">
    <w:p w:rsidR="00CF4AB6" w:rsidRDefault="00CF4AB6">
      <w:pPr>
        <w:pStyle w:val="FootnoteText"/>
      </w:pPr>
      <w:r>
        <w:rPr>
          <w:rStyle w:val="FootnoteReference"/>
        </w:rPr>
        <w:footnoteRef/>
      </w:r>
      <w:r>
        <w:t xml:space="preserve"> </w:t>
      </w:r>
      <w:r w:rsidR="00FE4316" w:rsidRPr="00FE4316">
        <w:t>Kroll, Jerome, "</w:t>
      </w:r>
      <w:r w:rsidR="00FE4316" w:rsidRPr="00FE4316">
        <w:rPr>
          <w:i/>
        </w:rPr>
        <w:t>A Reappraisal Of Psychiatry In The Middle Ages</w:t>
      </w:r>
      <w:r w:rsidR="00FE4316" w:rsidRPr="00FE4316">
        <w:t xml:space="preserve">", Archives Of General Psychiatry, 29 (1973), 276 </w:t>
      </w:r>
      <w:hyperlink r:id="rId4" w:history="1">
        <w:r w:rsidR="00FE4316" w:rsidRPr="00363549">
          <w:rPr>
            <w:rStyle w:val="Hyperlink"/>
          </w:rPr>
          <w:t>https://doi.org/10.1001/archpsyc.1973.04200020098014</w:t>
        </w:r>
      </w:hyperlink>
      <w:r w:rsidR="00FE4316">
        <w:t xml:space="preserve"> </w:t>
      </w:r>
      <w:proofErr w:type="spellStart"/>
      <w:r w:rsidR="00FE4316">
        <w:t>Pg</w:t>
      </w:r>
      <w:proofErr w:type="spellEnd"/>
      <w:r w:rsidR="00FE4316">
        <w:t xml:space="preserve"> 281</w:t>
      </w:r>
    </w:p>
  </w:footnote>
  <w:footnote w:id="6">
    <w:p w:rsidR="00FE4316" w:rsidRDefault="00FE4316">
      <w:pPr>
        <w:pStyle w:val="FootnoteText"/>
      </w:pPr>
      <w:r>
        <w:rPr>
          <w:rStyle w:val="FootnoteReference"/>
        </w:rPr>
        <w:footnoteRef/>
      </w:r>
      <w:r>
        <w:t xml:space="preserve"> </w:t>
      </w:r>
      <w:proofErr w:type="spellStart"/>
      <w:r w:rsidRPr="00FE4316">
        <w:t>Evagrius</w:t>
      </w:r>
      <w:proofErr w:type="spellEnd"/>
      <w:r w:rsidRPr="00FE4316">
        <w:t xml:space="preserve"> of Pontus – </w:t>
      </w:r>
      <w:r w:rsidRPr="00FE4316">
        <w:rPr>
          <w:i/>
        </w:rPr>
        <w:t xml:space="preserve">Eight </w:t>
      </w:r>
      <w:proofErr w:type="spellStart"/>
      <w:r w:rsidRPr="00FE4316">
        <w:rPr>
          <w:i/>
        </w:rPr>
        <w:t>Logismoi</w:t>
      </w:r>
      <w:proofErr w:type="spellEnd"/>
    </w:p>
  </w:footnote>
  <w:footnote w:id="7">
    <w:p w:rsidR="00FE4316" w:rsidRDefault="00FE4316" w:rsidP="00FE4316">
      <w:pPr>
        <w:pStyle w:val="FootnoteText"/>
      </w:pPr>
      <w:r>
        <w:rPr>
          <w:rStyle w:val="FootnoteReference"/>
        </w:rPr>
        <w:footnoteRef/>
      </w:r>
      <w:r>
        <w:t xml:space="preserve"> </w:t>
      </w:r>
      <w:proofErr w:type="spellStart"/>
      <w:r>
        <w:t>Crislip</w:t>
      </w:r>
      <w:proofErr w:type="spellEnd"/>
      <w:r>
        <w:t xml:space="preserve">, Andrew, </w:t>
      </w:r>
      <w:r w:rsidRPr="00FE4316">
        <w:rPr>
          <w:i/>
        </w:rPr>
        <w:t xml:space="preserve">'The Sin of Sloth </w:t>
      </w:r>
      <w:proofErr w:type="gramStart"/>
      <w:r w:rsidRPr="00FE4316">
        <w:rPr>
          <w:i/>
        </w:rPr>
        <w:t>Or</w:t>
      </w:r>
      <w:proofErr w:type="gramEnd"/>
      <w:r w:rsidRPr="00FE4316">
        <w:rPr>
          <w:i/>
        </w:rPr>
        <w:t xml:space="preserve"> the Illness of the Demons? the Demon of Acedia in Early Christian Monasticism', </w:t>
      </w:r>
      <w:r>
        <w:t xml:space="preserve">The Harvard Theological Review, 98 (2005), </w:t>
      </w:r>
      <w:r>
        <w:t>154</w:t>
      </w:r>
    </w:p>
  </w:footnote>
  <w:footnote w:id="8">
    <w:p w:rsidR="00FE4316" w:rsidRDefault="00FE4316" w:rsidP="00FE4316">
      <w:pPr>
        <w:pStyle w:val="FootnoteText"/>
      </w:pPr>
      <w:r>
        <w:rPr>
          <w:rStyle w:val="FootnoteReference"/>
        </w:rPr>
        <w:footnoteRef/>
      </w:r>
      <w:r>
        <w:t xml:space="preserve"> </w:t>
      </w:r>
      <w:proofErr w:type="spellStart"/>
      <w:r>
        <w:t>Crislip</w:t>
      </w:r>
      <w:proofErr w:type="spellEnd"/>
      <w:r>
        <w:t xml:space="preserve">, Andrew, </w:t>
      </w:r>
      <w:r w:rsidRPr="00FE4316">
        <w:rPr>
          <w:i/>
        </w:rPr>
        <w:t xml:space="preserve">'The Sin of Sloth </w:t>
      </w:r>
      <w:proofErr w:type="gramStart"/>
      <w:r w:rsidRPr="00FE4316">
        <w:rPr>
          <w:i/>
        </w:rPr>
        <w:t>Or</w:t>
      </w:r>
      <w:proofErr w:type="gramEnd"/>
      <w:r w:rsidRPr="00FE4316">
        <w:rPr>
          <w:i/>
        </w:rPr>
        <w:t xml:space="preserve"> the Illness of the Demons? the Demon of Acedia in Early Christian Monasticism</w:t>
      </w:r>
      <w:r>
        <w:t xml:space="preserve">', The Harvard Theological Review, 98 (2005), </w:t>
      </w:r>
      <w:r>
        <w:t>158</w:t>
      </w:r>
    </w:p>
  </w:footnote>
  <w:footnote w:id="9">
    <w:p w:rsidR="00FE4316" w:rsidRDefault="00FE4316" w:rsidP="00FE4316">
      <w:pPr>
        <w:pStyle w:val="FootnoteText"/>
      </w:pPr>
      <w:r>
        <w:rPr>
          <w:rStyle w:val="FootnoteReference"/>
        </w:rPr>
        <w:footnoteRef/>
      </w:r>
      <w:proofErr w:type="spellStart"/>
      <w:r>
        <w:t>Crislip</w:t>
      </w:r>
      <w:proofErr w:type="spellEnd"/>
      <w:r>
        <w:t xml:space="preserve">, Andrew, </w:t>
      </w:r>
      <w:r w:rsidRPr="00FE4316">
        <w:rPr>
          <w:i/>
        </w:rPr>
        <w:t xml:space="preserve">'The Sin of Sloth </w:t>
      </w:r>
      <w:proofErr w:type="gramStart"/>
      <w:r w:rsidRPr="00FE4316">
        <w:rPr>
          <w:i/>
        </w:rPr>
        <w:t>Or</w:t>
      </w:r>
      <w:proofErr w:type="gramEnd"/>
      <w:r w:rsidRPr="00FE4316">
        <w:rPr>
          <w:i/>
        </w:rPr>
        <w:t xml:space="preserve"> the Illness of the Demons? </w:t>
      </w:r>
      <w:proofErr w:type="gramStart"/>
      <w:r w:rsidRPr="00FE4316">
        <w:rPr>
          <w:i/>
        </w:rPr>
        <w:t>the</w:t>
      </w:r>
      <w:proofErr w:type="gramEnd"/>
      <w:r w:rsidRPr="00FE4316">
        <w:rPr>
          <w:i/>
        </w:rPr>
        <w:t xml:space="preserve"> Demon of Acedia in Early Christian Monasticism</w:t>
      </w:r>
      <w:r>
        <w:t>', The Harvard</w:t>
      </w:r>
      <w:r>
        <w:t xml:space="preserve"> Theological Review, 98 (2005). </w:t>
      </w:r>
      <w:proofErr w:type="spellStart"/>
      <w:r>
        <w:t>Pg</w:t>
      </w:r>
      <w:proofErr w:type="spellEnd"/>
      <w:r>
        <w:t xml:space="preserve"> 159</w:t>
      </w:r>
    </w:p>
  </w:footnote>
  <w:footnote w:id="10">
    <w:p w:rsidR="00FE4316" w:rsidRDefault="00FE4316">
      <w:pPr>
        <w:pStyle w:val="FootnoteText"/>
      </w:pPr>
      <w:r>
        <w:rPr>
          <w:rStyle w:val="FootnoteReference"/>
        </w:rPr>
        <w:footnoteRef/>
      </w:r>
      <w:r>
        <w:t xml:space="preserve"> </w:t>
      </w:r>
      <w:proofErr w:type="spellStart"/>
      <w:r w:rsidRPr="00FE4316">
        <w:t>Crislip</w:t>
      </w:r>
      <w:proofErr w:type="spellEnd"/>
      <w:r w:rsidRPr="00FE4316">
        <w:t xml:space="preserve">, Andrew, </w:t>
      </w:r>
      <w:r w:rsidRPr="00FE4316">
        <w:rPr>
          <w:i/>
        </w:rPr>
        <w:t xml:space="preserve">'The Sin of Sloth </w:t>
      </w:r>
      <w:proofErr w:type="gramStart"/>
      <w:r w:rsidRPr="00FE4316">
        <w:rPr>
          <w:i/>
        </w:rPr>
        <w:t>Or</w:t>
      </w:r>
      <w:proofErr w:type="gramEnd"/>
      <w:r w:rsidRPr="00FE4316">
        <w:rPr>
          <w:i/>
        </w:rPr>
        <w:t xml:space="preserve"> the Illness of the Demons? </w:t>
      </w:r>
      <w:proofErr w:type="gramStart"/>
      <w:r w:rsidRPr="00FE4316">
        <w:rPr>
          <w:i/>
        </w:rPr>
        <w:t>the</w:t>
      </w:r>
      <w:proofErr w:type="gramEnd"/>
      <w:r w:rsidRPr="00FE4316">
        <w:rPr>
          <w:i/>
        </w:rPr>
        <w:t xml:space="preserve"> Demon of Acedia in Early Christian Monasticism</w:t>
      </w:r>
      <w:r w:rsidRPr="00FE4316">
        <w:t>', The Harvard Theolo</w:t>
      </w:r>
      <w:r>
        <w:t xml:space="preserve">gical Review, 98 (2005). </w:t>
      </w:r>
      <w:proofErr w:type="spellStart"/>
      <w:r>
        <w:t>Pg</w:t>
      </w:r>
      <w:proofErr w:type="spellEnd"/>
      <w:r>
        <w:t xml:space="preserve"> 160</w:t>
      </w:r>
    </w:p>
  </w:footnote>
  <w:footnote w:id="11">
    <w:p w:rsidR="00806B29" w:rsidRDefault="00806B29">
      <w:pPr>
        <w:pStyle w:val="FootnoteText"/>
      </w:pPr>
      <w:r>
        <w:rPr>
          <w:rStyle w:val="FootnoteReference"/>
        </w:rPr>
        <w:footnoteRef/>
      </w:r>
      <w:r>
        <w:t xml:space="preserve"> </w:t>
      </w:r>
      <w:r w:rsidRPr="00806B29">
        <w:t xml:space="preserve">Kroll, Jerome, "A Reappraisal </w:t>
      </w:r>
      <w:proofErr w:type="gramStart"/>
      <w:r w:rsidRPr="00806B29">
        <w:t>Of Psychiatry In The</w:t>
      </w:r>
      <w:proofErr w:type="gramEnd"/>
      <w:r w:rsidRPr="00806B29">
        <w:t xml:space="preserve"> Middle Ages", Archives Of General Psychiatry, 29 (1973), 276 </w:t>
      </w:r>
      <w:hyperlink r:id="rId5" w:history="1">
        <w:r w:rsidRPr="00363549">
          <w:rPr>
            <w:rStyle w:val="Hyperlink"/>
          </w:rPr>
          <w:t>https://doi.org/10.1001/archpsyc.1973.04200020098014</w:t>
        </w:r>
      </w:hyperlink>
      <w:r>
        <w:t xml:space="preserve">. </w:t>
      </w:r>
      <w:proofErr w:type="spellStart"/>
      <w:r>
        <w:t>Pg</w:t>
      </w:r>
      <w:proofErr w:type="spellEnd"/>
      <w:r>
        <w:t xml:space="preserve"> 279</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DBC0FC1"/>
    <w:multiLevelType w:val="hybridMultilevel"/>
    <w:tmpl w:val="69C65628"/>
    <w:lvl w:ilvl="0" w:tplc="5ABC5B2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7662"/>
    <w:rsid w:val="00022EE1"/>
    <w:rsid w:val="00033D5A"/>
    <w:rsid w:val="00040EB9"/>
    <w:rsid w:val="00044615"/>
    <w:rsid w:val="00066A6B"/>
    <w:rsid w:val="00077A7D"/>
    <w:rsid w:val="0008237F"/>
    <w:rsid w:val="00094A9E"/>
    <w:rsid w:val="000B65CF"/>
    <w:rsid w:val="000F43BA"/>
    <w:rsid w:val="0010607E"/>
    <w:rsid w:val="001116CC"/>
    <w:rsid w:val="00123E59"/>
    <w:rsid w:val="00146CCB"/>
    <w:rsid w:val="001615E2"/>
    <w:rsid w:val="00161D10"/>
    <w:rsid w:val="00165550"/>
    <w:rsid w:val="00166A44"/>
    <w:rsid w:val="00192296"/>
    <w:rsid w:val="001A429B"/>
    <w:rsid w:val="001D1786"/>
    <w:rsid w:val="001F748C"/>
    <w:rsid w:val="002064EC"/>
    <w:rsid w:val="00226C68"/>
    <w:rsid w:val="002331F3"/>
    <w:rsid w:val="0023502A"/>
    <w:rsid w:val="002415EE"/>
    <w:rsid w:val="002506EF"/>
    <w:rsid w:val="00260C0D"/>
    <w:rsid w:val="0026417E"/>
    <w:rsid w:val="00286BCE"/>
    <w:rsid w:val="00296808"/>
    <w:rsid w:val="002B7662"/>
    <w:rsid w:val="002D6580"/>
    <w:rsid w:val="002F3B57"/>
    <w:rsid w:val="0030318E"/>
    <w:rsid w:val="00312990"/>
    <w:rsid w:val="00312F8D"/>
    <w:rsid w:val="00337EC2"/>
    <w:rsid w:val="003474B2"/>
    <w:rsid w:val="00360297"/>
    <w:rsid w:val="003A34DE"/>
    <w:rsid w:val="003B5860"/>
    <w:rsid w:val="003D05AF"/>
    <w:rsid w:val="00402A7F"/>
    <w:rsid w:val="0044389E"/>
    <w:rsid w:val="00467713"/>
    <w:rsid w:val="0047045C"/>
    <w:rsid w:val="004778A6"/>
    <w:rsid w:val="004930F3"/>
    <w:rsid w:val="004A089D"/>
    <w:rsid w:val="004A0AB6"/>
    <w:rsid w:val="004A2023"/>
    <w:rsid w:val="004B3454"/>
    <w:rsid w:val="004D26A3"/>
    <w:rsid w:val="004F14C9"/>
    <w:rsid w:val="004F2D19"/>
    <w:rsid w:val="004F3B74"/>
    <w:rsid w:val="00514839"/>
    <w:rsid w:val="005166FE"/>
    <w:rsid w:val="005307A1"/>
    <w:rsid w:val="005659CE"/>
    <w:rsid w:val="0057130C"/>
    <w:rsid w:val="005A4BD5"/>
    <w:rsid w:val="005A7902"/>
    <w:rsid w:val="00602605"/>
    <w:rsid w:val="00607008"/>
    <w:rsid w:val="00607AA8"/>
    <w:rsid w:val="0064243A"/>
    <w:rsid w:val="00645860"/>
    <w:rsid w:val="00654F32"/>
    <w:rsid w:val="00655804"/>
    <w:rsid w:val="006564BA"/>
    <w:rsid w:val="00672EA8"/>
    <w:rsid w:val="00673B65"/>
    <w:rsid w:val="00695D4A"/>
    <w:rsid w:val="006B0074"/>
    <w:rsid w:val="006D0A65"/>
    <w:rsid w:val="00700960"/>
    <w:rsid w:val="00707B20"/>
    <w:rsid w:val="007268D2"/>
    <w:rsid w:val="007439DD"/>
    <w:rsid w:val="00747F56"/>
    <w:rsid w:val="00762909"/>
    <w:rsid w:val="00762D90"/>
    <w:rsid w:val="00766E11"/>
    <w:rsid w:val="007714E5"/>
    <w:rsid w:val="00772B18"/>
    <w:rsid w:val="00773FDC"/>
    <w:rsid w:val="00784B8A"/>
    <w:rsid w:val="00786B3C"/>
    <w:rsid w:val="007A73A8"/>
    <w:rsid w:val="007B3216"/>
    <w:rsid w:val="007D60B8"/>
    <w:rsid w:val="00806B29"/>
    <w:rsid w:val="0081455C"/>
    <w:rsid w:val="0081594D"/>
    <w:rsid w:val="008210AF"/>
    <w:rsid w:val="00822B3E"/>
    <w:rsid w:val="00824551"/>
    <w:rsid w:val="00840EEB"/>
    <w:rsid w:val="0084463C"/>
    <w:rsid w:val="00844F13"/>
    <w:rsid w:val="0086097F"/>
    <w:rsid w:val="00881E54"/>
    <w:rsid w:val="00884F33"/>
    <w:rsid w:val="0089293F"/>
    <w:rsid w:val="008A18EC"/>
    <w:rsid w:val="008D0028"/>
    <w:rsid w:val="008D36B1"/>
    <w:rsid w:val="008F188E"/>
    <w:rsid w:val="00902DB5"/>
    <w:rsid w:val="00914904"/>
    <w:rsid w:val="0092712F"/>
    <w:rsid w:val="0093299C"/>
    <w:rsid w:val="009356BC"/>
    <w:rsid w:val="009454CA"/>
    <w:rsid w:val="009463F1"/>
    <w:rsid w:val="009465CA"/>
    <w:rsid w:val="00964481"/>
    <w:rsid w:val="009647AB"/>
    <w:rsid w:val="00970E8D"/>
    <w:rsid w:val="00973EDC"/>
    <w:rsid w:val="0099691F"/>
    <w:rsid w:val="009A62CF"/>
    <w:rsid w:val="009B7E27"/>
    <w:rsid w:val="009E406F"/>
    <w:rsid w:val="00A17492"/>
    <w:rsid w:val="00A26196"/>
    <w:rsid w:val="00A454BB"/>
    <w:rsid w:val="00A6537D"/>
    <w:rsid w:val="00A815E2"/>
    <w:rsid w:val="00A90236"/>
    <w:rsid w:val="00AD22B5"/>
    <w:rsid w:val="00B066C7"/>
    <w:rsid w:val="00B14DCF"/>
    <w:rsid w:val="00B45188"/>
    <w:rsid w:val="00B75125"/>
    <w:rsid w:val="00B83C1C"/>
    <w:rsid w:val="00B93EC9"/>
    <w:rsid w:val="00BC0FAD"/>
    <w:rsid w:val="00BD363D"/>
    <w:rsid w:val="00BD7C89"/>
    <w:rsid w:val="00BE78CD"/>
    <w:rsid w:val="00BF0B5A"/>
    <w:rsid w:val="00BF6DC9"/>
    <w:rsid w:val="00C14CE5"/>
    <w:rsid w:val="00C24861"/>
    <w:rsid w:val="00C51358"/>
    <w:rsid w:val="00C76814"/>
    <w:rsid w:val="00C84CD0"/>
    <w:rsid w:val="00C91795"/>
    <w:rsid w:val="00C91887"/>
    <w:rsid w:val="00CA6992"/>
    <w:rsid w:val="00CF4AB6"/>
    <w:rsid w:val="00D043F8"/>
    <w:rsid w:val="00D046AC"/>
    <w:rsid w:val="00D049DE"/>
    <w:rsid w:val="00D05E50"/>
    <w:rsid w:val="00D163FB"/>
    <w:rsid w:val="00D231FE"/>
    <w:rsid w:val="00D27535"/>
    <w:rsid w:val="00D36C0F"/>
    <w:rsid w:val="00D45DEF"/>
    <w:rsid w:val="00D46630"/>
    <w:rsid w:val="00D57B99"/>
    <w:rsid w:val="00D750F4"/>
    <w:rsid w:val="00D864AA"/>
    <w:rsid w:val="00D91F96"/>
    <w:rsid w:val="00DB2C55"/>
    <w:rsid w:val="00DB5AAA"/>
    <w:rsid w:val="00DC280A"/>
    <w:rsid w:val="00DF2746"/>
    <w:rsid w:val="00E101DB"/>
    <w:rsid w:val="00E11042"/>
    <w:rsid w:val="00E115BA"/>
    <w:rsid w:val="00E21DEC"/>
    <w:rsid w:val="00E23A51"/>
    <w:rsid w:val="00E3152D"/>
    <w:rsid w:val="00E51832"/>
    <w:rsid w:val="00E64082"/>
    <w:rsid w:val="00E7555E"/>
    <w:rsid w:val="00E91701"/>
    <w:rsid w:val="00E927F0"/>
    <w:rsid w:val="00EA7ABA"/>
    <w:rsid w:val="00EB2EF9"/>
    <w:rsid w:val="00EC1751"/>
    <w:rsid w:val="00EC22FB"/>
    <w:rsid w:val="00EE410A"/>
    <w:rsid w:val="00EE74E5"/>
    <w:rsid w:val="00EF6A30"/>
    <w:rsid w:val="00F06100"/>
    <w:rsid w:val="00F100C7"/>
    <w:rsid w:val="00F15D20"/>
    <w:rsid w:val="00F2162B"/>
    <w:rsid w:val="00F23E1F"/>
    <w:rsid w:val="00F41643"/>
    <w:rsid w:val="00F6260C"/>
    <w:rsid w:val="00F6779D"/>
    <w:rsid w:val="00F81E0C"/>
    <w:rsid w:val="00F847C3"/>
    <w:rsid w:val="00F860EB"/>
    <w:rsid w:val="00FD374E"/>
    <w:rsid w:val="00FE4316"/>
    <w:rsid w:val="00FF2B78"/>
    <w:rsid w:val="00FF49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C96D6F"/>
  <w15:docId w15:val="{FD80FA4C-5125-43B1-9597-BEEB4E0931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B7662"/>
    <w:pPr>
      <w:spacing w:line="256" w:lineRule="auto"/>
    </w:pPr>
  </w:style>
  <w:style w:type="paragraph" w:styleId="Heading1">
    <w:name w:val="heading 1"/>
    <w:basedOn w:val="Normal"/>
    <w:next w:val="Normal"/>
    <w:link w:val="Heading1Char"/>
    <w:qFormat/>
    <w:rsid w:val="002B7662"/>
    <w:pPr>
      <w:keepNext/>
      <w:spacing w:before="240" w:after="60" w:line="240" w:lineRule="auto"/>
      <w:outlineLvl w:val="0"/>
    </w:pPr>
    <w:rPr>
      <w:rFonts w:ascii="Arial" w:eastAsia="SimSun" w:hAnsi="Arial" w:cs="Arial"/>
      <w:b/>
      <w:bCs/>
      <w:kern w:val="32"/>
      <w:sz w:val="32"/>
      <w:szCs w:val="32"/>
      <w:lang w:eastAsia="zh-CN"/>
    </w:rPr>
  </w:style>
  <w:style w:type="paragraph" w:styleId="Heading3">
    <w:name w:val="heading 3"/>
    <w:basedOn w:val="Normal"/>
    <w:link w:val="Heading3Char"/>
    <w:semiHidden/>
    <w:unhideWhenUsed/>
    <w:qFormat/>
    <w:rsid w:val="002B7662"/>
    <w:pPr>
      <w:keepNext/>
      <w:spacing w:after="0" w:line="240" w:lineRule="auto"/>
      <w:ind w:left="720"/>
      <w:jc w:val="both"/>
      <w:outlineLvl w:val="2"/>
    </w:pPr>
    <w:rPr>
      <w:rFonts w:ascii="Tahoma" w:eastAsia="SimSun" w:hAnsi="Tahoma" w:cs="Tahoma"/>
      <w:b/>
      <w:bCs/>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B7662"/>
    <w:rPr>
      <w:rFonts w:ascii="Arial" w:eastAsia="SimSun" w:hAnsi="Arial" w:cs="Arial"/>
      <w:b/>
      <w:bCs/>
      <w:kern w:val="32"/>
      <w:sz w:val="32"/>
      <w:szCs w:val="32"/>
      <w:lang w:eastAsia="zh-CN"/>
    </w:rPr>
  </w:style>
  <w:style w:type="character" w:customStyle="1" w:styleId="Heading3Char">
    <w:name w:val="Heading 3 Char"/>
    <w:basedOn w:val="DefaultParagraphFont"/>
    <w:link w:val="Heading3"/>
    <w:semiHidden/>
    <w:rsid w:val="002B7662"/>
    <w:rPr>
      <w:rFonts w:ascii="Tahoma" w:eastAsia="SimSun" w:hAnsi="Tahoma" w:cs="Tahoma"/>
      <w:b/>
      <w:bCs/>
      <w:sz w:val="20"/>
      <w:szCs w:val="20"/>
      <w:lang w:eastAsia="zh-CN"/>
    </w:rPr>
  </w:style>
  <w:style w:type="paragraph" w:styleId="NormalWeb">
    <w:name w:val="Normal (Web)"/>
    <w:basedOn w:val="Normal"/>
    <w:semiHidden/>
    <w:unhideWhenUsed/>
    <w:rsid w:val="002B7662"/>
    <w:pPr>
      <w:spacing w:before="100" w:beforeAutospacing="1" w:after="100" w:afterAutospacing="1" w:line="240" w:lineRule="auto"/>
    </w:pPr>
    <w:rPr>
      <w:rFonts w:ascii="Georgia" w:eastAsia="SimSun" w:hAnsi="Georgia" w:cs="Times New Roman"/>
      <w:color w:val="000000"/>
      <w:sz w:val="21"/>
      <w:szCs w:val="21"/>
      <w:lang w:eastAsia="zh-CN"/>
    </w:rPr>
  </w:style>
  <w:style w:type="paragraph" w:styleId="NoSpacing">
    <w:name w:val="No Spacing"/>
    <w:uiPriority w:val="1"/>
    <w:qFormat/>
    <w:rsid w:val="00E11042"/>
    <w:pPr>
      <w:spacing w:after="0" w:line="240" w:lineRule="auto"/>
    </w:pPr>
  </w:style>
  <w:style w:type="paragraph" w:styleId="BalloonText">
    <w:name w:val="Balloon Text"/>
    <w:basedOn w:val="Normal"/>
    <w:link w:val="BalloonTextChar"/>
    <w:uiPriority w:val="99"/>
    <w:semiHidden/>
    <w:unhideWhenUsed/>
    <w:rsid w:val="00FF49B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F49B1"/>
    <w:rPr>
      <w:rFonts w:ascii="Tahoma" w:hAnsi="Tahoma" w:cs="Tahoma"/>
      <w:sz w:val="16"/>
      <w:szCs w:val="16"/>
    </w:rPr>
  </w:style>
  <w:style w:type="paragraph" w:styleId="ListParagraph">
    <w:name w:val="List Paragraph"/>
    <w:basedOn w:val="Normal"/>
    <w:uiPriority w:val="34"/>
    <w:qFormat/>
    <w:rsid w:val="00286BCE"/>
    <w:pPr>
      <w:ind w:left="720"/>
      <w:contextualSpacing/>
    </w:pPr>
  </w:style>
  <w:style w:type="paragraph" w:styleId="FootnoteText">
    <w:name w:val="footnote text"/>
    <w:basedOn w:val="Normal"/>
    <w:link w:val="FootnoteTextChar"/>
    <w:uiPriority w:val="99"/>
    <w:semiHidden/>
    <w:unhideWhenUsed/>
    <w:rsid w:val="00CF4AB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F4AB6"/>
    <w:rPr>
      <w:sz w:val="20"/>
      <w:szCs w:val="20"/>
    </w:rPr>
  </w:style>
  <w:style w:type="character" w:styleId="FootnoteReference">
    <w:name w:val="footnote reference"/>
    <w:basedOn w:val="DefaultParagraphFont"/>
    <w:uiPriority w:val="99"/>
    <w:semiHidden/>
    <w:unhideWhenUsed/>
    <w:rsid w:val="00CF4AB6"/>
    <w:rPr>
      <w:vertAlign w:val="superscript"/>
    </w:rPr>
  </w:style>
  <w:style w:type="character" w:styleId="Hyperlink">
    <w:name w:val="Hyperlink"/>
    <w:basedOn w:val="DefaultParagraphFont"/>
    <w:uiPriority w:val="99"/>
    <w:unhideWhenUsed/>
    <w:rsid w:val="00FE431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63216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doi.org/10.1001/archpsyc.1973.04200020098014" TargetMode="External"/><Relationship Id="rId2" Type="http://schemas.openxmlformats.org/officeDocument/2006/relationships/hyperlink" Target="https://doi.org/10.1001/archpsyc.1973.04200020098014" TargetMode="External"/><Relationship Id="rId1" Type="http://schemas.openxmlformats.org/officeDocument/2006/relationships/hyperlink" Target="https://doi.org/10.1001/archpsyc.1973.04200020098014" TargetMode="External"/><Relationship Id="rId5" Type="http://schemas.openxmlformats.org/officeDocument/2006/relationships/hyperlink" Target="https://doi.org/10.1001/archpsyc.1973.04200020098014" TargetMode="External"/><Relationship Id="rId4" Type="http://schemas.openxmlformats.org/officeDocument/2006/relationships/hyperlink" Target="https://doi.org/10.1001/archpsyc.1973.0420002009801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D89514-9E3F-4325-977F-5C764DE287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1050</TotalTime>
  <Pages>6</Pages>
  <Words>1828</Words>
  <Characters>10424</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12228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Christopher Lawrance (1401550)</dc:creator>
  <cp:keywords/>
  <dc:description/>
  <cp:lastModifiedBy>Christopher Lawrance (1401550)</cp:lastModifiedBy>
  <cp:revision>91</cp:revision>
  <dcterms:created xsi:type="dcterms:W3CDTF">2018-05-03T23:27:00Z</dcterms:created>
  <dcterms:modified xsi:type="dcterms:W3CDTF">2018-05-04T22:41:00Z</dcterms:modified>
</cp:coreProperties>
</file>