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73951" w14:textId="3EA80F12" w:rsidR="009E1BA7" w:rsidRPr="00396729" w:rsidRDefault="009E1BA7" w:rsidP="009E1BA7">
      <w:pPr>
        <w:pStyle w:val="Heading1"/>
        <w:rPr>
          <w:rFonts w:ascii="Arial" w:hAnsi="Arial" w:cs="Arial"/>
        </w:rPr>
      </w:pPr>
      <w:r w:rsidRPr="00396729">
        <w:rPr>
          <w:rFonts w:ascii="Arial" w:hAnsi="Arial" w:cs="Arial"/>
        </w:rPr>
        <w:t>Sacha Ashley-Jones</w:t>
      </w:r>
    </w:p>
    <w:p w14:paraId="16A0E6D4" w14:textId="77777777" w:rsidR="00DB5A09" w:rsidRDefault="009E1BA7" w:rsidP="00DB5A09">
      <w:pPr>
        <w:pStyle w:val="Heading1"/>
        <w:rPr>
          <w:rFonts w:ascii="Arial" w:hAnsi="Arial" w:cs="Arial"/>
        </w:rPr>
      </w:pPr>
      <w:r w:rsidRPr="00396729">
        <w:rPr>
          <w:rFonts w:ascii="Arial" w:hAnsi="Arial" w:cs="Arial"/>
        </w:rPr>
        <w:t>1804303</w:t>
      </w:r>
      <w:r w:rsidR="00DB5A09">
        <w:rPr>
          <w:rFonts w:ascii="Arial" w:hAnsi="Arial" w:cs="Arial"/>
        </w:rPr>
        <w:t xml:space="preserve"> </w:t>
      </w:r>
    </w:p>
    <w:p w14:paraId="312D3A39" w14:textId="6482EC49" w:rsidR="009E1BA7" w:rsidRPr="00DB5A09" w:rsidRDefault="00DB5A09" w:rsidP="00DB5A09">
      <w:pPr>
        <w:pStyle w:val="Heading1"/>
        <w:rPr>
          <w:rFonts w:ascii="Arial" w:hAnsi="Arial" w:cs="Arial"/>
        </w:rPr>
      </w:pPr>
      <w:r>
        <w:rPr>
          <w:rFonts w:ascii="Arial" w:hAnsi="Arial" w:cs="Arial"/>
        </w:rPr>
        <w:t>Word Count: 10</w:t>
      </w:r>
      <w:r w:rsidR="00CA1965">
        <w:rPr>
          <w:rFonts w:ascii="Arial" w:hAnsi="Arial" w:cs="Arial"/>
        </w:rPr>
        <w:t>49</w:t>
      </w:r>
      <w:r w:rsidR="009E1BA7">
        <w:rPr>
          <w:rFonts w:ascii="Times New Roman" w:hAnsi="Times New Roman" w:cs="Times New Roman"/>
        </w:rPr>
        <w:br w:type="page"/>
      </w:r>
    </w:p>
    <w:p w14:paraId="589C43D7" w14:textId="6C716311" w:rsidR="00195E64" w:rsidRDefault="00195E64" w:rsidP="009E1BA7">
      <w:pPr>
        <w:pStyle w:val="Heading1"/>
        <w:rPr>
          <w:rFonts w:ascii="Arial" w:hAnsi="Arial" w:cs="Arial"/>
        </w:rPr>
      </w:pPr>
      <w:r>
        <w:rPr>
          <w:rFonts w:ascii="Arial" w:hAnsi="Arial" w:cs="Arial"/>
        </w:rPr>
        <w:lastRenderedPageBreak/>
        <w:t>PESTLE in People Management</w:t>
      </w:r>
    </w:p>
    <w:p w14:paraId="5F0E5E58" w14:textId="31385186" w:rsidR="009E1BA7" w:rsidRPr="00856062" w:rsidRDefault="009E1BA7" w:rsidP="009E1BA7">
      <w:pPr>
        <w:pStyle w:val="Heading1"/>
        <w:rPr>
          <w:rFonts w:ascii="Arial" w:hAnsi="Arial" w:cs="Arial"/>
        </w:rPr>
      </w:pPr>
      <w:r w:rsidRPr="00856062">
        <w:rPr>
          <w:rFonts w:ascii="Arial" w:hAnsi="Arial" w:cs="Arial"/>
        </w:rPr>
        <w:t>What is PESTLE?</w:t>
      </w:r>
    </w:p>
    <w:p w14:paraId="7462CB4A" w14:textId="334C4815" w:rsidR="009E1BA7" w:rsidRDefault="006C3E3E" w:rsidP="00396729">
      <w:pPr>
        <w:spacing w:line="360" w:lineRule="auto"/>
        <w:rPr>
          <w:rFonts w:ascii="Arial" w:hAnsi="Arial" w:cs="Arial"/>
        </w:rPr>
      </w:pPr>
      <w:r>
        <w:rPr>
          <w:rFonts w:ascii="Arial" w:hAnsi="Arial" w:cs="Arial"/>
        </w:rPr>
        <w:t>I</w:t>
      </w:r>
      <w:r w:rsidR="00856062" w:rsidRPr="00856062">
        <w:rPr>
          <w:rFonts w:ascii="Arial" w:hAnsi="Arial" w:cs="Arial"/>
        </w:rPr>
        <w:t xml:space="preserve">t is a tool that helps organisations like Hywel Dda University Health Board (HDUHB) to identify external factors that could impact organisations </w:t>
      </w:r>
      <w:r w:rsidR="00D05683">
        <w:rPr>
          <w:rFonts w:ascii="Arial" w:hAnsi="Arial" w:cs="Arial"/>
        </w:rPr>
        <w:t xml:space="preserve">and inform </w:t>
      </w:r>
      <w:r w:rsidR="00856062" w:rsidRPr="00856062">
        <w:rPr>
          <w:rFonts w:ascii="Arial" w:hAnsi="Arial" w:cs="Arial"/>
        </w:rPr>
        <w:t xml:space="preserve">strategic planning </w:t>
      </w:r>
      <w:r w:rsidR="00835A35">
        <w:rPr>
          <w:rFonts w:ascii="Arial" w:hAnsi="Arial" w:cs="Arial"/>
        </w:rPr>
        <w:t xml:space="preserve">and </w:t>
      </w:r>
      <w:r w:rsidR="00856062" w:rsidRPr="00856062">
        <w:rPr>
          <w:rFonts w:ascii="Arial" w:hAnsi="Arial" w:cs="Arial"/>
        </w:rPr>
        <w:t>objectives</w:t>
      </w:r>
      <w:r w:rsidR="00142ADC">
        <w:rPr>
          <w:rFonts w:ascii="Arial" w:hAnsi="Arial" w:cs="Arial"/>
        </w:rPr>
        <w:t xml:space="preserve"> </w:t>
      </w:r>
      <w:r>
        <w:rPr>
          <w:rFonts w:ascii="Arial" w:hAnsi="Arial" w:cs="Arial"/>
        </w:rPr>
        <w:t>(Belsare, 2025)</w:t>
      </w:r>
      <w:r w:rsidR="00856062" w:rsidRPr="00856062">
        <w:rPr>
          <w:rFonts w:ascii="Arial" w:hAnsi="Arial" w:cs="Arial"/>
        </w:rPr>
        <w:t>.</w:t>
      </w:r>
      <w:r w:rsidR="00856062">
        <w:rPr>
          <w:rFonts w:ascii="Arial" w:hAnsi="Arial" w:cs="Arial"/>
        </w:rPr>
        <w:t xml:space="preserve"> </w:t>
      </w:r>
      <w:r w:rsidR="00142ADC">
        <w:rPr>
          <w:rFonts w:ascii="Arial" w:hAnsi="Arial" w:cs="Arial"/>
        </w:rPr>
        <w:t>The acronym stands for Political, Economic, Sociological, Technological, Legal and Environmental (Belsare, 2025). Examples of what these factors entail from a health care perspective follow below</w:t>
      </w:r>
      <w:r w:rsidR="00B01459">
        <w:rPr>
          <w:rFonts w:ascii="Arial" w:hAnsi="Arial" w:cs="Arial"/>
        </w:rPr>
        <w:t>.</w:t>
      </w:r>
    </w:p>
    <w:p w14:paraId="53BB5BF2" w14:textId="4038EE07" w:rsidR="00496F2A" w:rsidRDefault="00685671" w:rsidP="00396729">
      <w:pPr>
        <w:spacing w:line="360" w:lineRule="auto"/>
        <w:rPr>
          <w:rFonts w:ascii="Arial" w:hAnsi="Arial" w:cs="Arial"/>
        </w:rPr>
      </w:pPr>
      <w:r>
        <w:rPr>
          <w:rFonts w:ascii="Arial" w:hAnsi="Arial" w:cs="Arial"/>
        </w:rPr>
        <w:t xml:space="preserve">Applying </w:t>
      </w:r>
      <w:r w:rsidR="00496F2A">
        <w:rPr>
          <w:rFonts w:ascii="Arial" w:hAnsi="Arial" w:cs="Arial"/>
        </w:rPr>
        <w:t>PESTLE analysis to People Management and Human Resources (HR) will help to develop strategic workforce plans and embed policies</w:t>
      </w:r>
      <w:r>
        <w:rPr>
          <w:rFonts w:ascii="Arial" w:hAnsi="Arial" w:cs="Arial"/>
        </w:rPr>
        <w:t xml:space="preserve"> (Talent Management Institute, 2024) (TMI).</w:t>
      </w:r>
    </w:p>
    <w:p w14:paraId="28516859" w14:textId="0563763B" w:rsidR="00B01459" w:rsidRPr="00577361" w:rsidRDefault="00B01459" w:rsidP="00577361">
      <w:pPr>
        <w:pStyle w:val="Heading1"/>
        <w:rPr>
          <w:sz w:val="36"/>
          <w:szCs w:val="36"/>
        </w:rPr>
      </w:pPr>
      <w:r w:rsidRPr="00577361">
        <w:rPr>
          <w:sz w:val="36"/>
          <w:szCs w:val="36"/>
        </w:rPr>
        <w:t>PESTLE in More Detail</w:t>
      </w:r>
    </w:p>
    <w:p w14:paraId="56D92347" w14:textId="6B50E831" w:rsidR="00B01459" w:rsidRDefault="00B01459" w:rsidP="00B01459">
      <w:pPr>
        <w:spacing w:line="360" w:lineRule="auto"/>
        <w:rPr>
          <w:rFonts w:ascii="Arial" w:hAnsi="Arial" w:cs="Arial"/>
        </w:rPr>
      </w:pPr>
      <w:r>
        <w:rPr>
          <w:rFonts w:ascii="Arial" w:hAnsi="Arial" w:cs="Arial"/>
        </w:rPr>
        <w:t>Factors, Examples</w:t>
      </w:r>
    </w:p>
    <w:p w14:paraId="6F86B2EF" w14:textId="3D2E0339" w:rsidR="006B64BF" w:rsidRDefault="006B64BF" w:rsidP="00396729">
      <w:pPr>
        <w:spacing w:line="360" w:lineRule="auto"/>
        <w:rPr>
          <w:rFonts w:ascii="Arial" w:hAnsi="Arial" w:cs="Arial"/>
        </w:rPr>
      </w:pPr>
      <w:r>
        <w:rPr>
          <w:rFonts w:ascii="Arial" w:hAnsi="Arial" w:cs="Arial"/>
        </w:rPr>
        <w:t xml:space="preserve">Political: </w:t>
      </w:r>
      <w:r w:rsidR="006C3E3E">
        <w:rPr>
          <w:rFonts w:ascii="Arial" w:hAnsi="Arial" w:cs="Arial"/>
        </w:rPr>
        <w:t xml:space="preserve">Political Stability, </w:t>
      </w:r>
      <w:r w:rsidR="005619A8">
        <w:rPr>
          <w:rFonts w:ascii="Arial" w:hAnsi="Arial" w:cs="Arial"/>
        </w:rPr>
        <w:t>r</w:t>
      </w:r>
      <w:r w:rsidR="006C3E3E">
        <w:rPr>
          <w:rFonts w:ascii="Arial" w:hAnsi="Arial" w:cs="Arial"/>
        </w:rPr>
        <w:t xml:space="preserve">egulations, </w:t>
      </w:r>
      <w:r w:rsidR="005619A8">
        <w:rPr>
          <w:rFonts w:ascii="Arial" w:hAnsi="Arial" w:cs="Arial"/>
        </w:rPr>
        <w:t>t</w:t>
      </w:r>
      <w:r w:rsidR="006C3E3E">
        <w:rPr>
          <w:rFonts w:ascii="Arial" w:hAnsi="Arial" w:cs="Arial"/>
        </w:rPr>
        <w:t xml:space="preserve">rades </w:t>
      </w:r>
      <w:r w:rsidR="005619A8">
        <w:rPr>
          <w:rFonts w:ascii="Arial" w:hAnsi="Arial" w:cs="Arial"/>
        </w:rPr>
        <w:t>&amp; t</w:t>
      </w:r>
      <w:r w:rsidR="006C3E3E">
        <w:rPr>
          <w:rFonts w:ascii="Arial" w:hAnsi="Arial" w:cs="Arial"/>
        </w:rPr>
        <w:t xml:space="preserve">ariffs. Economic: Inflation, </w:t>
      </w:r>
      <w:r w:rsidR="005619A8">
        <w:rPr>
          <w:rFonts w:ascii="Arial" w:hAnsi="Arial" w:cs="Arial"/>
        </w:rPr>
        <w:t>e</w:t>
      </w:r>
      <w:r w:rsidR="006C3E3E">
        <w:rPr>
          <w:rFonts w:ascii="Arial" w:hAnsi="Arial" w:cs="Arial"/>
        </w:rPr>
        <w:t>conomic growth</w:t>
      </w:r>
      <w:r w:rsidR="005619A8">
        <w:rPr>
          <w:rFonts w:ascii="Arial" w:hAnsi="Arial" w:cs="Arial"/>
        </w:rPr>
        <w:t xml:space="preserve"> &amp;</w:t>
      </w:r>
      <w:r w:rsidR="006C3E3E">
        <w:rPr>
          <w:rFonts w:ascii="Arial" w:hAnsi="Arial" w:cs="Arial"/>
        </w:rPr>
        <w:t xml:space="preserve"> inactivity</w:t>
      </w:r>
      <w:r w:rsidR="00B01459">
        <w:rPr>
          <w:rFonts w:ascii="Arial" w:hAnsi="Arial" w:cs="Arial"/>
        </w:rPr>
        <w:t xml:space="preserve">. </w:t>
      </w:r>
      <w:r w:rsidR="006C3E3E">
        <w:rPr>
          <w:rFonts w:ascii="Arial" w:hAnsi="Arial" w:cs="Arial"/>
        </w:rPr>
        <w:t xml:space="preserve">Sociological: Population growth, </w:t>
      </w:r>
      <w:r w:rsidR="005619A8">
        <w:rPr>
          <w:rFonts w:ascii="Arial" w:hAnsi="Arial" w:cs="Arial"/>
        </w:rPr>
        <w:t>a</w:t>
      </w:r>
      <w:r w:rsidR="006C3E3E">
        <w:rPr>
          <w:rFonts w:ascii="Arial" w:hAnsi="Arial" w:cs="Arial"/>
        </w:rPr>
        <w:t>ge profiling</w:t>
      </w:r>
      <w:r w:rsidR="005619A8">
        <w:rPr>
          <w:rFonts w:ascii="Arial" w:hAnsi="Arial" w:cs="Arial"/>
        </w:rPr>
        <w:t xml:space="preserve"> &amp; c</w:t>
      </w:r>
      <w:r w:rsidR="006C3E3E">
        <w:rPr>
          <w:rFonts w:ascii="Arial" w:hAnsi="Arial" w:cs="Arial"/>
        </w:rPr>
        <w:t>areer influences. Technological: Artificial Intelligence</w:t>
      </w:r>
      <w:r w:rsidR="005619A8">
        <w:rPr>
          <w:rFonts w:ascii="Arial" w:hAnsi="Arial" w:cs="Arial"/>
        </w:rPr>
        <w:t xml:space="preserve"> (AI) &amp; </w:t>
      </w:r>
      <w:r w:rsidR="006C3E3E">
        <w:rPr>
          <w:rFonts w:ascii="Arial" w:hAnsi="Arial" w:cs="Arial"/>
        </w:rPr>
        <w:t>Emerging technologies</w:t>
      </w:r>
      <w:r w:rsidR="005619A8">
        <w:rPr>
          <w:rFonts w:ascii="Arial" w:hAnsi="Arial" w:cs="Arial"/>
        </w:rPr>
        <w:t xml:space="preserve"> e.g.,</w:t>
      </w:r>
      <w:r w:rsidR="006C3E3E">
        <w:rPr>
          <w:rFonts w:ascii="Arial" w:hAnsi="Arial" w:cs="Arial"/>
        </w:rPr>
        <w:t xml:space="preserve"> </w:t>
      </w:r>
      <w:r w:rsidR="00496F2A">
        <w:rPr>
          <w:rFonts w:ascii="Arial" w:hAnsi="Arial" w:cs="Arial"/>
        </w:rPr>
        <w:t xml:space="preserve">robotics. </w:t>
      </w:r>
      <w:r w:rsidR="006C3E3E">
        <w:rPr>
          <w:rFonts w:ascii="Arial" w:hAnsi="Arial" w:cs="Arial"/>
        </w:rPr>
        <w:t>Legal: Legislative changes, taxation</w:t>
      </w:r>
      <w:r w:rsidR="005619A8">
        <w:rPr>
          <w:rFonts w:ascii="Arial" w:hAnsi="Arial" w:cs="Arial"/>
        </w:rPr>
        <w:t xml:space="preserve"> &amp; </w:t>
      </w:r>
      <w:r w:rsidR="00142ADC">
        <w:rPr>
          <w:rFonts w:ascii="Arial" w:hAnsi="Arial" w:cs="Arial"/>
        </w:rPr>
        <w:t>employment rights</w:t>
      </w:r>
      <w:r w:rsidR="00496F2A">
        <w:rPr>
          <w:rFonts w:ascii="Arial" w:hAnsi="Arial" w:cs="Arial"/>
        </w:rPr>
        <w:t>.</w:t>
      </w:r>
      <w:r w:rsidR="006C3E3E">
        <w:rPr>
          <w:rFonts w:ascii="Arial" w:hAnsi="Arial" w:cs="Arial"/>
        </w:rPr>
        <w:t xml:space="preserve"> Environmental: </w:t>
      </w:r>
      <w:r w:rsidR="005619A8">
        <w:rPr>
          <w:rFonts w:ascii="Arial" w:hAnsi="Arial" w:cs="Arial"/>
        </w:rPr>
        <w:t xml:space="preserve">Sustainable </w:t>
      </w:r>
      <w:r w:rsidR="006C3E3E">
        <w:rPr>
          <w:rFonts w:ascii="Arial" w:hAnsi="Arial" w:cs="Arial"/>
        </w:rPr>
        <w:t xml:space="preserve">energy, global warming </w:t>
      </w:r>
      <w:r w:rsidR="005619A8">
        <w:rPr>
          <w:rFonts w:ascii="Arial" w:hAnsi="Arial" w:cs="Arial"/>
        </w:rPr>
        <w:t xml:space="preserve">&amp; health emergencies </w:t>
      </w:r>
      <w:r w:rsidR="006C3E3E">
        <w:rPr>
          <w:rFonts w:ascii="Arial" w:hAnsi="Arial" w:cs="Arial"/>
        </w:rPr>
        <w:t>(CIPD, 2025).</w:t>
      </w:r>
      <w:r w:rsidR="00496F2A">
        <w:rPr>
          <w:rFonts w:ascii="Arial" w:hAnsi="Arial" w:cs="Arial"/>
        </w:rPr>
        <w:t xml:space="preserve"> </w:t>
      </w:r>
    </w:p>
    <w:p w14:paraId="500A4CA2" w14:textId="362AC948" w:rsidR="00496F2A" w:rsidRDefault="00496F2A" w:rsidP="00396729">
      <w:pPr>
        <w:spacing w:line="360" w:lineRule="auto"/>
        <w:rPr>
          <w:rFonts w:ascii="Arial" w:hAnsi="Arial" w:cs="Arial"/>
        </w:rPr>
      </w:pPr>
      <w:r>
        <w:rPr>
          <w:rFonts w:ascii="Arial" w:hAnsi="Arial" w:cs="Arial"/>
        </w:rPr>
        <w:t>What does this mean for People Management?</w:t>
      </w:r>
    </w:p>
    <w:p w14:paraId="47BD9153" w14:textId="204B976C" w:rsidR="00496F2A" w:rsidRDefault="00496F2A" w:rsidP="00396729">
      <w:pPr>
        <w:spacing w:line="360" w:lineRule="auto"/>
        <w:rPr>
          <w:rFonts w:ascii="Arial" w:hAnsi="Arial" w:cs="Arial"/>
        </w:rPr>
      </w:pPr>
      <w:r>
        <w:rPr>
          <w:rFonts w:ascii="Arial" w:hAnsi="Arial" w:cs="Arial"/>
        </w:rPr>
        <w:t>These factors inform of current political priorities and potential changes these can have on organisations, which will inform HR professionals.</w:t>
      </w:r>
      <w:r>
        <w:rPr>
          <w:rFonts w:ascii="Arial" w:hAnsi="Arial" w:cs="Arial"/>
        </w:rPr>
        <w:t xml:space="preserve"> </w:t>
      </w:r>
      <w:r>
        <w:rPr>
          <w:rFonts w:ascii="Arial" w:hAnsi="Arial" w:cs="Arial"/>
        </w:rPr>
        <w:t xml:space="preserve">Economic factors influence people management and workforce planning strategies </w:t>
      </w:r>
      <w:r w:rsidR="00AA3EF5">
        <w:rPr>
          <w:rFonts w:ascii="Arial" w:hAnsi="Arial" w:cs="Arial"/>
        </w:rPr>
        <w:t xml:space="preserve">such as </w:t>
      </w:r>
      <w:r>
        <w:rPr>
          <w:rFonts w:ascii="Arial" w:hAnsi="Arial" w:cs="Arial"/>
        </w:rPr>
        <w:t>labour market analysis and resourcing within budgets.</w:t>
      </w:r>
      <w:r w:rsidRPr="00496F2A">
        <w:rPr>
          <w:rFonts w:ascii="Arial" w:hAnsi="Arial" w:cs="Arial"/>
        </w:rPr>
        <w:t xml:space="preserve"> </w:t>
      </w:r>
      <w:r>
        <w:rPr>
          <w:rFonts w:ascii="Arial" w:hAnsi="Arial" w:cs="Arial"/>
        </w:rPr>
        <w:t>These factors inform people management of the lifestyle preferences, demographic shifts and address multigenerational needs of the workforce.</w:t>
      </w:r>
      <w:r w:rsidRPr="00496F2A">
        <w:rPr>
          <w:rFonts w:ascii="Arial" w:hAnsi="Arial" w:cs="Arial"/>
        </w:rPr>
        <w:t xml:space="preserve"> </w:t>
      </w:r>
      <w:r>
        <w:rPr>
          <w:rFonts w:ascii="Arial" w:hAnsi="Arial" w:cs="Arial"/>
        </w:rPr>
        <w:t>These emerging technologies can help to identify tools that provide workforce efficiencies and inform operational processes</w:t>
      </w:r>
      <w:r>
        <w:rPr>
          <w:rFonts w:ascii="Arial" w:hAnsi="Arial" w:cs="Arial"/>
        </w:rPr>
        <w:t xml:space="preserve">. </w:t>
      </w:r>
      <w:r>
        <w:rPr>
          <w:rFonts w:ascii="Arial" w:hAnsi="Arial" w:cs="Arial"/>
        </w:rPr>
        <w:t>These factors inform HR teams of the shifting rules and changes that need building into strategy and mitigate potential risks.</w:t>
      </w:r>
      <w:r>
        <w:rPr>
          <w:rFonts w:ascii="Arial" w:hAnsi="Arial" w:cs="Arial"/>
        </w:rPr>
        <w:t xml:space="preserve"> </w:t>
      </w:r>
      <w:r>
        <w:rPr>
          <w:rFonts w:ascii="Arial" w:hAnsi="Arial" w:cs="Arial"/>
        </w:rPr>
        <w:t>These factors inform organisations and HR of the physical environment and community needs of the population and workforce, developing initiatives like remote working to reduce commuting</w:t>
      </w:r>
      <w:r>
        <w:rPr>
          <w:rFonts w:ascii="Arial" w:hAnsi="Arial" w:cs="Arial"/>
        </w:rPr>
        <w:t xml:space="preserve"> (TMI, 2024)</w:t>
      </w:r>
      <w:r>
        <w:rPr>
          <w:rFonts w:ascii="Arial" w:hAnsi="Arial" w:cs="Arial"/>
        </w:rPr>
        <w:t>.</w:t>
      </w:r>
    </w:p>
    <w:p w14:paraId="1BFAFDA3" w14:textId="18EDC5A2" w:rsidR="00142ADC" w:rsidRDefault="00142ADC" w:rsidP="00577361">
      <w:pPr>
        <w:pStyle w:val="Heading1"/>
      </w:pPr>
      <w:r>
        <w:lastRenderedPageBreak/>
        <w:t>Sociological Factor: Ageing Workforce.</w:t>
      </w:r>
    </w:p>
    <w:p w14:paraId="0F29D1DF" w14:textId="22F75576" w:rsidR="00EF34F1" w:rsidRDefault="00954087" w:rsidP="00EF34F1">
      <w:pPr>
        <w:spacing w:line="360" w:lineRule="auto"/>
        <w:rPr>
          <w:rFonts w:ascii="Arial" w:hAnsi="Arial" w:cs="Arial"/>
        </w:rPr>
      </w:pPr>
      <w:r w:rsidRPr="00954087">
        <w:rPr>
          <w:rFonts w:ascii="Arial" w:hAnsi="Arial" w:cs="Arial"/>
        </w:rPr>
        <w:t xml:space="preserve">An example of a </w:t>
      </w:r>
      <w:r w:rsidRPr="00195E64">
        <w:rPr>
          <w:rFonts w:ascii="Arial" w:hAnsi="Arial" w:cs="Arial"/>
          <w:b/>
          <w:bCs/>
        </w:rPr>
        <w:t>sociological</w:t>
      </w:r>
      <w:r w:rsidRPr="00954087">
        <w:rPr>
          <w:rFonts w:ascii="Arial" w:hAnsi="Arial" w:cs="Arial"/>
        </w:rPr>
        <w:t xml:space="preserve"> factor impacting HDUHB is an ageing workforce that is mirroring the ageing population of Wales</w:t>
      </w:r>
      <w:r>
        <w:rPr>
          <w:rFonts w:ascii="Arial" w:hAnsi="Arial" w:cs="Arial"/>
        </w:rPr>
        <w:t xml:space="preserve"> (HDUHB Annual Report, 2024)</w:t>
      </w:r>
      <w:r w:rsidRPr="00954087">
        <w:rPr>
          <w:rFonts w:ascii="Arial" w:hAnsi="Arial" w:cs="Arial"/>
        </w:rPr>
        <w:t>. 36% of the workforce in HDUHB is aged 51 and above</w:t>
      </w:r>
      <w:r w:rsidR="00AC0BF7">
        <w:rPr>
          <w:rFonts w:ascii="Arial" w:hAnsi="Arial" w:cs="Arial"/>
        </w:rPr>
        <w:t xml:space="preserve"> (</w:t>
      </w:r>
      <w:r w:rsidR="00CC15B2">
        <w:rPr>
          <w:rFonts w:ascii="Arial" w:hAnsi="Arial" w:cs="Arial"/>
        </w:rPr>
        <w:t>HDUHB, 2025</w:t>
      </w:r>
      <w:r w:rsidR="00AC0BF7">
        <w:rPr>
          <w:rFonts w:ascii="Arial" w:hAnsi="Arial" w:cs="Arial"/>
        </w:rPr>
        <w:t>). N</w:t>
      </w:r>
      <w:r w:rsidRPr="00954087">
        <w:rPr>
          <w:rFonts w:ascii="Arial" w:hAnsi="Arial" w:cs="Arial"/>
        </w:rPr>
        <w:t xml:space="preserve">ot only </w:t>
      </w:r>
      <w:r w:rsidR="00AC0BF7">
        <w:rPr>
          <w:rFonts w:ascii="Arial" w:hAnsi="Arial" w:cs="Arial"/>
        </w:rPr>
        <w:t xml:space="preserve">will this age group </w:t>
      </w:r>
      <w:r w:rsidRPr="00954087">
        <w:rPr>
          <w:rFonts w:ascii="Arial" w:hAnsi="Arial" w:cs="Arial"/>
        </w:rPr>
        <w:t>be looking to retire in a 1–10-year time frame</w:t>
      </w:r>
      <w:r w:rsidR="007F1D3E">
        <w:rPr>
          <w:rFonts w:ascii="Arial" w:hAnsi="Arial" w:cs="Arial"/>
        </w:rPr>
        <w:t>, but the retirement age is also rising which could risk these staff</w:t>
      </w:r>
      <w:r w:rsidRPr="00954087">
        <w:rPr>
          <w:rFonts w:ascii="Arial" w:hAnsi="Arial" w:cs="Arial"/>
        </w:rPr>
        <w:t xml:space="preserve"> entering a period of where the likelihood of developing health issues</w:t>
      </w:r>
      <w:r w:rsidR="00AC0BF7">
        <w:rPr>
          <w:rFonts w:ascii="Arial" w:hAnsi="Arial" w:cs="Arial"/>
        </w:rPr>
        <w:t xml:space="preserve">, </w:t>
      </w:r>
      <w:r w:rsidRPr="00954087">
        <w:rPr>
          <w:rFonts w:ascii="Arial" w:hAnsi="Arial" w:cs="Arial"/>
        </w:rPr>
        <w:t xml:space="preserve">chronic conditions </w:t>
      </w:r>
      <w:r w:rsidR="00AC0BF7">
        <w:rPr>
          <w:rFonts w:ascii="Arial" w:hAnsi="Arial" w:cs="Arial"/>
        </w:rPr>
        <w:t xml:space="preserve">and disabilities that can impact their work capacity </w:t>
      </w:r>
      <w:r w:rsidRPr="00954087">
        <w:rPr>
          <w:rFonts w:ascii="Arial" w:hAnsi="Arial" w:cs="Arial"/>
        </w:rPr>
        <w:t>rises significantly</w:t>
      </w:r>
      <w:r w:rsidR="00AC0BF7">
        <w:rPr>
          <w:rFonts w:ascii="Arial" w:hAnsi="Arial" w:cs="Arial"/>
        </w:rPr>
        <w:t xml:space="preserve"> (Cylus and Tayara, 2021)</w:t>
      </w:r>
      <w:r w:rsidRPr="00954087">
        <w:rPr>
          <w:rFonts w:ascii="Arial" w:hAnsi="Arial" w:cs="Arial"/>
        </w:rPr>
        <w:t>.</w:t>
      </w:r>
      <w:r w:rsidR="00577361">
        <w:rPr>
          <w:rFonts w:ascii="Arial" w:hAnsi="Arial" w:cs="Arial"/>
        </w:rPr>
        <w:t xml:space="preserve"> </w:t>
      </w:r>
      <w:r w:rsidR="007276A9">
        <w:rPr>
          <w:rFonts w:ascii="Arial" w:hAnsi="Arial" w:cs="Arial"/>
        </w:rPr>
        <w:t xml:space="preserve">This demonstrates the impact of the </w:t>
      </w:r>
      <w:r w:rsidR="007276A9" w:rsidRPr="00826888">
        <w:rPr>
          <w:rFonts w:ascii="Arial" w:hAnsi="Arial" w:cs="Arial"/>
          <w:b/>
          <w:bCs/>
        </w:rPr>
        <w:t>Political</w:t>
      </w:r>
      <w:r w:rsidR="007276A9">
        <w:rPr>
          <w:rFonts w:ascii="Arial" w:hAnsi="Arial" w:cs="Arial"/>
        </w:rPr>
        <w:t xml:space="preserve"> factor of raising and lowering retirement ages will have on People Management planning</w:t>
      </w:r>
      <w:r w:rsidR="00826888">
        <w:rPr>
          <w:rFonts w:ascii="Arial" w:hAnsi="Arial" w:cs="Arial"/>
        </w:rPr>
        <w:t xml:space="preserve"> </w:t>
      </w:r>
      <w:r w:rsidR="00577361">
        <w:rPr>
          <w:rFonts w:ascii="Arial" w:hAnsi="Arial" w:cs="Arial"/>
        </w:rPr>
        <w:t xml:space="preserve">in HDUHB </w:t>
      </w:r>
      <w:r w:rsidR="00826888">
        <w:rPr>
          <w:rFonts w:ascii="Arial" w:hAnsi="Arial" w:cs="Arial"/>
        </w:rPr>
        <w:t xml:space="preserve">as reasonable adjustments </w:t>
      </w:r>
      <w:r w:rsidR="007A290D">
        <w:rPr>
          <w:rFonts w:ascii="Arial" w:hAnsi="Arial" w:cs="Arial"/>
        </w:rPr>
        <w:t xml:space="preserve">need to be made to promote </w:t>
      </w:r>
      <w:r w:rsidR="008978FD">
        <w:rPr>
          <w:rFonts w:ascii="Arial" w:hAnsi="Arial" w:cs="Arial"/>
        </w:rPr>
        <w:t>successful ageing at work</w:t>
      </w:r>
      <w:r w:rsidR="00851116">
        <w:rPr>
          <w:rFonts w:ascii="Arial" w:hAnsi="Arial" w:cs="Arial"/>
        </w:rPr>
        <w:t xml:space="preserve"> (</w:t>
      </w:r>
      <w:r w:rsidR="00195E64">
        <w:rPr>
          <w:rFonts w:ascii="Arial" w:hAnsi="Arial" w:cs="Arial"/>
        </w:rPr>
        <w:t>Cui et al, 2025</w:t>
      </w:r>
      <w:r w:rsidR="00851116">
        <w:rPr>
          <w:rFonts w:ascii="Arial" w:hAnsi="Arial" w:cs="Arial"/>
        </w:rPr>
        <w:t>)</w:t>
      </w:r>
      <w:r w:rsidR="007276A9">
        <w:rPr>
          <w:rFonts w:ascii="Arial" w:hAnsi="Arial" w:cs="Arial"/>
        </w:rPr>
        <w:t>.</w:t>
      </w:r>
      <w:r w:rsidR="00FC23B0">
        <w:rPr>
          <w:rFonts w:ascii="Arial" w:hAnsi="Arial" w:cs="Arial"/>
        </w:rPr>
        <w:t xml:space="preserve"> </w:t>
      </w:r>
      <w:r w:rsidR="00FC23B0" w:rsidRPr="00826888">
        <w:rPr>
          <w:rFonts w:ascii="Arial" w:hAnsi="Arial" w:cs="Arial"/>
          <w:b/>
          <w:bCs/>
        </w:rPr>
        <w:t>Economic</w:t>
      </w:r>
      <w:r w:rsidR="00FC23B0">
        <w:rPr>
          <w:rFonts w:ascii="Arial" w:hAnsi="Arial" w:cs="Arial"/>
        </w:rPr>
        <w:t xml:space="preserve"> factors </w:t>
      </w:r>
      <w:r w:rsidR="00EF43B3">
        <w:rPr>
          <w:rFonts w:ascii="Arial" w:hAnsi="Arial" w:cs="Arial"/>
        </w:rPr>
        <w:t xml:space="preserve">could include </w:t>
      </w:r>
      <w:r w:rsidR="00FC23B0">
        <w:rPr>
          <w:rFonts w:ascii="Arial" w:hAnsi="Arial" w:cs="Arial"/>
        </w:rPr>
        <w:t xml:space="preserve">the cost of living crisis delaying retirement plans and the </w:t>
      </w:r>
      <w:r w:rsidR="00851116">
        <w:rPr>
          <w:rFonts w:ascii="Arial" w:hAnsi="Arial" w:cs="Arial"/>
        </w:rPr>
        <w:t xml:space="preserve">changes to pension contributions </w:t>
      </w:r>
      <w:r w:rsidR="00FC23B0">
        <w:rPr>
          <w:rFonts w:ascii="Arial" w:hAnsi="Arial" w:cs="Arial"/>
        </w:rPr>
        <w:t>pressur</w:t>
      </w:r>
      <w:r w:rsidR="00851116">
        <w:rPr>
          <w:rFonts w:ascii="Arial" w:hAnsi="Arial" w:cs="Arial"/>
        </w:rPr>
        <w:t>ing</w:t>
      </w:r>
      <w:r w:rsidR="00FC23B0">
        <w:rPr>
          <w:rFonts w:ascii="Arial" w:hAnsi="Arial" w:cs="Arial"/>
        </w:rPr>
        <w:t xml:space="preserve"> the older workforce to remain in work longer </w:t>
      </w:r>
      <w:r w:rsidR="00851116">
        <w:rPr>
          <w:rFonts w:ascii="Arial" w:hAnsi="Arial" w:cs="Arial"/>
        </w:rPr>
        <w:t xml:space="preserve">due to </w:t>
      </w:r>
      <w:r w:rsidR="00FC23B0">
        <w:rPr>
          <w:rFonts w:ascii="Arial" w:hAnsi="Arial" w:cs="Arial"/>
        </w:rPr>
        <w:t xml:space="preserve">leading to increased likelihood of needing alternative working patterns </w:t>
      </w:r>
      <w:r w:rsidR="00851116">
        <w:rPr>
          <w:rFonts w:ascii="Arial" w:hAnsi="Arial" w:cs="Arial"/>
        </w:rPr>
        <w:t xml:space="preserve">such as flexible working </w:t>
      </w:r>
      <w:r w:rsidR="00FC23B0">
        <w:rPr>
          <w:rFonts w:ascii="Arial" w:hAnsi="Arial" w:cs="Arial"/>
        </w:rPr>
        <w:t>(</w:t>
      </w:r>
      <w:r w:rsidR="00851116">
        <w:rPr>
          <w:rFonts w:ascii="Arial" w:hAnsi="Arial" w:cs="Arial"/>
        </w:rPr>
        <w:t>Witteveen, 2024</w:t>
      </w:r>
      <w:r w:rsidR="00FC23B0">
        <w:rPr>
          <w:rFonts w:ascii="Arial" w:hAnsi="Arial" w:cs="Arial"/>
        </w:rPr>
        <w:t>).</w:t>
      </w:r>
      <w:r w:rsidR="006A3BCB">
        <w:rPr>
          <w:rFonts w:ascii="Arial" w:hAnsi="Arial" w:cs="Arial"/>
        </w:rPr>
        <w:t xml:space="preserve"> </w:t>
      </w:r>
      <w:r w:rsidR="00BC0B30">
        <w:rPr>
          <w:rFonts w:ascii="Arial" w:hAnsi="Arial" w:cs="Arial"/>
        </w:rPr>
        <w:t>Flexible working patterns is also supported in the Employment Rights Bill (2025) by improving family friendly rights and the day one rights to request flexible working ensuring that rejections to this request are declined on reasonable grounds</w:t>
      </w:r>
      <w:r w:rsidR="007276A9">
        <w:rPr>
          <w:rFonts w:ascii="Arial" w:hAnsi="Arial" w:cs="Arial"/>
        </w:rPr>
        <w:t xml:space="preserve"> (Department for Business &amp; Trade</w:t>
      </w:r>
      <w:r w:rsidR="00BC0B30">
        <w:rPr>
          <w:rFonts w:ascii="Arial" w:hAnsi="Arial" w:cs="Arial"/>
        </w:rPr>
        <w:t>,</w:t>
      </w:r>
      <w:r w:rsidR="007276A9">
        <w:rPr>
          <w:rFonts w:ascii="Arial" w:hAnsi="Arial" w:cs="Arial"/>
        </w:rPr>
        <w:t xml:space="preserve"> 2024),</w:t>
      </w:r>
      <w:r w:rsidR="00BC0B30">
        <w:rPr>
          <w:rFonts w:ascii="Arial" w:hAnsi="Arial" w:cs="Arial"/>
        </w:rPr>
        <w:t xml:space="preserve"> this highlights a </w:t>
      </w:r>
      <w:r w:rsidR="00BC0B30" w:rsidRPr="00826888">
        <w:rPr>
          <w:rFonts w:ascii="Arial" w:hAnsi="Arial" w:cs="Arial"/>
          <w:b/>
          <w:bCs/>
        </w:rPr>
        <w:t>Legal</w:t>
      </w:r>
      <w:r w:rsidR="007276A9">
        <w:rPr>
          <w:rFonts w:ascii="Arial" w:hAnsi="Arial" w:cs="Arial"/>
        </w:rPr>
        <w:t xml:space="preserve"> </w:t>
      </w:r>
      <w:r w:rsidR="00EF43B3">
        <w:rPr>
          <w:rFonts w:ascii="Arial" w:hAnsi="Arial" w:cs="Arial"/>
        </w:rPr>
        <w:t>consideration for</w:t>
      </w:r>
      <w:r w:rsidR="00BC0B30">
        <w:rPr>
          <w:rFonts w:ascii="Arial" w:hAnsi="Arial" w:cs="Arial"/>
        </w:rPr>
        <w:t xml:space="preserve"> HR and People Management strategies</w:t>
      </w:r>
      <w:r w:rsidR="00EF43B3">
        <w:rPr>
          <w:rFonts w:ascii="Arial" w:hAnsi="Arial" w:cs="Arial"/>
        </w:rPr>
        <w:t>.</w:t>
      </w:r>
      <w:r w:rsidR="008D3288">
        <w:rPr>
          <w:rFonts w:ascii="Arial" w:hAnsi="Arial" w:cs="Arial"/>
        </w:rPr>
        <w:t xml:space="preserve"> </w:t>
      </w:r>
      <w:r w:rsidR="00EF34F1">
        <w:rPr>
          <w:rFonts w:ascii="Arial" w:hAnsi="Arial" w:cs="Arial"/>
        </w:rPr>
        <w:t>Th</w:t>
      </w:r>
      <w:r w:rsidR="00EF34F1">
        <w:rPr>
          <w:rFonts w:ascii="Arial" w:hAnsi="Arial" w:cs="Arial"/>
        </w:rPr>
        <w:t xml:space="preserve">ese strategies </w:t>
      </w:r>
      <w:r w:rsidR="00EF34F1">
        <w:rPr>
          <w:rFonts w:ascii="Arial" w:hAnsi="Arial" w:cs="Arial"/>
        </w:rPr>
        <w:t>can include the utilisation of the ageing workforce’ skills and experience differently due to potential physical difficulties and barriers such as mentoring roles, implementing flexible working patterns that fit the needs of the employees such as patterns that fit caring needs, ergonomic solutions promoting efficiency, productivity and inclusivity of the ageing workforce (Katiraee et al, 2024).</w:t>
      </w:r>
    </w:p>
    <w:p w14:paraId="495ECDED" w14:textId="4D35228C" w:rsidR="0000697E" w:rsidRDefault="0000697E" w:rsidP="00EF34F1">
      <w:pPr>
        <w:spacing w:line="360" w:lineRule="auto"/>
        <w:rPr>
          <w:rFonts w:ascii="Arial" w:hAnsi="Arial" w:cs="Arial"/>
        </w:rPr>
      </w:pPr>
      <w:r>
        <w:rPr>
          <w:rFonts w:ascii="Arial" w:hAnsi="Arial" w:cs="Arial"/>
        </w:rPr>
        <w:t xml:space="preserve">By using the </w:t>
      </w:r>
      <w:r w:rsidRPr="00195E64">
        <w:rPr>
          <w:rFonts w:ascii="Arial" w:hAnsi="Arial" w:cs="Arial"/>
          <w:b/>
          <w:bCs/>
        </w:rPr>
        <w:t>PESTLE</w:t>
      </w:r>
      <w:r>
        <w:rPr>
          <w:rFonts w:ascii="Arial" w:hAnsi="Arial" w:cs="Arial"/>
        </w:rPr>
        <w:t xml:space="preserve"> tool to identify these external factors that will impact HDUHB by planning for an ageing workforce, this puts People Management and HR teams in a positive position to plan strategically to fit the needs of this workforce demographic effectively. </w:t>
      </w:r>
    </w:p>
    <w:p w14:paraId="1F35148D" w14:textId="3CD0CC3F" w:rsidR="00195E64" w:rsidRDefault="00195E64" w:rsidP="00195E64">
      <w:pPr>
        <w:pStyle w:val="Heading1"/>
      </w:pPr>
      <w:r>
        <w:t>Technological Factor: AI</w:t>
      </w:r>
    </w:p>
    <w:p w14:paraId="6B546F18" w14:textId="3B98664A" w:rsidR="00BE6A4C" w:rsidRDefault="00E02914" w:rsidP="00EF34F1">
      <w:pPr>
        <w:spacing w:line="360" w:lineRule="auto"/>
        <w:rPr>
          <w:rFonts w:ascii="Arial" w:hAnsi="Arial" w:cs="Arial"/>
        </w:rPr>
      </w:pPr>
      <w:r>
        <w:rPr>
          <w:rFonts w:ascii="Arial" w:hAnsi="Arial" w:cs="Arial"/>
        </w:rPr>
        <w:t xml:space="preserve">A rising external </w:t>
      </w:r>
      <w:r w:rsidR="00A300F7">
        <w:rPr>
          <w:rFonts w:ascii="Arial" w:hAnsi="Arial" w:cs="Arial"/>
          <w:b/>
          <w:bCs/>
        </w:rPr>
        <w:t>T</w:t>
      </w:r>
      <w:r w:rsidRPr="00BE6A4C">
        <w:rPr>
          <w:rFonts w:ascii="Arial" w:hAnsi="Arial" w:cs="Arial"/>
          <w:b/>
          <w:bCs/>
        </w:rPr>
        <w:t>echnological</w:t>
      </w:r>
      <w:r>
        <w:rPr>
          <w:rFonts w:ascii="Arial" w:hAnsi="Arial" w:cs="Arial"/>
        </w:rPr>
        <w:t xml:space="preserve"> factor that is impacting HDUHB is the rapid pace of</w:t>
      </w:r>
      <w:r w:rsidR="009D40B1">
        <w:rPr>
          <w:rFonts w:ascii="Arial" w:hAnsi="Arial" w:cs="Arial"/>
        </w:rPr>
        <w:t xml:space="preserve"> </w:t>
      </w:r>
      <w:r>
        <w:rPr>
          <w:rFonts w:ascii="Arial" w:hAnsi="Arial" w:cs="Arial"/>
        </w:rPr>
        <w:t xml:space="preserve"> AI and the risk it has on data protection, cybersecurity and slow progress of adaption </w:t>
      </w:r>
      <w:r>
        <w:rPr>
          <w:rFonts w:ascii="Arial" w:hAnsi="Arial" w:cs="Arial"/>
        </w:rPr>
        <w:lastRenderedPageBreak/>
        <w:t xml:space="preserve">in national </w:t>
      </w:r>
      <w:r w:rsidR="009D40B1">
        <w:rPr>
          <w:rFonts w:ascii="Arial" w:hAnsi="Arial" w:cs="Arial"/>
        </w:rPr>
        <w:t xml:space="preserve">regulations and </w:t>
      </w:r>
      <w:r>
        <w:rPr>
          <w:rFonts w:ascii="Arial" w:hAnsi="Arial" w:cs="Arial"/>
        </w:rPr>
        <w:t>governance around its usage (</w:t>
      </w:r>
      <w:r w:rsidR="009D40B1">
        <w:rPr>
          <w:rFonts w:ascii="Arial" w:hAnsi="Arial" w:cs="Arial"/>
        </w:rPr>
        <w:t>Chustecki, 2024</w:t>
      </w:r>
      <w:r>
        <w:rPr>
          <w:rFonts w:ascii="Arial" w:hAnsi="Arial" w:cs="Arial"/>
        </w:rPr>
        <w:t>). HDUHB is currently exploring the usage of AI internally to reduce reliance on physical papers, note taking and promote workforce efficiencies where applicable</w:t>
      </w:r>
      <w:r w:rsidR="009D40B1">
        <w:rPr>
          <w:rFonts w:ascii="Arial" w:hAnsi="Arial" w:cs="Arial"/>
        </w:rPr>
        <w:t xml:space="preserve"> and researching the use of it medically</w:t>
      </w:r>
      <w:r>
        <w:rPr>
          <w:rFonts w:ascii="Arial" w:hAnsi="Arial" w:cs="Arial"/>
        </w:rPr>
        <w:t xml:space="preserve"> (HDUHB Annual Report, 2024).</w:t>
      </w:r>
      <w:r w:rsidR="00BE6A4C">
        <w:rPr>
          <w:rFonts w:ascii="Arial" w:hAnsi="Arial" w:cs="Arial"/>
        </w:rPr>
        <w:t xml:space="preserve"> There are many benefits to AI in healthcare such as </w:t>
      </w:r>
      <w:r w:rsidR="009D40B1">
        <w:rPr>
          <w:rFonts w:ascii="Arial" w:hAnsi="Arial" w:cs="Arial"/>
        </w:rPr>
        <w:t>improved diagnostics and treatment planning, reducing medical errors and improving patient outcomes (Chustecki, 2024).</w:t>
      </w:r>
    </w:p>
    <w:p w14:paraId="772AA056" w14:textId="3681DB1F" w:rsidR="003E77F0" w:rsidRDefault="003E77F0" w:rsidP="00EF34F1">
      <w:pPr>
        <w:spacing w:line="360" w:lineRule="auto"/>
        <w:rPr>
          <w:rFonts w:ascii="Arial" w:hAnsi="Arial" w:cs="Arial"/>
        </w:rPr>
      </w:pPr>
      <w:r>
        <w:rPr>
          <w:rFonts w:ascii="Arial" w:hAnsi="Arial" w:cs="Arial"/>
        </w:rPr>
        <w:t>Due to the</w:t>
      </w:r>
      <w:r w:rsidRPr="003E77F0">
        <w:rPr>
          <w:rFonts w:ascii="Arial" w:hAnsi="Arial" w:cs="Arial"/>
          <w:b/>
          <w:bCs/>
        </w:rPr>
        <w:t xml:space="preserve"> Economic</w:t>
      </w:r>
      <w:r>
        <w:rPr>
          <w:rFonts w:ascii="Arial" w:hAnsi="Arial" w:cs="Arial"/>
        </w:rPr>
        <w:t xml:space="preserve"> climate, organisations are aiming to achieve monetary savings or efficiencies and productivity amongst the workforce, AI can be a key enabler of this. An example of this is the use of AI in recruitment activity and planning, this can be a mundane task for HR professionals and AI can provide the benefit of automation of routine considered tasks </w:t>
      </w:r>
      <w:r w:rsidR="00A300F7">
        <w:rPr>
          <w:rFonts w:ascii="Arial" w:hAnsi="Arial" w:cs="Arial"/>
        </w:rPr>
        <w:t xml:space="preserve">improving efficiencies and capacity for more complex tasks, this adds to both organisational and economic growth </w:t>
      </w:r>
      <w:r>
        <w:rPr>
          <w:rFonts w:ascii="Arial" w:hAnsi="Arial" w:cs="Arial"/>
        </w:rPr>
        <w:t xml:space="preserve">(Abdeljaber et al, 2025). </w:t>
      </w:r>
      <w:r w:rsidR="00A300F7">
        <w:rPr>
          <w:rFonts w:ascii="Arial" w:hAnsi="Arial" w:cs="Arial"/>
        </w:rPr>
        <w:t>Although it is also argued that AI can have a negative impact of innovation and creativity (</w:t>
      </w:r>
      <w:r w:rsidR="00A300F7">
        <w:rPr>
          <w:rFonts w:ascii="Arial" w:hAnsi="Arial" w:cs="Arial"/>
        </w:rPr>
        <w:t>Abdeljaber et al, 2025).</w:t>
      </w:r>
      <w:r w:rsidR="00A300F7">
        <w:rPr>
          <w:rFonts w:ascii="Arial" w:hAnsi="Arial" w:cs="Arial"/>
        </w:rPr>
        <w:t xml:space="preserve"> </w:t>
      </w:r>
    </w:p>
    <w:p w14:paraId="60888C52" w14:textId="3FA6A592" w:rsidR="00BE6A4C" w:rsidRDefault="00E02914" w:rsidP="00EF34F1">
      <w:pPr>
        <w:spacing w:line="360" w:lineRule="auto"/>
        <w:rPr>
          <w:rFonts w:ascii="Arial" w:hAnsi="Arial" w:cs="Arial"/>
        </w:rPr>
      </w:pPr>
      <w:r>
        <w:rPr>
          <w:rFonts w:ascii="Arial" w:hAnsi="Arial" w:cs="Arial"/>
        </w:rPr>
        <w:t>There are also many factors that hinder the adoption of using AI within HDUHB including the need for workforce training or reskilling particularly for the older workforce</w:t>
      </w:r>
      <w:r w:rsidR="00BE6A4C">
        <w:rPr>
          <w:rFonts w:ascii="Arial" w:hAnsi="Arial" w:cs="Arial"/>
        </w:rPr>
        <w:t xml:space="preserve"> to work with AI systems (</w:t>
      </w:r>
      <w:r w:rsidR="001E0470">
        <w:rPr>
          <w:rFonts w:ascii="Arial" w:hAnsi="Arial" w:cs="Arial"/>
        </w:rPr>
        <w:t>Hossain, Abdulla and Huq, 2025</w:t>
      </w:r>
      <w:r w:rsidR="00BE6A4C">
        <w:rPr>
          <w:rFonts w:ascii="Arial" w:hAnsi="Arial" w:cs="Arial"/>
        </w:rPr>
        <w:t>)</w:t>
      </w:r>
      <w:r w:rsidR="00855D8A">
        <w:rPr>
          <w:rFonts w:ascii="Arial" w:hAnsi="Arial" w:cs="Arial"/>
        </w:rPr>
        <w:t xml:space="preserve">. Limited education and training in AI literacy can hinder workforce adaption and career movements and will prove a workforce skill gap if not addressed (Ersanli et al, 2025). This stresses </w:t>
      </w:r>
      <w:r w:rsidR="00BE6A4C">
        <w:rPr>
          <w:rFonts w:ascii="Arial" w:hAnsi="Arial" w:cs="Arial"/>
        </w:rPr>
        <w:t xml:space="preserve">a </w:t>
      </w:r>
      <w:r w:rsidR="009D40B1">
        <w:rPr>
          <w:rFonts w:ascii="Arial" w:hAnsi="Arial" w:cs="Arial"/>
          <w:b/>
          <w:bCs/>
        </w:rPr>
        <w:t>S</w:t>
      </w:r>
      <w:r w:rsidR="00BE6A4C" w:rsidRPr="00BE6A4C">
        <w:rPr>
          <w:rFonts w:ascii="Arial" w:hAnsi="Arial" w:cs="Arial"/>
          <w:b/>
          <w:bCs/>
        </w:rPr>
        <w:t>ociologica</w:t>
      </w:r>
      <w:r w:rsidR="00BE6A4C">
        <w:rPr>
          <w:rFonts w:ascii="Arial" w:hAnsi="Arial" w:cs="Arial"/>
        </w:rPr>
        <w:t xml:space="preserve">l factor that needs considering when developing People Management </w:t>
      </w:r>
      <w:r w:rsidR="00855D8A">
        <w:rPr>
          <w:rFonts w:ascii="Arial" w:hAnsi="Arial" w:cs="Arial"/>
        </w:rPr>
        <w:t xml:space="preserve">strategies for workforce development and transformation. </w:t>
      </w:r>
    </w:p>
    <w:p w14:paraId="75FC84D3" w14:textId="29407677" w:rsidR="004F5201" w:rsidRDefault="00BE6A4C" w:rsidP="00EF34F1">
      <w:pPr>
        <w:spacing w:line="360" w:lineRule="auto"/>
        <w:rPr>
          <w:rFonts w:ascii="Arial" w:hAnsi="Arial" w:cs="Arial"/>
        </w:rPr>
      </w:pPr>
      <w:r>
        <w:rPr>
          <w:rFonts w:ascii="Arial" w:hAnsi="Arial" w:cs="Arial"/>
        </w:rPr>
        <w:t xml:space="preserve">There is a significant risk linked to AI and cybersecurity as these systems can be hacked by external parties and strong security systems are needed to mitigate the likelihood of this risk occurring, this is particularly important in healthcare systems due to the storage of patient data. </w:t>
      </w:r>
      <w:r w:rsidR="004F5201">
        <w:rPr>
          <w:rFonts w:ascii="Arial" w:hAnsi="Arial" w:cs="Arial"/>
        </w:rPr>
        <w:t xml:space="preserve">NHS England (2024) states that </w:t>
      </w:r>
      <w:r>
        <w:rPr>
          <w:rFonts w:ascii="Arial" w:hAnsi="Arial" w:cs="Arial"/>
        </w:rPr>
        <w:t xml:space="preserve">patient data is protected by the </w:t>
      </w:r>
      <w:r w:rsidR="004F5201" w:rsidRPr="004F5201">
        <w:rPr>
          <w:rFonts w:ascii="Arial" w:hAnsi="Arial" w:cs="Arial"/>
          <w:b/>
          <w:bCs/>
        </w:rPr>
        <w:t>Legal</w:t>
      </w:r>
      <w:r w:rsidR="004F5201">
        <w:rPr>
          <w:rFonts w:ascii="Arial" w:hAnsi="Arial" w:cs="Arial"/>
        </w:rPr>
        <w:t xml:space="preserve"> frameworks the </w:t>
      </w:r>
      <w:r>
        <w:rPr>
          <w:rFonts w:ascii="Arial" w:hAnsi="Arial" w:cs="Arial"/>
        </w:rPr>
        <w:t>Data Protection Act (</w:t>
      </w:r>
      <w:r w:rsidR="004F5201">
        <w:rPr>
          <w:rFonts w:ascii="Arial" w:hAnsi="Arial" w:cs="Arial"/>
        </w:rPr>
        <w:t>2018), the General Data Protection Regulation (GDPR) and the Common Law Duty of Confidentiality (CLDC). People Management and HR teams must consider these frameworks when planning for the use of AI amongst the workforce to ensure that patient and personal data is protected or there is the potential of an imposed fine.</w:t>
      </w:r>
    </w:p>
    <w:p w14:paraId="41A44F0A" w14:textId="7A8E0873" w:rsidR="00531308" w:rsidRDefault="00A300F7" w:rsidP="00EF34F1">
      <w:pPr>
        <w:spacing w:line="360" w:lineRule="auto"/>
        <w:rPr>
          <w:rFonts w:ascii="Arial" w:hAnsi="Arial" w:cs="Arial"/>
        </w:rPr>
      </w:pPr>
      <w:r>
        <w:rPr>
          <w:rFonts w:ascii="Arial" w:hAnsi="Arial" w:cs="Arial"/>
        </w:rPr>
        <w:lastRenderedPageBreak/>
        <w:t>This analysis of these external factors on the use of AI in HDUHB has provided significant areas for consideration when developing People Management strategies for improved decision making and strategic planning.</w:t>
      </w:r>
    </w:p>
    <w:p w14:paraId="7D9BBA1A" w14:textId="6B71F5A0" w:rsidR="00531308" w:rsidRDefault="00531308" w:rsidP="00EF34F1">
      <w:pPr>
        <w:spacing w:line="360" w:lineRule="auto"/>
        <w:rPr>
          <w:rFonts w:ascii="Arial" w:hAnsi="Arial" w:cs="Arial"/>
        </w:rPr>
      </w:pPr>
      <w:r w:rsidRPr="00531308">
        <w:rPr>
          <w:rFonts w:ascii="Arial" w:hAnsi="Arial" w:cs="Arial"/>
        </w:rPr>
        <w:t>For more information on the use of PESTLE in People Management visit our intranet page.</w:t>
      </w:r>
    </w:p>
    <w:p w14:paraId="2CF419AA" w14:textId="77777777" w:rsidR="003E77F0" w:rsidRDefault="003E77F0" w:rsidP="00EF34F1">
      <w:pPr>
        <w:spacing w:line="360" w:lineRule="auto"/>
        <w:rPr>
          <w:rFonts w:ascii="Arial" w:hAnsi="Arial" w:cs="Arial"/>
        </w:rPr>
      </w:pPr>
    </w:p>
    <w:p w14:paraId="3D75DABC" w14:textId="77777777" w:rsidR="009D40B1" w:rsidRDefault="009D40B1" w:rsidP="00EF34F1">
      <w:pPr>
        <w:spacing w:line="360" w:lineRule="auto"/>
        <w:rPr>
          <w:rFonts w:ascii="Arial" w:hAnsi="Arial" w:cs="Arial"/>
        </w:rPr>
      </w:pPr>
    </w:p>
    <w:p w14:paraId="62E1DF21" w14:textId="7732E15C" w:rsidR="00A47FBE" w:rsidRDefault="00A47FBE" w:rsidP="00EF34F1">
      <w:pPr>
        <w:spacing w:line="360" w:lineRule="auto"/>
        <w:rPr>
          <w:rFonts w:ascii="Arial" w:hAnsi="Arial" w:cs="Arial"/>
        </w:rPr>
      </w:pPr>
      <w:r>
        <w:rPr>
          <w:rFonts w:ascii="Arial" w:hAnsi="Arial" w:cs="Arial"/>
        </w:rPr>
        <w:br w:type="page"/>
      </w:r>
    </w:p>
    <w:p w14:paraId="26C6F7AF" w14:textId="166492D1" w:rsidR="00954087" w:rsidRPr="00396729" w:rsidRDefault="00A47FBE" w:rsidP="00396729">
      <w:pPr>
        <w:pStyle w:val="Heading1"/>
        <w:rPr>
          <w:rFonts w:ascii="Arial" w:hAnsi="Arial" w:cs="Arial"/>
        </w:rPr>
      </w:pPr>
      <w:r w:rsidRPr="00396729">
        <w:rPr>
          <w:rFonts w:ascii="Arial" w:hAnsi="Arial" w:cs="Arial"/>
        </w:rPr>
        <w:lastRenderedPageBreak/>
        <w:t>References</w:t>
      </w:r>
    </w:p>
    <w:p w14:paraId="5BC7183B" w14:textId="2D3529E2" w:rsidR="00A300F7" w:rsidRDefault="00A300F7" w:rsidP="009E1BA7">
      <w:pPr>
        <w:rPr>
          <w:rFonts w:ascii="Arial" w:hAnsi="Arial" w:cs="Arial"/>
        </w:rPr>
      </w:pPr>
      <w:r>
        <w:rPr>
          <w:rFonts w:ascii="Arial" w:hAnsi="Arial" w:cs="Arial"/>
        </w:rPr>
        <w:t>Abdeljaber, O., Al-Masaeed, S., Al-Mu’ani, L., Yaseen, H. and Alhnaity, B. (2025) ‘</w:t>
      </w:r>
      <w:r w:rsidRPr="00A300F7">
        <w:rPr>
          <w:rFonts w:ascii="Arial" w:hAnsi="Arial" w:cs="Arial"/>
        </w:rPr>
        <w:t>Strategic Intelligence: The Power of AI in Planning Efficiency</w:t>
      </w:r>
      <w:r>
        <w:rPr>
          <w:rFonts w:ascii="Arial" w:hAnsi="Arial" w:cs="Arial"/>
        </w:rPr>
        <w:t xml:space="preserve">’, </w:t>
      </w:r>
      <w:r w:rsidRPr="00A300F7">
        <w:rPr>
          <w:rFonts w:ascii="Arial" w:hAnsi="Arial" w:cs="Arial"/>
          <w:i/>
          <w:iCs/>
        </w:rPr>
        <w:t>Human Behaviour and Emerging Technologies</w:t>
      </w:r>
      <w:r>
        <w:rPr>
          <w:rFonts w:ascii="Arial" w:hAnsi="Arial" w:cs="Arial"/>
        </w:rPr>
        <w:t xml:space="preserve">. Available at: </w:t>
      </w:r>
      <w:r w:rsidRPr="00A300F7">
        <w:rPr>
          <w:rFonts w:ascii="Arial" w:hAnsi="Arial" w:cs="Arial"/>
        </w:rPr>
        <w:t>https://doi.org/10.1155/hbe2/5383054</w:t>
      </w:r>
      <w:r>
        <w:rPr>
          <w:rFonts w:ascii="Arial" w:hAnsi="Arial" w:cs="Arial"/>
        </w:rPr>
        <w:t xml:space="preserve">. </w:t>
      </w:r>
    </w:p>
    <w:p w14:paraId="47C37B21" w14:textId="778F9EAC" w:rsidR="00A47FBE" w:rsidRPr="001C4779" w:rsidRDefault="00A47FBE" w:rsidP="009E1BA7">
      <w:pPr>
        <w:rPr>
          <w:rFonts w:ascii="Arial" w:hAnsi="Arial" w:cs="Arial"/>
          <w:lang w:val="sv-SE"/>
        </w:rPr>
      </w:pPr>
      <w:r w:rsidRPr="00396729">
        <w:rPr>
          <w:rFonts w:ascii="Arial" w:hAnsi="Arial" w:cs="Arial"/>
        </w:rPr>
        <w:t xml:space="preserve">Belsare, H.V. (2025) </w:t>
      </w:r>
      <w:r w:rsidRPr="00195E64">
        <w:rPr>
          <w:rFonts w:ascii="Arial" w:hAnsi="Arial" w:cs="Arial"/>
        </w:rPr>
        <w:t>‘PESTLE Analysis’</w:t>
      </w:r>
      <w:r w:rsidR="00195E64">
        <w:rPr>
          <w:rFonts w:ascii="Arial" w:hAnsi="Arial" w:cs="Arial"/>
          <w:i/>
          <w:iCs/>
        </w:rPr>
        <w:t>,</w:t>
      </w:r>
      <w:r w:rsidRPr="00396729">
        <w:rPr>
          <w:rFonts w:ascii="Arial" w:hAnsi="Arial" w:cs="Arial"/>
          <w:i/>
          <w:iCs/>
        </w:rPr>
        <w:t xml:space="preserve"> </w:t>
      </w:r>
      <w:r w:rsidRPr="00195E64">
        <w:rPr>
          <w:rFonts w:ascii="Arial" w:hAnsi="Arial" w:cs="Arial"/>
          <w:i/>
          <w:iCs/>
        </w:rPr>
        <w:t>International Journal of Advanced Research</w:t>
      </w:r>
      <w:r w:rsidRPr="00396729">
        <w:rPr>
          <w:rFonts w:ascii="Arial" w:hAnsi="Arial" w:cs="Arial"/>
        </w:rPr>
        <w:t xml:space="preserve">. </w:t>
      </w:r>
      <w:r w:rsidRPr="001C4779">
        <w:rPr>
          <w:rFonts w:ascii="Arial" w:hAnsi="Arial" w:cs="Arial"/>
          <w:lang w:val="sv-SE"/>
        </w:rPr>
        <w:t>Vol 13 (2)</w:t>
      </w:r>
      <w:r w:rsidR="00195E64">
        <w:rPr>
          <w:rFonts w:ascii="Arial" w:hAnsi="Arial" w:cs="Arial"/>
          <w:lang w:val="sv-SE"/>
        </w:rPr>
        <w:t>,</w:t>
      </w:r>
      <w:r w:rsidRPr="001C4779">
        <w:rPr>
          <w:rFonts w:ascii="Arial" w:hAnsi="Arial" w:cs="Arial"/>
          <w:lang w:val="sv-SE"/>
        </w:rPr>
        <w:t xml:space="preserve"> pp</w:t>
      </w:r>
      <w:r w:rsidR="00195E64">
        <w:rPr>
          <w:rFonts w:ascii="Arial" w:hAnsi="Arial" w:cs="Arial"/>
          <w:lang w:val="sv-SE"/>
        </w:rPr>
        <w:t>.</w:t>
      </w:r>
      <w:r w:rsidRPr="001C4779">
        <w:rPr>
          <w:rFonts w:ascii="Arial" w:hAnsi="Arial" w:cs="Arial"/>
          <w:lang w:val="sv-SE"/>
        </w:rPr>
        <w:t xml:space="preserve"> 608-612. </w:t>
      </w:r>
      <w:r w:rsidR="00195E64">
        <w:rPr>
          <w:rFonts w:ascii="Arial" w:hAnsi="Arial" w:cs="Arial"/>
          <w:lang w:val="sv-SE"/>
        </w:rPr>
        <w:t>Available at</w:t>
      </w:r>
      <w:r w:rsidRPr="001C4779">
        <w:rPr>
          <w:rFonts w:ascii="Arial" w:hAnsi="Arial" w:cs="Arial"/>
          <w:lang w:val="sv-SE"/>
        </w:rPr>
        <w:t xml:space="preserve">: http://dx.doi.org/10.21474/IJAR01/20411 </w:t>
      </w:r>
    </w:p>
    <w:p w14:paraId="34C7DE12" w14:textId="375B714F" w:rsidR="009D40B1" w:rsidRDefault="009D40B1" w:rsidP="009E1BA7">
      <w:pPr>
        <w:rPr>
          <w:rFonts w:ascii="Arial" w:hAnsi="Arial" w:cs="Arial"/>
          <w:lang w:val="sv-SE"/>
        </w:rPr>
      </w:pPr>
      <w:r>
        <w:rPr>
          <w:rFonts w:ascii="Arial" w:hAnsi="Arial" w:cs="Arial"/>
          <w:lang w:val="sv-SE"/>
        </w:rPr>
        <w:t>Chustecki, M. (2024) ’</w:t>
      </w:r>
      <w:r w:rsidRPr="009D40B1">
        <w:rPr>
          <w:rFonts w:ascii="Arial" w:hAnsi="Arial" w:cs="Arial"/>
          <w:lang w:val="sv-SE"/>
        </w:rPr>
        <w:t>Benefits and Risks of AI in Health Care: Narrative Review</w:t>
      </w:r>
      <w:r>
        <w:rPr>
          <w:rFonts w:ascii="Arial" w:hAnsi="Arial" w:cs="Arial"/>
          <w:lang w:val="sv-SE"/>
        </w:rPr>
        <w:t xml:space="preserve">’, </w:t>
      </w:r>
      <w:r w:rsidRPr="009D40B1">
        <w:rPr>
          <w:rFonts w:ascii="Arial" w:hAnsi="Arial" w:cs="Arial"/>
          <w:i/>
          <w:iCs/>
          <w:lang w:val="sv-SE"/>
        </w:rPr>
        <w:t>Interactive Journal of Medical Research.</w:t>
      </w:r>
      <w:r>
        <w:rPr>
          <w:rFonts w:ascii="Arial" w:hAnsi="Arial" w:cs="Arial"/>
          <w:lang w:val="sv-SE"/>
        </w:rPr>
        <w:t xml:space="preserve"> Vol 18 (13), Available at: </w:t>
      </w:r>
      <w:r w:rsidRPr="009D40B1">
        <w:rPr>
          <w:rFonts w:ascii="Arial" w:hAnsi="Arial" w:cs="Arial"/>
          <w:lang w:val="sv-SE"/>
        </w:rPr>
        <w:t>https://doi.org/10.2196/53616</w:t>
      </w:r>
      <w:r>
        <w:rPr>
          <w:rFonts w:ascii="Arial" w:hAnsi="Arial" w:cs="Arial"/>
          <w:lang w:val="sv-SE"/>
        </w:rPr>
        <w:t xml:space="preserve">. </w:t>
      </w:r>
    </w:p>
    <w:p w14:paraId="2F994ED8" w14:textId="3D064668" w:rsidR="00A47FBE" w:rsidRPr="00396729" w:rsidRDefault="00A47FBE" w:rsidP="009E1BA7">
      <w:pPr>
        <w:rPr>
          <w:rFonts w:ascii="Arial" w:hAnsi="Arial" w:cs="Arial"/>
        </w:rPr>
      </w:pPr>
      <w:r w:rsidRPr="001C4779">
        <w:rPr>
          <w:rFonts w:ascii="Arial" w:hAnsi="Arial" w:cs="Arial"/>
          <w:lang w:val="sv-SE"/>
        </w:rPr>
        <w:t xml:space="preserve">CIPD. (2025) </w:t>
      </w:r>
      <w:r w:rsidRPr="001C4779">
        <w:rPr>
          <w:rFonts w:ascii="Arial" w:hAnsi="Arial" w:cs="Arial"/>
          <w:i/>
          <w:iCs/>
          <w:lang w:val="sv-SE"/>
        </w:rPr>
        <w:t>‘PESTLE Analysis.’</w:t>
      </w:r>
      <w:r w:rsidRPr="001C4779">
        <w:rPr>
          <w:rFonts w:ascii="Arial" w:hAnsi="Arial" w:cs="Arial"/>
          <w:lang w:val="sv-SE"/>
        </w:rPr>
        <w:t xml:space="preserve"> </w:t>
      </w:r>
      <w:r w:rsidRPr="00396729">
        <w:rPr>
          <w:rFonts w:ascii="Arial" w:hAnsi="Arial" w:cs="Arial"/>
        </w:rPr>
        <w:t xml:space="preserve">Available at: https://www.cipd.org/uk/knowledge/factsheets/pestle-analysis-factsheet/ (Accessed: 17/11/2025). </w:t>
      </w:r>
    </w:p>
    <w:p w14:paraId="7311FEF7" w14:textId="27DABD9F" w:rsidR="00195E64" w:rsidRDefault="00195E64" w:rsidP="00A47FBE">
      <w:pPr>
        <w:rPr>
          <w:rFonts w:ascii="Arial" w:hAnsi="Arial" w:cs="Arial"/>
        </w:rPr>
      </w:pPr>
      <w:r>
        <w:rPr>
          <w:rFonts w:ascii="Arial" w:hAnsi="Arial" w:cs="Arial"/>
        </w:rPr>
        <w:t>Cui, G., Kooji, D.T.A.M., Zhang, Y., Liu, D. and Pan, J. (2025) ‘</w:t>
      </w:r>
      <w:r w:rsidRPr="00195E64">
        <w:rPr>
          <w:rFonts w:ascii="Arial" w:hAnsi="Arial" w:cs="Arial"/>
        </w:rPr>
        <w:t>Building an age-inclusive workplace for older workers: A dual pathway of age-inclusive HR practices to facilitate successful aging at work</w:t>
      </w:r>
      <w:r>
        <w:rPr>
          <w:rFonts w:ascii="Arial" w:hAnsi="Arial" w:cs="Arial"/>
        </w:rPr>
        <w:t xml:space="preserve">’, </w:t>
      </w:r>
      <w:r w:rsidRPr="00195E64">
        <w:rPr>
          <w:rFonts w:ascii="Arial" w:hAnsi="Arial" w:cs="Arial"/>
          <w:i/>
          <w:iCs/>
        </w:rPr>
        <w:t>Journal of Vocational Behaviour.</w:t>
      </w:r>
      <w:r>
        <w:rPr>
          <w:rFonts w:ascii="Arial" w:hAnsi="Arial" w:cs="Arial"/>
        </w:rPr>
        <w:t xml:space="preserve"> Vol 161 pp. 1-13. Available at: </w:t>
      </w:r>
      <w:r w:rsidRPr="00195E64">
        <w:rPr>
          <w:rFonts w:ascii="Arial" w:hAnsi="Arial" w:cs="Arial"/>
        </w:rPr>
        <w:t>https://doi.org/10.1016/j.jvb.2025.104148</w:t>
      </w:r>
      <w:r>
        <w:rPr>
          <w:rFonts w:ascii="Arial" w:hAnsi="Arial" w:cs="Arial"/>
        </w:rPr>
        <w:t xml:space="preserve">. </w:t>
      </w:r>
    </w:p>
    <w:p w14:paraId="0C1CF81E" w14:textId="19574443" w:rsidR="00BC0B30" w:rsidRPr="00195E64" w:rsidRDefault="00A47FBE" w:rsidP="00A47FBE">
      <w:pPr>
        <w:rPr>
          <w:rFonts w:ascii="Arial" w:hAnsi="Arial" w:cs="Arial"/>
          <w:i/>
          <w:iCs/>
        </w:rPr>
      </w:pPr>
      <w:r w:rsidRPr="00396729">
        <w:rPr>
          <w:rFonts w:ascii="Arial" w:hAnsi="Arial" w:cs="Arial"/>
        </w:rPr>
        <w:t xml:space="preserve">Cylus, J. and Tayara L.I. (2021) </w:t>
      </w:r>
      <w:r w:rsidRPr="00195E64">
        <w:rPr>
          <w:rFonts w:ascii="Arial" w:hAnsi="Arial" w:cs="Arial"/>
        </w:rPr>
        <w:t>‘Health, an ageing labour force, and the economy: Does health moderate the relationship between population age-structure and economic growth?</w:t>
      </w:r>
      <w:r w:rsidR="00195E64">
        <w:rPr>
          <w:rFonts w:ascii="Arial" w:hAnsi="Arial" w:cs="Arial"/>
        </w:rPr>
        <w:t>’,</w:t>
      </w:r>
      <w:r w:rsidRPr="00396729">
        <w:rPr>
          <w:rFonts w:ascii="Arial" w:hAnsi="Arial" w:cs="Arial"/>
          <w:i/>
          <w:iCs/>
        </w:rPr>
        <w:t xml:space="preserve"> </w:t>
      </w:r>
      <w:r w:rsidRPr="00195E64">
        <w:rPr>
          <w:rFonts w:ascii="Arial" w:hAnsi="Arial" w:cs="Arial"/>
          <w:i/>
          <w:iCs/>
        </w:rPr>
        <w:t>Social Science &amp; Medicine</w:t>
      </w:r>
      <w:r w:rsidRPr="00396729">
        <w:rPr>
          <w:rFonts w:ascii="Arial" w:hAnsi="Arial" w:cs="Arial"/>
        </w:rPr>
        <w:t xml:space="preserve">. Vol 287. </w:t>
      </w:r>
      <w:r w:rsidR="00195E64">
        <w:rPr>
          <w:rFonts w:ascii="Arial" w:hAnsi="Arial" w:cs="Arial"/>
        </w:rPr>
        <w:t xml:space="preserve">Available at: </w:t>
      </w:r>
      <w:r w:rsidR="00396729" w:rsidRPr="00396729">
        <w:rPr>
          <w:rFonts w:ascii="Arial" w:hAnsi="Arial" w:cs="Arial"/>
        </w:rPr>
        <w:t>https://doi.org/10.1016/j.socscimed.2021.114353</w:t>
      </w:r>
      <w:r w:rsidRPr="00396729">
        <w:rPr>
          <w:rFonts w:ascii="Arial" w:hAnsi="Arial" w:cs="Arial"/>
        </w:rPr>
        <w:t xml:space="preserve">. </w:t>
      </w:r>
    </w:p>
    <w:p w14:paraId="27D0E6D3" w14:textId="47E022AA" w:rsidR="004F5201" w:rsidRDefault="004F5201" w:rsidP="00A47FBE">
      <w:pPr>
        <w:rPr>
          <w:rFonts w:ascii="Arial" w:hAnsi="Arial" w:cs="Arial"/>
        </w:rPr>
      </w:pPr>
      <w:r>
        <w:rPr>
          <w:rFonts w:ascii="Arial" w:hAnsi="Arial" w:cs="Arial"/>
        </w:rPr>
        <w:t>Data Protection Act. (2018) Available at:</w:t>
      </w:r>
      <w:r w:rsidRPr="004F5201">
        <w:t xml:space="preserve"> </w:t>
      </w:r>
      <w:r w:rsidRPr="004F5201">
        <w:rPr>
          <w:rFonts w:ascii="Arial" w:hAnsi="Arial" w:cs="Arial"/>
        </w:rPr>
        <w:t>https://www.legislation.gov.uk/ukpga/2018/12/contents/enacted</w:t>
      </w:r>
      <w:r>
        <w:rPr>
          <w:rFonts w:ascii="Arial" w:hAnsi="Arial" w:cs="Arial"/>
        </w:rPr>
        <w:t xml:space="preserve"> (Accessed 28/11/2025). </w:t>
      </w:r>
    </w:p>
    <w:p w14:paraId="10D5E715" w14:textId="4A1BCE94" w:rsidR="00BC0B30" w:rsidRDefault="00BC0B30" w:rsidP="00A47FBE">
      <w:pPr>
        <w:rPr>
          <w:rFonts w:ascii="Arial" w:hAnsi="Arial" w:cs="Arial"/>
        </w:rPr>
      </w:pPr>
      <w:r>
        <w:rPr>
          <w:rFonts w:ascii="Arial" w:hAnsi="Arial" w:cs="Arial"/>
        </w:rPr>
        <w:t xml:space="preserve">Department for Business &amp; Trade. (2024) </w:t>
      </w:r>
      <w:r w:rsidRPr="007276A9">
        <w:rPr>
          <w:rFonts w:ascii="Arial" w:hAnsi="Arial" w:cs="Arial"/>
          <w:i/>
          <w:iCs/>
        </w:rPr>
        <w:t>Employment Rights Bill: factsheets.</w:t>
      </w:r>
      <w:r>
        <w:rPr>
          <w:rFonts w:ascii="Arial" w:hAnsi="Arial" w:cs="Arial"/>
        </w:rPr>
        <w:t xml:space="preserve"> Available at: </w:t>
      </w:r>
      <w:r w:rsidR="007276A9" w:rsidRPr="007276A9">
        <w:rPr>
          <w:rFonts w:ascii="Arial" w:hAnsi="Arial" w:cs="Arial"/>
        </w:rPr>
        <w:t>https://www.gov.uk/government/publications/employment-rights-bill-factsheets</w:t>
      </w:r>
      <w:r w:rsidR="007276A9">
        <w:rPr>
          <w:rFonts w:ascii="Arial" w:hAnsi="Arial" w:cs="Arial"/>
        </w:rPr>
        <w:t xml:space="preserve"> (Accessed 28/11/2025).</w:t>
      </w:r>
    </w:p>
    <w:p w14:paraId="24F797C4" w14:textId="5C09AD5C" w:rsidR="00855D8A" w:rsidRDefault="00855D8A" w:rsidP="00A47FBE">
      <w:pPr>
        <w:rPr>
          <w:rFonts w:ascii="Arial" w:hAnsi="Arial" w:cs="Arial"/>
        </w:rPr>
      </w:pPr>
      <w:r>
        <w:rPr>
          <w:rFonts w:ascii="Arial" w:hAnsi="Arial" w:cs="Arial"/>
        </w:rPr>
        <w:t>Ersanli, C.Y., Celik, F., Barjesteh, H., Duran, V. and Manoochehrzadeh, M. (2025) ‘</w:t>
      </w:r>
      <w:r w:rsidRPr="00855D8A">
        <w:rPr>
          <w:rFonts w:ascii="Arial" w:hAnsi="Arial" w:cs="Arial"/>
        </w:rPr>
        <w:t>A review of global reskilling and upskilling initiatives in the age of AI</w:t>
      </w:r>
      <w:r>
        <w:rPr>
          <w:rFonts w:ascii="Arial" w:hAnsi="Arial" w:cs="Arial"/>
        </w:rPr>
        <w:t xml:space="preserve">’, </w:t>
      </w:r>
      <w:r w:rsidR="001E0470" w:rsidRPr="001E0470">
        <w:rPr>
          <w:rFonts w:ascii="Arial" w:hAnsi="Arial" w:cs="Arial"/>
          <w:i/>
          <w:iCs/>
        </w:rPr>
        <w:t>AI and Ethics</w:t>
      </w:r>
      <w:r w:rsidR="001E0470">
        <w:rPr>
          <w:rFonts w:ascii="Arial" w:hAnsi="Arial" w:cs="Arial"/>
        </w:rPr>
        <w:t xml:space="preserve">. Vol 5 pp. 5719-5728. Available at: </w:t>
      </w:r>
      <w:r w:rsidR="001E0470" w:rsidRPr="001E0470">
        <w:rPr>
          <w:rFonts w:ascii="Arial" w:hAnsi="Arial" w:cs="Arial"/>
        </w:rPr>
        <w:t>https://doi.org/10.1007/s43681-025-00767-9</w:t>
      </w:r>
      <w:r w:rsidR="001E0470">
        <w:rPr>
          <w:rFonts w:ascii="Arial" w:hAnsi="Arial" w:cs="Arial"/>
        </w:rPr>
        <w:t xml:space="preserve">. </w:t>
      </w:r>
    </w:p>
    <w:p w14:paraId="27A63BB1" w14:textId="6B6DFC4A" w:rsidR="001E0470" w:rsidRDefault="001E0470" w:rsidP="00A47FBE">
      <w:pPr>
        <w:rPr>
          <w:rFonts w:ascii="Arial" w:hAnsi="Arial" w:cs="Arial"/>
        </w:rPr>
      </w:pPr>
      <w:r>
        <w:rPr>
          <w:rFonts w:ascii="Arial" w:hAnsi="Arial" w:cs="Arial"/>
        </w:rPr>
        <w:t>Hossain, M.M., Abdulla, F. and Huq, M.N. (2025) ‘</w:t>
      </w:r>
      <w:r w:rsidRPr="001E0470">
        <w:rPr>
          <w:rFonts w:ascii="Arial" w:hAnsi="Arial" w:cs="Arial"/>
        </w:rPr>
        <w:t>Challenges Faced by Older Employees in the Era of Open Artificial Intelligence and Strategies to Empower Them</w:t>
      </w:r>
      <w:r>
        <w:rPr>
          <w:rFonts w:ascii="Arial" w:hAnsi="Arial" w:cs="Arial"/>
        </w:rPr>
        <w:t xml:space="preserve">’, </w:t>
      </w:r>
      <w:r w:rsidRPr="001E0470">
        <w:rPr>
          <w:rFonts w:ascii="Arial" w:hAnsi="Arial" w:cs="Arial"/>
          <w:i/>
          <w:iCs/>
        </w:rPr>
        <w:t>Health Care Science.</w:t>
      </w:r>
      <w:r>
        <w:rPr>
          <w:rFonts w:ascii="Arial" w:hAnsi="Arial" w:cs="Arial"/>
        </w:rPr>
        <w:t xml:space="preserve"> Vol 4 (2), pp. 154-157. Available at: </w:t>
      </w:r>
      <w:r w:rsidRPr="001E0470">
        <w:rPr>
          <w:rFonts w:ascii="Arial" w:hAnsi="Arial" w:cs="Arial"/>
        </w:rPr>
        <w:t>https://doi.org/10.1002/hcs2.70011</w:t>
      </w:r>
      <w:r>
        <w:rPr>
          <w:rFonts w:ascii="Arial" w:hAnsi="Arial" w:cs="Arial"/>
        </w:rPr>
        <w:t xml:space="preserve">. </w:t>
      </w:r>
    </w:p>
    <w:p w14:paraId="7CB29CBE" w14:textId="138670E8" w:rsidR="00396729" w:rsidRPr="00396729" w:rsidRDefault="00396729" w:rsidP="00A47FBE">
      <w:pPr>
        <w:rPr>
          <w:rFonts w:ascii="Arial" w:hAnsi="Arial" w:cs="Arial"/>
        </w:rPr>
      </w:pPr>
      <w:r w:rsidRPr="00396729">
        <w:rPr>
          <w:rFonts w:ascii="Arial" w:hAnsi="Arial" w:cs="Arial"/>
        </w:rPr>
        <w:t>Hywel Dda University Health Board. (2024) ‘</w:t>
      </w:r>
      <w:r w:rsidRPr="00396729">
        <w:rPr>
          <w:rFonts w:ascii="Arial" w:hAnsi="Arial" w:cs="Arial"/>
          <w:i/>
          <w:iCs/>
        </w:rPr>
        <w:t>Annual Report’</w:t>
      </w:r>
      <w:r w:rsidRPr="00396729">
        <w:rPr>
          <w:rFonts w:ascii="Arial" w:hAnsi="Arial" w:cs="Arial"/>
        </w:rPr>
        <w:t>. Available at: https://hduhb.nhs.wales/about-us/your-health-board/board-meetings-2025/annual-</w:t>
      </w:r>
      <w:r w:rsidRPr="00396729">
        <w:rPr>
          <w:rFonts w:ascii="Arial" w:hAnsi="Arial" w:cs="Arial"/>
        </w:rPr>
        <w:lastRenderedPageBreak/>
        <w:t>general-meeting/annual-general-meeting-papers-25-september-2025/download-a-copy-of-our-2024-25-annual-report/ (Accessed: 17/11/2025).</w:t>
      </w:r>
    </w:p>
    <w:p w14:paraId="61313F1F" w14:textId="158FE528" w:rsidR="00D80195" w:rsidRDefault="003A3D53" w:rsidP="009E1BA7">
      <w:pPr>
        <w:rPr>
          <w:rFonts w:ascii="Arial" w:hAnsi="Arial" w:cs="Arial"/>
        </w:rPr>
      </w:pPr>
      <w:r>
        <w:rPr>
          <w:rFonts w:ascii="Arial" w:hAnsi="Arial" w:cs="Arial"/>
        </w:rPr>
        <w:t>[</w:t>
      </w:r>
      <w:r w:rsidR="00D80195">
        <w:rPr>
          <w:rFonts w:ascii="Arial" w:hAnsi="Arial" w:cs="Arial"/>
        </w:rPr>
        <w:t>Hywel Dda University Health Board</w:t>
      </w:r>
      <w:r>
        <w:rPr>
          <w:rFonts w:ascii="Arial" w:hAnsi="Arial" w:cs="Arial"/>
        </w:rPr>
        <w:t>]</w:t>
      </w:r>
      <w:r w:rsidR="00D80195">
        <w:rPr>
          <w:rFonts w:ascii="Arial" w:hAnsi="Arial" w:cs="Arial"/>
        </w:rPr>
        <w:t>. (2025)</w:t>
      </w:r>
      <w:r w:rsidR="00DF03F9">
        <w:rPr>
          <w:rFonts w:ascii="Arial" w:hAnsi="Arial" w:cs="Arial"/>
        </w:rPr>
        <w:t xml:space="preserve"> </w:t>
      </w:r>
      <w:r w:rsidR="00DF03F9" w:rsidRPr="00DF03F9">
        <w:rPr>
          <w:rFonts w:ascii="Arial" w:hAnsi="Arial" w:cs="Arial"/>
          <w:i/>
          <w:iCs/>
        </w:rPr>
        <w:t>Workforce Data Report</w:t>
      </w:r>
      <w:r w:rsidR="00DF03F9">
        <w:rPr>
          <w:rFonts w:ascii="Arial" w:hAnsi="Arial" w:cs="Arial"/>
        </w:rPr>
        <w:t xml:space="preserve">. </w:t>
      </w:r>
      <w:r w:rsidR="00937A49">
        <w:rPr>
          <w:rFonts w:ascii="Arial" w:hAnsi="Arial" w:cs="Arial"/>
        </w:rPr>
        <w:t xml:space="preserve">[ESR]. </w:t>
      </w:r>
      <w:r w:rsidR="00161075">
        <w:rPr>
          <w:rFonts w:ascii="Arial" w:hAnsi="Arial" w:cs="Arial"/>
        </w:rPr>
        <w:t xml:space="preserve">Unpublished. </w:t>
      </w:r>
    </w:p>
    <w:p w14:paraId="6A26F624" w14:textId="6138F58E" w:rsidR="00AA3EF5" w:rsidRDefault="00396729" w:rsidP="009E1BA7">
      <w:pPr>
        <w:rPr>
          <w:rFonts w:ascii="Arial" w:hAnsi="Arial" w:cs="Arial"/>
        </w:rPr>
      </w:pPr>
      <w:r w:rsidRPr="00396729">
        <w:rPr>
          <w:rFonts w:ascii="Arial" w:hAnsi="Arial" w:cs="Arial"/>
        </w:rPr>
        <w:t>Katiraee, N, Berti, N., Das, A., Zennaro, I., Aldrighetti, R., Dimovski, V., Peljhan, D., Dobbs, D., Glock, C., Pacheco, G., Neumann, P., Ogawa, A. and Battini, D. (2024)</w:t>
      </w:r>
      <w:r w:rsidR="00195E64">
        <w:rPr>
          <w:rFonts w:ascii="Arial" w:hAnsi="Arial" w:cs="Arial"/>
        </w:rPr>
        <w:t xml:space="preserve"> </w:t>
      </w:r>
      <w:r w:rsidRPr="00195E64">
        <w:rPr>
          <w:rFonts w:ascii="Arial" w:hAnsi="Arial" w:cs="Arial"/>
        </w:rPr>
        <w:t>‘A new roadmap for an age-inclusive workforce management practice and an international policies comparison’</w:t>
      </w:r>
      <w:r w:rsidR="00195E64">
        <w:rPr>
          <w:rFonts w:ascii="Arial" w:hAnsi="Arial" w:cs="Arial"/>
          <w:i/>
          <w:iCs/>
        </w:rPr>
        <w:t xml:space="preserve">, </w:t>
      </w:r>
      <w:r w:rsidRPr="00195E64">
        <w:rPr>
          <w:rFonts w:ascii="Arial" w:hAnsi="Arial" w:cs="Arial"/>
          <w:i/>
          <w:iCs/>
        </w:rPr>
        <w:t>Open Research Europe</w:t>
      </w:r>
      <w:r w:rsidRPr="00396729">
        <w:rPr>
          <w:rFonts w:ascii="Arial" w:hAnsi="Arial" w:cs="Arial"/>
        </w:rPr>
        <w:t>. Vol 24 (4)</w:t>
      </w:r>
      <w:r w:rsidR="00195E64">
        <w:rPr>
          <w:rFonts w:ascii="Arial" w:hAnsi="Arial" w:cs="Arial"/>
        </w:rPr>
        <w:t>,</w:t>
      </w:r>
      <w:r w:rsidRPr="00396729">
        <w:rPr>
          <w:rFonts w:ascii="Arial" w:hAnsi="Arial" w:cs="Arial"/>
        </w:rPr>
        <w:t xml:space="preserve"> </w:t>
      </w:r>
      <w:r w:rsidR="00195E64">
        <w:rPr>
          <w:rFonts w:ascii="Arial" w:hAnsi="Arial" w:cs="Arial"/>
        </w:rPr>
        <w:t xml:space="preserve">Available at: </w:t>
      </w:r>
      <w:r w:rsidR="00AA3EF5" w:rsidRPr="00851116">
        <w:rPr>
          <w:rFonts w:ascii="Arial" w:hAnsi="Arial" w:cs="Arial"/>
        </w:rPr>
        <w:t>https://doi.org/10.12688/openreseurope.17159.2</w:t>
      </w:r>
      <w:r w:rsidRPr="00396729">
        <w:rPr>
          <w:rFonts w:ascii="Arial" w:hAnsi="Arial" w:cs="Arial"/>
        </w:rPr>
        <w:t>.</w:t>
      </w:r>
    </w:p>
    <w:p w14:paraId="5A5F62D7" w14:textId="31B6BA74" w:rsidR="004F5201" w:rsidRPr="004F5201" w:rsidRDefault="004F5201" w:rsidP="009E1BA7">
      <w:pPr>
        <w:rPr>
          <w:rFonts w:ascii="Arial" w:hAnsi="Arial" w:cs="Arial"/>
        </w:rPr>
      </w:pPr>
      <w:r>
        <w:rPr>
          <w:rFonts w:ascii="Arial" w:hAnsi="Arial" w:cs="Arial"/>
        </w:rPr>
        <w:t xml:space="preserve">NHS England. (2024) </w:t>
      </w:r>
      <w:r w:rsidRPr="004F5201">
        <w:rPr>
          <w:rFonts w:ascii="Arial" w:hAnsi="Arial" w:cs="Arial"/>
          <w:i/>
          <w:iCs/>
        </w:rPr>
        <w:t>‘</w:t>
      </w:r>
      <w:r w:rsidRPr="004F5201">
        <w:rPr>
          <w:rFonts w:ascii="Arial" w:hAnsi="Arial" w:cs="Arial"/>
          <w:i/>
          <w:iCs/>
        </w:rPr>
        <w:t>Protecting patient data</w:t>
      </w:r>
      <w:r w:rsidRPr="004F5201">
        <w:rPr>
          <w:rFonts w:ascii="Arial" w:hAnsi="Arial" w:cs="Arial"/>
          <w:i/>
          <w:iCs/>
        </w:rPr>
        <w:t>’</w:t>
      </w:r>
      <w:r>
        <w:rPr>
          <w:rFonts w:ascii="Arial" w:hAnsi="Arial" w:cs="Arial"/>
          <w:i/>
          <w:iCs/>
        </w:rPr>
        <w:t xml:space="preserve">, </w:t>
      </w:r>
      <w:r>
        <w:rPr>
          <w:rFonts w:ascii="Arial" w:hAnsi="Arial" w:cs="Arial"/>
        </w:rPr>
        <w:t xml:space="preserve">Available at: </w:t>
      </w:r>
      <w:r w:rsidRPr="004F5201">
        <w:rPr>
          <w:rFonts w:ascii="Arial" w:hAnsi="Arial" w:cs="Arial"/>
        </w:rPr>
        <w:t>https://digital.nhs.uk/services/national-data-opt-out/understanding-the-national-data-opt-out/protecting-patient-data#what-happens-if-an-organisation-breaks-the-law-</w:t>
      </w:r>
      <w:r>
        <w:rPr>
          <w:rFonts w:ascii="Arial" w:hAnsi="Arial" w:cs="Arial"/>
        </w:rPr>
        <w:t xml:space="preserve"> (Accessed 28/11/2025).</w:t>
      </w:r>
    </w:p>
    <w:p w14:paraId="2BA7BF19" w14:textId="042A006F" w:rsidR="00AA3EF5" w:rsidRDefault="00AA3EF5" w:rsidP="009E1BA7">
      <w:pPr>
        <w:rPr>
          <w:rFonts w:ascii="Arial" w:hAnsi="Arial" w:cs="Arial"/>
          <w:i/>
          <w:iCs/>
        </w:rPr>
      </w:pPr>
      <w:r>
        <w:rPr>
          <w:rFonts w:ascii="Arial" w:hAnsi="Arial" w:cs="Arial"/>
        </w:rPr>
        <w:t xml:space="preserve">Talent Management Institute. (2024) </w:t>
      </w:r>
      <w:r w:rsidRPr="00AA3EF5">
        <w:rPr>
          <w:rFonts w:ascii="Arial" w:hAnsi="Arial" w:cs="Arial"/>
          <w:i/>
          <w:iCs/>
        </w:rPr>
        <w:t>Performing a PESTLE Analysis for Strategic HR Planning</w:t>
      </w:r>
      <w:r>
        <w:rPr>
          <w:rFonts w:ascii="Arial" w:hAnsi="Arial" w:cs="Arial"/>
          <w:i/>
          <w:iCs/>
        </w:rPr>
        <w:t xml:space="preserve">. </w:t>
      </w:r>
      <w:r w:rsidRPr="00AA3EF5">
        <w:rPr>
          <w:rFonts w:ascii="Arial" w:hAnsi="Arial" w:cs="Arial"/>
        </w:rPr>
        <w:t xml:space="preserve">Available at: </w:t>
      </w:r>
      <w:r w:rsidRPr="00AA3EF5">
        <w:rPr>
          <w:rFonts w:ascii="Arial" w:hAnsi="Arial" w:cs="Arial"/>
        </w:rPr>
        <w:t>https://www.tmi.org/blogs/performing-a-pestle-analysis-for-strategic-hr-planning</w:t>
      </w:r>
      <w:r w:rsidRPr="00AA3EF5">
        <w:rPr>
          <w:rFonts w:ascii="Arial" w:hAnsi="Arial" w:cs="Arial"/>
        </w:rPr>
        <w:t xml:space="preserve"> (Accessed 28/11/2025).</w:t>
      </w:r>
    </w:p>
    <w:p w14:paraId="6545C9F0" w14:textId="6F449C76" w:rsidR="00851116" w:rsidRPr="00851116" w:rsidRDefault="00851116" w:rsidP="00851116">
      <w:pPr>
        <w:rPr>
          <w:rFonts w:ascii="Arial" w:hAnsi="Arial" w:cs="Arial"/>
        </w:rPr>
      </w:pPr>
      <w:r w:rsidRPr="00851116">
        <w:rPr>
          <w:rFonts w:ascii="Arial" w:hAnsi="Arial" w:cs="Arial"/>
        </w:rPr>
        <w:t>Witteveen, A. (2024)</w:t>
      </w:r>
      <w:r>
        <w:rPr>
          <w:rFonts w:ascii="Arial" w:hAnsi="Arial" w:cs="Arial"/>
          <w:i/>
          <w:iCs/>
        </w:rPr>
        <w:t xml:space="preserve"> </w:t>
      </w:r>
      <w:r w:rsidR="00195E64">
        <w:rPr>
          <w:rFonts w:ascii="Arial" w:hAnsi="Arial" w:cs="Arial"/>
          <w:i/>
          <w:iCs/>
        </w:rPr>
        <w:t>‘</w:t>
      </w:r>
      <w:r w:rsidRPr="00851116">
        <w:rPr>
          <w:rFonts w:ascii="Arial" w:hAnsi="Arial" w:cs="Arial"/>
          <w:i/>
          <w:iCs/>
        </w:rPr>
        <w:t>Retirement realities</w:t>
      </w:r>
      <w:r>
        <w:rPr>
          <w:rFonts w:ascii="Arial" w:hAnsi="Arial" w:cs="Arial"/>
          <w:i/>
          <w:iCs/>
        </w:rPr>
        <w:t xml:space="preserve">: </w:t>
      </w:r>
      <w:r w:rsidRPr="00851116">
        <w:rPr>
          <w:rFonts w:ascii="Arial" w:hAnsi="Arial" w:cs="Arial"/>
          <w:i/>
          <w:iCs/>
        </w:rPr>
        <w:t>Understanding the impact of the cost</w:t>
      </w:r>
      <w:r>
        <w:rPr>
          <w:rFonts w:ascii="Arial" w:hAnsi="Arial" w:cs="Arial"/>
          <w:i/>
          <w:iCs/>
        </w:rPr>
        <w:t>-</w:t>
      </w:r>
      <w:r w:rsidRPr="00851116">
        <w:rPr>
          <w:rFonts w:ascii="Arial" w:hAnsi="Arial" w:cs="Arial"/>
          <w:i/>
          <w:iCs/>
        </w:rPr>
        <w:t>of-living on pension savings and retirement expectations</w:t>
      </w:r>
      <w:r w:rsidR="00195E64">
        <w:rPr>
          <w:rFonts w:ascii="Arial" w:hAnsi="Arial" w:cs="Arial"/>
          <w:i/>
          <w:iCs/>
        </w:rPr>
        <w:t>’,</w:t>
      </w:r>
      <w:r>
        <w:rPr>
          <w:rFonts w:ascii="Arial" w:hAnsi="Arial" w:cs="Arial"/>
          <w:i/>
          <w:iCs/>
        </w:rPr>
        <w:t xml:space="preserve"> </w:t>
      </w:r>
      <w:r w:rsidRPr="00851116">
        <w:rPr>
          <w:rFonts w:ascii="Arial" w:hAnsi="Arial" w:cs="Arial"/>
        </w:rPr>
        <w:t>Living Wage Foundation.</w:t>
      </w:r>
      <w:r>
        <w:rPr>
          <w:rFonts w:ascii="Arial" w:hAnsi="Arial" w:cs="Arial"/>
          <w:i/>
          <w:iCs/>
        </w:rPr>
        <w:t xml:space="preserve"> </w:t>
      </w:r>
      <w:r>
        <w:rPr>
          <w:rFonts w:ascii="Arial" w:hAnsi="Arial" w:cs="Arial"/>
        </w:rPr>
        <w:t>Available at:</w:t>
      </w:r>
      <w:r w:rsidRPr="00851116">
        <w:t xml:space="preserve"> </w:t>
      </w:r>
      <w:r w:rsidRPr="00851116">
        <w:rPr>
          <w:rFonts w:ascii="Arial" w:hAnsi="Arial" w:cs="Arial"/>
        </w:rPr>
        <w:t>https://www.livingwage.org.uk/sites/default/files/2024-09/Pensions-briefing-note_LWF-Research_2024.pdf</w:t>
      </w:r>
      <w:r>
        <w:rPr>
          <w:rFonts w:ascii="Arial" w:hAnsi="Arial" w:cs="Arial"/>
        </w:rPr>
        <w:t xml:space="preserve"> (Accessed 28/11/2025).</w:t>
      </w:r>
    </w:p>
    <w:sectPr w:rsidR="00851116" w:rsidRPr="00851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BA7"/>
    <w:rsid w:val="0000697E"/>
    <w:rsid w:val="00142ADC"/>
    <w:rsid w:val="00161075"/>
    <w:rsid w:val="00195E64"/>
    <w:rsid w:val="001C4779"/>
    <w:rsid w:val="001D3A0C"/>
    <w:rsid w:val="001E0470"/>
    <w:rsid w:val="00350661"/>
    <w:rsid w:val="00396729"/>
    <w:rsid w:val="003A3D53"/>
    <w:rsid w:val="003A4703"/>
    <w:rsid w:val="003E77F0"/>
    <w:rsid w:val="00496F2A"/>
    <w:rsid w:val="004F5201"/>
    <w:rsid w:val="00531308"/>
    <w:rsid w:val="005619A8"/>
    <w:rsid w:val="00577361"/>
    <w:rsid w:val="005C6B07"/>
    <w:rsid w:val="005E3016"/>
    <w:rsid w:val="00685671"/>
    <w:rsid w:val="006A3BCB"/>
    <w:rsid w:val="006B64BF"/>
    <w:rsid w:val="006C3E3E"/>
    <w:rsid w:val="007276A9"/>
    <w:rsid w:val="00766058"/>
    <w:rsid w:val="007A290D"/>
    <w:rsid w:val="007E148A"/>
    <w:rsid w:val="007F1D3E"/>
    <w:rsid w:val="00826888"/>
    <w:rsid w:val="00835A35"/>
    <w:rsid w:val="00851116"/>
    <w:rsid w:val="00855D8A"/>
    <w:rsid w:val="00856062"/>
    <w:rsid w:val="008978FD"/>
    <w:rsid w:val="008D3288"/>
    <w:rsid w:val="00937A49"/>
    <w:rsid w:val="00954087"/>
    <w:rsid w:val="009D40B1"/>
    <w:rsid w:val="009E1BA7"/>
    <w:rsid w:val="00A300F7"/>
    <w:rsid w:val="00A47FBE"/>
    <w:rsid w:val="00AA3EF5"/>
    <w:rsid w:val="00AC0BF7"/>
    <w:rsid w:val="00B01459"/>
    <w:rsid w:val="00B56DC1"/>
    <w:rsid w:val="00BC0B30"/>
    <w:rsid w:val="00BE6A4C"/>
    <w:rsid w:val="00CA1965"/>
    <w:rsid w:val="00CC15B2"/>
    <w:rsid w:val="00D05683"/>
    <w:rsid w:val="00D80195"/>
    <w:rsid w:val="00DB5A09"/>
    <w:rsid w:val="00DF03F9"/>
    <w:rsid w:val="00E02914"/>
    <w:rsid w:val="00EF34F1"/>
    <w:rsid w:val="00EF43B3"/>
    <w:rsid w:val="00F73D5B"/>
    <w:rsid w:val="00FC23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68336"/>
  <w15:chartTrackingRefBased/>
  <w15:docId w15:val="{B7976D06-83EB-4C05-818E-2B0170F93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459"/>
  </w:style>
  <w:style w:type="paragraph" w:styleId="Heading1">
    <w:name w:val="heading 1"/>
    <w:basedOn w:val="Normal"/>
    <w:next w:val="Normal"/>
    <w:link w:val="Heading1Char"/>
    <w:uiPriority w:val="9"/>
    <w:qFormat/>
    <w:rsid w:val="009E1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BA7"/>
    <w:rPr>
      <w:rFonts w:eastAsiaTheme="majorEastAsia" w:cstheme="majorBidi"/>
      <w:color w:val="272727" w:themeColor="text1" w:themeTint="D8"/>
    </w:rPr>
  </w:style>
  <w:style w:type="paragraph" w:styleId="Title">
    <w:name w:val="Title"/>
    <w:basedOn w:val="Normal"/>
    <w:next w:val="Normal"/>
    <w:link w:val="TitleChar"/>
    <w:uiPriority w:val="10"/>
    <w:qFormat/>
    <w:rsid w:val="009E1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BA7"/>
    <w:pPr>
      <w:spacing w:before="160"/>
      <w:jc w:val="center"/>
    </w:pPr>
    <w:rPr>
      <w:i/>
      <w:iCs/>
      <w:color w:val="404040" w:themeColor="text1" w:themeTint="BF"/>
    </w:rPr>
  </w:style>
  <w:style w:type="character" w:customStyle="1" w:styleId="QuoteChar">
    <w:name w:val="Quote Char"/>
    <w:basedOn w:val="DefaultParagraphFont"/>
    <w:link w:val="Quote"/>
    <w:uiPriority w:val="29"/>
    <w:rsid w:val="009E1BA7"/>
    <w:rPr>
      <w:i/>
      <w:iCs/>
      <w:color w:val="404040" w:themeColor="text1" w:themeTint="BF"/>
    </w:rPr>
  </w:style>
  <w:style w:type="paragraph" w:styleId="ListParagraph">
    <w:name w:val="List Paragraph"/>
    <w:basedOn w:val="Normal"/>
    <w:uiPriority w:val="34"/>
    <w:qFormat/>
    <w:rsid w:val="009E1BA7"/>
    <w:pPr>
      <w:ind w:left="720"/>
      <w:contextualSpacing/>
    </w:pPr>
  </w:style>
  <w:style w:type="character" w:styleId="IntenseEmphasis">
    <w:name w:val="Intense Emphasis"/>
    <w:basedOn w:val="DefaultParagraphFont"/>
    <w:uiPriority w:val="21"/>
    <w:qFormat/>
    <w:rsid w:val="009E1BA7"/>
    <w:rPr>
      <w:i/>
      <w:iCs/>
      <w:color w:val="0F4761" w:themeColor="accent1" w:themeShade="BF"/>
    </w:rPr>
  </w:style>
  <w:style w:type="paragraph" w:styleId="IntenseQuote">
    <w:name w:val="Intense Quote"/>
    <w:basedOn w:val="Normal"/>
    <w:next w:val="Normal"/>
    <w:link w:val="IntenseQuoteChar"/>
    <w:uiPriority w:val="30"/>
    <w:qFormat/>
    <w:rsid w:val="009E1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BA7"/>
    <w:rPr>
      <w:i/>
      <w:iCs/>
      <w:color w:val="0F4761" w:themeColor="accent1" w:themeShade="BF"/>
    </w:rPr>
  </w:style>
  <w:style w:type="character" w:styleId="IntenseReference">
    <w:name w:val="Intense Reference"/>
    <w:basedOn w:val="DefaultParagraphFont"/>
    <w:uiPriority w:val="32"/>
    <w:qFormat/>
    <w:rsid w:val="009E1BA7"/>
    <w:rPr>
      <w:b/>
      <w:bCs/>
      <w:smallCaps/>
      <w:color w:val="0F4761" w:themeColor="accent1" w:themeShade="BF"/>
      <w:spacing w:val="5"/>
    </w:rPr>
  </w:style>
  <w:style w:type="character" w:styleId="Hyperlink">
    <w:name w:val="Hyperlink"/>
    <w:basedOn w:val="DefaultParagraphFont"/>
    <w:uiPriority w:val="99"/>
    <w:unhideWhenUsed/>
    <w:rsid w:val="00A47FBE"/>
    <w:rPr>
      <w:color w:val="467886" w:themeColor="hyperlink"/>
      <w:u w:val="single"/>
    </w:rPr>
  </w:style>
  <w:style w:type="character" w:styleId="UnresolvedMention">
    <w:name w:val="Unresolved Mention"/>
    <w:basedOn w:val="DefaultParagraphFont"/>
    <w:uiPriority w:val="99"/>
    <w:semiHidden/>
    <w:unhideWhenUsed/>
    <w:rsid w:val="00A47FBE"/>
    <w:rPr>
      <w:color w:val="605E5C"/>
      <w:shd w:val="clear" w:color="auto" w:fill="E1DFDD"/>
    </w:rPr>
  </w:style>
  <w:style w:type="character" w:styleId="CommentReference">
    <w:name w:val="annotation reference"/>
    <w:basedOn w:val="DefaultParagraphFont"/>
    <w:uiPriority w:val="99"/>
    <w:semiHidden/>
    <w:unhideWhenUsed/>
    <w:rsid w:val="001C4779"/>
    <w:rPr>
      <w:sz w:val="16"/>
      <w:szCs w:val="16"/>
    </w:rPr>
  </w:style>
  <w:style w:type="paragraph" w:styleId="CommentText">
    <w:name w:val="annotation text"/>
    <w:basedOn w:val="Normal"/>
    <w:link w:val="CommentTextChar"/>
    <w:uiPriority w:val="99"/>
    <w:unhideWhenUsed/>
    <w:rsid w:val="001C4779"/>
    <w:pPr>
      <w:spacing w:line="240" w:lineRule="auto"/>
    </w:pPr>
    <w:rPr>
      <w:sz w:val="20"/>
      <w:szCs w:val="20"/>
    </w:rPr>
  </w:style>
  <w:style w:type="character" w:customStyle="1" w:styleId="CommentTextChar">
    <w:name w:val="Comment Text Char"/>
    <w:basedOn w:val="DefaultParagraphFont"/>
    <w:link w:val="CommentText"/>
    <w:uiPriority w:val="99"/>
    <w:rsid w:val="001C4779"/>
    <w:rPr>
      <w:sz w:val="20"/>
      <w:szCs w:val="20"/>
    </w:rPr>
  </w:style>
  <w:style w:type="paragraph" w:styleId="CommentSubject">
    <w:name w:val="annotation subject"/>
    <w:basedOn w:val="CommentText"/>
    <w:next w:val="CommentText"/>
    <w:link w:val="CommentSubjectChar"/>
    <w:uiPriority w:val="99"/>
    <w:semiHidden/>
    <w:unhideWhenUsed/>
    <w:rsid w:val="001C4779"/>
    <w:rPr>
      <w:b/>
      <w:bCs/>
    </w:rPr>
  </w:style>
  <w:style w:type="character" w:customStyle="1" w:styleId="CommentSubjectChar">
    <w:name w:val="Comment Subject Char"/>
    <w:basedOn w:val="CommentTextChar"/>
    <w:link w:val="CommentSubject"/>
    <w:uiPriority w:val="99"/>
    <w:semiHidden/>
    <w:rsid w:val="001C477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1333</TotalTime>
  <Pages>7</Pages>
  <Words>1607</Words>
  <Characters>9165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Ashley-Jones (Hywel Dda UHB - Project Support Manager - Workforce Planning)</dc:creator>
  <cp:keywords/>
  <dc:description/>
  <cp:lastModifiedBy>Sacha Ashley-Jones (Hywel Dda UHB - Project Support Manager - Workforce Planning)</cp:lastModifiedBy>
  <cp:revision>17</cp:revision>
  <dcterms:created xsi:type="dcterms:W3CDTF">2025-11-28T22:15:00Z</dcterms:created>
  <dcterms:modified xsi:type="dcterms:W3CDTF">2025-11-29T20:08:00Z</dcterms:modified>
</cp:coreProperties>
</file>