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34207" w14:textId="77777777" w:rsidR="003D42E5" w:rsidRPr="007E4058" w:rsidRDefault="003D42E5" w:rsidP="005E5C0B">
      <w:pPr>
        <w:pStyle w:val="Normal1"/>
        <w:spacing w:line="360" w:lineRule="auto"/>
        <w:rPr>
          <w:rFonts w:ascii="Times New Roman" w:eastAsia="Times New Roman" w:hAnsi="Times New Roman" w:cs="Times New Roman"/>
          <w:b/>
          <w:sz w:val="52"/>
          <w:szCs w:val="52"/>
        </w:rPr>
      </w:pPr>
    </w:p>
    <w:p w14:paraId="545FE2D0" w14:textId="48E5A952" w:rsidR="003D42E5" w:rsidRPr="007E4058" w:rsidRDefault="00434024" w:rsidP="00434024">
      <w:pPr>
        <w:pStyle w:val="Normal1"/>
        <w:spacing w:line="360" w:lineRule="auto"/>
        <w:rPr>
          <w:rFonts w:ascii="Times New Roman" w:eastAsia="Times New Roman" w:hAnsi="Times New Roman" w:cs="Times New Roman"/>
          <w:b/>
          <w:sz w:val="52"/>
          <w:szCs w:val="52"/>
        </w:rPr>
      </w:pPr>
      <w:r>
        <w:rPr>
          <w:rFonts w:ascii="Times New Roman" w:eastAsia="Times New Roman" w:hAnsi="Times New Roman" w:cs="Times New Roman"/>
          <w:noProof/>
          <w:sz w:val="24"/>
          <w:szCs w:val="24"/>
          <w:lang w:val="en-US"/>
        </w:rPr>
        <w:drawing>
          <wp:inline distT="0" distB="0" distL="114300" distR="114300" wp14:anchorId="295CC067" wp14:editId="3C3E52A5">
            <wp:extent cx="3200400" cy="1308100"/>
            <wp:effectExtent l="0" t="0" r="0" b="0"/>
            <wp:docPr id="527614898" name="image1.png"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527614898" name="image1.png" descr="A close-up of a sign&#10;&#10;Description automatically generated"/>
                    <pic:cNvPicPr preferRelativeResize="0"/>
                  </pic:nvPicPr>
                  <pic:blipFill>
                    <a:blip r:embed="rId6"/>
                    <a:srcRect/>
                    <a:stretch>
                      <a:fillRect/>
                    </a:stretch>
                  </pic:blipFill>
                  <pic:spPr>
                    <a:xfrm>
                      <a:off x="0" y="0"/>
                      <a:ext cx="3200400" cy="1308100"/>
                    </a:xfrm>
                    <a:prstGeom prst="rect">
                      <a:avLst/>
                    </a:prstGeom>
                    <a:ln/>
                  </pic:spPr>
                </pic:pic>
              </a:graphicData>
            </a:graphic>
          </wp:inline>
        </w:drawing>
      </w:r>
    </w:p>
    <w:p w14:paraId="7B26C958" w14:textId="2D9D8170" w:rsidR="003D42E5" w:rsidRDefault="003D42E5" w:rsidP="007B261C">
      <w:pPr>
        <w:pStyle w:val="Normal1"/>
        <w:spacing w:line="360" w:lineRule="auto"/>
        <w:jc w:val="center"/>
        <w:rPr>
          <w:rFonts w:ascii="Times New Roman" w:eastAsia="Times New Roman" w:hAnsi="Times New Roman" w:cs="Times New Roman"/>
          <w:b/>
          <w:sz w:val="32"/>
          <w:szCs w:val="32"/>
        </w:rPr>
      </w:pPr>
      <w:r w:rsidRPr="00434024">
        <w:rPr>
          <w:rFonts w:ascii="Times New Roman" w:eastAsia="Times New Roman" w:hAnsi="Times New Roman" w:cs="Times New Roman"/>
          <w:b/>
          <w:sz w:val="32"/>
          <w:szCs w:val="32"/>
        </w:rPr>
        <w:t>Accounting Fundamentals (LCBB4001)</w:t>
      </w:r>
    </w:p>
    <w:p w14:paraId="0E7B6694" w14:textId="2F1AFAC8" w:rsidR="00434024" w:rsidRDefault="00434024" w:rsidP="007B261C">
      <w:pPr>
        <w:pStyle w:val="Normal1"/>
        <w:spacing w:line="360" w:lineRule="auto"/>
        <w:jc w:val="center"/>
        <w:rPr>
          <w:rFonts w:ascii="Times New Roman" w:eastAsia="Times New Roman" w:hAnsi="Times New Roman" w:cs="Times New Roman"/>
          <w:b/>
          <w:sz w:val="32"/>
          <w:szCs w:val="32"/>
        </w:rPr>
      </w:pPr>
    </w:p>
    <w:p w14:paraId="39139B48" w14:textId="4038DDB7" w:rsidR="00434024" w:rsidRDefault="00434024" w:rsidP="007B261C">
      <w:pPr>
        <w:pStyle w:val="Normal1"/>
        <w:spacing w:line="360" w:lineRule="auto"/>
        <w:jc w:val="center"/>
        <w:rPr>
          <w:rFonts w:ascii="Times New Roman" w:eastAsia="Times New Roman" w:hAnsi="Times New Roman" w:cs="Times New Roman"/>
          <w:b/>
          <w:sz w:val="32"/>
          <w:szCs w:val="32"/>
        </w:rPr>
      </w:pPr>
    </w:p>
    <w:p w14:paraId="609E9709" w14:textId="77777777" w:rsidR="00434024" w:rsidRPr="00434024" w:rsidRDefault="00434024" w:rsidP="007B261C">
      <w:pPr>
        <w:pStyle w:val="Normal1"/>
        <w:spacing w:line="360" w:lineRule="auto"/>
        <w:jc w:val="center"/>
        <w:rPr>
          <w:rFonts w:ascii="Times New Roman" w:eastAsia="Times New Roman" w:hAnsi="Times New Roman" w:cs="Times New Roman"/>
          <w:b/>
          <w:sz w:val="32"/>
          <w:szCs w:val="32"/>
        </w:rPr>
      </w:pPr>
    </w:p>
    <w:p w14:paraId="08DCE69B" w14:textId="10D7FBDB" w:rsidR="00434024" w:rsidRDefault="00434024" w:rsidP="0043402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Name: Victoria Grigoras</w:t>
      </w:r>
    </w:p>
    <w:p w14:paraId="1D8771F9" w14:textId="77777777" w:rsidR="00434024" w:rsidRDefault="00434024" w:rsidP="0043402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ID:2234531</w:t>
      </w:r>
    </w:p>
    <w:p w14:paraId="702C10A1" w14:textId="28A538FF" w:rsidR="00434024" w:rsidRDefault="00434024" w:rsidP="0043402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Module code:(LCBB400</w:t>
      </w:r>
      <w:r>
        <w:rPr>
          <w:rFonts w:ascii="Times New Roman" w:eastAsia="Times New Roman" w:hAnsi="Times New Roman" w:cs="Times New Roman"/>
          <w:sz w:val="24"/>
          <w:szCs w:val="24"/>
        </w:rPr>
        <w:t>1</w:t>
      </w:r>
      <w:r>
        <w:rPr>
          <w:rFonts w:ascii="Times New Roman" w:eastAsia="Times New Roman" w:hAnsi="Times New Roman" w:cs="Times New Roman"/>
          <w:sz w:val="24"/>
          <w:szCs w:val="24"/>
        </w:rPr>
        <w:t>)</w:t>
      </w:r>
    </w:p>
    <w:p w14:paraId="6586F303" w14:textId="2F35195A" w:rsidR="00434024" w:rsidRDefault="00434024" w:rsidP="0043402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Module name: </w:t>
      </w:r>
      <w:r>
        <w:rPr>
          <w:rFonts w:ascii="Times New Roman" w:eastAsia="Times New Roman" w:hAnsi="Times New Roman" w:cs="Times New Roman"/>
          <w:sz w:val="24"/>
          <w:szCs w:val="24"/>
        </w:rPr>
        <w:t>Accounting Fundamentals</w:t>
      </w:r>
    </w:p>
    <w:p w14:paraId="0525A41E" w14:textId="774F7EF4" w:rsidR="00434024" w:rsidRDefault="00434024" w:rsidP="0043402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Lecturer: </w:t>
      </w:r>
      <w:r>
        <w:rPr>
          <w:rFonts w:ascii="Times New Roman" w:eastAsia="Times New Roman" w:hAnsi="Times New Roman" w:cs="Times New Roman"/>
          <w:sz w:val="24"/>
          <w:szCs w:val="24"/>
        </w:rPr>
        <w:t>Hossein Shokri</w:t>
      </w:r>
    </w:p>
    <w:p w14:paraId="1015C734" w14:textId="77777777" w:rsidR="00434024" w:rsidRDefault="00434024" w:rsidP="00434024">
      <w:pPr>
        <w:spacing w:line="360" w:lineRule="auto"/>
        <w:ind w:left="1440" w:firstLine="720"/>
        <w:rPr>
          <w:rFonts w:ascii="Times New Roman" w:eastAsia="Times New Roman" w:hAnsi="Times New Roman" w:cs="Times New Roman"/>
          <w:sz w:val="24"/>
          <w:szCs w:val="24"/>
        </w:rPr>
      </w:pPr>
      <w:r w:rsidRPr="00D5064C">
        <w:rPr>
          <w:rFonts w:ascii="Times New Roman" w:eastAsia="Times New Roman" w:hAnsi="Times New Roman" w:cs="Times New Roman"/>
          <w:b/>
          <w:sz w:val="24"/>
          <w:szCs w:val="24"/>
        </w:rPr>
        <w:br w:type="page"/>
      </w:r>
    </w:p>
    <w:p w14:paraId="1FACC076" w14:textId="2E87C120" w:rsidR="003D42E5" w:rsidRPr="007E4058" w:rsidRDefault="003D42E5" w:rsidP="007B261C">
      <w:pPr>
        <w:spacing w:line="360" w:lineRule="auto"/>
        <w:rPr>
          <w:rFonts w:ascii="Times New Roman" w:eastAsia="Times New Roman" w:hAnsi="Times New Roman" w:cs="Times New Roman"/>
          <w:b/>
          <w:sz w:val="24"/>
          <w:szCs w:val="24"/>
        </w:rPr>
      </w:pPr>
    </w:p>
    <w:p w14:paraId="5B491D53" w14:textId="1A072896" w:rsidR="00AE0CB2" w:rsidRPr="0094231E" w:rsidRDefault="00000000" w:rsidP="00DC42C4">
      <w:pPr>
        <w:pStyle w:val="Normal1"/>
        <w:spacing w:line="360" w:lineRule="auto"/>
        <w:jc w:val="center"/>
        <w:rPr>
          <w:rFonts w:ascii="Times New Roman" w:eastAsia="Times New Roman" w:hAnsi="Times New Roman" w:cs="Times New Roman"/>
          <w:b/>
          <w:sz w:val="24"/>
          <w:szCs w:val="24"/>
        </w:rPr>
      </w:pPr>
      <w:r w:rsidRPr="0094231E">
        <w:rPr>
          <w:rFonts w:ascii="Times New Roman" w:eastAsia="Times New Roman" w:hAnsi="Times New Roman" w:cs="Times New Roman"/>
          <w:b/>
          <w:sz w:val="24"/>
          <w:szCs w:val="24"/>
        </w:rPr>
        <w:t>Introduction</w:t>
      </w:r>
    </w:p>
    <w:p w14:paraId="1EF6D0D2" w14:textId="77777777" w:rsidR="00AE0CB2" w:rsidRPr="0094231E" w:rsidRDefault="00000000" w:rsidP="007B261C">
      <w:pPr>
        <w:pStyle w:val="Normal1"/>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The study aims to focus on accounting fundamentals. Financial reports significantly help to determine the financial performance, liquidity, and position of a business. To compare the financial position of a company with its prior years' performance or with the competitive businesses in the market financial reports and statements have always played a vital role. This assignment will be on preparing the financial statements of Wales plc and also defining the reason behind the balanced form of the financial position statement. Different types of ratios of Sweets plc will also be found using their relevant formulas and comments about the financial health of that company.</w:t>
      </w:r>
    </w:p>
    <w:p w14:paraId="7DB5DB28" w14:textId="77777777" w:rsidR="00AE0CB2" w:rsidRPr="0094231E" w:rsidRDefault="00000000" w:rsidP="007B261C">
      <w:pPr>
        <w:pStyle w:val="Normal1"/>
        <w:spacing w:line="360" w:lineRule="auto"/>
        <w:jc w:val="both"/>
        <w:rPr>
          <w:rFonts w:ascii="Times New Roman" w:eastAsia="Times New Roman" w:hAnsi="Times New Roman" w:cs="Times New Roman"/>
          <w:b/>
          <w:sz w:val="24"/>
          <w:szCs w:val="24"/>
        </w:rPr>
      </w:pPr>
      <w:r w:rsidRPr="0094231E">
        <w:rPr>
          <w:rFonts w:ascii="Times New Roman" w:eastAsia="Times New Roman" w:hAnsi="Times New Roman" w:cs="Times New Roman"/>
          <w:b/>
          <w:sz w:val="24"/>
          <w:szCs w:val="24"/>
        </w:rPr>
        <w:t>Main Body</w:t>
      </w:r>
    </w:p>
    <w:tbl>
      <w:tblPr>
        <w:tblStyle w:val="Table1"/>
        <w:tblW w:w="718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4185"/>
        <w:gridCol w:w="1500"/>
        <w:gridCol w:w="1500"/>
      </w:tblGrid>
      <w:tr w:rsidR="00AE0CB2" w:rsidRPr="0094231E" w14:paraId="1D9FFE08" w14:textId="77777777">
        <w:trPr>
          <w:trHeight w:val="315"/>
          <w:jc w:val="center"/>
        </w:trPr>
        <w:tc>
          <w:tcPr>
            <w:tcW w:w="7185" w:type="dxa"/>
            <w:gridSpan w:val="3"/>
            <w:tcBorders>
              <w:top w:val="single" w:sz="6" w:space="0" w:color="000000"/>
              <w:left w:val="single" w:sz="6" w:space="0" w:color="000000"/>
              <w:bottom w:val="single" w:sz="6" w:space="0" w:color="000000"/>
              <w:right w:val="single" w:sz="6" w:space="0" w:color="000000"/>
            </w:tcBorders>
            <w:shd w:val="clear" w:color="auto" w:fill="EDC686"/>
            <w:tcMar>
              <w:top w:w="0" w:type="dxa"/>
              <w:left w:w="40" w:type="dxa"/>
              <w:bottom w:w="0" w:type="dxa"/>
              <w:right w:w="40" w:type="dxa"/>
            </w:tcMar>
            <w:vAlign w:val="bottom"/>
          </w:tcPr>
          <w:p w14:paraId="44A589B0"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In the books of Wales Plc</w:t>
            </w:r>
          </w:p>
        </w:tc>
      </w:tr>
      <w:tr w:rsidR="00AE0CB2" w:rsidRPr="0094231E" w14:paraId="62455F36" w14:textId="77777777">
        <w:trPr>
          <w:trHeight w:val="315"/>
          <w:jc w:val="center"/>
        </w:trPr>
        <w:tc>
          <w:tcPr>
            <w:tcW w:w="7185" w:type="dxa"/>
            <w:gridSpan w:val="3"/>
            <w:tcBorders>
              <w:top w:val="single" w:sz="6" w:space="0" w:color="CCCCCC"/>
              <w:left w:val="single" w:sz="6" w:space="0" w:color="000000"/>
              <w:bottom w:val="single" w:sz="6" w:space="0" w:color="000000"/>
              <w:right w:val="single" w:sz="6" w:space="0" w:color="000000"/>
            </w:tcBorders>
            <w:shd w:val="clear" w:color="auto" w:fill="EDC686"/>
            <w:tcMar>
              <w:top w:w="0" w:type="dxa"/>
              <w:left w:w="40" w:type="dxa"/>
              <w:bottom w:w="0" w:type="dxa"/>
              <w:right w:w="40" w:type="dxa"/>
            </w:tcMar>
            <w:vAlign w:val="bottom"/>
          </w:tcPr>
          <w:p w14:paraId="1DE12B43"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Income Statement</w:t>
            </w:r>
          </w:p>
        </w:tc>
      </w:tr>
      <w:tr w:rsidR="00AE0CB2" w:rsidRPr="0094231E" w14:paraId="518CF679" w14:textId="77777777">
        <w:trPr>
          <w:trHeight w:val="315"/>
          <w:jc w:val="center"/>
        </w:trPr>
        <w:tc>
          <w:tcPr>
            <w:tcW w:w="7185" w:type="dxa"/>
            <w:gridSpan w:val="3"/>
            <w:tcBorders>
              <w:top w:val="single" w:sz="6" w:space="0" w:color="CCCCCC"/>
              <w:left w:val="single" w:sz="6" w:space="0" w:color="000000"/>
              <w:bottom w:val="single" w:sz="6" w:space="0" w:color="000000"/>
              <w:right w:val="single" w:sz="6" w:space="0" w:color="000000"/>
            </w:tcBorders>
            <w:shd w:val="clear" w:color="auto" w:fill="EDC686"/>
            <w:tcMar>
              <w:top w:w="0" w:type="dxa"/>
              <w:left w:w="40" w:type="dxa"/>
              <w:bottom w:w="0" w:type="dxa"/>
              <w:right w:w="40" w:type="dxa"/>
            </w:tcMar>
            <w:vAlign w:val="bottom"/>
          </w:tcPr>
          <w:p w14:paraId="1A628B76"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For the year ended 31st December 2022</w:t>
            </w:r>
          </w:p>
        </w:tc>
      </w:tr>
      <w:tr w:rsidR="00AE0CB2" w:rsidRPr="0094231E" w14:paraId="472FED99" w14:textId="77777777">
        <w:trPr>
          <w:trHeight w:val="315"/>
          <w:jc w:val="center"/>
        </w:trPr>
        <w:tc>
          <w:tcPr>
            <w:tcW w:w="4185"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27D85A2C"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Particulars</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32081823"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Amount</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7B92BB7F"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Amount</w:t>
            </w:r>
          </w:p>
        </w:tc>
      </w:tr>
      <w:tr w:rsidR="00AE0CB2" w:rsidRPr="0094231E" w14:paraId="6F002FF5" w14:textId="77777777">
        <w:trPr>
          <w:trHeight w:val="315"/>
          <w:jc w:val="center"/>
        </w:trPr>
        <w:tc>
          <w:tcPr>
            <w:tcW w:w="4185"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14BAE72B"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Sales</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61431544"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£800,000</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6593B7D4"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0C51FF1C" w14:textId="77777777">
        <w:trPr>
          <w:trHeight w:val="315"/>
          <w:jc w:val="center"/>
        </w:trPr>
        <w:tc>
          <w:tcPr>
            <w:tcW w:w="4185"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753CB214"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Less: Unadjusted Sales</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34888EA5"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£980</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75D520A3"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2B96A094" w14:textId="77777777">
        <w:trPr>
          <w:trHeight w:val="315"/>
          <w:jc w:val="center"/>
        </w:trPr>
        <w:tc>
          <w:tcPr>
            <w:tcW w:w="4185"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40B48C3F" w14:textId="77777777" w:rsidR="00AE0CB2" w:rsidRPr="0094231E" w:rsidRDefault="00AE0CB2" w:rsidP="007B261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697513C4"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4B843FF6"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£799,020</w:t>
            </w:r>
          </w:p>
        </w:tc>
      </w:tr>
      <w:tr w:rsidR="00AE0CB2" w:rsidRPr="0094231E" w14:paraId="5ADB0968" w14:textId="77777777">
        <w:trPr>
          <w:trHeight w:val="315"/>
          <w:jc w:val="center"/>
        </w:trPr>
        <w:tc>
          <w:tcPr>
            <w:tcW w:w="4185"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4C9B09EF"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Cost of sales</w:t>
            </w:r>
          </w:p>
        </w:tc>
        <w:tc>
          <w:tcPr>
            <w:tcW w:w="1500" w:type="dxa"/>
            <w:tcBorders>
              <w:top w:val="single" w:sz="6" w:space="0" w:color="000000"/>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72D8EA31"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069D47E0"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£578,650</w:t>
            </w:r>
          </w:p>
        </w:tc>
      </w:tr>
      <w:tr w:rsidR="00AE0CB2" w:rsidRPr="0094231E" w14:paraId="0EC49C18" w14:textId="77777777">
        <w:trPr>
          <w:trHeight w:val="315"/>
          <w:jc w:val="center"/>
        </w:trPr>
        <w:tc>
          <w:tcPr>
            <w:tcW w:w="4185" w:type="dxa"/>
            <w:tcBorders>
              <w:top w:val="single" w:sz="6" w:space="0" w:color="CCCCCC"/>
              <w:left w:val="single" w:sz="6" w:space="0" w:color="000000"/>
              <w:bottom w:val="single" w:sz="6" w:space="0" w:color="000000"/>
              <w:right w:val="single" w:sz="6" w:space="0" w:color="000000"/>
            </w:tcBorders>
            <w:shd w:val="clear" w:color="auto" w:fill="EDC686"/>
            <w:tcMar>
              <w:top w:w="0" w:type="dxa"/>
              <w:left w:w="40" w:type="dxa"/>
              <w:bottom w:w="0" w:type="dxa"/>
              <w:right w:w="40" w:type="dxa"/>
            </w:tcMar>
            <w:vAlign w:val="bottom"/>
          </w:tcPr>
          <w:p w14:paraId="2004BAFE"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Gross Profit</w:t>
            </w:r>
          </w:p>
        </w:tc>
        <w:tc>
          <w:tcPr>
            <w:tcW w:w="1500" w:type="dxa"/>
            <w:tcBorders>
              <w:top w:val="single" w:sz="6" w:space="0" w:color="CCCCCC"/>
              <w:left w:val="single" w:sz="6" w:space="0" w:color="CCCCCC"/>
              <w:bottom w:val="single" w:sz="6" w:space="0" w:color="000000"/>
              <w:right w:val="single" w:sz="6" w:space="0" w:color="000000"/>
            </w:tcBorders>
            <w:shd w:val="clear" w:color="auto" w:fill="EDC686"/>
            <w:tcMar>
              <w:top w:w="0" w:type="dxa"/>
              <w:left w:w="40" w:type="dxa"/>
              <w:bottom w:w="0" w:type="dxa"/>
              <w:right w:w="40" w:type="dxa"/>
            </w:tcMar>
            <w:vAlign w:val="bottom"/>
          </w:tcPr>
          <w:p w14:paraId="70865E70"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EDC686"/>
            <w:tcMar>
              <w:top w:w="0" w:type="dxa"/>
              <w:left w:w="40" w:type="dxa"/>
              <w:bottom w:w="0" w:type="dxa"/>
              <w:right w:w="40" w:type="dxa"/>
            </w:tcMar>
            <w:vAlign w:val="bottom"/>
          </w:tcPr>
          <w:p w14:paraId="6DE1E96B"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£220,370</w:t>
            </w:r>
          </w:p>
        </w:tc>
      </w:tr>
      <w:tr w:rsidR="00AE0CB2" w:rsidRPr="0094231E" w14:paraId="315278EE" w14:textId="77777777">
        <w:trPr>
          <w:trHeight w:val="315"/>
          <w:jc w:val="center"/>
        </w:trPr>
        <w:tc>
          <w:tcPr>
            <w:tcW w:w="4185"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27A4FFB0"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Percentage of Gross Profit</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7FF1DAE6"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7C67B332"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27.58%</w:t>
            </w:r>
          </w:p>
        </w:tc>
      </w:tr>
      <w:tr w:rsidR="00AE0CB2" w:rsidRPr="0094231E" w14:paraId="7A1CAB63" w14:textId="77777777">
        <w:trPr>
          <w:trHeight w:val="315"/>
          <w:jc w:val="center"/>
        </w:trPr>
        <w:tc>
          <w:tcPr>
            <w:tcW w:w="4185"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43F60E5D"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u w:val="single"/>
              </w:rPr>
              <w:t>Less: Operating Expenses</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5191DFB3"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643FAEAA"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403F08EA" w14:textId="77777777">
        <w:trPr>
          <w:trHeight w:val="315"/>
          <w:jc w:val="center"/>
        </w:trPr>
        <w:tc>
          <w:tcPr>
            <w:tcW w:w="4185"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38E7E9EE"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Administrative expenses</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340617C5"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£30,000</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68CA9EE8"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1204FCA0" w14:textId="77777777">
        <w:trPr>
          <w:trHeight w:val="315"/>
          <w:jc w:val="center"/>
        </w:trPr>
        <w:tc>
          <w:tcPr>
            <w:tcW w:w="4185"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4D45E2A8"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Distribution costs</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0D152538"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£28,000</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7F41952E"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4B73472F" w14:textId="77777777">
        <w:trPr>
          <w:trHeight w:val="315"/>
          <w:jc w:val="center"/>
        </w:trPr>
        <w:tc>
          <w:tcPr>
            <w:tcW w:w="4185"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645C43CA"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Directors remuneration</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42A18907"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£5,000</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4A12B9EB"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629B4A94" w14:textId="77777777">
        <w:trPr>
          <w:trHeight w:val="315"/>
          <w:jc w:val="center"/>
        </w:trPr>
        <w:tc>
          <w:tcPr>
            <w:tcW w:w="4185" w:type="dxa"/>
            <w:tcBorders>
              <w:top w:val="single" w:sz="6" w:space="0" w:color="000000"/>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207EB59C"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Salesmen's outstanding commissions</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3809EBDA"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£3,000</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6FA9DD4A"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544AE793" w14:textId="77777777">
        <w:trPr>
          <w:trHeight w:val="315"/>
          <w:jc w:val="center"/>
        </w:trPr>
        <w:tc>
          <w:tcPr>
            <w:tcW w:w="4185"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7A8902C7"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Ordinary dividend paid</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753C8586"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£20,000</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2DDB61FD"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63C27F77" w14:textId="77777777">
        <w:trPr>
          <w:trHeight w:val="315"/>
          <w:jc w:val="center"/>
        </w:trPr>
        <w:tc>
          <w:tcPr>
            <w:tcW w:w="4185"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58A2C2E0"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Preference dividend paid</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771AE85C"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£30,000</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5E50FB38"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42AAA11B" w14:textId="77777777">
        <w:trPr>
          <w:trHeight w:val="315"/>
          <w:jc w:val="center"/>
        </w:trPr>
        <w:tc>
          <w:tcPr>
            <w:tcW w:w="4185"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37A0D631" w14:textId="77777777" w:rsidR="00AE0CB2" w:rsidRPr="0094231E" w:rsidRDefault="00AE0CB2" w:rsidP="007B261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3045E719"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04BF86FF"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£116,000</w:t>
            </w:r>
          </w:p>
        </w:tc>
      </w:tr>
      <w:tr w:rsidR="00AE0CB2" w:rsidRPr="0094231E" w14:paraId="16531DA8" w14:textId="77777777">
        <w:trPr>
          <w:trHeight w:val="315"/>
          <w:jc w:val="center"/>
        </w:trPr>
        <w:tc>
          <w:tcPr>
            <w:tcW w:w="4185"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26F352B1"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Operating Profit</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5FB80785"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32057480"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£104,370</w:t>
            </w:r>
          </w:p>
        </w:tc>
      </w:tr>
      <w:tr w:rsidR="00AE0CB2" w:rsidRPr="0094231E" w14:paraId="1C4D9E68" w14:textId="77777777">
        <w:trPr>
          <w:trHeight w:val="315"/>
          <w:jc w:val="center"/>
        </w:trPr>
        <w:tc>
          <w:tcPr>
            <w:tcW w:w="4185"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0DA570A1"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Interest Paid</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1EDE859D"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59B8A98E"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£2,000</w:t>
            </w:r>
          </w:p>
        </w:tc>
      </w:tr>
      <w:tr w:rsidR="00AE0CB2" w:rsidRPr="0094231E" w14:paraId="71E21EC3" w14:textId="77777777">
        <w:trPr>
          <w:trHeight w:val="315"/>
          <w:jc w:val="center"/>
        </w:trPr>
        <w:tc>
          <w:tcPr>
            <w:tcW w:w="4185"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68C2ABE2"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Profit after Interest (PBT)</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0F48EE79"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7BF1449C"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£102,370</w:t>
            </w:r>
          </w:p>
        </w:tc>
      </w:tr>
      <w:tr w:rsidR="00AE0CB2" w:rsidRPr="0094231E" w14:paraId="78CF4085" w14:textId="77777777">
        <w:trPr>
          <w:trHeight w:val="315"/>
          <w:jc w:val="center"/>
        </w:trPr>
        <w:tc>
          <w:tcPr>
            <w:tcW w:w="4185"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0AC3160E"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lastRenderedPageBreak/>
              <w:t>Corporation Tax</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7931CA42"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06294881"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£100,000</w:t>
            </w:r>
          </w:p>
        </w:tc>
      </w:tr>
      <w:tr w:rsidR="00AE0CB2" w:rsidRPr="0094231E" w14:paraId="7090525B" w14:textId="77777777">
        <w:trPr>
          <w:trHeight w:val="315"/>
          <w:jc w:val="center"/>
        </w:trPr>
        <w:tc>
          <w:tcPr>
            <w:tcW w:w="4185" w:type="dxa"/>
            <w:tcBorders>
              <w:top w:val="single" w:sz="6" w:space="0" w:color="CCCCCC"/>
              <w:left w:val="single" w:sz="6" w:space="0" w:color="000000"/>
              <w:bottom w:val="single" w:sz="6" w:space="0" w:color="000000"/>
              <w:right w:val="single" w:sz="6" w:space="0" w:color="000000"/>
            </w:tcBorders>
            <w:shd w:val="clear" w:color="auto" w:fill="EDC686"/>
            <w:tcMar>
              <w:top w:w="0" w:type="dxa"/>
              <w:left w:w="40" w:type="dxa"/>
              <w:bottom w:w="0" w:type="dxa"/>
              <w:right w:w="40" w:type="dxa"/>
            </w:tcMar>
            <w:vAlign w:val="bottom"/>
          </w:tcPr>
          <w:p w14:paraId="41EB2F58"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Net Profit</w:t>
            </w:r>
          </w:p>
        </w:tc>
        <w:tc>
          <w:tcPr>
            <w:tcW w:w="1500" w:type="dxa"/>
            <w:tcBorders>
              <w:top w:val="single" w:sz="6" w:space="0" w:color="CCCCCC"/>
              <w:left w:val="single" w:sz="6" w:space="0" w:color="CCCCCC"/>
              <w:bottom w:val="single" w:sz="6" w:space="0" w:color="000000"/>
              <w:right w:val="single" w:sz="6" w:space="0" w:color="000000"/>
            </w:tcBorders>
            <w:shd w:val="clear" w:color="auto" w:fill="EDC686"/>
            <w:tcMar>
              <w:top w:w="0" w:type="dxa"/>
              <w:left w:w="40" w:type="dxa"/>
              <w:bottom w:w="0" w:type="dxa"/>
              <w:right w:w="40" w:type="dxa"/>
            </w:tcMar>
            <w:vAlign w:val="bottom"/>
          </w:tcPr>
          <w:p w14:paraId="768414B6"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EDC686"/>
            <w:tcMar>
              <w:top w:w="0" w:type="dxa"/>
              <w:left w:w="40" w:type="dxa"/>
              <w:bottom w:w="0" w:type="dxa"/>
              <w:right w:w="40" w:type="dxa"/>
            </w:tcMar>
            <w:vAlign w:val="bottom"/>
          </w:tcPr>
          <w:p w14:paraId="441B90D7"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£2,370</w:t>
            </w:r>
          </w:p>
        </w:tc>
      </w:tr>
      <w:tr w:rsidR="00AE0CB2" w:rsidRPr="0094231E" w14:paraId="7EBD5A2A" w14:textId="77777777">
        <w:trPr>
          <w:trHeight w:val="315"/>
          <w:jc w:val="center"/>
        </w:trPr>
        <w:tc>
          <w:tcPr>
            <w:tcW w:w="4185"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6BB46D7C"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Percentage of Net Profit</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03D914C7"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39FECAF8"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0.30%</w:t>
            </w:r>
          </w:p>
        </w:tc>
      </w:tr>
    </w:tbl>
    <w:p w14:paraId="413907CD" w14:textId="77777777" w:rsidR="00AE0CB2" w:rsidRPr="0094231E" w:rsidRDefault="00000000" w:rsidP="007B261C">
      <w:pPr>
        <w:pStyle w:val="Normal1"/>
        <w:spacing w:line="360" w:lineRule="auto"/>
        <w:jc w:val="center"/>
        <w:rPr>
          <w:rFonts w:ascii="Times New Roman" w:eastAsia="Times New Roman" w:hAnsi="Times New Roman" w:cs="Times New Roman"/>
          <w:b/>
          <w:sz w:val="24"/>
          <w:szCs w:val="24"/>
        </w:rPr>
      </w:pPr>
      <w:r w:rsidRPr="0094231E">
        <w:rPr>
          <w:rFonts w:ascii="Times New Roman" w:eastAsia="Times New Roman" w:hAnsi="Times New Roman" w:cs="Times New Roman"/>
          <w:b/>
          <w:sz w:val="24"/>
          <w:szCs w:val="24"/>
        </w:rPr>
        <w:t>Diagram 1: Wales Plc's Income Statement on 31st December 2022</w:t>
      </w:r>
    </w:p>
    <w:p w14:paraId="43ED17C4" w14:textId="7D8D3308" w:rsidR="00AE0CB2" w:rsidRPr="0094231E" w:rsidRDefault="00000000" w:rsidP="007B261C">
      <w:pPr>
        <w:pStyle w:val="Normal1"/>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(Source: Own-prepared, 2023)</w:t>
      </w:r>
    </w:p>
    <w:p w14:paraId="79B5A14D" w14:textId="77777777" w:rsidR="00AE0CB2" w:rsidRPr="0094231E" w:rsidRDefault="00000000" w:rsidP="007B261C">
      <w:pPr>
        <w:pStyle w:val="Normal1"/>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Statement of Income</w:t>
      </w:r>
      <w:r w:rsidRPr="0094231E">
        <w:rPr>
          <w:rFonts w:ascii="Times New Roman" w:eastAsia="Times New Roman" w:hAnsi="Times New Roman" w:cs="Times New Roman"/>
          <w:sz w:val="24"/>
          <w:szCs w:val="24"/>
        </w:rPr>
        <w:t xml:space="preserve"> of a business has implied such a statement that has provided a brief overview of their revenue, indirect and direct expenses, and profit of a curtain year or period (</w:t>
      </w:r>
      <w:r w:rsidRPr="0094231E">
        <w:rPr>
          <w:rFonts w:ascii="Times New Roman" w:eastAsia="Times New Roman" w:hAnsi="Times New Roman" w:cs="Times New Roman"/>
          <w:color w:val="222222"/>
          <w:sz w:val="24"/>
          <w:szCs w:val="24"/>
          <w:highlight w:val="white"/>
        </w:rPr>
        <w:t>Triani, 2023)</w:t>
      </w:r>
      <w:r w:rsidRPr="0094231E">
        <w:rPr>
          <w:rFonts w:ascii="Times New Roman" w:eastAsia="Times New Roman" w:hAnsi="Times New Roman" w:cs="Times New Roman"/>
          <w:sz w:val="24"/>
          <w:szCs w:val="24"/>
        </w:rPr>
        <w:t xml:space="preserve">. An income statement allows the businesses to show their total earnings and expenditures, and also show whether the business has been able to earn more than their running costs or not. Basically, P/L statements can show the profitability of any business of a particular period. The main importance of this statement is it can determine the different types of financial ratios. Considering all the expenses and revenue it can also help to prepare the plans and implement the effective policies (KashFlow, 2019). </w:t>
      </w:r>
    </w:p>
    <w:p w14:paraId="47FA04C7" w14:textId="77777777" w:rsidR="00AE0CB2" w:rsidRPr="0094231E" w:rsidRDefault="00000000" w:rsidP="007B261C">
      <w:pPr>
        <w:pStyle w:val="Normal1"/>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 xml:space="preserve">Gross Profit has implied the profit that is made after deducting all the direct expenses of the business from its revenue of a certain period (Starlingbank, 2023). Gross profit can measure the efficiency of an establishment in using its supplies and labor to offer services and produce goods to its clients. Basically, Gross profit can help to understand the required cost to generate expected revenue (Zoho, 2021). </w:t>
      </w:r>
    </w:p>
    <w:p w14:paraId="5D961F3B" w14:textId="77777777" w:rsidR="00AE0CB2" w:rsidRPr="0094231E" w:rsidRDefault="00000000" w:rsidP="007B261C">
      <w:pPr>
        <w:pStyle w:val="Normal1"/>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In this study, the income statement of Wales Plc has been prepared as per the given data and adjustments on 31st December 2022. The total sales of the company have been recorded as £800,000. The goods worth £980 have already been sent to the consumers on 31st Dec 2022. Hence the payment of the goods is due in 2023. The unadjusted sales are deducted from the sales and the net value of sales is shown as £799,020. The COGS of Wales Plc is recorded as £578,650 for that certain period. Coinciding the net sales and COGS the value of the Gross Profit of Wales PLC is shown as £220,370 on 31st December, 2022. The percentage of Gross Profit is evaluated as 27.58%.</w:t>
      </w:r>
    </w:p>
    <w:p w14:paraId="63390B93" w14:textId="77777777" w:rsidR="00AE0CB2" w:rsidRPr="0094231E" w:rsidRDefault="00000000" w:rsidP="007B261C">
      <w:pPr>
        <w:pStyle w:val="Normal1"/>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 xml:space="preserve">Net Profit has implied the profit that is generated after deducting all the indirect expenses of a business from their Gofis of that specific period. Net profit is considered a vital indicator of the financial health and profitability of any business  (Paddle, 2023). Net profit has played a crucial role in making the decisions about a company's activities like expanding or reducing their expenses. It can help to show the actual profit of any business (Zoho, 2021). </w:t>
      </w:r>
    </w:p>
    <w:p w14:paraId="1E7DEAE2" w14:textId="77777777" w:rsidR="00AE0CB2" w:rsidRPr="0094231E" w:rsidRDefault="00000000" w:rsidP="007B261C">
      <w:pPr>
        <w:pStyle w:val="Normal1"/>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 xml:space="preserve">In the Income Statement of Wales Plc, it is noticed that the company has spent their indirect expenses in their administration, distribution, directors remuneration, ordinary and preference </w:t>
      </w:r>
      <w:r w:rsidRPr="0094231E">
        <w:rPr>
          <w:rFonts w:ascii="Times New Roman" w:eastAsia="Times New Roman" w:hAnsi="Times New Roman" w:cs="Times New Roman"/>
          <w:sz w:val="24"/>
          <w:szCs w:val="24"/>
        </w:rPr>
        <w:lastRenderedPageBreak/>
        <w:t>dividends as respectively £30,000, £28,000, £5,000,  £20,000, and £30,000. The salesmen's outstanding is recorded as £3,000 which is also considered as the indirect cost of the income statement. The amount of interest paid and corporate tax of Wales Plc are respectively £2,000 and £100,000. After considering all the indirect costs and adjustments the net profit of this company is shown as £2370. The percentage of net profit has been estimated as 0.30%.</w:t>
      </w:r>
    </w:p>
    <w:tbl>
      <w:tblPr>
        <w:tblStyle w:val="Table2"/>
        <w:tblW w:w="802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5025"/>
        <w:gridCol w:w="1500"/>
        <w:gridCol w:w="1500"/>
      </w:tblGrid>
      <w:tr w:rsidR="00AE0CB2" w:rsidRPr="0094231E" w14:paraId="64882007" w14:textId="77777777">
        <w:trPr>
          <w:trHeight w:val="315"/>
          <w:jc w:val="center"/>
        </w:trPr>
        <w:tc>
          <w:tcPr>
            <w:tcW w:w="8025" w:type="dxa"/>
            <w:gridSpan w:val="3"/>
            <w:tcBorders>
              <w:top w:val="single" w:sz="6" w:space="0" w:color="000000"/>
              <w:left w:val="single" w:sz="6" w:space="0" w:color="000000"/>
              <w:bottom w:val="single" w:sz="6" w:space="0" w:color="000000"/>
              <w:right w:val="single" w:sz="6" w:space="0" w:color="000000"/>
            </w:tcBorders>
            <w:shd w:val="clear" w:color="auto" w:fill="EDC686"/>
            <w:tcMar>
              <w:top w:w="0" w:type="dxa"/>
              <w:left w:w="40" w:type="dxa"/>
              <w:bottom w:w="0" w:type="dxa"/>
              <w:right w:w="40" w:type="dxa"/>
            </w:tcMar>
            <w:vAlign w:val="bottom"/>
          </w:tcPr>
          <w:p w14:paraId="5FA8A9D4"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In the books of Wales Plc</w:t>
            </w:r>
          </w:p>
        </w:tc>
      </w:tr>
      <w:tr w:rsidR="00AE0CB2" w:rsidRPr="0094231E" w14:paraId="4E48C9B6" w14:textId="77777777">
        <w:trPr>
          <w:trHeight w:val="315"/>
          <w:jc w:val="center"/>
        </w:trPr>
        <w:tc>
          <w:tcPr>
            <w:tcW w:w="8025" w:type="dxa"/>
            <w:gridSpan w:val="3"/>
            <w:tcBorders>
              <w:top w:val="single" w:sz="6" w:space="0" w:color="CCCCCC"/>
              <w:left w:val="single" w:sz="6" w:space="0" w:color="000000"/>
              <w:bottom w:val="single" w:sz="6" w:space="0" w:color="000000"/>
              <w:right w:val="single" w:sz="6" w:space="0" w:color="000000"/>
            </w:tcBorders>
            <w:shd w:val="clear" w:color="auto" w:fill="EDC686"/>
            <w:tcMar>
              <w:top w:w="0" w:type="dxa"/>
              <w:left w:w="40" w:type="dxa"/>
              <w:bottom w:w="0" w:type="dxa"/>
              <w:right w:w="40" w:type="dxa"/>
            </w:tcMar>
            <w:vAlign w:val="bottom"/>
          </w:tcPr>
          <w:p w14:paraId="5541899A"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Statement of Financial Position</w:t>
            </w:r>
          </w:p>
        </w:tc>
      </w:tr>
      <w:tr w:rsidR="00AE0CB2" w:rsidRPr="0094231E" w14:paraId="1A08E43C" w14:textId="77777777">
        <w:trPr>
          <w:trHeight w:val="315"/>
          <w:jc w:val="center"/>
        </w:trPr>
        <w:tc>
          <w:tcPr>
            <w:tcW w:w="8025" w:type="dxa"/>
            <w:gridSpan w:val="3"/>
            <w:tcBorders>
              <w:top w:val="single" w:sz="6" w:space="0" w:color="CCCCCC"/>
              <w:left w:val="single" w:sz="6" w:space="0" w:color="000000"/>
              <w:bottom w:val="single" w:sz="6" w:space="0" w:color="000000"/>
              <w:right w:val="single" w:sz="6" w:space="0" w:color="000000"/>
            </w:tcBorders>
            <w:shd w:val="clear" w:color="auto" w:fill="EDC686"/>
            <w:tcMar>
              <w:top w:w="0" w:type="dxa"/>
              <w:left w:w="40" w:type="dxa"/>
              <w:bottom w:w="0" w:type="dxa"/>
              <w:right w:w="40" w:type="dxa"/>
            </w:tcMar>
            <w:vAlign w:val="bottom"/>
          </w:tcPr>
          <w:p w14:paraId="596F331E"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As of 31st December 2022</w:t>
            </w:r>
          </w:p>
        </w:tc>
      </w:tr>
      <w:tr w:rsidR="00AE0CB2" w:rsidRPr="0094231E" w14:paraId="0F6A7D24" w14:textId="77777777">
        <w:trPr>
          <w:trHeight w:val="315"/>
          <w:jc w:val="center"/>
        </w:trPr>
        <w:tc>
          <w:tcPr>
            <w:tcW w:w="5025"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62289F92"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Particulars</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4B7E92B5"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color w:val="1F1F1F"/>
                <w:sz w:val="24"/>
                <w:szCs w:val="24"/>
              </w:rPr>
              <w:t>Amount</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51CF0E75"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color w:val="1F1F1F"/>
                <w:sz w:val="24"/>
                <w:szCs w:val="24"/>
              </w:rPr>
              <w:t>Amount</w:t>
            </w:r>
          </w:p>
        </w:tc>
      </w:tr>
      <w:tr w:rsidR="00AE0CB2" w:rsidRPr="0094231E" w14:paraId="2BE1E529" w14:textId="77777777">
        <w:trPr>
          <w:trHeight w:val="315"/>
          <w:jc w:val="center"/>
        </w:trPr>
        <w:tc>
          <w:tcPr>
            <w:tcW w:w="5025" w:type="dxa"/>
            <w:tcBorders>
              <w:top w:val="single" w:sz="6" w:space="0" w:color="000000"/>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034F915E"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I. Equity and Liabilities</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1E887AF9"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74E2624C"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04D70D85" w14:textId="77777777">
        <w:trPr>
          <w:trHeight w:val="315"/>
          <w:jc w:val="center"/>
        </w:trPr>
        <w:tc>
          <w:tcPr>
            <w:tcW w:w="5025" w:type="dxa"/>
            <w:tcBorders>
              <w:top w:val="single" w:sz="6" w:space="0" w:color="000000"/>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142130EF"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u w:val="single"/>
              </w:rPr>
            </w:pPr>
            <w:r w:rsidRPr="0094231E">
              <w:rPr>
                <w:rFonts w:ascii="Times New Roman" w:eastAsia="Times New Roman" w:hAnsi="Times New Roman" w:cs="Times New Roman"/>
                <w:b/>
                <w:i/>
                <w:sz w:val="24"/>
                <w:szCs w:val="24"/>
              </w:rPr>
              <w:t>(A) Shareholders' Fund</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585F0EE6"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51CB71BC"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695EEA98" w14:textId="77777777">
        <w:trPr>
          <w:trHeight w:val="315"/>
          <w:jc w:val="center"/>
        </w:trPr>
        <w:tc>
          <w:tcPr>
            <w:tcW w:w="5025" w:type="dxa"/>
            <w:tcBorders>
              <w:top w:val="single" w:sz="6" w:space="0" w:color="000000"/>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492E6116"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(a) Ordinary Share</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134F648F"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£900,000</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67D17413"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326CC257" w14:textId="77777777">
        <w:trPr>
          <w:trHeight w:val="315"/>
          <w:jc w:val="center"/>
        </w:trPr>
        <w:tc>
          <w:tcPr>
            <w:tcW w:w="5025" w:type="dxa"/>
            <w:tcBorders>
              <w:top w:val="single" w:sz="6" w:space="0" w:color="000000"/>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795AC66C"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(b) Preference Share</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2A7B0B15"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£500,000</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4D64E332"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2AE4883B" w14:textId="77777777">
        <w:trPr>
          <w:trHeight w:val="315"/>
          <w:jc w:val="center"/>
        </w:trPr>
        <w:tc>
          <w:tcPr>
            <w:tcW w:w="5025"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116860E5" w14:textId="77777777" w:rsidR="00AE0CB2" w:rsidRPr="0094231E" w:rsidRDefault="00AE0CB2" w:rsidP="007B261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6C59EA22"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50781C5A"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£1,400,000</w:t>
            </w:r>
          </w:p>
        </w:tc>
      </w:tr>
      <w:tr w:rsidR="00AE0CB2" w:rsidRPr="0094231E" w14:paraId="7AC7EF96" w14:textId="77777777">
        <w:trPr>
          <w:trHeight w:val="315"/>
          <w:jc w:val="center"/>
        </w:trPr>
        <w:tc>
          <w:tcPr>
            <w:tcW w:w="5025" w:type="dxa"/>
            <w:tcBorders>
              <w:top w:val="single" w:sz="6" w:space="0" w:color="000000"/>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1C4B099D"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u w:val="single"/>
              </w:rPr>
            </w:pPr>
            <w:r w:rsidRPr="0094231E">
              <w:rPr>
                <w:rFonts w:ascii="Times New Roman" w:eastAsia="Times New Roman" w:hAnsi="Times New Roman" w:cs="Times New Roman"/>
                <w:b/>
                <w:i/>
                <w:sz w:val="24"/>
                <w:szCs w:val="24"/>
              </w:rPr>
              <w:t>(B) Reserves and Securities</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05BC9F22"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30319FB0"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46A68100" w14:textId="77777777">
        <w:trPr>
          <w:trHeight w:val="315"/>
          <w:jc w:val="center"/>
        </w:trPr>
        <w:tc>
          <w:tcPr>
            <w:tcW w:w="5025" w:type="dxa"/>
            <w:tcBorders>
              <w:top w:val="single" w:sz="6" w:space="0" w:color="000000"/>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633F46B9"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(a) Profit and Loss Account (Net Profit)</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0D892384"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£2,370</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61243F8A"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1396096B" w14:textId="77777777">
        <w:trPr>
          <w:trHeight w:val="315"/>
          <w:jc w:val="center"/>
        </w:trPr>
        <w:tc>
          <w:tcPr>
            <w:tcW w:w="5025" w:type="dxa"/>
            <w:tcBorders>
              <w:top w:val="single" w:sz="6" w:space="0" w:color="000000"/>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7CAFBE1B"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(b) Retained Profits</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7D1CFB3B"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£132,000</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5BDEF626"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684105BA" w14:textId="77777777">
        <w:trPr>
          <w:trHeight w:val="315"/>
          <w:jc w:val="center"/>
        </w:trPr>
        <w:tc>
          <w:tcPr>
            <w:tcW w:w="5025"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7DF3F9C7" w14:textId="77777777" w:rsidR="00AE0CB2" w:rsidRPr="0094231E" w:rsidRDefault="00AE0CB2" w:rsidP="007B261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13C23212"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1C0789E0"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£134,370</w:t>
            </w:r>
          </w:p>
        </w:tc>
      </w:tr>
      <w:tr w:rsidR="00AE0CB2" w:rsidRPr="0094231E" w14:paraId="1415CA62" w14:textId="77777777">
        <w:trPr>
          <w:trHeight w:val="315"/>
          <w:jc w:val="center"/>
        </w:trPr>
        <w:tc>
          <w:tcPr>
            <w:tcW w:w="5025" w:type="dxa"/>
            <w:tcBorders>
              <w:top w:val="single" w:sz="6" w:space="0" w:color="000000"/>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2185A8FB"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u w:val="single"/>
              </w:rPr>
            </w:pPr>
            <w:r w:rsidRPr="0094231E">
              <w:rPr>
                <w:rFonts w:ascii="Times New Roman" w:eastAsia="Times New Roman" w:hAnsi="Times New Roman" w:cs="Times New Roman"/>
                <w:b/>
                <w:i/>
                <w:sz w:val="24"/>
                <w:szCs w:val="24"/>
              </w:rPr>
              <w:t>(C) Long-term Liabilities</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1FB07B0E"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506D81B5"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761687A4" w14:textId="77777777">
        <w:trPr>
          <w:trHeight w:val="315"/>
          <w:jc w:val="center"/>
        </w:trPr>
        <w:tc>
          <w:tcPr>
            <w:tcW w:w="5025" w:type="dxa"/>
            <w:tcBorders>
              <w:top w:val="single" w:sz="6" w:space="0" w:color="000000"/>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2301CBF9"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(a) 2% Debentures</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16FAD60B"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2FF21B85"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£200,000</w:t>
            </w:r>
          </w:p>
        </w:tc>
      </w:tr>
      <w:tr w:rsidR="00AE0CB2" w:rsidRPr="0094231E" w14:paraId="6ACF12DC" w14:textId="77777777">
        <w:trPr>
          <w:trHeight w:val="315"/>
          <w:jc w:val="center"/>
        </w:trPr>
        <w:tc>
          <w:tcPr>
            <w:tcW w:w="5025" w:type="dxa"/>
            <w:tcBorders>
              <w:top w:val="single" w:sz="6" w:space="0" w:color="000000"/>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595EA5F9"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u w:val="single"/>
              </w:rPr>
            </w:pPr>
            <w:r w:rsidRPr="0094231E">
              <w:rPr>
                <w:rFonts w:ascii="Times New Roman" w:eastAsia="Times New Roman" w:hAnsi="Times New Roman" w:cs="Times New Roman"/>
                <w:b/>
                <w:i/>
                <w:sz w:val="24"/>
                <w:szCs w:val="24"/>
              </w:rPr>
              <w:t>(D) Current Liabilities</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1F1223FD"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15FB7548"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6EA884BB" w14:textId="77777777">
        <w:trPr>
          <w:trHeight w:val="315"/>
          <w:jc w:val="center"/>
        </w:trPr>
        <w:tc>
          <w:tcPr>
            <w:tcW w:w="5025" w:type="dxa"/>
            <w:tcBorders>
              <w:top w:val="single" w:sz="6" w:space="0" w:color="000000"/>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25137B9B"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(a) Trade Payable</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7779C28C"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£188,625</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15295B84"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012C783F" w14:textId="77777777">
        <w:trPr>
          <w:trHeight w:val="315"/>
          <w:jc w:val="center"/>
        </w:trPr>
        <w:tc>
          <w:tcPr>
            <w:tcW w:w="5025" w:type="dxa"/>
            <w:tcBorders>
              <w:top w:val="single" w:sz="6" w:space="0" w:color="000000"/>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51F8F976"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(b) Salesmen's outstanding Commission</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578703B3"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£3,000</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71A5D014"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6CAF77A1" w14:textId="77777777">
        <w:trPr>
          <w:trHeight w:val="315"/>
          <w:jc w:val="center"/>
        </w:trPr>
        <w:tc>
          <w:tcPr>
            <w:tcW w:w="5025" w:type="dxa"/>
            <w:tcBorders>
              <w:top w:val="single" w:sz="6" w:space="0" w:color="000000"/>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220DA86F"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(c) Corporation Tax</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01036FDD"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£100,000</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7BE71F7A"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0C8D95D9" w14:textId="77777777">
        <w:trPr>
          <w:trHeight w:val="315"/>
          <w:jc w:val="center"/>
        </w:trPr>
        <w:tc>
          <w:tcPr>
            <w:tcW w:w="5025"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228D4344" w14:textId="77777777" w:rsidR="00AE0CB2" w:rsidRPr="0094231E" w:rsidRDefault="00AE0CB2" w:rsidP="007B261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205A5136"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43EA3F5C"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£291,625</w:t>
            </w:r>
          </w:p>
        </w:tc>
      </w:tr>
      <w:tr w:rsidR="00AE0CB2" w:rsidRPr="0094231E" w14:paraId="6572DD25" w14:textId="77777777">
        <w:trPr>
          <w:trHeight w:val="315"/>
          <w:jc w:val="center"/>
        </w:trPr>
        <w:tc>
          <w:tcPr>
            <w:tcW w:w="5025" w:type="dxa"/>
            <w:tcBorders>
              <w:top w:val="single" w:sz="6" w:space="0" w:color="CCCCCC"/>
              <w:left w:val="single" w:sz="6" w:space="0" w:color="000000"/>
              <w:bottom w:val="single" w:sz="6" w:space="0" w:color="000000"/>
              <w:right w:val="single" w:sz="6" w:space="0" w:color="000000"/>
            </w:tcBorders>
            <w:shd w:val="clear" w:color="auto" w:fill="EDC686"/>
            <w:tcMar>
              <w:top w:w="0" w:type="dxa"/>
              <w:left w:w="40" w:type="dxa"/>
              <w:bottom w:w="0" w:type="dxa"/>
              <w:right w:w="40" w:type="dxa"/>
            </w:tcMar>
            <w:vAlign w:val="bottom"/>
          </w:tcPr>
          <w:p w14:paraId="2EBA6F1D"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TOTAL EQUITY AND LIABILITIES</w:t>
            </w:r>
          </w:p>
        </w:tc>
        <w:tc>
          <w:tcPr>
            <w:tcW w:w="1500" w:type="dxa"/>
            <w:tcBorders>
              <w:top w:val="single" w:sz="6" w:space="0" w:color="CCCCCC"/>
              <w:left w:val="single" w:sz="6" w:space="0" w:color="CCCCCC"/>
              <w:bottom w:val="single" w:sz="6" w:space="0" w:color="000000"/>
              <w:right w:val="single" w:sz="6" w:space="0" w:color="000000"/>
            </w:tcBorders>
            <w:shd w:val="clear" w:color="auto" w:fill="EDC686"/>
            <w:tcMar>
              <w:top w:w="0" w:type="dxa"/>
              <w:left w:w="40" w:type="dxa"/>
              <w:bottom w:w="0" w:type="dxa"/>
              <w:right w:w="40" w:type="dxa"/>
            </w:tcMar>
            <w:vAlign w:val="bottom"/>
          </w:tcPr>
          <w:p w14:paraId="414577BD"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EDC686"/>
            <w:tcMar>
              <w:top w:w="0" w:type="dxa"/>
              <w:left w:w="40" w:type="dxa"/>
              <w:bottom w:w="0" w:type="dxa"/>
              <w:right w:w="40" w:type="dxa"/>
            </w:tcMar>
            <w:vAlign w:val="bottom"/>
          </w:tcPr>
          <w:p w14:paraId="210F5D16"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£2,025,995</w:t>
            </w:r>
          </w:p>
        </w:tc>
      </w:tr>
      <w:tr w:rsidR="00AE0CB2" w:rsidRPr="0094231E" w14:paraId="521A8981" w14:textId="77777777">
        <w:trPr>
          <w:trHeight w:val="315"/>
          <w:jc w:val="center"/>
        </w:trPr>
        <w:tc>
          <w:tcPr>
            <w:tcW w:w="5025" w:type="dxa"/>
            <w:tcBorders>
              <w:top w:val="single" w:sz="6" w:space="0" w:color="000000"/>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029AD193"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II. Assets</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0866B4EB"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67375DE8"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33116561" w14:textId="77777777">
        <w:trPr>
          <w:trHeight w:val="315"/>
          <w:jc w:val="center"/>
        </w:trPr>
        <w:tc>
          <w:tcPr>
            <w:tcW w:w="5025" w:type="dxa"/>
            <w:tcBorders>
              <w:top w:val="single" w:sz="6" w:space="0" w:color="000000"/>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5F19EA8F"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u w:val="single"/>
              </w:rPr>
            </w:pPr>
            <w:r w:rsidRPr="0094231E">
              <w:rPr>
                <w:rFonts w:ascii="Times New Roman" w:eastAsia="Times New Roman" w:hAnsi="Times New Roman" w:cs="Times New Roman"/>
                <w:b/>
                <w:i/>
                <w:sz w:val="24"/>
                <w:szCs w:val="24"/>
              </w:rPr>
              <w:t>(A) Non-current Assets</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004861D8"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73DE528A"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0B09757D" w14:textId="77777777">
        <w:trPr>
          <w:trHeight w:val="315"/>
          <w:jc w:val="center"/>
        </w:trPr>
        <w:tc>
          <w:tcPr>
            <w:tcW w:w="5025" w:type="dxa"/>
            <w:tcBorders>
              <w:top w:val="single" w:sz="6" w:space="0" w:color="000000"/>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3D6B1C05"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(a) Plant and Equipment</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511EC73A"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24CDECFD"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£1,250,000</w:t>
            </w:r>
          </w:p>
        </w:tc>
      </w:tr>
      <w:tr w:rsidR="00AE0CB2" w:rsidRPr="0094231E" w14:paraId="416898E5" w14:textId="77777777">
        <w:trPr>
          <w:trHeight w:val="315"/>
          <w:jc w:val="center"/>
        </w:trPr>
        <w:tc>
          <w:tcPr>
            <w:tcW w:w="5025" w:type="dxa"/>
            <w:tcBorders>
              <w:top w:val="single" w:sz="6" w:space="0" w:color="000000"/>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04ECEC25"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u w:val="single"/>
              </w:rPr>
            </w:pPr>
            <w:r w:rsidRPr="0094231E">
              <w:rPr>
                <w:rFonts w:ascii="Times New Roman" w:eastAsia="Times New Roman" w:hAnsi="Times New Roman" w:cs="Times New Roman"/>
                <w:b/>
                <w:i/>
                <w:sz w:val="24"/>
                <w:szCs w:val="24"/>
              </w:rPr>
              <w:t>(B) Current Assets</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102BEF9B"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0093CE93"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6AEC6B24" w14:textId="77777777">
        <w:trPr>
          <w:trHeight w:val="315"/>
          <w:jc w:val="center"/>
        </w:trPr>
        <w:tc>
          <w:tcPr>
            <w:tcW w:w="5025" w:type="dxa"/>
            <w:tcBorders>
              <w:top w:val="single" w:sz="6" w:space="0" w:color="000000"/>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64BE6B92"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(a) Stock (Less: Unadjusted Sales)</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7831B84C"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£509,870</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267829E8"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030C71DD" w14:textId="77777777">
        <w:trPr>
          <w:trHeight w:val="315"/>
          <w:jc w:val="center"/>
        </w:trPr>
        <w:tc>
          <w:tcPr>
            <w:tcW w:w="5025" w:type="dxa"/>
            <w:tcBorders>
              <w:top w:val="single" w:sz="6" w:space="0" w:color="000000"/>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0AD73752"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(b) Trade receivable</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7D720659"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£170,125</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1A6A8210"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24F0CAF6" w14:textId="77777777">
        <w:trPr>
          <w:trHeight w:val="315"/>
          <w:jc w:val="center"/>
        </w:trPr>
        <w:tc>
          <w:tcPr>
            <w:tcW w:w="5025" w:type="dxa"/>
            <w:tcBorders>
              <w:top w:val="single" w:sz="6" w:space="0" w:color="000000"/>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0F78DACB"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lastRenderedPageBreak/>
              <w:t>(c) Cash and Bank</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2A6E575F"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£96,000</w:t>
            </w: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661A95C6"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r>
      <w:tr w:rsidR="00AE0CB2" w:rsidRPr="0094231E" w14:paraId="507C0FC1" w14:textId="77777777">
        <w:trPr>
          <w:trHeight w:val="315"/>
          <w:jc w:val="center"/>
        </w:trPr>
        <w:tc>
          <w:tcPr>
            <w:tcW w:w="5025"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44A706C6" w14:textId="77777777" w:rsidR="00AE0CB2" w:rsidRPr="0094231E" w:rsidRDefault="00AE0CB2" w:rsidP="007B261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56BBB7BD"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7A84B761"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£775,995</w:t>
            </w:r>
          </w:p>
        </w:tc>
      </w:tr>
      <w:tr w:rsidR="00AE0CB2" w:rsidRPr="0094231E" w14:paraId="09750F14" w14:textId="77777777">
        <w:trPr>
          <w:trHeight w:val="315"/>
          <w:jc w:val="center"/>
        </w:trPr>
        <w:tc>
          <w:tcPr>
            <w:tcW w:w="5025" w:type="dxa"/>
            <w:tcBorders>
              <w:top w:val="single" w:sz="6" w:space="0" w:color="CCCCCC"/>
              <w:left w:val="single" w:sz="6" w:space="0" w:color="000000"/>
              <w:bottom w:val="single" w:sz="6" w:space="0" w:color="000000"/>
              <w:right w:val="single" w:sz="6" w:space="0" w:color="000000"/>
            </w:tcBorders>
            <w:shd w:val="clear" w:color="auto" w:fill="EDC686"/>
            <w:tcMar>
              <w:top w:w="0" w:type="dxa"/>
              <w:left w:w="40" w:type="dxa"/>
              <w:bottom w:w="0" w:type="dxa"/>
              <w:right w:w="40" w:type="dxa"/>
            </w:tcMar>
            <w:vAlign w:val="bottom"/>
          </w:tcPr>
          <w:p w14:paraId="42754158"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TOTAL ASSETS</w:t>
            </w:r>
          </w:p>
        </w:tc>
        <w:tc>
          <w:tcPr>
            <w:tcW w:w="1500" w:type="dxa"/>
            <w:tcBorders>
              <w:top w:val="single" w:sz="6" w:space="0" w:color="CCCCCC"/>
              <w:left w:val="single" w:sz="6" w:space="0" w:color="CCCCCC"/>
              <w:bottom w:val="single" w:sz="6" w:space="0" w:color="000000"/>
              <w:right w:val="single" w:sz="6" w:space="0" w:color="000000"/>
            </w:tcBorders>
            <w:shd w:val="clear" w:color="auto" w:fill="EDC686"/>
            <w:tcMar>
              <w:top w:w="0" w:type="dxa"/>
              <w:left w:w="40" w:type="dxa"/>
              <w:bottom w:w="0" w:type="dxa"/>
              <w:right w:w="40" w:type="dxa"/>
            </w:tcMar>
            <w:vAlign w:val="bottom"/>
          </w:tcPr>
          <w:p w14:paraId="2758ABD4" w14:textId="77777777" w:rsidR="00AE0CB2" w:rsidRPr="0094231E" w:rsidRDefault="00AE0CB2" w:rsidP="007B261C">
            <w:pPr>
              <w:pStyle w:val="Normal1"/>
              <w:widowControl w:val="0"/>
              <w:spacing w:line="360" w:lineRule="auto"/>
              <w:jc w:val="center"/>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EDC686"/>
            <w:tcMar>
              <w:top w:w="0" w:type="dxa"/>
              <w:left w:w="40" w:type="dxa"/>
              <w:bottom w:w="0" w:type="dxa"/>
              <w:right w:w="40" w:type="dxa"/>
            </w:tcMar>
            <w:vAlign w:val="bottom"/>
          </w:tcPr>
          <w:p w14:paraId="0FC4BC36"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£2,025,995</w:t>
            </w:r>
          </w:p>
        </w:tc>
      </w:tr>
    </w:tbl>
    <w:p w14:paraId="6AD0333A" w14:textId="77777777" w:rsidR="00AE0CB2" w:rsidRPr="0094231E" w:rsidRDefault="00000000" w:rsidP="007B261C">
      <w:pPr>
        <w:pStyle w:val="Normal1"/>
        <w:spacing w:line="360" w:lineRule="auto"/>
        <w:ind w:left="720"/>
        <w:jc w:val="center"/>
        <w:rPr>
          <w:rFonts w:ascii="Times New Roman" w:eastAsia="Times New Roman" w:hAnsi="Times New Roman" w:cs="Times New Roman"/>
          <w:b/>
          <w:sz w:val="24"/>
          <w:szCs w:val="24"/>
        </w:rPr>
      </w:pPr>
      <w:r w:rsidRPr="0094231E">
        <w:rPr>
          <w:rFonts w:ascii="Times New Roman" w:eastAsia="Times New Roman" w:hAnsi="Times New Roman" w:cs="Times New Roman"/>
          <w:b/>
          <w:sz w:val="24"/>
          <w:szCs w:val="24"/>
        </w:rPr>
        <w:t>Diagram 2: Wales Plc's Financial Position on 31st December 2022</w:t>
      </w:r>
    </w:p>
    <w:p w14:paraId="504A246A" w14:textId="2CEBA235" w:rsidR="00AE0CB2" w:rsidRPr="0094231E" w:rsidRDefault="00000000" w:rsidP="007B261C">
      <w:pPr>
        <w:pStyle w:val="Normal1"/>
        <w:spacing w:line="360" w:lineRule="auto"/>
        <w:ind w:left="720"/>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(Source: Own-prepared, 2023)</w:t>
      </w:r>
    </w:p>
    <w:p w14:paraId="4763E986" w14:textId="77777777" w:rsidR="00AE0CB2" w:rsidRPr="0094231E" w:rsidRDefault="00000000" w:rsidP="007B261C">
      <w:pPr>
        <w:pStyle w:val="Normal1"/>
        <w:spacing w:line="360" w:lineRule="auto"/>
        <w:jc w:val="both"/>
        <w:rPr>
          <w:rFonts w:ascii="Times New Roman" w:eastAsia="Times New Roman" w:hAnsi="Times New Roman" w:cs="Times New Roman"/>
          <w:b/>
          <w:sz w:val="24"/>
          <w:szCs w:val="24"/>
        </w:rPr>
      </w:pPr>
      <w:r w:rsidRPr="0094231E">
        <w:rPr>
          <w:rFonts w:ascii="Times New Roman" w:eastAsia="Times New Roman" w:hAnsi="Times New Roman" w:cs="Times New Roman"/>
          <w:b/>
          <w:sz w:val="24"/>
          <w:szCs w:val="24"/>
        </w:rPr>
        <w:t>A statement of Financial Position</w:t>
      </w:r>
      <w:r w:rsidRPr="0094231E">
        <w:rPr>
          <w:rFonts w:ascii="Times New Roman" w:eastAsia="Times New Roman" w:hAnsi="Times New Roman" w:cs="Times New Roman"/>
          <w:sz w:val="24"/>
          <w:szCs w:val="24"/>
        </w:rPr>
        <w:t xml:space="preserve"> has implied a statement that has reported the shareholders' equity, liabilities, and assets of the business of a specific period (</w:t>
      </w:r>
      <w:r w:rsidRPr="0094231E">
        <w:rPr>
          <w:rFonts w:ascii="Times New Roman" w:eastAsia="Times New Roman" w:hAnsi="Times New Roman" w:cs="Times New Roman"/>
          <w:color w:val="222222"/>
          <w:sz w:val="24"/>
          <w:szCs w:val="24"/>
          <w:highlight w:val="white"/>
        </w:rPr>
        <w:t xml:space="preserve">Felber </w:t>
      </w:r>
      <w:r w:rsidRPr="0094231E">
        <w:rPr>
          <w:rFonts w:ascii="Times New Roman" w:eastAsia="Times New Roman" w:hAnsi="Times New Roman" w:cs="Times New Roman"/>
          <w:i/>
          <w:color w:val="222222"/>
          <w:sz w:val="24"/>
          <w:szCs w:val="24"/>
          <w:highlight w:val="white"/>
        </w:rPr>
        <w:t>et al.</w:t>
      </w:r>
      <w:r w:rsidRPr="0094231E">
        <w:rPr>
          <w:rFonts w:ascii="Times New Roman" w:eastAsia="Times New Roman" w:hAnsi="Times New Roman" w:cs="Times New Roman"/>
          <w:color w:val="222222"/>
          <w:sz w:val="24"/>
          <w:szCs w:val="24"/>
          <w:highlight w:val="white"/>
        </w:rPr>
        <w:t xml:space="preserve"> 2019)</w:t>
      </w:r>
      <w:r w:rsidRPr="0094231E">
        <w:rPr>
          <w:rFonts w:ascii="Times New Roman" w:eastAsia="Times New Roman" w:hAnsi="Times New Roman" w:cs="Times New Roman"/>
          <w:sz w:val="24"/>
          <w:szCs w:val="24"/>
        </w:rPr>
        <w:t>. It is a very useful statement of the existing and potential investors of a company to evaluate the capital structure of their business. The lenders are also benefited from this accounting statement to measure the ability to pay back their payables or debts. It has also played an essential part in ratio analysis (</w:t>
      </w:r>
      <w:r w:rsidRPr="0094231E">
        <w:rPr>
          <w:rFonts w:ascii="Times New Roman" w:eastAsia="Times New Roman" w:hAnsi="Times New Roman" w:cs="Times New Roman"/>
          <w:color w:val="222222"/>
          <w:sz w:val="24"/>
          <w:szCs w:val="24"/>
          <w:highlight w:val="white"/>
        </w:rPr>
        <w:t>GoCardless, 2022)</w:t>
      </w:r>
      <w:r w:rsidRPr="0094231E">
        <w:rPr>
          <w:rFonts w:ascii="Times New Roman" w:eastAsia="Times New Roman" w:hAnsi="Times New Roman" w:cs="Times New Roman"/>
          <w:sz w:val="24"/>
          <w:szCs w:val="24"/>
        </w:rPr>
        <w:t>.</w:t>
      </w:r>
    </w:p>
    <w:p w14:paraId="5F028C8C" w14:textId="77777777" w:rsidR="00AE0CB2" w:rsidRPr="0094231E" w:rsidRDefault="00000000" w:rsidP="007B261C">
      <w:pPr>
        <w:pStyle w:val="Normal1"/>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 xml:space="preserve">In the Financial Position Statement of  Wales Plc, it is noticed that the value of their total liabilities and total assets both are in a balanced position is £2,025,995. In their Shareholders' Fund, two types of shares such as ordinary and preference are included which are valued at £900,000 and £500,000 respectively. In the segment of Reserves and Surplus, the net profit of £2,370 and retained profit of £132,000 are considered. The company has obtained a 2% Debenture value of £200,000. The current liabilities such as trade payables, salesmen's outstanding commission, and corporate tax of the company are recorded as £1,88,652, £3,000, and 1,00,000 respectively on the side of  Equity and Liabilities. On the Assets side, Plant and Equipment of Wales Plc are recorded as non-current assets with a value of £1,250,000. In the segment of non-current assets of this company adjusted sales, trade receivable, and cash and bank are included with the value of £509,870, £170,125, and £96,000 respectively. </w:t>
      </w:r>
    </w:p>
    <w:p w14:paraId="7FD6D303" w14:textId="77777777" w:rsidR="00AE0CB2" w:rsidRPr="0094231E" w:rsidRDefault="00000000" w:rsidP="007B261C">
      <w:pPr>
        <w:pStyle w:val="Normal1"/>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Both the assets and liability side of a perfect Financial Position statement is always stated in a balanced position. That means the combination of capital and the total liability of a business is always equal to the value of its total assets. As all the entry of a business is recorded maintaining the double entry system, the Financial Position Statement is always kept in balanced form. As per the double entry system, all business-related transactions are recorded in a minimum of two various ledger accounts. As a result, the users of financial statements can be sure about the consistency of the entries. Financial Position Statements maintain the duality principle that Capital+Liabilities= Assets and it leads both asset and liability to stay in a balanced form (</w:t>
      </w:r>
      <w:r w:rsidRPr="0094231E">
        <w:rPr>
          <w:rFonts w:ascii="Times New Roman" w:eastAsia="Times New Roman" w:hAnsi="Times New Roman" w:cs="Times New Roman"/>
          <w:color w:val="222222"/>
          <w:sz w:val="24"/>
          <w:szCs w:val="24"/>
          <w:highlight w:val="white"/>
        </w:rPr>
        <w:t>GoCardless, 2021)</w:t>
      </w:r>
      <w:r w:rsidRPr="0094231E">
        <w:rPr>
          <w:rFonts w:ascii="Times New Roman" w:eastAsia="Times New Roman" w:hAnsi="Times New Roman" w:cs="Times New Roman"/>
          <w:sz w:val="24"/>
          <w:szCs w:val="24"/>
        </w:rPr>
        <w:t>.</w:t>
      </w:r>
    </w:p>
    <w:p w14:paraId="6F6A1977" w14:textId="77777777" w:rsidR="00AE0CB2" w:rsidRPr="0094231E" w:rsidRDefault="00000000" w:rsidP="007B261C">
      <w:pPr>
        <w:pStyle w:val="Normal1"/>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lastRenderedPageBreak/>
        <w:t>The ratio is basically used in comparing the business performance of a certain year with the previous years (</w:t>
      </w:r>
      <w:r w:rsidRPr="0094231E">
        <w:rPr>
          <w:rFonts w:ascii="Times New Roman" w:eastAsia="Times New Roman" w:hAnsi="Times New Roman" w:cs="Times New Roman"/>
          <w:color w:val="222222"/>
          <w:sz w:val="24"/>
          <w:szCs w:val="24"/>
          <w:highlight w:val="white"/>
        </w:rPr>
        <w:t>Cotter, 2021)</w:t>
      </w:r>
      <w:r w:rsidRPr="0094231E">
        <w:rPr>
          <w:rFonts w:ascii="Times New Roman" w:eastAsia="Times New Roman" w:hAnsi="Times New Roman" w:cs="Times New Roman"/>
          <w:sz w:val="24"/>
          <w:szCs w:val="24"/>
        </w:rPr>
        <w:t>. Based on the P/L Statement and Financial Position Statement of Sweets plc the following ratios are calculated for two years, 2021 and 2020.</w:t>
      </w:r>
    </w:p>
    <w:tbl>
      <w:tblPr>
        <w:tblStyle w:val="Table3"/>
        <w:tblW w:w="902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842"/>
        <w:gridCol w:w="1092"/>
        <w:gridCol w:w="1092"/>
      </w:tblGrid>
      <w:tr w:rsidR="00AE0CB2" w:rsidRPr="0094231E" w14:paraId="7D7B0409" w14:textId="77777777">
        <w:trPr>
          <w:trHeight w:val="315"/>
        </w:trPr>
        <w:tc>
          <w:tcPr>
            <w:tcW w:w="9024" w:type="dxa"/>
            <w:gridSpan w:val="3"/>
            <w:tcBorders>
              <w:top w:val="single" w:sz="6" w:space="0" w:color="000000"/>
              <w:left w:val="single" w:sz="6" w:space="0" w:color="000000"/>
              <w:bottom w:val="single" w:sz="6" w:space="0" w:color="000000"/>
              <w:right w:val="single" w:sz="6" w:space="0" w:color="000000"/>
            </w:tcBorders>
            <w:shd w:val="clear" w:color="auto" w:fill="EDC686"/>
            <w:tcMar>
              <w:top w:w="0" w:type="dxa"/>
              <w:left w:w="40" w:type="dxa"/>
              <w:bottom w:w="0" w:type="dxa"/>
              <w:right w:w="40" w:type="dxa"/>
            </w:tcMar>
            <w:vAlign w:val="bottom"/>
          </w:tcPr>
          <w:p w14:paraId="545FE257"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1. ROCE</w:t>
            </w:r>
          </w:p>
        </w:tc>
      </w:tr>
      <w:tr w:rsidR="00AE0CB2" w:rsidRPr="0094231E" w14:paraId="48CFD2E4"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7356C4B4"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Particulars</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62C51BE8"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2021</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3ECC907D"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2020</w:t>
            </w:r>
          </w:p>
        </w:tc>
      </w:tr>
      <w:tr w:rsidR="00AE0CB2" w:rsidRPr="0094231E" w14:paraId="275D1A8C"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F9F97B"/>
            <w:tcMar>
              <w:top w:w="0" w:type="dxa"/>
              <w:left w:w="40" w:type="dxa"/>
              <w:bottom w:w="0" w:type="dxa"/>
              <w:right w:w="40" w:type="dxa"/>
            </w:tcMar>
            <w:vAlign w:val="bottom"/>
          </w:tcPr>
          <w:p w14:paraId="67DA599B" w14:textId="77777777" w:rsidR="00AE0CB2" w:rsidRPr="0094231E" w:rsidRDefault="00000000" w:rsidP="007B261C">
            <w:pPr>
              <w:pStyle w:val="Normal1"/>
              <w:widowControl w:val="0"/>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EBIT</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3EAC74E9"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£805</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790DF42B"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£699</w:t>
            </w:r>
          </w:p>
        </w:tc>
      </w:tr>
      <w:tr w:rsidR="00AE0CB2" w:rsidRPr="0094231E" w14:paraId="4B28A59D"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F9F97B"/>
            <w:tcMar>
              <w:top w:w="0" w:type="dxa"/>
              <w:left w:w="40" w:type="dxa"/>
              <w:bottom w:w="0" w:type="dxa"/>
              <w:right w:w="40" w:type="dxa"/>
            </w:tcMar>
            <w:vAlign w:val="bottom"/>
          </w:tcPr>
          <w:p w14:paraId="39D02954" w14:textId="77777777" w:rsidR="00AE0CB2" w:rsidRPr="0094231E" w:rsidRDefault="00000000" w:rsidP="007B261C">
            <w:pPr>
              <w:pStyle w:val="Normal1"/>
              <w:widowControl w:val="0"/>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Total Assets</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01CE4566"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£9,736</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61491146"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£10,087</w:t>
            </w:r>
          </w:p>
        </w:tc>
      </w:tr>
      <w:tr w:rsidR="00AE0CB2" w:rsidRPr="0094231E" w14:paraId="66DD7B6D"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F9F97B"/>
            <w:tcMar>
              <w:top w:w="0" w:type="dxa"/>
              <w:left w:w="40" w:type="dxa"/>
              <w:bottom w:w="0" w:type="dxa"/>
              <w:right w:w="40" w:type="dxa"/>
            </w:tcMar>
            <w:vAlign w:val="bottom"/>
          </w:tcPr>
          <w:p w14:paraId="71665A30" w14:textId="77777777" w:rsidR="00AE0CB2" w:rsidRPr="0094231E" w:rsidRDefault="00000000" w:rsidP="007B261C">
            <w:pPr>
              <w:pStyle w:val="Normal1"/>
              <w:widowControl w:val="0"/>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Current Liabilities</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7E9EE1B0"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£2,511</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30451FB0"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£3,046</w:t>
            </w:r>
          </w:p>
        </w:tc>
      </w:tr>
      <w:tr w:rsidR="00AE0CB2" w:rsidRPr="0094231E" w14:paraId="656C1985"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F9F97B"/>
            <w:tcMar>
              <w:top w:w="0" w:type="dxa"/>
              <w:left w:w="40" w:type="dxa"/>
              <w:bottom w:w="0" w:type="dxa"/>
              <w:right w:w="40" w:type="dxa"/>
            </w:tcMar>
            <w:vAlign w:val="bottom"/>
          </w:tcPr>
          <w:p w14:paraId="59D4F24B" w14:textId="77777777" w:rsidR="00AE0CB2" w:rsidRPr="0094231E" w:rsidRDefault="00000000" w:rsidP="007B261C">
            <w:pPr>
              <w:pStyle w:val="Normal1"/>
              <w:widowControl w:val="0"/>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Total Capital employed</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595FFE16"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£7,225</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52A37FD6"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£7,041</w:t>
            </w:r>
          </w:p>
        </w:tc>
      </w:tr>
      <w:tr w:rsidR="00AE0CB2" w:rsidRPr="0094231E" w14:paraId="4447DD29"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7F1BE8EA"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ROCE [(Earning before Interest and tax/ capital employed)*100]</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6CC364E6"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11.14%</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1F02AA31"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9.93%</w:t>
            </w:r>
          </w:p>
        </w:tc>
      </w:tr>
    </w:tbl>
    <w:p w14:paraId="13FC530D" w14:textId="77777777" w:rsidR="00AE0CB2" w:rsidRPr="0094231E" w:rsidRDefault="00000000" w:rsidP="007B261C">
      <w:pPr>
        <w:pStyle w:val="Normal1"/>
        <w:spacing w:line="360" w:lineRule="auto"/>
        <w:jc w:val="center"/>
        <w:rPr>
          <w:rFonts w:ascii="Times New Roman" w:eastAsia="Times New Roman" w:hAnsi="Times New Roman" w:cs="Times New Roman"/>
          <w:b/>
          <w:sz w:val="24"/>
          <w:szCs w:val="24"/>
        </w:rPr>
      </w:pPr>
      <w:r w:rsidRPr="0094231E">
        <w:rPr>
          <w:rFonts w:ascii="Times New Roman" w:eastAsia="Times New Roman" w:hAnsi="Times New Roman" w:cs="Times New Roman"/>
          <w:b/>
          <w:sz w:val="24"/>
          <w:szCs w:val="24"/>
        </w:rPr>
        <w:t>Diagram 3: ROCE Ratio of Sweets PLC</w:t>
      </w:r>
    </w:p>
    <w:p w14:paraId="520AD571" w14:textId="77777777" w:rsidR="00AE0CB2" w:rsidRPr="0094231E" w:rsidRDefault="00000000" w:rsidP="007B261C">
      <w:pPr>
        <w:pStyle w:val="Normal1"/>
        <w:spacing w:line="360" w:lineRule="auto"/>
        <w:jc w:val="center"/>
        <w:rPr>
          <w:rFonts w:ascii="Times New Roman" w:eastAsia="Times New Roman" w:hAnsi="Times New Roman" w:cs="Times New Roman"/>
          <w:b/>
          <w:sz w:val="24"/>
          <w:szCs w:val="24"/>
        </w:rPr>
      </w:pPr>
      <w:r w:rsidRPr="0094231E">
        <w:rPr>
          <w:rFonts w:ascii="Times New Roman" w:eastAsia="Times New Roman" w:hAnsi="Times New Roman" w:cs="Times New Roman"/>
          <w:sz w:val="24"/>
          <w:szCs w:val="24"/>
        </w:rPr>
        <w:t>(Source: Own-prepared, 2023)</w:t>
      </w:r>
    </w:p>
    <w:tbl>
      <w:tblPr>
        <w:tblStyle w:val="Table4"/>
        <w:tblW w:w="902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842"/>
        <w:gridCol w:w="1092"/>
        <w:gridCol w:w="1092"/>
      </w:tblGrid>
      <w:tr w:rsidR="00AE0CB2" w:rsidRPr="0094231E" w14:paraId="341CD0E4" w14:textId="77777777">
        <w:trPr>
          <w:trHeight w:val="315"/>
        </w:trPr>
        <w:tc>
          <w:tcPr>
            <w:tcW w:w="9024" w:type="dxa"/>
            <w:gridSpan w:val="3"/>
            <w:tcBorders>
              <w:top w:val="single" w:sz="6" w:space="0" w:color="000000"/>
              <w:left w:val="single" w:sz="6" w:space="0" w:color="000000"/>
              <w:bottom w:val="single" w:sz="6" w:space="0" w:color="000000"/>
              <w:right w:val="single" w:sz="6" w:space="0" w:color="000000"/>
            </w:tcBorders>
            <w:shd w:val="clear" w:color="auto" w:fill="EDC686"/>
            <w:tcMar>
              <w:top w:w="0" w:type="dxa"/>
              <w:left w:w="40" w:type="dxa"/>
              <w:bottom w:w="0" w:type="dxa"/>
              <w:right w:w="40" w:type="dxa"/>
            </w:tcMar>
            <w:vAlign w:val="bottom"/>
          </w:tcPr>
          <w:p w14:paraId="04AB20FA"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 ROE</w:t>
            </w:r>
          </w:p>
        </w:tc>
      </w:tr>
      <w:tr w:rsidR="00AE0CB2" w:rsidRPr="0094231E" w14:paraId="18041338"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50868BE6"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Particulars</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54B1E4EC"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2021</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47A820EE"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2020</w:t>
            </w:r>
          </w:p>
        </w:tc>
      </w:tr>
      <w:tr w:rsidR="00AE0CB2" w:rsidRPr="0094231E" w14:paraId="6733FC4C"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F9F97B"/>
            <w:tcMar>
              <w:top w:w="0" w:type="dxa"/>
              <w:left w:w="40" w:type="dxa"/>
              <w:bottom w:w="0" w:type="dxa"/>
              <w:right w:w="40" w:type="dxa"/>
            </w:tcMar>
            <w:vAlign w:val="bottom"/>
          </w:tcPr>
          <w:p w14:paraId="6F620D21" w14:textId="77777777" w:rsidR="00AE0CB2" w:rsidRPr="0094231E" w:rsidRDefault="00000000" w:rsidP="007B261C">
            <w:pPr>
              <w:pStyle w:val="Normal1"/>
              <w:widowControl w:val="0"/>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Net income</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1F9E9743"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£431</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221DAAF3"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£366</w:t>
            </w:r>
          </w:p>
        </w:tc>
      </w:tr>
      <w:tr w:rsidR="00AE0CB2" w:rsidRPr="0094231E" w14:paraId="0EB529EE"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F9F97B"/>
            <w:tcMar>
              <w:top w:w="0" w:type="dxa"/>
              <w:left w:w="40" w:type="dxa"/>
              <w:bottom w:w="0" w:type="dxa"/>
              <w:right w:w="40" w:type="dxa"/>
            </w:tcMar>
            <w:vAlign w:val="bottom"/>
          </w:tcPr>
          <w:p w14:paraId="5062EF83" w14:textId="77777777" w:rsidR="00AE0CB2" w:rsidRPr="0094231E" w:rsidRDefault="00000000" w:rsidP="007B261C">
            <w:pPr>
              <w:pStyle w:val="Normal1"/>
              <w:widowControl w:val="0"/>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Shareholder's Equity</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7E8B50C0"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£300</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41A5BFA0"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£300</w:t>
            </w:r>
          </w:p>
        </w:tc>
      </w:tr>
      <w:tr w:rsidR="00AE0CB2" w:rsidRPr="0094231E" w14:paraId="0C712D26"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571649E7"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ROE [Net Income/ Shareholder's Equity]</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0D1E16D6"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1.437</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565EC324"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1.220</w:t>
            </w:r>
          </w:p>
        </w:tc>
      </w:tr>
    </w:tbl>
    <w:p w14:paraId="6CDDC1F3" w14:textId="77777777" w:rsidR="00AE0CB2" w:rsidRPr="0094231E" w:rsidRDefault="00000000" w:rsidP="007B261C">
      <w:pPr>
        <w:pStyle w:val="Normal1"/>
        <w:spacing w:line="360" w:lineRule="auto"/>
        <w:jc w:val="center"/>
        <w:rPr>
          <w:rFonts w:ascii="Times New Roman" w:eastAsia="Times New Roman" w:hAnsi="Times New Roman" w:cs="Times New Roman"/>
          <w:b/>
          <w:sz w:val="24"/>
          <w:szCs w:val="24"/>
        </w:rPr>
      </w:pPr>
      <w:r w:rsidRPr="0094231E">
        <w:rPr>
          <w:rFonts w:ascii="Times New Roman" w:eastAsia="Times New Roman" w:hAnsi="Times New Roman" w:cs="Times New Roman"/>
          <w:b/>
          <w:sz w:val="24"/>
          <w:szCs w:val="24"/>
        </w:rPr>
        <w:t>Diagram 4: ROE Ratio of Sweets PLC</w:t>
      </w:r>
    </w:p>
    <w:p w14:paraId="12667B7F" w14:textId="77777777" w:rsidR="00AE0CB2" w:rsidRPr="0094231E" w:rsidRDefault="00000000" w:rsidP="007B261C">
      <w:pPr>
        <w:pStyle w:val="Normal1"/>
        <w:spacing w:line="360" w:lineRule="auto"/>
        <w:jc w:val="center"/>
        <w:rPr>
          <w:rFonts w:ascii="Times New Roman" w:eastAsia="Times New Roman" w:hAnsi="Times New Roman" w:cs="Times New Roman"/>
          <w:b/>
          <w:sz w:val="24"/>
          <w:szCs w:val="24"/>
        </w:rPr>
      </w:pPr>
      <w:r w:rsidRPr="0094231E">
        <w:rPr>
          <w:rFonts w:ascii="Times New Roman" w:eastAsia="Times New Roman" w:hAnsi="Times New Roman" w:cs="Times New Roman"/>
          <w:sz w:val="24"/>
          <w:szCs w:val="24"/>
        </w:rPr>
        <w:t>(Source: Own-prepared, 2023)</w:t>
      </w:r>
    </w:p>
    <w:tbl>
      <w:tblPr>
        <w:tblStyle w:val="Table5"/>
        <w:tblW w:w="902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842"/>
        <w:gridCol w:w="1092"/>
        <w:gridCol w:w="1092"/>
      </w:tblGrid>
      <w:tr w:rsidR="00AE0CB2" w:rsidRPr="0094231E" w14:paraId="0A206CD1" w14:textId="77777777">
        <w:trPr>
          <w:trHeight w:val="315"/>
        </w:trPr>
        <w:tc>
          <w:tcPr>
            <w:tcW w:w="9024" w:type="dxa"/>
            <w:gridSpan w:val="3"/>
            <w:tcBorders>
              <w:top w:val="single" w:sz="6" w:space="0" w:color="000000"/>
              <w:left w:val="single" w:sz="6" w:space="0" w:color="000000"/>
              <w:bottom w:val="single" w:sz="6" w:space="0" w:color="000000"/>
              <w:right w:val="single" w:sz="6" w:space="0" w:color="000000"/>
            </w:tcBorders>
            <w:shd w:val="clear" w:color="auto" w:fill="EDC686"/>
            <w:tcMar>
              <w:top w:w="0" w:type="dxa"/>
              <w:left w:w="40" w:type="dxa"/>
              <w:bottom w:w="0" w:type="dxa"/>
              <w:right w:w="40" w:type="dxa"/>
            </w:tcMar>
            <w:vAlign w:val="bottom"/>
          </w:tcPr>
          <w:p w14:paraId="009C6020"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3. Earnings per Share</w:t>
            </w:r>
          </w:p>
        </w:tc>
      </w:tr>
      <w:tr w:rsidR="00AE0CB2" w:rsidRPr="0094231E" w14:paraId="2777DBC8"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18FB4274"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Particulars</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7A3127C7"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2021</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4ACFF85D"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2020</w:t>
            </w:r>
          </w:p>
        </w:tc>
      </w:tr>
      <w:tr w:rsidR="00AE0CB2" w:rsidRPr="0094231E" w14:paraId="13F9438B"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F9F97B"/>
            <w:tcMar>
              <w:top w:w="0" w:type="dxa"/>
              <w:left w:w="40" w:type="dxa"/>
              <w:bottom w:w="0" w:type="dxa"/>
              <w:right w:w="40" w:type="dxa"/>
            </w:tcMar>
            <w:vAlign w:val="bottom"/>
          </w:tcPr>
          <w:p w14:paraId="3C3752E3" w14:textId="77777777" w:rsidR="00AE0CB2" w:rsidRPr="0094231E" w:rsidRDefault="00000000" w:rsidP="007B261C">
            <w:pPr>
              <w:pStyle w:val="Normal1"/>
              <w:widowControl w:val="0"/>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Net Income</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31739007"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£431</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396933E9"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£366</w:t>
            </w:r>
          </w:p>
        </w:tc>
      </w:tr>
      <w:tr w:rsidR="00AE0CB2" w:rsidRPr="0094231E" w14:paraId="4B20A5D1"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F9F97B"/>
            <w:tcMar>
              <w:top w:w="0" w:type="dxa"/>
              <w:left w:w="40" w:type="dxa"/>
              <w:bottom w:w="0" w:type="dxa"/>
              <w:right w:w="40" w:type="dxa"/>
            </w:tcMar>
            <w:vAlign w:val="bottom"/>
          </w:tcPr>
          <w:p w14:paraId="5CA0F36D" w14:textId="77777777" w:rsidR="00AE0CB2" w:rsidRPr="0094231E" w:rsidRDefault="00000000" w:rsidP="007B261C">
            <w:pPr>
              <w:pStyle w:val="Normal1"/>
              <w:widowControl w:val="0"/>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Outstanding Shares</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25A784D3"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£300</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269F5F88"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£300</w:t>
            </w:r>
          </w:p>
        </w:tc>
      </w:tr>
      <w:tr w:rsidR="00AE0CB2" w:rsidRPr="0094231E" w14:paraId="0128B6D8"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F9F97B"/>
            <w:tcMar>
              <w:top w:w="0" w:type="dxa"/>
              <w:left w:w="40" w:type="dxa"/>
              <w:bottom w:w="0" w:type="dxa"/>
              <w:right w:w="40" w:type="dxa"/>
            </w:tcMar>
            <w:vAlign w:val="bottom"/>
          </w:tcPr>
          <w:p w14:paraId="3E8632B8" w14:textId="77777777" w:rsidR="00AE0CB2" w:rsidRPr="0094231E" w:rsidRDefault="00000000" w:rsidP="007B261C">
            <w:pPr>
              <w:pStyle w:val="Normal1"/>
              <w:widowControl w:val="0"/>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Average Outstanding Shares</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3D5496FC"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£300</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713108BA"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£150</w:t>
            </w:r>
          </w:p>
        </w:tc>
      </w:tr>
      <w:tr w:rsidR="00AE0CB2" w:rsidRPr="0094231E" w14:paraId="11C77C6C"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F9F97B"/>
            <w:tcMar>
              <w:top w:w="0" w:type="dxa"/>
              <w:left w:w="40" w:type="dxa"/>
              <w:bottom w:w="0" w:type="dxa"/>
              <w:right w:w="40" w:type="dxa"/>
            </w:tcMar>
            <w:vAlign w:val="bottom"/>
          </w:tcPr>
          <w:p w14:paraId="11FB25E8" w14:textId="77777777" w:rsidR="00AE0CB2" w:rsidRPr="0094231E" w:rsidRDefault="00000000" w:rsidP="007B261C">
            <w:pPr>
              <w:pStyle w:val="Normal1"/>
              <w:widowControl w:val="0"/>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Common shares</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6AE9F9EA"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£600</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2D257A09"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£450</w:t>
            </w:r>
          </w:p>
        </w:tc>
      </w:tr>
      <w:tr w:rsidR="00AE0CB2" w:rsidRPr="0094231E" w14:paraId="3B64A7C1" w14:textId="77777777">
        <w:trPr>
          <w:trHeight w:val="555"/>
        </w:trPr>
        <w:tc>
          <w:tcPr>
            <w:tcW w:w="6840"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2CFCE3D9"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Earnings Per Share [Net income-preferred dividend / Weighted average of common shares]</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7CBDC08A"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£0.72</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16905DA1"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£0.81</w:t>
            </w:r>
          </w:p>
        </w:tc>
      </w:tr>
    </w:tbl>
    <w:p w14:paraId="1F846EC8" w14:textId="77777777" w:rsidR="00AE0CB2" w:rsidRPr="0094231E" w:rsidRDefault="00000000" w:rsidP="007B261C">
      <w:pPr>
        <w:pStyle w:val="Normal1"/>
        <w:spacing w:line="360" w:lineRule="auto"/>
        <w:jc w:val="center"/>
        <w:rPr>
          <w:rFonts w:ascii="Times New Roman" w:eastAsia="Times New Roman" w:hAnsi="Times New Roman" w:cs="Times New Roman"/>
          <w:b/>
          <w:sz w:val="24"/>
          <w:szCs w:val="24"/>
        </w:rPr>
      </w:pPr>
      <w:r w:rsidRPr="0094231E">
        <w:rPr>
          <w:rFonts w:ascii="Times New Roman" w:eastAsia="Times New Roman" w:hAnsi="Times New Roman" w:cs="Times New Roman"/>
          <w:b/>
          <w:sz w:val="24"/>
          <w:szCs w:val="24"/>
        </w:rPr>
        <w:t>Diagram 5: EPS Ratio of Sweets PLC</w:t>
      </w:r>
    </w:p>
    <w:p w14:paraId="369AB610" w14:textId="77777777" w:rsidR="00AE0CB2" w:rsidRPr="0094231E" w:rsidRDefault="00000000" w:rsidP="007B261C">
      <w:pPr>
        <w:pStyle w:val="Normal1"/>
        <w:spacing w:line="360" w:lineRule="auto"/>
        <w:jc w:val="center"/>
        <w:rPr>
          <w:rFonts w:ascii="Times New Roman" w:eastAsia="Times New Roman" w:hAnsi="Times New Roman" w:cs="Times New Roman"/>
          <w:b/>
          <w:sz w:val="24"/>
          <w:szCs w:val="24"/>
        </w:rPr>
      </w:pPr>
      <w:r w:rsidRPr="0094231E">
        <w:rPr>
          <w:rFonts w:ascii="Times New Roman" w:eastAsia="Times New Roman" w:hAnsi="Times New Roman" w:cs="Times New Roman"/>
          <w:sz w:val="24"/>
          <w:szCs w:val="24"/>
        </w:rPr>
        <w:t>(Source: Own-prepared, 2023)</w:t>
      </w:r>
    </w:p>
    <w:tbl>
      <w:tblPr>
        <w:tblStyle w:val="Table6"/>
        <w:tblW w:w="902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842"/>
        <w:gridCol w:w="1092"/>
        <w:gridCol w:w="1092"/>
      </w:tblGrid>
      <w:tr w:rsidR="00AE0CB2" w:rsidRPr="0094231E" w14:paraId="1578FA7D" w14:textId="77777777">
        <w:trPr>
          <w:trHeight w:val="315"/>
        </w:trPr>
        <w:tc>
          <w:tcPr>
            <w:tcW w:w="9024" w:type="dxa"/>
            <w:gridSpan w:val="3"/>
            <w:tcBorders>
              <w:top w:val="single" w:sz="6" w:space="0" w:color="000000"/>
              <w:left w:val="single" w:sz="6" w:space="0" w:color="000000"/>
              <w:bottom w:val="single" w:sz="6" w:space="0" w:color="000000"/>
              <w:right w:val="single" w:sz="6" w:space="0" w:color="000000"/>
            </w:tcBorders>
            <w:shd w:val="clear" w:color="auto" w:fill="EDC686"/>
            <w:tcMar>
              <w:top w:w="0" w:type="dxa"/>
              <w:left w:w="40" w:type="dxa"/>
              <w:bottom w:w="0" w:type="dxa"/>
              <w:right w:w="40" w:type="dxa"/>
            </w:tcMar>
            <w:vAlign w:val="bottom"/>
          </w:tcPr>
          <w:p w14:paraId="6847619F"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4. Net profit margin</w:t>
            </w:r>
          </w:p>
        </w:tc>
      </w:tr>
      <w:tr w:rsidR="00AE0CB2" w:rsidRPr="0094231E" w14:paraId="5BE226A6"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5D2E4C33"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Particulars</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542E229C"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2021</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08F28B99"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2020</w:t>
            </w:r>
          </w:p>
        </w:tc>
      </w:tr>
      <w:tr w:rsidR="00AE0CB2" w:rsidRPr="0094231E" w14:paraId="57808C6A"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F9F97B"/>
            <w:tcMar>
              <w:top w:w="0" w:type="dxa"/>
              <w:left w:w="40" w:type="dxa"/>
              <w:bottom w:w="0" w:type="dxa"/>
              <w:right w:w="40" w:type="dxa"/>
            </w:tcMar>
            <w:vAlign w:val="bottom"/>
          </w:tcPr>
          <w:p w14:paraId="0DF1A5BE" w14:textId="77777777" w:rsidR="00AE0CB2" w:rsidRPr="0094231E" w:rsidRDefault="00000000" w:rsidP="007B261C">
            <w:pPr>
              <w:pStyle w:val="Normal1"/>
              <w:widowControl w:val="0"/>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Net Profit</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0A703208"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£431</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0D3C25BD"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£366</w:t>
            </w:r>
          </w:p>
        </w:tc>
      </w:tr>
      <w:tr w:rsidR="00AE0CB2" w:rsidRPr="0094231E" w14:paraId="587673F0"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F9F97B"/>
            <w:tcMar>
              <w:top w:w="0" w:type="dxa"/>
              <w:left w:w="40" w:type="dxa"/>
              <w:bottom w:w="0" w:type="dxa"/>
              <w:right w:w="40" w:type="dxa"/>
            </w:tcMar>
            <w:vAlign w:val="bottom"/>
          </w:tcPr>
          <w:p w14:paraId="7997A6A8" w14:textId="77777777" w:rsidR="00AE0CB2" w:rsidRPr="0094231E" w:rsidRDefault="00000000" w:rsidP="007B261C">
            <w:pPr>
              <w:pStyle w:val="Normal1"/>
              <w:widowControl w:val="0"/>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lastRenderedPageBreak/>
              <w:t>Total Revenue</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49E1674D"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£6,738</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6744E0F1"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£6,441</w:t>
            </w:r>
          </w:p>
        </w:tc>
      </w:tr>
      <w:tr w:rsidR="00AE0CB2" w:rsidRPr="0094231E" w14:paraId="51FB6B00"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534A97BA"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Net Profit Margin [(Net Profit/ Revenue)*100]</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6FAB96BB"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6.40%</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24C26DCF"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5.68%</w:t>
            </w:r>
          </w:p>
        </w:tc>
      </w:tr>
    </w:tbl>
    <w:p w14:paraId="3544BFCF" w14:textId="77777777" w:rsidR="00AE0CB2" w:rsidRPr="0094231E" w:rsidRDefault="00000000" w:rsidP="007B261C">
      <w:pPr>
        <w:pStyle w:val="Normal1"/>
        <w:spacing w:line="360" w:lineRule="auto"/>
        <w:jc w:val="center"/>
        <w:rPr>
          <w:rFonts w:ascii="Times New Roman" w:eastAsia="Times New Roman" w:hAnsi="Times New Roman" w:cs="Times New Roman"/>
          <w:b/>
          <w:sz w:val="24"/>
          <w:szCs w:val="24"/>
        </w:rPr>
      </w:pPr>
      <w:r w:rsidRPr="0094231E">
        <w:rPr>
          <w:rFonts w:ascii="Times New Roman" w:eastAsia="Times New Roman" w:hAnsi="Times New Roman" w:cs="Times New Roman"/>
          <w:b/>
          <w:sz w:val="24"/>
          <w:szCs w:val="24"/>
        </w:rPr>
        <w:t>Diagram 6: Net profit margin of Sweets PLC</w:t>
      </w:r>
    </w:p>
    <w:p w14:paraId="297F35C0" w14:textId="77777777" w:rsidR="00AE0CB2" w:rsidRPr="0094231E" w:rsidRDefault="00000000" w:rsidP="007B261C">
      <w:pPr>
        <w:pStyle w:val="Normal1"/>
        <w:spacing w:line="360" w:lineRule="auto"/>
        <w:jc w:val="center"/>
        <w:rPr>
          <w:rFonts w:ascii="Times New Roman" w:eastAsia="Times New Roman" w:hAnsi="Times New Roman" w:cs="Times New Roman"/>
          <w:b/>
          <w:sz w:val="24"/>
          <w:szCs w:val="24"/>
        </w:rPr>
      </w:pPr>
      <w:r w:rsidRPr="0094231E">
        <w:rPr>
          <w:rFonts w:ascii="Times New Roman" w:eastAsia="Times New Roman" w:hAnsi="Times New Roman" w:cs="Times New Roman"/>
          <w:sz w:val="24"/>
          <w:szCs w:val="24"/>
        </w:rPr>
        <w:t>(Source: Own-prepared, 2023)</w:t>
      </w:r>
    </w:p>
    <w:tbl>
      <w:tblPr>
        <w:tblStyle w:val="Table7"/>
        <w:tblW w:w="902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842"/>
        <w:gridCol w:w="1092"/>
        <w:gridCol w:w="1092"/>
      </w:tblGrid>
      <w:tr w:rsidR="00AE0CB2" w:rsidRPr="0094231E" w14:paraId="30DAF2A8" w14:textId="77777777">
        <w:trPr>
          <w:trHeight w:val="315"/>
        </w:trPr>
        <w:tc>
          <w:tcPr>
            <w:tcW w:w="9024" w:type="dxa"/>
            <w:gridSpan w:val="3"/>
            <w:tcBorders>
              <w:top w:val="single" w:sz="6" w:space="0" w:color="000000"/>
              <w:left w:val="single" w:sz="6" w:space="0" w:color="000000"/>
              <w:bottom w:val="single" w:sz="6" w:space="0" w:color="000000"/>
              <w:right w:val="single" w:sz="6" w:space="0" w:color="000000"/>
            </w:tcBorders>
            <w:shd w:val="clear" w:color="auto" w:fill="EDC686"/>
            <w:tcMar>
              <w:top w:w="0" w:type="dxa"/>
              <w:left w:w="40" w:type="dxa"/>
              <w:bottom w:w="0" w:type="dxa"/>
              <w:right w:w="40" w:type="dxa"/>
            </w:tcMar>
            <w:vAlign w:val="bottom"/>
          </w:tcPr>
          <w:p w14:paraId="103DE084"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5. Asset turnover</w:t>
            </w:r>
          </w:p>
        </w:tc>
      </w:tr>
      <w:tr w:rsidR="00AE0CB2" w:rsidRPr="0094231E" w14:paraId="0CCF81E5"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5A9BF48A"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Particulars</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2C014659"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2021</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47F4939B"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2020</w:t>
            </w:r>
          </w:p>
        </w:tc>
      </w:tr>
      <w:tr w:rsidR="00AE0CB2" w:rsidRPr="0094231E" w14:paraId="6C8FDA14"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F9F97B"/>
            <w:tcMar>
              <w:top w:w="0" w:type="dxa"/>
              <w:left w:w="40" w:type="dxa"/>
              <w:bottom w:w="0" w:type="dxa"/>
              <w:right w:w="40" w:type="dxa"/>
            </w:tcMar>
            <w:vAlign w:val="bottom"/>
          </w:tcPr>
          <w:p w14:paraId="0FB6E6D7" w14:textId="77777777" w:rsidR="00AE0CB2" w:rsidRPr="0094231E" w:rsidRDefault="00000000" w:rsidP="007B261C">
            <w:pPr>
              <w:pStyle w:val="Normal1"/>
              <w:widowControl w:val="0"/>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Total Revenue</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76C285DE"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£6,738</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1F968598"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£6,441</w:t>
            </w:r>
          </w:p>
        </w:tc>
      </w:tr>
      <w:tr w:rsidR="00AE0CB2" w:rsidRPr="0094231E" w14:paraId="711C93A5"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F9F97B"/>
            <w:tcMar>
              <w:top w:w="0" w:type="dxa"/>
              <w:left w:w="40" w:type="dxa"/>
              <w:bottom w:w="0" w:type="dxa"/>
              <w:right w:w="40" w:type="dxa"/>
            </w:tcMar>
            <w:vAlign w:val="bottom"/>
          </w:tcPr>
          <w:p w14:paraId="65AE2481" w14:textId="77777777" w:rsidR="00AE0CB2" w:rsidRPr="0094231E" w:rsidRDefault="00000000" w:rsidP="007B261C">
            <w:pPr>
              <w:pStyle w:val="Normal1"/>
              <w:widowControl w:val="0"/>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Total Asset</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64BB50C9"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£9,736</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01172CC1"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£10,087</w:t>
            </w:r>
          </w:p>
        </w:tc>
      </w:tr>
      <w:tr w:rsidR="00AE0CB2" w:rsidRPr="0094231E" w14:paraId="796E7BE4"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F9F97B"/>
            <w:tcMar>
              <w:top w:w="0" w:type="dxa"/>
              <w:left w:w="40" w:type="dxa"/>
              <w:bottom w:w="0" w:type="dxa"/>
              <w:right w:w="40" w:type="dxa"/>
            </w:tcMar>
            <w:vAlign w:val="bottom"/>
          </w:tcPr>
          <w:p w14:paraId="70590F3C" w14:textId="77777777" w:rsidR="00AE0CB2" w:rsidRPr="0094231E" w:rsidRDefault="00000000" w:rsidP="007B261C">
            <w:pPr>
              <w:pStyle w:val="Normal1"/>
              <w:widowControl w:val="0"/>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Average Total Assets</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23AA6490"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£9,912</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5AE0B437"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£5,044</w:t>
            </w:r>
          </w:p>
        </w:tc>
      </w:tr>
      <w:tr w:rsidR="00AE0CB2" w:rsidRPr="0094231E" w14:paraId="3F802467"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1E93D8D5"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Asset Turnover [Net sales/ Average Total Sales]</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28F238B9"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0.680</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6F76E6C6"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1.277</w:t>
            </w:r>
          </w:p>
        </w:tc>
      </w:tr>
    </w:tbl>
    <w:p w14:paraId="3201619B" w14:textId="77777777" w:rsidR="00AE0CB2" w:rsidRPr="0094231E" w:rsidRDefault="00000000" w:rsidP="007B261C">
      <w:pPr>
        <w:pStyle w:val="Normal1"/>
        <w:spacing w:line="360" w:lineRule="auto"/>
        <w:jc w:val="center"/>
        <w:rPr>
          <w:rFonts w:ascii="Times New Roman" w:eastAsia="Times New Roman" w:hAnsi="Times New Roman" w:cs="Times New Roman"/>
          <w:b/>
          <w:sz w:val="24"/>
          <w:szCs w:val="24"/>
        </w:rPr>
      </w:pPr>
      <w:r w:rsidRPr="0094231E">
        <w:rPr>
          <w:rFonts w:ascii="Times New Roman" w:eastAsia="Times New Roman" w:hAnsi="Times New Roman" w:cs="Times New Roman"/>
          <w:b/>
          <w:sz w:val="24"/>
          <w:szCs w:val="24"/>
        </w:rPr>
        <w:t>Diagram 7: Asset turnover of Sweets PLC</w:t>
      </w:r>
    </w:p>
    <w:p w14:paraId="7A0A3725" w14:textId="77777777" w:rsidR="00AE0CB2" w:rsidRPr="0094231E" w:rsidRDefault="00000000" w:rsidP="007B261C">
      <w:pPr>
        <w:pStyle w:val="Normal1"/>
        <w:spacing w:line="360" w:lineRule="auto"/>
        <w:jc w:val="center"/>
        <w:rPr>
          <w:rFonts w:ascii="Times New Roman" w:eastAsia="Times New Roman" w:hAnsi="Times New Roman" w:cs="Times New Roman"/>
          <w:b/>
          <w:sz w:val="24"/>
          <w:szCs w:val="24"/>
        </w:rPr>
      </w:pPr>
      <w:r w:rsidRPr="0094231E">
        <w:rPr>
          <w:rFonts w:ascii="Times New Roman" w:eastAsia="Times New Roman" w:hAnsi="Times New Roman" w:cs="Times New Roman"/>
          <w:sz w:val="24"/>
          <w:szCs w:val="24"/>
        </w:rPr>
        <w:t>(Source: Own-prepared, 2023)</w:t>
      </w:r>
    </w:p>
    <w:tbl>
      <w:tblPr>
        <w:tblStyle w:val="Table8"/>
        <w:tblW w:w="902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842"/>
        <w:gridCol w:w="1092"/>
        <w:gridCol w:w="1092"/>
      </w:tblGrid>
      <w:tr w:rsidR="00AE0CB2" w:rsidRPr="0094231E" w14:paraId="15BFC9BA" w14:textId="77777777">
        <w:trPr>
          <w:trHeight w:val="315"/>
        </w:trPr>
        <w:tc>
          <w:tcPr>
            <w:tcW w:w="9024" w:type="dxa"/>
            <w:gridSpan w:val="3"/>
            <w:tcBorders>
              <w:top w:val="single" w:sz="6" w:space="0" w:color="000000"/>
              <w:left w:val="single" w:sz="6" w:space="0" w:color="000000"/>
              <w:bottom w:val="single" w:sz="6" w:space="0" w:color="000000"/>
              <w:right w:val="single" w:sz="6" w:space="0" w:color="000000"/>
            </w:tcBorders>
            <w:shd w:val="clear" w:color="auto" w:fill="EDC686"/>
            <w:tcMar>
              <w:top w:w="0" w:type="dxa"/>
              <w:left w:w="40" w:type="dxa"/>
              <w:bottom w:w="0" w:type="dxa"/>
              <w:right w:w="40" w:type="dxa"/>
            </w:tcMar>
            <w:vAlign w:val="bottom"/>
          </w:tcPr>
          <w:p w14:paraId="74F27D5A"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6. Stock holding days</w:t>
            </w:r>
          </w:p>
        </w:tc>
      </w:tr>
      <w:tr w:rsidR="00AE0CB2" w:rsidRPr="0094231E" w14:paraId="1E5446AD"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79AAAAED"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Particulars</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236C3571"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2021</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094B06E5"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2020</w:t>
            </w:r>
          </w:p>
        </w:tc>
      </w:tr>
      <w:tr w:rsidR="00AE0CB2" w:rsidRPr="0094231E" w14:paraId="601518E6"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F9F97B"/>
            <w:tcMar>
              <w:top w:w="0" w:type="dxa"/>
              <w:left w:w="40" w:type="dxa"/>
              <w:bottom w:w="0" w:type="dxa"/>
              <w:right w:w="40" w:type="dxa"/>
            </w:tcMar>
            <w:vAlign w:val="bottom"/>
          </w:tcPr>
          <w:p w14:paraId="22281944" w14:textId="77777777" w:rsidR="00AE0CB2" w:rsidRPr="0094231E" w:rsidRDefault="00000000" w:rsidP="007B261C">
            <w:pPr>
              <w:pStyle w:val="Normal1"/>
              <w:widowControl w:val="0"/>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Closing stock</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775E04F1"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£708</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6CF07714"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£659</w:t>
            </w:r>
          </w:p>
        </w:tc>
      </w:tr>
      <w:tr w:rsidR="00AE0CB2" w:rsidRPr="0094231E" w14:paraId="5102BDA2"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F9F97B"/>
            <w:tcMar>
              <w:top w:w="0" w:type="dxa"/>
              <w:left w:w="40" w:type="dxa"/>
              <w:bottom w:w="0" w:type="dxa"/>
              <w:right w:w="40" w:type="dxa"/>
            </w:tcMar>
            <w:vAlign w:val="bottom"/>
          </w:tcPr>
          <w:p w14:paraId="24691948" w14:textId="77777777" w:rsidR="00AE0CB2" w:rsidRPr="0094231E" w:rsidRDefault="00000000" w:rsidP="007B261C">
            <w:pPr>
              <w:pStyle w:val="Normal1"/>
              <w:widowControl w:val="0"/>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Cost of Goods Sold</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6EFB9DF2"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£3,235</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45E72EFF"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£3,096</w:t>
            </w:r>
          </w:p>
        </w:tc>
      </w:tr>
      <w:tr w:rsidR="00AE0CB2" w:rsidRPr="0094231E" w14:paraId="4F9308A1"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7131D740"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Stock Holding Days [(Closing Stock/ Cost of Goods Sold )*365]</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201BA591"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79.883</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5FAB7421"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77.692</w:t>
            </w:r>
          </w:p>
        </w:tc>
      </w:tr>
    </w:tbl>
    <w:p w14:paraId="56BEDEE1" w14:textId="77777777" w:rsidR="00AE0CB2" w:rsidRPr="0094231E" w:rsidRDefault="00000000" w:rsidP="007B261C">
      <w:pPr>
        <w:pStyle w:val="Normal1"/>
        <w:spacing w:line="360" w:lineRule="auto"/>
        <w:jc w:val="center"/>
        <w:rPr>
          <w:rFonts w:ascii="Times New Roman" w:eastAsia="Times New Roman" w:hAnsi="Times New Roman" w:cs="Times New Roman"/>
          <w:b/>
          <w:sz w:val="24"/>
          <w:szCs w:val="24"/>
        </w:rPr>
      </w:pPr>
      <w:r w:rsidRPr="0094231E">
        <w:rPr>
          <w:rFonts w:ascii="Times New Roman" w:eastAsia="Times New Roman" w:hAnsi="Times New Roman" w:cs="Times New Roman"/>
          <w:b/>
          <w:sz w:val="24"/>
          <w:szCs w:val="24"/>
        </w:rPr>
        <w:t>Diagram 8: Stock holding days of Sweets PLC</w:t>
      </w:r>
    </w:p>
    <w:p w14:paraId="73794822" w14:textId="77777777" w:rsidR="00AE0CB2" w:rsidRPr="0094231E" w:rsidRDefault="00000000" w:rsidP="007B261C">
      <w:pPr>
        <w:pStyle w:val="Normal1"/>
        <w:spacing w:line="360" w:lineRule="auto"/>
        <w:jc w:val="center"/>
        <w:rPr>
          <w:rFonts w:ascii="Times New Roman" w:eastAsia="Times New Roman" w:hAnsi="Times New Roman" w:cs="Times New Roman"/>
          <w:b/>
          <w:sz w:val="24"/>
          <w:szCs w:val="24"/>
        </w:rPr>
      </w:pPr>
      <w:r w:rsidRPr="0094231E">
        <w:rPr>
          <w:rFonts w:ascii="Times New Roman" w:eastAsia="Times New Roman" w:hAnsi="Times New Roman" w:cs="Times New Roman"/>
          <w:sz w:val="24"/>
          <w:szCs w:val="24"/>
        </w:rPr>
        <w:t>(Source: Own-prepared, 2023)</w:t>
      </w:r>
    </w:p>
    <w:tbl>
      <w:tblPr>
        <w:tblStyle w:val="Table9"/>
        <w:tblW w:w="902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842"/>
        <w:gridCol w:w="1092"/>
        <w:gridCol w:w="1092"/>
      </w:tblGrid>
      <w:tr w:rsidR="00AE0CB2" w:rsidRPr="0094231E" w14:paraId="0C3EDDFE" w14:textId="77777777">
        <w:trPr>
          <w:trHeight w:val="315"/>
        </w:trPr>
        <w:tc>
          <w:tcPr>
            <w:tcW w:w="9024" w:type="dxa"/>
            <w:gridSpan w:val="3"/>
            <w:tcBorders>
              <w:top w:val="single" w:sz="6" w:space="0" w:color="000000"/>
              <w:left w:val="single" w:sz="6" w:space="0" w:color="000000"/>
              <w:bottom w:val="single" w:sz="6" w:space="0" w:color="000000"/>
              <w:right w:val="single" w:sz="6" w:space="0" w:color="000000"/>
            </w:tcBorders>
            <w:shd w:val="clear" w:color="auto" w:fill="EDC686"/>
            <w:tcMar>
              <w:top w:w="0" w:type="dxa"/>
              <w:left w:w="40" w:type="dxa"/>
              <w:bottom w:w="0" w:type="dxa"/>
              <w:right w:w="40" w:type="dxa"/>
            </w:tcMar>
            <w:vAlign w:val="bottom"/>
          </w:tcPr>
          <w:p w14:paraId="0ED13DDC" w14:textId="77777777" w:rsidR="00AE0CB2" w:rsidRPr="0094231E" w:rsidRDefault="00000000" w:rsidP="007B261C">
            <w:pPr>
              <w:pStyle w:val="Normal1"/>
              <w:widowControl w:val="0"/>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7. Debtors collection period</w:t>
            </w:r>
          </w:p>
        </w:tc>
      </w:tr>
      <w:tr w:rsidR="00AE0CB2" w:rsidRPr="0094231E" w14:paraId="07406F35"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62D70E2C" w14:textId="77777777" w:rsidR="00AE0CB2" w:rsidRPr="0094231E" w:rsidRDefault="00000000" w:rsidP="007B261C">
            <w:pPr>
              <w:pStyle w:val="Normal1"/>
              <w:widowControl w:val="0"/>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Particulars</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6F4790F6"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2021</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27912B8C"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2020</w:t>
            </w:r>
          </w:p>
        </w:tc>
      </w:tr>
      <w:tr w:rsidR="00AE0CB2" w:rsidRPr="0094231E" w14:paraId="04AD4EB3"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F9F97B"/>
            <w:tcMar>
              <w:top w:w="0" w:type="dxa"/>
              <w:left w:w="40" w:type="dxa"/>
              <w:bottom w:w="0" w:type="dxa"/>
              <w:right w:w="40" w:type="dxa"/>
            </w:tcMar>
            <w:vAlign w:val="bottom"/>
          </w:tcPr>
          <w:p w14:paraId="4DF6F375" w14:textId="77777777" w:rsidR="00AE0CB2" w:rsidRPr="0094231E" w:rsidRDefault="00000000" w:rsidP="007B261C">
            <w:pPr>
              <w:pStyle w:val="Normal1"/>
              <w:widowControl w:val="0"/>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Trade Receivable</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15E6B9FB"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£1,249</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4F7989EE"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£1,287</w:t>
            </w:r>
          </w:p>
        </w:tc>
      </w:tr>
      <w:tr w:rsidR="00AE0CB2" w:rsidRPr="0094231E" w14:paraId="0FA7B422"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F9F97B"/>
            <w:tcMar>
              <w:top w:w="0" w:type="dxa"/>
              <w:left w:w="40" w:type="dxa"/>
              <w:bottom w:w="0" w:type="dxa"/>
              <w:right w:w="40" w:type="dxa"/>
            </w:tcMar>
            <w:vAlign w:val="bottom"/>
          </w:tcPr>
          <w:p w14:paraId="07B0D756" w14:textId="77777777" w:rsidR="00AE0CB2" w:rsidRPr="0094231E" w:rsidRDefault="00000000" w:rsidP="007B261C">
            <w:pPr>
              <w:pStyle w:val="Normal1"/>
              <w:widowControl w:val="0"/>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Total Credit Sales</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2641BB76"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£6,738</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42C160B4"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£6,441</w:t>
            </w:r>
          </w:p>
        </w:tc>
      </w:tr>
      <w:tr w:rsidR="00AE0CB2" w:rsidRPr="0094231E" w14:paraId="3DC4774B"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2FB62E8E"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Debtors Collection Period [365 days/ Trade Receivable Turnover]</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7B24CBE2"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67.659</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4DAE962F"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72.932</w:t>
            </w:r>
          </w:p>
        </w:tc>
      </w:tr>
    </w:tbl>
    <w:p w14:paraId="35215981" w14:textId="77777777" w:rsidR="00AE0CB2" w:rsidRPr="0094231E" w:rsidRDefault="00000000" w:rsidP="007B261C">
      <w:pPr>
        <w:pStyle w:val="Normal1"/>
        <w:spacing w:line="360" w:lineRule="auto"/>
        <w:jc w:val="center"/>
        <w:rPr>
          <w:rFonts w:ascii="Times New Roman" w:eastAsia="Times New Roman" w:hAnsi="Times New Roman" w:cs="Times New Roman"/>
          <w:b/>
          <w:sz w:val="24"/>
          <w:szCs w:val="24"/>
        </w:rPr>
      </w:pPr>
      <w:r w:rsidRPr="0094231E">
        <w:rPr>
          <w:rFonts w:ascii="Times New Roman" w:eastAsia="Times New Roman" w:hAnsi="Times New Roman" w:cs="Times New Roman"/>
          <w:b/>
          <w:sz w:val="24"/>
          <w:szCs w:val="24"/>
        </w:rPr>
        <w:t>Diagram 9: Debtors collection period of Sweets PLC</w:t>
      </w:r>
    </w:p>
    <w:p w14:paraId="5B737ADC" w14:textId="77777777" w:rsidR="00AE0CB2" w:rsidRPr="0094231E" w:rsidRDefault="00000000" w:rsidP="007B261C">
      <w:pPr>
        <w:pStyle w:val="Normal1"/>
        <w:spacing w:line="360" w:lineRule="auto"/>
        <w:jc w:val="center"/>
        <w:rPr>
          <w:rFonts w:ascii="Times New Roman" w:eastAsia="Times New Roman" w:hAnsi="Times New Roman" w:cs="Times New Roman"/>
          <w:b/>
          <w:sz w:val="24"/>
          <w:szCs w:val="24"/>
        </w:rPr>
      </w:pPr>
      <w:r w:rsidRPr="0094231E">
        <w:rPr>
          <w:rFonts w:ascii="Times New Roman" w:eastAsia="Times New Roman" w:hAnsi="Times New Roman" w:cs="Times New Roman"/>
          <w:sz w:val="24"/>
          <w:szCs w:val="24"/>
        </w:rPr>
        <w:t>(Source: Own-prepared, 2023)</w:t>
      </w:r>
    </w:p>
    <w:tbl>
      <w:tblPr>
        <w:tblStyle w:val="Table10"/>
        <w:tblW w:w="902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842"/>
        <w:gridCol w:w="1092"/>
        <w:gridCol w:w="1092"/>
      </w:tblGrid>
      <w:tr w:rsidR="00AE0CB2" w:rsidRPr="0094231E" w14:paraId="5E9A0A1A" w14:textId="77777777">
        <w:trPr>
          <w:trHeight w:val="315"/>
        </w:trPr>
        <w:tc>
          <w:tcPr>
            <w:tcW w:w="9024" w:type="dxa"/>
            <w:gridSpan w:val="3"/>
            <w:tcBorders>
              <w:top w:val="single" w:sz="6" w:space="0" w:color="000000"/>
              <w:left w:val="single" w:sz="6" w:space="0" w:color="000000"/>
              <w:bottom w:val="single" w:sz="6" w:space="0" w:color="000000"/>
              <w:right w:val="single" w:sz="6" w:space="0" w:color="000000"/>
            </w:tcBorders>
            <w:shd w:val="clear" w:color="auto" w:fill="EDC686"/>
            <w:tcMar>
              <w:top w:w="0" w:type="dxa"/>
              <w:left w:w="40" w:type="dxa"/>
              <w:bottom w:w="0" w:type="dxa"/>
              <w:right w:w="40" w:type="dxa"/>
            </w:tcMar>
            <w:vAlign w:val="bottom"/>
          </w:tcPr>
          <w:p w14:paraId="783D3152"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8. Current ratio</w:t>
            </w:r>
          </w:p>
        </w:tc>
      </w:tr>
      <w:tr w:rsidR="00AE0CB2" w:rsidRPr="0094231E" w14:paraId="195CE2CE"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56827643"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Particulars</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65FFDAFA"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2021</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2380A594"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2020</w:t>
            </w:r>
          </w:p>
        </w:tc>
      </w:tr>
      <w:tr w:rsidR="00AE0CB2" w:rsidRPr="0094231E" w14:paraId="1D4CD1DE"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F9F97B"/>
            <w:tcMar>
              <w:top w:w="0" w:type="dxa"/>
              <w:left w:w="40" w:type="dxa"/>
              <w:bottom w:w="0" w:type="dxa"/>
              <w:right w:w="40" w:type="dxa"/>
            </w:tcMar>
            <w:vAlign w:val="bottom"/>
          </w:tcPr>
          <w:p w14:paraId="1B75A99E" w14:textId="77777777" w:rsidR="00AE0CB2" w:rsidRPr="0094231E" w:rsidRDefault="00000000" w:rsidP="007B261C">
            <w:pPr>
              <w:pStyle w:val="Normal1"/>
              <w:widowControl w:val="0"/>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Current Assets</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0BF8CF65"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£2,303</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6339039F"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£2,355</w:t>
            </w:r>
          </w:p>
        </w:tc>
      </w:tr>
      <w:tr w:rsidR="00AE0CB2" w:rsidRPr="0094231E" w14:paraId="548FAED0"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F9F97B"/>
            <w:tcMar>
              <w:top w:w="0" w:type="dxa"/>
              <w:left w:w="40" w:type="dxa"/>
              <w:bottom w:w="0" w:type="dxa"/>
              <w:right w:w="40" w:type="dxa"/>
            </w:tcMar>
            <w:vAlign w:val="bottom"/>
          </w:tcPr>
          <w:p w14:paraId="271BE2BA" w14:textId="77777777" w:rsidR="00AE0CB2" w:rsidRPr="0094231E" w:rsidRDefault="00000000" w:rsidP="007B261C">
            <w:pPr>
              <w:pStyle w:val="Normal1"/>
              <w:widowControl w:val="0"/>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Current Liabilities</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73D5D26F"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£2,511</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6CF6D67F"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£3,046</w:t>
            </w:r>
          </w:p>
        </w:tc>
      </w:tr>
      <w:tr w:rsidR="00AE0CB2" w:rsidRPr="0094231E" w14:paraId="02E66311"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273231F6"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Current Ratio [Current Asset/ Current Liabilities]</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4BB38062"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0.917</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40511D86"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0.773</w:t>
            </w:r>
          </w:p>
        </w:tc>
      </w:tr>
    </w:tbl>
    <w:p w14:paraId="5B733E4B" w14:textId="77777777" w:rsidR="00AE0CB2" w:rsidRPr="0094231E" w:rsidRDefault="00000000" w:rsidP="007B261C">
      <w:pPr>
        <w:pStyle w:val="Normal1"/>
        <w:spacing w:line="360" w:lineRule="auto"/>
        <w:jc w:val="center"/>
        <w:rPr>
          <w:rFonts w:ascii="Times New Roman" w:eastAsia="Times New Roman" w:hAnsi="Times New Roman" w:cs="Times New Roman"/>
          <w:b/>
          <w:sz w:val="24"/>
          <w:szCs w:val="24"/>
        </w:rPr>
      </w:pPr>
      <w:r w:rsidRPr="0094231E">
        <w:rPr>
          <w:rFonts w:ascii="Times New Roman" w:eastAsia="Times New Roman" w:hAnsi="Times New Roman" w:cs="Times New Roman"/>
          <w:b/>
          <w:sz w:val="24"/>
          <w:szCs w:val="24"/>
        </w:rPr>
        <w:t>Diagram 10: Current ratio of Sweets PLC</w:t>
      </w:r>
    </w:p>
    <w:p w14:paraId="6F29A926" w14:textId="77777777" w:rsidR="00AE0CB2" w:rsidRPr="0094231E" w:rsidRDefault="00000000" w:rsidP="007B261C">
      <w:pPr>
        <w:pStyle w:val="Normal1"/>
        <w:spacing w:line="360" w:lineRule="auto"/>
        <w:jc w:val="center"/>
        <w:rPr>
          <w:rFonts w:ascii="Times New Roman" w:eastAsia="Times New Roman" w:hAnsi="Times New Roman" w:cs="Times New Roman"/>
          <w:b/>
          <w:sz w:val="24"/>
          <w:szCs w:val="24"/>
        </w:rPr>
      </w:pPr>
      <w:r w:rsidRPr="0094231E">
        <w:rPr>
          <w:rFonts w:ascii="Times New Roman" w:eastAsia="Times New Roman" w:hAnsi="Times New Roman" w:cs="Times New Roman"/>
          <w:sz w:val="24"/>
          <w:szCs w:val="24"/>
        </w:rPr>
        <w:t>(Source: Own-prepared, 2023)</w:t>
      </w:r>
    </w:p>
    <w:tbl>
      <w:tblPr>
        <w:tblStyle w:val="Table11"/>
        <w:tblW w:w="902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842"/>
        <w:gridCol w:w="1092"/>
        <w:gridCol w:w="1092"/>
      </w:tblGrid>
      <w:tr w:rsidR="00AE0CB2" w:rsidRPr="0094231E" w14:paraId="559F31FD" w14:textId="77777777">
        <w:trPr>
          <w:trHeight w:val="315"/>
        </w:trPr>
        <w:tc>
          <w:tcPr>
            <w:tcW w:w="9024" w:type="dxa"/>
            <w:gridSpan w:val="3"/>
            <w:tcBorders>
              <w:top w:val="single" w:sz="6" w:space="0" w:color="000000"/>
              <w:left w:val="single" w:sz="6" w:space="0" w:color="000000"/>
              <w:bottom w:val="single" w:sz="6" w:space="0" w:color="000000"/>
              <w:right w:val="single" w:sz="6" w:space="0" w:color="000000"/>
            </w:tcBorders>
            <w:shd w:val="clear" w:color="auto" w:fill="EDC686"/>
            <w:tcMar>
              <w:top w:w="0" w:type="dxa"/>
              <w:left w:w="40" w:type="dxa"/>
              <w:bottom w:w="0" w:type="dxa"/>
              <w:right w:w="40" w:type="dxa"/>
            </w:tcMar>
            <w:vAlign w:val="bottom"/>
          </w:tcPr>
          <w:p w14:paraId="2C4B08D9"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lastRenderedPageBreak/>
              <w:t>9. Gearing ratio</w:t>
            </w:r>
          </w:p>
        </w:tc>
      </w:tr>
      <w:tr w:rsidR="00AE0CB2" w:rsidRPr="0094231E" w14:paraId="42E40347"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574DA9D9"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Particulars</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5979DC19"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2021</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32FD84FF"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2020</w:t>
            </w:r>
          </w:p>
        </w:tc>
      </w:tr>
      <w:tr w:rsidR="00AE0CB2" w:rsidRPr="0094231E" w14:paraId="4C7B9665"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F9F97B"/>
            <w:tcMar>
              <w:top w:w="0" w:type="dxa"/>
              <w:left w:w="40" w:type="dxa"/>
              <w:bottom w:w="0" w:type="dxa"/>
              <w:right w:w="40" w:type="dxa"/>
            </w:tcMar>
            <w:vAlign w:val="bottom"/>
          </w:tcPr>
          <w:p w14:paraId="405E9010" w14:textId="77777777" w:rsidR="00AE0CB2" w:rsidRPr="0094231E" w:rsidRDefault="00000000" w:rsidP="007B261C">
            <w:pPr>
              <w:pStyle w:val="Normal1"/>
              <w:widowControl w:val="0"/>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Loans and other Borrowings</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06C9846B"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£4,137</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7BE99EBC"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£4,129</w:t>
            </w:r>
          </w:p>
        </w:tc>
      </w:tr>
      <w:tr w:rsidR="00AE0CB2" w:rsidRPr="0094231E" w14:paraId="35207897"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F9F97B"/>
            <w:tcMar>
              <w:top w:w="0" w:type="dxa"/>
              <w:left w:w="40" w:type="dxa"/>
              <w:bottom w:w="0" w:type="dxa"/>
              <w:right w:w="40" w:type="dxa"/>
            </w:tcMar>
            <w:vAlign w:val="bottom"/>
          </w:tcPr>
          <w:p w14:paraId="3C458386" w14:textId="77777777" w:rsidR="00AE0CB2" w:rsidRPr="0094231E" w:rsidRDefault="00000000" w:rsidP="007B261C">
            <w:pPr>
              <w:pStyle w:val="Normal1"/>
              <w:widowControl w:val="0"/>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Shareholders' Equity</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51D3758F"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£3,088</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3851CC89"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£2,912</w:t>
            </w:r>
          </w:p>
        </w:tc>
      </w:tr>
      <w:tr w:rsidR="00AE0CB2" w:rsidRPr="0094231E" w14:paraId="77CC4168"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39BF0402"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Gearing Ratio [Total Debt Capital /Total Equity]</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7009A1AE"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1.340</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3C8C9210"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1.418</w:t>
            </w:r>
          </w:p>
        </w:tc>
      </w:tr>
    </w:tbl>
    <w:p w14:paraId="71F62B90" w14:textId="77777777" w:rsidR="00AE0CB2" w:rsidRPr="0094231E" w:rsidRDefault="00000000" w:rsidP="007B261C">
      <w:pPr>
        <w:pStyle w:val="Normal1"/>
        <w:spacing w:line="360" w:lineRule="auto"/>
        <w:jc w:val="center"/>
        <w:rPr>
          <w:rFonts w:ascii="Times New Roman" w:eastAsia="Times New Roman" w:hAnsi="Times New Roman" w:cs="Times New Roman"/>
          <w:b/>
          <w:sz w:val="24"/>
          <w:szCs w:val="24"/>
        </w:rPr>
      </w:pPr>
      <w:r w:rsidRPr="0094231E">
        <w:rPr>
          <w:rFonts w:ascii="Times New Roman" w:eastAsia="Times New Roman" w:hAnsi="Times New Roman" w:cs="Times New Roman"/>
          <w:b/>
          <w:sz w:val="24"/>
          <w:szCs w:val="24"/>
        </w:rPr>
        <w:t>Diagram 11: Gearing ratio of Sweets PLC</w:t>
      </w:r>
    </w:p>
    <w:p w14:paraId="0BF22C07" w14:textId="77777777" w:rsidR="00AE0CB2" w:rsidRPr="0094231E" w:rsidRDefault="00000000" w:rsidP="007B261C">
      <w:pPr>
        <w:pStyle w:val="Normal1"/>
        <w:spacing w:line="360" w:lineRule="auto"/>
        <w:jc w:val="center"/>
        <w:rPr>
          <w:rFonts w:ascii="Times New Roman" w:eastAsia="Times New Roman" w:hAnsi="Times New Roman" w:cs="Times New Roman"/>
          <w:b/>
          <w:sz w:val="24"/>
          <w:szCs w:val="24"/>
        </w:rPr>
      </w:pPr>
      <w:r w:rsidRPr="0094231E">
        <w:rPr>
          <w:rFonts w:ascii="Times New Roman" w:eastAsia="Times New Roman" w:hAnsi="Times New Roman" w:cs="Times New Roman"/>
          <w:sz w:val="24"/>
          <w:szCs w:val="24"/>
        </w:rPr>
        <w:t>(Source: Own-prepared, 2023)</w:t>
      </w:r>
    </w:p>
    <w:tbl>
      <w:tblPr>
        <w:tblStyle w:val="Table12"/>
        <w:tblW w:w="902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842"/>
        <w:gridCol w:w="1092"/>
        <w:gridCol w:w="1092"/>
      </w:tblGrid>
      <w:tr w:rsidR="00AE0CB2" w:rsidRPr="0094231E" w14:paraId="7704F651" w14:textId="77777777">
        <w:trPr>
          <w:trHeight w:val="315"/>
        </w:trPr>
        <w:tc>
          <w:tcPr>
            <w:tcW w:w="9024" w:type="dxa"/>
            <w:gridSpan w:val="3"/>
            <w:tcBorders>
              <w:top w:val="single" w:sz="6" w:space="0" w:color="000000"/>
              <w:left w:val="single" w:sz="6" w:space="0" w:color="000000"/>
              <w:bottom w:val="single" w:sz="6" w:space="0" w:color="000000"/>
              <w:right w:val="single" w:sz="6" w:space="0" w:color="000000"/>
            </w:tcBorders>
            <w:shd w:val="clear" w:color="auto" w:fill="EDC686"/>
            <w:tcMar>
              <w:top w:w="0" w:type="dxa"/>
              <w:left w:w="40" w:type="dxa"/>
              <w:bottom w:w="0" w:type="dxa"/>
              <w:right w:w="40" w:type="dxa"/>
            </w:tcMar>
            <w:vAlign w:val="bottom"/>
          </w:tcPr>
          <w:p w14:paraId="648FADA1"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10. Interest cover</w:t>
            </w:r>
          </w:p>
        </w:tc>
      </w:tr>
      <w:tr w:rsidR="00AE0CB2" w:rsidRPr="0094231E" w14:paraId="367AED7D"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146A72CC"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Particulars</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52C2A8D7"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2021</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10D42ACE"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2020</w:t>
            </w:r>
          </w:p>
        </w:tc>
      </w:tr>
      <w:tr w:rsidR="00AE0CB2" w:rsidRPr="0094231E" w14:paraId="6B227FFE"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F9F97B"/>
            <w:tcMar>
              <w:top w:w="0" w:type="dxa"/>
              <w:left w:w="40" w:type="dxa"/>
              <w:bottom w:w="0" w:type="dxa"/>
              <w:right w:w="40" w:type="dxa"/>
            </w:tcMar>
            <w:vAlign w:val="bottom"/>
          </w:tcPr>
          <w:p w14:paraId="24F5A748"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EBIT</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7F1F4AF2"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£805</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6E8B254A"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£699</w:t>
            </w:r>
          </w:p>
        </w:tc>
      </w:tr>
      <w:tr w:rsidR="00AE0CB2" w:rsidRPr="0094231E" w14:paraId="3FBE20E7"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F9F97B"/>
            <w:tcMar>
              <w:top w:w="0" w:type="dxa"/>
              <w:left w:w="40" w:type="dxa"/>
              <w:bottom w:w="0" w:type="dxa"/>
              <w:right w:w="40" w:type="dxa"/>
            </w:tcMar>
            <w:vAlign w:val="bottom"/>
          </w:tcPr>
          <w:p w14:paraId="259513B5" w14:textId="77777777" w:rsidR="00AE0CB2" w:rsidRPr="0094231E" w:rsidRDefault="00000000" w:rsidP="007B261C">
            <w:pPr>
              <w:pStyle w:val="Normal1"/>
              <w:widowControl w:val="0"/>
              <w:spacing w:line="360" w:lineRule="auto"/>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Interest Paid</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6321D7E6"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£226</w:t>
            </w:r>
          </w:p>
        </w:tc>
        <w:tc>
          <w:tcPr>
            <w:tcW w:w="1092" w:type="dxa"/>
            <w:tcBorders>
              <w:top w:val="single" w:sz="6" w:space="0" w:color="CCCCCC"/>
              <w:left w:val="single" w:sz="6" w:space="0" w:color="CCCCCC"/>
              <w:bottom w:val="single" w:sz="6" w:space="0" w:color="000000"/>
              <w:right w:val="single" w:sz="6" w:space="0" w:color="000000"/>
            </w:tcBorders>
            <w:shd w:val="clear" w:color="auto" w:fill="F9F97B"/>
            <w:tcMar>
              <w:top w:w="0" w:type="dxa"/>
              <w:left w:w="40" w:type="dxa"/>
              <w:bottom w:w="0" w:type="dxa"/>
              <w:right w:w="40" w:type="dxa"/>
            </w:tcMar>
            <w:vAlign w:val="bottom"/>
          </w:tcPr>
          <w:p w14:paraId="246487E5"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£181</w:t>
            </w:r>
          </w:p>
        </w:tc>
      </w:tr>
      <w:tr w:rsidR="00AE0CB2" w:rsidRPr="0094231E" w14:paraId="6A31450A" w14:textId="77777777">
        <w:trPr>
          <w:trHeight w:val="315"/>
        </w:trPr>
        <w:tc>
          <w:tcPr>
            <w:tcW w:w="6840" w:type="dxa"/>
            <w:tcBorders>
              <w:top w:val="single" w:sz="6" w:space="0" w:color="CCCCCC"/>
              <w:left w:val="single" w:sz="6" w:space="0" w:color="000000"/>
              <w:bottom w:val="single" w:sz="6" w:space="0" w:color="000000"/>
              <w:right w:val="single" w:sz="6" w:space="0" w:color="000000"/>
            </w:tcBorders>
            <w:shd w:val="clear" w:color="auto" w:fill="B8FFF5"/>
            <w:tcMar>
              <w:top w:w="0" w:type="dxa"/>
              <w:left w:w="40" w:type="dxa"/>
              <w:bottom w:w="0" w:type="dxa"/>
              <w:right w:w="40" w:type="dxa"/>
            </w:tcMar>
            <w:vAlign w:val="bottom"/>
          </w:tcPr>
          <w:p w14:paraId="7C01070B"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Interest Cover [EBIT /Interest Paid]</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4E783BFD"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3.562</w:t>
            </w:r>
          </w:p>
        </w:tc>
        <w:tc>
          <w:tcPr>
            <w:tcW w:w="1092" w:type="dxa"/>
            <w:tcBorders>
              <w:top w:val="single" w:sz="6" w:space="0" w:color="CCCCCC"/>
              <w:left w:val="single" w:sz="6" w:space="0" w:color="CCCCCC"/>
              <w:bottom w:val="single" w:sz="6" w:space="0" w:color="000000"/>
              <w:right w:val="single" w:sz="6" w:space="0" w:color="000000"/>
            </w:tcBorders>
            <w:shd w:val="clear" w:color="auto" w:fill="B8FFF5"/>
            <w:tcMar>
              <w:top w:w="0" w:type="dxa"/>
              <w:left w:w="40" w:type="dxa"/>
              <w:bottom w:w="0" w:type="dxa"/>
              <w:right w:w="40" w:type="dxa"/>
            </w:tcMar>
            <w:vAlign w:val="bottom"/>
          </w:tcPr>
          <w:p w14:paraId="75A230A6" w14:textId="77777777" w:rsidR="00AE0CB2" w:rsidRPr="0094231E" w:rsidRDefault="00000000" w:rsidP="007B261C">
            <w:pPr>
              <w:pStyle w:val="Normal1"/>
              <w:widowControl w:val="0"/>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3.862</w:t>
            </w:r>
          </w:p>
        </w:tc>
      </w:tr>
    </w:tbl>
    <w:p w14:paraId="7F3290D5" w14:textId="77777777" w:rsidR="00AE0CB2" w:rsidRPr="0094231E" w:rsidRDefault="00000000" w:rsidP="007B261C">
      <w:pPr>
        <w:pStyle w:val="Normal1"/>
        <w:spacing w:line="360" w:lineRule="auto"/>
        <w:jc w:val="center"/>
        <w:rPr>
          <w:rFonts w:ascii="Times New Roman" w:eastAsia="Times New Roman" w:hAnsi="Times New Roman" w:cs="Times New Roman"/>
          <w:b/>
          <w:sz w:val="24"/>
          <w:szCs w:val="24"/>
        </w:rPr>
      </w:pPr>
      <w:r w:rsidRPr="0094231E">
        <w:rPr>
          <w:rFonts w:ascii="Times New Roman" w:eastAsia="Times New Roman" w:hAnsi="Times New Roman" w:cs="Times New Roman"/>
          <w:b/>
          <w:sz w:val="24"/>
          <w:szCs w:val="24"/>
        </w:rPr>
        <w:t>Diagram 12: Interest cover of Sweets PLC</w:t>
      </w:r>
    </w:p>
    <w:p w14:paraId="51EB336A" w14:textId="77777777" w:rsidR="00AE0CB2" w:rsidRPr="0094231E" w:rsidRDefault="00000000" w:rsidP="007B261C">
      <w:pPr>
        <w:pStyle w:val="Normal1"/>
        <w:spacing w:line="360" w:lineRule="auto"/>
        <w:jc w:val="center"/>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(Source: Own-prepared, 2023)</w:t>
      </w:r>
    </w:p>
    <w:p w14:paraId="4720430C" w14:textId="77777777" w:rsidR="00AE0CB2" w:rsidRPr="0094231E" w:rsidRDefault="00000000" w:rsidP="007B261C">
      <w:pPr>
        <w:pStyle w:val="Normal1"/>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Based on the above ten types of ratios the financial position and performance of Sweets Plc is going to analyse below:</w:t>
      </w:r>
    </w:p>
    <w:p w14:paraId="3BB8FF86" w14:textId="77777777" w:rsidR="00AE0CB2" w:rsidRPr="0094231E" w:rsidRDefault="00000000" w:rsidP="007B261C">
      <w:pPr>
        <w:pStyle w:val="Normal1"/>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ROCE</w:t>
      </w:r>
      <w:r w:rsidRPr="0094231E">
        <w:rPr>
          <w:rFonts w:ascii="Times New Roman" w:eastAsia="Times New Roman" w:hAnsi="Times New Roman" w:cs="Times New Roman"/>
          <w:sz w:val="24"/>
          <w:szCs w:val="24"/>
        </w:rPr>
        <w:t xml:space="preserve"> ratio is used to estimate the capital efficiency and profitability of a company (</w:t>
      </w:r>
      <w:r w:rsidRPr="0094231E">
        <w:rPr>
          <w:rFonts w:ascii="Times New Roman" w:eastAsia="Times New Roman" w:hAnsi="Times New Roman" w:cs="Times New Roman"/>
          <w:color w:val="222222"/>
          <w:sz w:val="24"/>
          <w:szCs w:val="24"/>
          <w:highlight w:val="white"/>
        </w:rPr>
        <w:t xml:space="preserve">Lisek </w:t>
      </w:r>
      <w:r w:rsidRPr="0094231E">
        <w:rPr>
          <w:rFonts w:ascii="Times New Roman" w:eastAsia="Times New Roman" w:hAnsi="Times New Roman" w:cs="Times New Roman"/>
          <w:i/>
          <w:color w:val="222222"/>
          <w:sz w:val="24"/>
          <w:szCs w:val="24"/>
          <w:highlight w:val="white"/>
        </w:rPr>
        <w:t>et al.</w:t>
      </w:r>
      <w:r w:rsidRPr="0094231E">
        <w:rPr>
          <w:rFonts w:ascii="Times New Roman" w:eastAsia="Times New Roman" w:hAnsi="Times New Roman" w:cs="Times New Roman"/>
          <w:color w:val="222222"/>
          <w:sz w:val="24"/>
          <w:szCs w:val="24"/>
          <w:highlight w:val="white"/>
        </w:rPr>
        <w:t xml:space="preserve"> 2020)</w:t>
      </w:r>
      <w:r w:rsidRPr="0094231E">
        <w:rPr>
          <w:rFonts w:ascii="Times New Roman" w:eastAsia="Times New Roman" w:hAnsi="Times New Roman" w:cs="Times New Roman"/>
          <w:sz w:val="24"/>
          <w:szCs w:val="24"/>
        </w:rPr>
        <w:t>. Here ROCE ratio of Sweets plc has been estimated for two years of two years which are valued at 9.93% in 2020 and 11.14% in 2021. It indicates that Sweets plc has more efficiently used their capital in their business in 2021 than the previous year.</w:t>
      </w:r>
    </w:p>
    <w:p w14:paraId="432F7B31" w14:textId="77777777" w:rsidR="00AE0CB2" w:rsidRPr="0094231E" w:rsidRDefault="00000000" w:rsidP="007B261C">
      <w:pPr>
        <w:pStyle w:val="Normal1"/>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 xml:space="preserve">ROE </w:t>
      </w:r>
      <w:r w:rsidRPr="0094231E">
        <w:rPr>
          <w:rFonts w:ascii="Times New Roman" w:eastAsia="Times New Roman" w:hAnsi="Times New Roman" w:cs="Times New Roman"/>
          <w:sz w:val="24"/>
          <w:szCs w:val="24"/>
        </w:rPr>
        <w:t>ratio is used to measure the profitability of a company and its efficiency in generating its profit (</w:t>
      </w:r>
      <w:r w:rsidRPr="0094231E">
        <w:rPr>
          <w:rFonts w:ascii="Times New Roman" w:eastAsia="Times New Roman" w:hAnsi="Times New Roman" w:cs="Times New Roman"/>
          <w:color w:val="222222"/>
          <w:sz w:val="24"/>
          <w:szCs w:val="24"/>
          <w:highlight w:val="white"/>
        </w:rPr>
        <w:t>Barbier, 2020)</w:t>
      </w:r>
      <w:r w:rsidRPr="0094231E">
        <w:rPr>
          <w:rFonts w:ascii="Times New Roman" w:eastAsia="Times New Roman" w:hAnsi="Times New Roman" w:cs="Times New Roman"/>
          <w:sz w:val="24"/>
          <w:szCs w:val="24"/>
        </w:rPr>
        <w:t>. Here the ROE ratio of Sweets plc has been estimated for two years and is valued at 1.220 in 2020 and 1.437 in 2021. It indicates the company has been able to provide better returns to their shareholders in 2021 than the prior year.</w:t>
      </w:r>
    </w:p>
    <w:p w14:paraId="0F95D388" w14:textId="77777777" w:rsidR="00AE0CB2" w:rsidRPr="0094231E" w:rsidRDefault="00000000" w:rsidP="007B261C">
      <w:pPr>
        <w:pStyle w:val="Normal1"/>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Earning per share</w:t>
      </w:r>
      <w:r w:rsidRPr="0094231E">
        <w:rPr>
          <w:rFonts w:ascii="Times New Roman" w:eastAsia="Times New Roman" w:hAnsi="Times New Roman" w:cs="Times New Roman"/>
          <w:sz w:val="24"/>
          <w:szCs w:val="24"/>
        </w:rPr>
        <w:t xml:space="preserve"> is also used to measure the profitability of a company from the perspective of the shareholders’ earnings (</w:t>
      </w:r>
      <w:r w:rsidRPr="0094231E">
        <w:rPr>
          <w:rFonts w:ascii="Times New Roman" w:eastAsia="Times New Roman" w:hAnsi="Times New Roman" w:cs="Times New Roman"/>
          <w:color w:val="222222"/>
          <w:sz w:val="24"/>
          <w:szCs w:val="24"/>
          <w:highlight w:val="white"/>
        </w:rPr>
        <w:t>Almeida, 2019)</w:t>
      </w:r>
      <w:r w:rsidRPr="0094231E">
        <w:rPr>
          <w:rFonts w:ascii="Times New Roman" w:eastAsia="Times New Roman" w:hAnsi="Times New Roman" w:cs="Times New Roman"/>
          <w:sz w:val="24"/>
          <w:szCs w:val="24"/>
        </w:rPr>
        <w:t xml:space="preserve">. Here the EPS of Sweets plc has been estimated for two years and is valued at £0.81 in 2020 and £0.72 in 2021. It indicates that Sweet plc is less likely to distribute some of its profits to its shareholders as dividends in 2021 than in the prior year. </w:t>
      </w:r>
    </w:p>
    <w:p w14:paraId="01E0BBE3" w14:textId="77777777" w:rsidR="00AE0CB2" w:rsidRPr="0094231E" w:rsidRDefault="00000000" w:rsidP="007B261C">
      <w:pPr>
        <w:pStyle w:val="Normal1"/>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Net profit margin</w:t>
      </w:r>
      <w:r w:rsidRPr="0094231E">
        <w:rPr>
          <w:rFonts w:ascii="Times New Roman" w:eastAsia="Times New Roman" w:hAnsi="Times New Roman" w:cs="Times New Roman"/>
          <w:sz w:val="24"/>
          <w:szCs w:val="24"/>
        </w:rPr>
        <w:t xml:space="preserve"> has implied the percentage of profit that is generated after deducting all the indirect and direct expenses and payment of tax and interest of a company from their total income during a particular period (</w:t>
      </w:r>
      <w:r w:rsidRPr="0094231E">
        <w:rPr>
          <w:rFonts w:ascii="Times New Roman" w:eastAsia="Times New Roman" w:hAnsi="Times New Roman" w:cs="Times New Roman"/>
          <w:color w:val="222222"/>
          <w:sz w:val="24"/>
          <w:szCs w:val="24"/>
          <w:highlight w:val="white"/>
        </w:rPr>
        <w:t>Simon and Simon, 2021)</w:t>
      </w:r>
      <w:r w:rsidRPr="0094231E">
        <w:rPr>
          <w:rFonts w:ascii="Times New Roman" w:eastAsia="Times New Roman" w:hAnsi="Times New Roman" w:cs="Times New Roman"/>
          <w:sz w:val="24"/>
          <w:szCs w:val="24"/>
        </w:rPr>
        <w:t xml:space="preserve">. Here the NP Margin of Sweets plc has been estimated for two years and is valued at 5.68% in 2020 and 6.40% in 2021. It </w:t>
      </w:r>
      <w:r w:rsidRPr="0094231E">
        <w:rPr>
          <w:rFonts w:ascii="Times New Roman" w:eastAsia="Times New Roman" w:hAnsi="Times New Roman" w:cs="Times New Roman"/>
          <w:sz w:val="24"/>
          <w:szCs w:val="24"/>
        </w:rPr>
        <w:lastRenderedPageBreak/>
        <w:t>indicates that the company is more concerned about converting sales into their actual profit in 2021 than the prior year.</w:t>
      </w:r>
    </w:p>
    <w:p w14:paraId="25949EC6" w14:textId="77777777" w:rsidR="00AE0CB2" w:rsidRPr="0094231E" w:rsidRDefault="00000000" w:rsidP="007B261C">
      <w:pPr>
        <w:pStyle w:val="Normal1"/>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Assets turnover</w:t>
      </w:r>
      <w:r w:rsidRPr="0094231E">
        <w:rPr>
          <w:rFonts w:ascii="Times New Roman" w:eastAsia="Times New Roman" w:hAnsi="Times New Roman" w:cs="Times New Roman"/>
          <w:sz w:val="24"/>
          <w:szCs w:val="24"/>
        </w:rPr>
        <w:t xml:space="preserve"> is used to determine the efficiency of a business from the perspective of using its assets for generating sales (</w:t>
      </w:r>
      <w:r w:rsidRPr="0094231E">
        <w:rPr>
          <w:rFonts w:ascii="Times New Roman" w:eastAsia="Times New Roman" w:hAnsi="Times New Roman" w:cs="Times New Roman"/>
          <w:color w:val="222222"/>
          <w:sz w:val="24"/>
          <w:szCs w:val="24"/>
          <w:highlight w:val="white"/>
        </w:rPr>
        <w:t>Alifiana and Indah, 2021)</w:t>
      </w:r>
      <w:r w:rsidRPr="0094231E">
        <w:rPr>
          <w:rFonts w:ascii="Times New Roman" w:eastAsia="Times New Roman" w:hAnsi="Times New Roman" w:cs="Times New Roman"/>
          <w:sz w:val="24"/>
          <w:szCs w:val="24"/>
        </w:rPr>
        <w:t>. Here the Assets turnover of Sweets plc has been estimated for two years and is valued at 1.277 in 2020 and 0.680 in 2021. It indicates that the company is not utilising all its resources more productively in 2021 than in the prior year.</w:t>
      </w:r>
    </w:p>
    <w:p w14:paraId="519BEB52" w14:textId="77777777" w:rsidR="00AE0CB2" w:rsidRPr="0094231E" w:rsidRDefault="00000000" w:rsidP="007B261C">
      <w:pPr>
        <w:pStyle w:val="Normal1"/>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Stock holding days</w:t>
      </w:r>
      <w:r w:rsidRPr="0094231E">
        <w:rPr>
          <w:rFonts w:ascii="Times New Roman" w:eastAsia="Times New Roman" w:hAnsi="Times New Roman" w:cs="Times New Roman"/>
          <w:sz w:val="24"/>
          <w:szCs w:val="24"/>
        </w:rPr>
        <w:t xml:space="preserve"> are used to measure the particular time to sell the inventories of a company and again replace the inventory (</w:t>
      </w:r>
      <w:r w:rsidRPr="0094231E">
        <w:rPr>
          <w:rFonts w:ascii="Times New Roman" w:eastAsia="Times New Roman" w:hAnsi="Times New Roman" w:cs="Times New Roman"/>
          <w:color w:val="222222"/>
          <w:sz w:val="24"/>
          <w:szCs w:val="24"/>
          <w:highlight w:val="white"/>
        </w:rPr>
        <w:t>Rahayu and Ilham, 2023)</w:t>
      </w:r>
      <w:r w:rsidRPr="0094231E">
        <w:rPr>
          <w:rFonts w:ascii="Times New Roman" w:eastAsia="Times New Roman" w:hAnsi="Times New Roman" w:cs="Times New Roman"/>
          <w:sz w:val="24"/>
          <w:szCs w:val="24"/>
        </w:rPr>
        <w:t>. Here the Stock holding days of Sweets plc have been estimated for two years and are valued at 77.692 in 2020 and 79.883 in 2021. It indicates that the company has become more powerful in its sales and uses its stocks in 2021 than the prior year.</w:t>
      </w:r>
    </w:p>
    <w:p w14:paraId="659F8E04" w14:textId="77777777" w:rsidR="00AE0CB2" w:rsidRPr="0094231E" w:rsidRDefault="00000000" w:rsidP="007B261C">
      <w:pPr>
        <w:pStyle w:val="Normal1"/>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The debtors' collection period</w:t>
      </w:r>
      <w:r w:rsidRPr="0094231E">
        <w:rPr>
          <w:rFonts w:ascii="Times New Roman" w:eastAsia="Times New Roman" w:hAnsi="Times New Roman" w:cs="Times New Roman"/>
          <w:sz w:val="24"/>
          <w:szCs w:val="24"/>
        </w:rPr>
        <w:t xml:space="preserve"> is used to measure the average time required of a company to collect their trade debts (</w:t>
      </w:r>
      <w:r w:rsidRPr="0094231E">
        <w:rPr>
          <w:rFonts w:ascii="Times New Roman" w:eastAsia="Times New Roman" w:hAnsi="Times New Roman" w:cs="Times New Roman"/>
          <w:color w:val="222222"/>
          <w:sz w:val="24"/>
          <w:szCs w:val="24"/>
          <w:highlight w:val="white"/>
        </w:rPr>
        <w:t>Oxford Reference, 2023)</w:t>
      </w:r>
      <w:r w:rsidRPr="0094231E">
        <w:rPr>
          <w:rFonts w:ascii="Times New Roman" w:eastAsia="Times New Roman" w:hAnsi="Times New Roman" w:cs="Times New Roman"/>
          <w:sz w:val="24"/>
          <w:szCs w:val="24"/>
        </w:rPr>
        <w:t>. Here the Debtor turnover period of Sweets plc has been estimated for two years and is valued at 72.932 in 2020 and 67.659 in 2021. It indicates that the performance of Sweet Plc is moving upward in 2021 than the prior year from the perspective of debt collecting.</w:t>
      </w:r>
    </w:p>
    <w:p w14:paraId="35181881" w14:textId="77777777" w:rsidR="00AE0CB2" w:rsidRPr="0094231E" w:rsidRDefault="00000000" w:rsidP="007B261C">
      <w:pPr>
        <w:pStyle w:val="Normal1"/>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The current ratio</w:t>
      </w:r>
      <w:r w:rsidRPr="0094231E">
        <w:rPr>
          <w:rFonts w:ascii="Times New Roman" w:eastAsia="Times New Roman" w:hAnsi="Times New Roman" w:cs="Times New Roman"/>
          <w:sz w:val="24"/>
          <w:szCs w:val="24"/>
        </w:rPr>
        <w:t xml:space="preserve"> is used in comparing the total current assets of a business with its total current liabilities (</w:t>
      </w:r>
      <w:r w:rsidRPr="0094231E">
        <w:rPr>
          <w:rFonts w:ascii="Times New Roman" w:eastAsia="Times New Roman" w:hAnsi="Times New Roman" w:cs="Times New Roman"/>
          <w:color w:val="222222"/>
          <w:sz w:val="24"/>
          <w:szCs w:val="24"/>
          <w:highlight w:val="white"/>
        </w:rPr>
        <w:t>Mulyadi and Sinaga, 2020)</w:t>
      </w:r>
      <w:r w:rsidRPr="0094231E">
        <w:rPr>
          <w:rFonts w:ascii="Times New Roman" w:eastAsia="Times New Roman" w:hAnsi="Times New Roman" w:cs="Times New Roman"/>
          <w:sz w:val="24"/>
          <w:szCs w:val="24"/>
        </w:rPr>
        <w:t>. Here the Current ratio of Sweets plc has been estimated for two years and is valued at 0.773 in 2020 and 0.917 in 2021. It indicates that the company has been able to obtain more assets than its total liabilities in 2021 the prior year.</w:t>
      </w:r>
    </w:p>
    <w:p w14:paraId="7870D9A9" w14:textId="77777777" w:rsidR="00AE0CB2" w:rsidRPr="0094231E" w:rsidRDefault="00000000" w:rsidP="007B261C">
      <w:pPr>
        <w:pStyle w:val="Normal1"/>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The gearing ratio</w:t>
      </w:r>
      <w:r w:rsidRPr="0094231E">
        <w:rPr>
          <w:rFonts w:ascii="Times New Roman" w:eastAsia="Times New Roman" w:hAnsi="Times New Roman" w:cs="Times New Roman"/>
          <w:sz w:val="24"/>
          <w:szCs w:val="24"/>
        </w:rPr>
        <w:t xml:space="preserve"> is used to measure the proportion of the borrowed capital of a company and total equity share for indicating the potential financial risks (</w:t>
      </w:r>
      <w:r w:rsidRPr="0094231E">
        <w:rPr>
          <w:rFonts w:ascii="Times New Roman" w:eastAsia="Times New Roman" w:hAnsi="Times New Roman" w:cs="Times New Roman"/>
          <w:color w:val="222222"/>
          <w:sz w:val="24"/>
          <w:szCs w:val="24"/>
          <w:highlight w:val="white"/>
        </w:rPr>
        <w:t>Wallstreetprep, 2023)</w:t>
      </w:r>
      <w:r w:rsidRPr="0094231E">
        <w:rPr>
          <w:rFonts w:ascii="Times New Roman" w:eastAsia="Times New Roman" w:hAnsi="Times New Roman" w:cs="Times New Roman"/>
          <w:sz w:val="24"/>
          <w:szCs w:val="24"/>
        </w:rPr>
        <w:t>. Here the Gearing ratio of Sweets plc has been estimated for two years and is valued at 1.418 in 2020 and 1.340 in 2021. It indicates that the company has contained lower financial risk in 2021 than the prior year.</w:t>
      </w:r>
    </w:p>
    <w:p w14:paraId="1C5B2F91" w14:textId="77777777" w:rsidR="00AE0CB2" w:rsidRPr="0094231E" w:rsidRDefault="00000000" w:rsidP="007B261C">
      <w:pPr>
        <w:pStyle w:val="Normal1"/>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b/>
          <w:sz w:val="24"/>
          <w:szCs w:val="24"/>
        </w:rPr>
        <w:t>Interest cover</w:t>
      </w:r>
      <w:r w:rsidRPr="0094231E">
        <w:rPr>
          <w:rFonts w:ascii="Times New Roman" w:eastAsia="Times New Roman" w:hAnsi="Times New Roman" w:cs="Times New Roman"/>
          <w:sz w:val="24"/>
          <w:szCs w:val="24"/>
        </w:rPr>
        <w:t xml:space="preserve"> is used for measuring the capacity of a business from the perspective of their capacity of payment of interest on their outstanding debts (</w:t>
      </w:r>
      <w:r w:rsidRPr="0094231E">
        <w:rPr>
          <w:rFonts w:ascii="Times New Roman" w:eastAsia="Times New Roman" w:hAnsi="Times New Roman" w:cs="Times New Roman"/>
          <w:color w:val="222222"/>
          <w:sz w:val="24"/>
          <w:szCs w:val="24"/>
          <w:highlight w:val="white"/>
        </w:rPr>
        <w:t>Suranta</w:t>
      </w:r>
      <w:r w:rsidRPr="0094231E">
        <w:rPr>
          <w:rFonts w:ascii="Times New Roman" w:eastAsia="Times New Roman" w:hAnsi="Times New Roman" w:cs="Times New Roman"/>
          <w:i/>
          <w:color w:val="222222"/>
          <w:sz w:val="24"/>
          <w:szCs w:val="24"/>
          <w:highlight w:val="white"/>
        </w:rPr>
        <w:t xml:space="preserve"> et al.</w:t>
      </w:r>
      <w:r w:rsidRPr="0094231E">
        <w:rPr>
          <w:rFonts w:ascii="Times New Roman" w:eastAsia="Times New Roman" w:hAnsi="Times New Roman" w:cs="Times New Roman"/>
          <w:color w:val="222222"/>
          <w:sz w:val="24"/>
          <w:szCs w:val="24"/>
          <w:highlight w:val="white"/>
        </w:rPr>
        <w:t xml:space="preserve"> 2023)</w:t>
      </w:r>
      <w:r w:rsidRPr="0094231E">
        <w:rPr>
          <w:rFonts w:ascii="Times New Roman" w:eastAsia="Times New Roman" w:hAnsi="Times New Roman" w:cs="Times New Roman"/>
          <w:sz w:val="24"/>
          <w:szCs w:val="24"/>
        </w:rPr>
        <w:t xml:space="preserve">. Here the Interest coverage ratio of Sweets plc has been estimated for two years and is valued at 3.862 in 2020 and 3.562 in 2021. It indicates that the company has obtained low profit to meet the interest on their debts. </w:t>
      </w:r>
    </w:p>
    <w:p w14:paraId="629D878D" w14:textId="77777777" w:rsidR="00DC42C4" w:rsidRDefault="00DC42C4" w:rsidP="00DC42C4">
      <w:pPr>
        <w:pStyle w:val="Normal1"/>
        <w:spacing w:line="360" w:lineRule="auto"/>
        <w:jc w:val="center"/>
        <w:rPr>
          <w:rFonts w:ascii="Times New Roman" w:eastAsia="Times New Roman" w:hAnsi="Times New Roman" w:cs="Times New Roman"/>
          <w:b/>
          <w:sz w:val="24"/>
          <w:szCs w:val="24"/>
        </w:rPr>
      </w:pPr>
    </w:p>
    <w:p w14:paraId="79CECE42" w14:textId="77777777" w:rsidR="00DC42C4" w:rsidRDefault="00DC42C4" w:rsidP="00DC42C4">
      <w:pPr>
        <w:pStyle w:val="Normal1"/>
        <w:spacing w:line="360" w:lineRule="auto"/>
        <w:jc w:val="center"/>
        <w:rPr>
          <w:rFonts w:ascii="Times New Roman" w:eastAsia="Times New Roman" w:hAnsi="Times New Roman" w:cs="Times New Roman"/>
          <w:b/>
          <w:sz w:val="24"/>
          <w:szCs w:val="24"/>
        </w:rPr>
      </w:pPr>
    </w:p>
    <w:p w14:paraId="5C61A07E" w14:textId="77777777" w:rsidR="00DC42C4" w:rsidRDefault="00DC42C4" w:rsidP="00DC42C4">
      <w:pPr>
        <w:pStyle w:val="Normal1"/>
        <w:spacing w:line="360" w:lineRule="auto"/>
        <w:jc w:val="center"/>
        <w:rPr>
          <w:rFonts w:ascii="Times New Roman" w:eastAsia="Times New Roman" w:hAnsi="Times New Roman" w:cs="Times New Roman"/>
          <w:b/>
          <w:sz w:val="24"/>
          <w:szCs w:val="24"/>
        </w:rPr>
      </w:pPr>
    </w:p>
    <w:p w14:paraId="29B4EADE" w14:textId="77777777" w:rsidR="00DC42C4" w:rsidRDefault="00DC42C4" w:rsidP="00DC42C4">
      <w:pPr>
        <w:pStyle w:val="Normal1"/>
        <w:spacing w:line="360" w:lineRule="auto"/>
        <w:jc w:val="center"/>
        <w:rPr>
          <w:rFonts w:ascii="Times New Roman" w:eastAsia="Times New Roman" w:hAnsi="Times New Roman" w:cs="Times New Roman"/>
          <w:b/>
          <w:sz w:val="24"/>
          <w:szCs w:val="24"/>
        </w:rPr>
      </w:pPr>
    </w:p>
    <w:p w14:paraId="39530AE2" w14:textId="77777777" w:rsidR="00DC42C4" w:rsidRDefault="00DC42C4" w:rsidP="00DC42C4">
      <w:pPr>
        <w:pStyle w:val="Normal1"/>
        <w:spacing w:line="360" w:lineRule="auto"/>
        <w:jc w:val="center"/>
        <w:rPr>
          <w:rFonts w:ascii="Times New Roman" w:eastAsia="Times New Roman" w:hAnsi="Times New Roman" w:cs="Times New Roman"/>
          <w:b/>
          <w:sz w:val="24"/>
          <w:szCs w:val="24"/>
        </w:rPr>
      </w:pPr>
    </w:p>
    <w:p w14:paraId="713C9B39" w14:textId="3CAC2FB5" w:rsidR="00AE0CB2" w:rsidRDefault="00000000" w:rsidP="00DC42C4">
      <w:pPr>
        <w:pStyle w:val="Normal1"/>
        <w:spacing w:line="360" w:lineRule="auto"/>
        <w:jc w:val="center"/>
        <w:rPr>
          <w:rFonts w:ascii="Times New Roman" w:eastAsia="Times New Roman" w:hAnsi="Times New Roman" w:cs="Times New Roman"/>
          <w:b/>
          <w:sz w:val="24"/>
          <w:szCs w:val="24"/>
        </w:rPr>
      </w:pPr>
      <w:r w:rsidRPr="0094231E">
        <w:rPr>
          <w:rFonts w:ascii="Times New Roman" w:eastAsia="Times New Roman" w:hAnsi="Times New Roman" w:cs="Times New Roman"/>
          <w:b/>
          <w:sz w:val="24"/>
          <w:szCs w:val="24"/>
        </w:rPr>
        <w:t>Conclusion</w:t>
      </w:r>
    </w:p>
    <w:p w14:paraId="34AF0F4B" w14:textId="77777777" w:rsidR="00DC42C4" w:rsidRPr="0094231E" w:rsidRDefault="00DC42C4" w:rsidP="00DC42C4">
      <w:pPr>
        <w:pStyle w:val="Normal1"/>
        <w:spacing w:line="360" w:lineRule="auto"/>
        <w:jc w:val="center"/>
        <w:rPr>
          <w:rFonts w:ascii="Times New Roman" w:eastAsia="Times New Roman" w:hAnsi="Times New Roman" w:cs="Times New Roman"/>
          <w:b/>
          <w:sz w:val="24"/>
          <w:szCs w:val="24"/>
        </w:rPr>
      </w:pPr>
    </w:p>
    <w:p w14:paraId="745359E2" w14:textId="77777777" w:rsidR="00DC42C4" w:rsidRDefault="00000000" w:rsidP="007B261C">
      <w:pPr>
        <w:pStyle w:val="Normal1"/>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 xml:space="preserve">The study has successfully focused on accounting fundamentals and analysed the different types of accounting statements to determine the financial health of the two companies. </w:t>
      </w:r>
    </w:p>
    <w:p w14:paraId="3D1BD9D6" w14:textId="1C8D506E" w:rsidR="00AE0CB2" w:rsidRPr="0094231E" w:rsidRDefault="00000000" w:rsidP="007B261C">
      <w:pPr>
        <w:pStyle w:val="Normal1"/>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 xml:space="preserve">The income statement and Financial position statement of Wales Plc have been created based on the given trial balance of that company in the first part. In the second part of this study, different ratios have been estimated and analysed in the financial performance of Sweets Plc. Moreover, the assessment has significantly highlighted the different accounting fundamentals. </w:t>
      </w:r>
    </w:p>
    <w:p w14:paraId="374C1D70" w14:textId="77777777" w:rsidR="007E4058" w:rsidRPr="0094231E" w:rsidRDefault="007E4058">
      <w:pPr>
        <w:rPr>
          <w:rFonts w:ascii="Times New Roman" w:eastAsia="Times New Roman" w:hAnsi="Times New Roman" w:cs="Times New Roman"/>
          <w:b/>
          <w:sz w:val="24"/>
          <w:szCs w:val="24"/>
        </w:rPr>
      </w:pPr>
      <w:r w:rsidRPr="0094231E">
        <w:rPr>
          <w:rFonts w:ascii="Times New Roman" w:eastAsia="Times New Roman" w:hAnsi="Times New Roman" w:cs="Times New Roman"/>
          <w:b/>
          <w:sz w:val="24"/>
          <w:szCs w:val="24"/>
        </w:rPr>
        <w:br w:type="page"/>
      </w:r>
    </w:p>
    <w:p w14:paraId="7080B198" w14:textId="3B1888FD" w:rsidR="00AE0CB2" w:rsidRPr="0094231E" w:rsidRDefault="00000000" w:rsidP="00DC42C4">
      <w:pPr>
        <w:pStyle w:val="Normal1"/>
        <w:spacing w:line="360" w:lineRule="auto"/>
        <w:jc w:val="center"/>
        <w:rPr>
          <w:rFonts w:ascii="Times New Roman" w:eastAsia="Times New Roman" w:hAnsi="Times New Roman" w:cs="Times New Roman"/>
          <w:b/>
          <w:sz w:val="24"/>
          <w:szCs w:val="24"/>
        </w:rPr>
      </w:pPr>
      <w:r w:rsidRPr="0094231E">
        <w:rPr>
          <w:rFonts w:ascii="Times New Roman" w:eastAsia="Times New Roman" w:hAnsi="Times New Roman" w:cs="Times New Roman"/>
          <w:b/>
          <w:sz w:val="24"/>
          <w:szCs w:val="24"/>
        </w:rPr>
        <w:lastRenderedPageBreak/>
        <w:t>References</w:t>
      </w:r>
    </w:p>
    <w:p w14:paraId="27BF6046" w14:textId="77777777" w:rsidR="007E4058" w:rsidRPr="0094231E" w:rsidRDefault="007E4058" w:rsidP="007B261C">
      <w:pPr>
        <w:pStyle w:val="Normal1"/>
        <w:spacing w:before="240" w:after="240" w:line="360" w:lineRule="auto"/>
        <w:jc w:val="both"/>
        <w:rPr>
          <w:rFonts w:ascii="Times New Roman" w:eastAsia="Times New Roman" w:hAnsi="Times New Roman" w:cs="Times New Roman"/>
          <w:color w:val="222222"/>
          <w:sz w:val="24"/>
          <w:szCs w:val="24"/>
          <w:highlight w:val="white"/>
        </w:rPr>
      </w:pPr>
      <w:r w:rsidRPr="0094231E">
        <w:rPr>
          <w:rFonts w:ascii="Times New Roman" w:eastAsia="Times New Roman" w:hAnsi="Times New Roman" w:cs="Times New Roman"/>
          <w:color w:val="222222"/>
          <w:sz w:val="24"/>
          <w:szCs w:val="24"/>
          <w:highlight w:val="white"/>
        </w:rPr>
        <w:t xml:space="preserve">Alifiana, S. and Indah, N.P., (2021). The Effect Of Debt To Asset Ratio (DAR), Debt To Equity Ratio (DER), and Total Assets Turnover (TATO) On Return On Asset (ROA) In Cosmetics and Household Goods Sub Sector Companies Listed In The Indonesia Stock Exchange Year 2016-2019. </w:t>
      </w:r>
      <w:r w:rsidRPr="0094231E">
        <w:rPr>
          <w:rFonts w:ascii="Times New Roman" w:eastAsia="Times New Roman" w:hAnsi="Times New Roman" w:cs="Times New Roman"/>
          <w:i/>
          <w:color w:val="222222"/>
          <w:sz w:val="24"/>
          <w:szCs w:val="24"/>
          <w:highlight w:val="white"/>
        </w:rPr>
        <w:t>JIM UPB (Jurnal Ilmiah Manajemen Universitas Putera Batam)</w:t>
      </w:r>
      <w:r w:rsidRPr="0094231E">
        <w:rPr>
          <w:rFonts w:ascii="Times New Roman" w:eastAsia="Times New Roman" w:hAnsi="Times New Roman" w:cs="Times New Roman"/>
          <w:color w:val="222222"/>
          <w:sz w:val="24"/>
          <w:szCs w:val="24"/>
          <w:highlight w:val="white"/>
        </w:rPr>
        <w:t xml:space="preserve">, </w:t>
      </w:r>
      <w:r w:rsidRPr="0094231E">
        <w:rPr>
          <w:rFonts w:ascii="Times New Roman" w:eastAsia="Times New Roman" w:hAnsi="Times New Roman" w:cs="Times New Roman"/>
          <w:i/>
          <w:color w:val="222222"/>
          <w:sz w:val="24"/>
          <w:szCs w:val="24"/>
          <w:highlight w:val="white"/>
        </w:rPr>
        <w:t>9</w:t>
      </w:r>
      <w:r w:rsidRPr="0094231E">
        <w:rPr>
          <w:rFonts w:ascii="Times New Roman" w:eastAsia="Times New Roman" w:hAnsi="Times New Roman" w:cs="Times New Roman"/>
          <w:color w:val="222222"/>
          <w:sz w:val="24"/>
          <w:szCs w:val="24"/>
          <w:highlight w:val="white"/>
        </w:rPr>
        <w:t xml:space="preserve">(2), pp.136-147. </w:t>
      </w:r>
      <w:hyperlink r:id="rId7">
        <w:r w:rsidRPr="0094231E">
          <w:rPr>
            <w:rFonts w:ascii="Times New Roman" w:eastAsia="Times New Roman" w:hAnsi="Times New Roman" w:cs="Times New Roman"/>
            <w:color w:val="1155CC"/>
            <w:sz w:val="24"/>
            <w:szCs w:val="24"/>
            <w:highlight w:val="white"/>
            <w:u w:val="single"/>
          </w:rPr>
          <w:t>https://ejournal.upbatam.ac.id/index.php/jim/article/view/3729</w:t>
        </w:r>
      </w:hyperlink>
      <w:r w:rsidRPr="0094231E">
        <w:rPr>
          <w:rFonts w:ascii="Times New Roman" w:eastAsia="Times New Roman" w:hAnsi="Times New Roman" w:cs="Times New Roman"/>
          <w:color w:val="222222"/>
          <w:sz w:val="24"/>
          <w:szCs w:val="24"/>
          <w:highlight w:val="white"/>
        </w:rPr>
        <w:t xml:space="preserve"> </w:t>
      </w:r>
    </w:p>
    <w:p w14:paraId="73DD2AAE" w14:textId="3D21EC43" w:rsidR="007E4058" w:rsidRPr="0094231E" w:rsidRDefault="00434024" w:rsidP="00434024">
      <w:pPr>
        <w:pStyle w:val="Normal1"/>
        <w:spacing w:before="240" w:after="240" w:line="36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r w:rsidR="007E4058" w:rsidRPr="0094231E">
        <w:rPr>
          <w:rFonts w:ascii="Times New Roman" w:eastAsia="Times New Roman" w:hAnsi="Times New Roman" w:cs="Times New Roman"/>
          <w:color w:val="222222"/>
          <w:sz w:val="24"/>
          <w:szCs w:val="24"/>
          <w:highlight w:val="white"/>
        </w:rPr>
        <w:t>Almeida, H.,(2019).</w:t>
      </w:r>
      <w:r>
        <w:rPr>
          <w:rFonts w:ascii="Times New Roman" w:eastAsia="Times New Roman" w:hAnsi="Times New Roman" w:cs="Times New Roman"/>
          <w:color w:val="222222"/>
          <w:sz w:val="24"/>
          <w:szCs w:val="24"/>
          <w:highlight w:val="white"/>
        </w:rPr>
        <w:t>I</w:t>
      </w:r>
      <w:r w:rsidR="007E4058" w:rsidRPr="0094231E">
        <w:rPr>
          <w:rFonts w:ascii="Times New Roman" w:eastAsia="Times New Roman" w:hAnsi="Times New Roman" w:cs="Times New Roman"/>
          <w:color w:val="222222"/>
          <w:sz w:val="24"/>
          <w:szCs w:val="24"/>
          <w:highlight w:val="white"/>
        </w:rPr>
        <w:t>s it time to get rid of earnings-per-share (EPS)?</w:t>
      </w:r>
      <w:r w:rsidR="007E4058" w:rsidRPr="0094231E">
        <w:rPr>
          <w:rFonts w:ascii="Times New Roman" w:eastAsia="Times New Roman" w:hAnsi="Times New Roman" w:cs="Times New Roman"/>
          <w:i/>
          <w:color w:val="222222"/>
          <w:sz w:val="24"/>
          <w:szCs w:val="24"/>
          <w:highlight w:val="white"/>
        </w:rPr>
        <w:t>Review of Corporate FinanceStudies</w:t>
      </w:r>
      <w:r w:rsidR="007E4058" w:rsidRPr="0094231E">
        <w:rPr>
          <w:rFonts w:ascii="Times New Roman" w:eastAsia="Times New Roman" w:hAnsi="Times New Roman" w:cs="Times New Roman"/>
          <w:color w:val="222222"/>
          <w:sz w:val="24"/>
          <w:szCs w:val="24"/>
          <w:highlight w:val="white"/>
        </w:rPr>
        <w:t>,</w:t>
      </w:r>
      <w:r w:rsidR="007E4058" w:rsidRPr="0094231E">
        <w:rPr>
          <w:rFonts w:ascii="Times New Roman" w:eastAsia="Times New Roman" w:hAnsi="Times New Roman" w:cs="Times New Roman"/>
          <w:i/>
          <w:color w:val="222222"/>
          <w:sz w:val="24"/>
          <w:szCs w:val="24"/>
          <w:highlight w:val="white"/>
        </w:rPr>
        <w:t>8</w:t>
      </w:r>
      <w:r w:rsidR="007E4058" w:rsidRPr="0094231E">
        <w:rPr>
          <w:rFonts w:ascii="Times New Roman" w:eastAsia="Times New Roman" w:hAnsi="Times New Roman" w:cs="Times New Roman"/>
          <w:color w:val="222222"/>
          <w:sz w:val="24"/>
          <w:szCs w:val="24"/>
          <w:highlight w:val="white"/>
        </w:rPr>
        <w:t>(1),pp.174</w:t>
      </w:r>
      <w:r>
        <w:rPr>
          <w:rFonts w:ascii="Times New Roman" w:eastAsia="Times New Roman" w:hAnsi="Times New Roman" w:cs="Times New Roman"/>
          <w:color w:val="222222"/>
          <w:sz w:val="24"/>
          <w:szCs w:val="24"/>
          <w:highlight w:val="white"/>
        </w:rPr>
        <w:t>-</w:t>
      </w:r>
      <w:r w:rsidR="007E4058" w:rsidRPr="0094231E">
        <w:rPr>
          <w:rFonts w:ascii="Times New Roman" w:eastAsia="Times New Roman" w:hAnsi="Times New Roman" w:cs="Times New Roman"/>
          <w:color w:val="222222"/>
          <w:sz w:val="24"/>
          <w:szCs w:val="24"/>
          <w:highlight w:val="white"/>
        </w:rPr>
        <w:t>206.</w:t>
      </w:r>
      <w:r>
        <w:rPr>
          <w:rFonts w:ascii="Times New Roman" w:eastAsia="Times New Roman" w:hAnsi="Times New Roman" w:cs="Times New Roman"/>
          <w:color w:val="1155CC"/>
          <w:sz w:val="24"/>
          <w:szCs w:val="24"/>
          <w:highlight w:val="white"/>
          <w:u w:val="single"/>
        </w:rPr>
        <w:fldChar w:fldCharType="begin"/>
      </w:r>
      <w:r>
        <w:rPr>
          <w:rFonts w:ascii="Times New Roman" w:eastAsia="Times New Roman" w:hAnsi="Times New Roman" w:cs="Times New Roman"/>
          <w:color w:val="1155CC"/>
          <w:sz w:val="24"/>
          <w:szCs w:val="24"/>
          <w:highlight w:val="white"/>
          <w:u w:val="single"/>
        </w:rPr>
        <w:instrText xml:space="preserve"> HYPERLINK "</w:instrText>
      </w:r>
      <w:r w:rsidRPr="00434024">
        <w:rPr>
          <w:rFonts w:ascii="Times New Roman" w:eastAsia="Times New Roman" w:hAnsi="Times New Roman" w:cs="Times New Roman"/>
          <w:color w:val="1155CC"/>
          <w:sz w:val="24"/>
          <w:szCs w:val="24"/>
          <w:highlight w:val="white"/>
          <w:u w:val="single"/>
        </w:rPr>
        <w:instrText>https://academic.oup.com/rcfs/articleabstract/8/1/174/5232144</w:instrText>
      </w:r>
      <w:r>
        <w:rPr>
          <w:rFonts w:ascii="Times New Roman" w:eastAsia="Times New Roman" w:hAnsi="Times New Roman" w:cs="Times New Roman"/>
          <w:color w:val="1155CC"/>
          <w:sz w:val="24"/>
          <w:szCs w:val="24"/>
          <w:highlight w:val="white"/>
          <w:u w:val="single"/>
        </w:rPr>
        <w:instrText xml:space="preserve">" </w:instrText>
      </w:r>
      <w:r>
        <w:rPr>
          <w:rFonts w:ascii="Times New Roman" w:eastAsia="Times New Roman" w:hAnsi="Times New Roman" w:cs="Times New Roman"/>
          <w:color w:val="1155CC"/>
          <w:sz w:val="24"/>
          <w:szCs w:val="24"/>
          <w:highlight w:val="white"/>
          <w:u w:val="single"/>
        </w:rPr>
        <w:fldChar w:fldCharType="separate"/>
      </w:r>
      <w:r w:rsidRPr="007E1502">
        <w:rPr>
          <w:rStyle w:val="Hyperlink"/>
          <w:rFonts w:ascii="Times New Roman" w:eastAsia="Times New Roman" w:hAnsi="Times New Roman" w:cs="Times New Roman"/>
          <w:sz w:val="24"/>
          <w:szCs w:val="24"/>
          <w:highlight w:val="white"/>
        </w:rPr>
        <w:t>https://academic.oup.com/rcfs/article</w:t>
      </w:r>
      <w:r w:rsidRPr="007E1502">
        <w:rPr>
          <w:rStyle w:val="Hyperlink"/>
          <w:rFonts w:ascii="Times New Roman" w:eastAsia="Times New Roman" w:hAnsi="Times New Roman" w:cs="Times New Roman"/>
          <w:sz w:val="24"/>
          <w:szCs w:val="24"/>
          <w:highlight w:val="white"/>
        </w:rPr>
        <w:t>a</w:t>
      </w:r>
      <w:r w:rsidRPr="007E1502">
        <w:rPr>
          <w:rStyle w:val="Hyperlink"/>
          <w:rFonts w:ascii="Times New Roman" w:eastAsia="Times New Roman" w:hAnsi="Times New Roman" w:cs="Times New Roman"/>
          <w:sz w:val="24"/>
          <w:szCs w:val="24"/>
          <w:highlight w:val="white"/>
        </w:rPr>
        <w:t>bstract/8/1/174/5232144</w:t>
      </w:r>
      <w:r>
        <w:rPr>
          <w:rFonts w:ascii="Times New Roman" w:eastAsia="Times New Roman" w:hAnsi="Times New Roman" w:cs="Times New Roman"/>
          <w:color w:val="1155CC"/>
          <w:sz w:val="24"/>
          <w:szCs w:val="24"/>
          <w:highlight w:val="white"/>
          <w:u w:val="single"/>
        </w:rPr>
        <w:fldChar w:fldCharType="end"/>
      </w:r>
      <w:r w:rsidR="007E4058" w:rsidRPr="0094231E">
        <w:rPr>
          <w:rFonts w:ascii="Times New Roman" w:eastAsia="Times New Roman" w:hAnsi="Times New Roman" w:cs="Times New Roman"/>
          <w:color w:val="222222"/>
          <w:sz w:val="24"/>
          <w:szCs w:val="24"/>
          <w:highlight w:val="white"/>
        </w:rPr>
        <w:t xml:space="preserve"> </w:t>
      </w:r>
    </w:p>
    <w:p w14:paraId="06BB3978" w14:textId="77777777" w:rsidR="007E4058" w:rsidRPr="0094231E" w:rsidRDefault="007E4058" w:rsidP="007B261C">
      <w:pPr>
        <w:pStyle w:val="Normal1"/>
        <w:spacing w:before="240" w:after="240" w:line="360" w:lineRule="auto"/>
        <w:jc w:val="both"/>
        <w:rPr>
          <w:rFonts w:ascii="Times New Roman" w:eastAsia="Times New Roman" w:hAnsi="Times New Roman" w:cs="Times New Roman"/>
          <w:color w:val="222222"/>
          <w:sz w:val="24"/>
          <w:szCs w:val="24"/>
          <w:highlight w:val="white"/>
        </w:rPr>
      </w:pPr>
      <w:r w:rsidRPr="0094231E">
        <w:rPr>
          <w:rFonts w:ascii="Times New Roman" w:eastAsia="Times New Roman" w:hAnsi="Times New Roman" w:cs="Times New Roman"/>
          <w:color w:val="222222"/>
          <w:sz w:val="24"/>
          <w:szCs w:val="24"/>
          <w:highlight w:val="white"/>
        </w:rPr>
        <w:t xml:space="preserve">Barbier, P.J.A., (2020). Financial return on equity (FROE): A new extended dupont approach. </w:t>
      </w:r>
      <w:r w:rsidRPr="0094231E">
        <w:rPr>
          <w:rFonts w:ascii="Times New Roman" w:eastAsia="Times New Roman" w:hAnsi="Times New Roman" w:cs="Times New Roman"/>
          <w:i/>
          <w:color w:val="222222"/>
          <w:sz w:val="24"/>
          <w:szCs w:val="24"/>
          <w:highlight w:val="white"/>
        </w:rPr>
        <w:t>Academy of Accounting and Financial Studies Journal</w:t>
      </w:r>
      <w:r w:rsidRPr="0094231E">
        <w:rPr>
          <w:rFonts w:ascii="Times New Roman" w:eastAsia="Times New Roman" w:hAnsi="Times New Roman" w:cs="Times New Roman"/>
          <w:color w:val="222222"/>
          <w:sz w:val="24"/>
          <w:szCs w:val="24"/>
          <w:highlight w:val="white"/>
        </w:rPr>
        <w:t xml:space="preserve">, </w:t>
      </w:r>
      <w:r w:rsidRPr="0094231E">
        <w:rPr>
          <w:rFonts w:ascii="Times New Roman" w:eastAsia="Times New Roman" w:hAnsi="Times New Roman" w:cs="Times New Roman"/>
          <w:i/>
          <w:color w:val="222222"/>
          <w:sz w:val="24"/>
          <w:szCs w:val="24"/>
          <w:highlight w:val="white"/>
        </w:rPr>
        <w:t>24</w:t>
      </w:r>
      <w:r w:rsidRPr="0094231E">
        <w:rPr>
          <w:rFonts w:ascii="Times New Roman" w:eastAsia="Times New Roman" w:hAnsi="Times New Roman" w:cs="Times New Roman"/>
          <w:color w:val="222222"/>
          <w:sz w:val="24"/>
          <w:szCs w:val="24"/>
          <w:highlight w:val="white"/>
        </w:rPr>
        <w:t xml:space="preserve">(2), pp.1-8. </w:t>
      </w:r>
      <w:hyperlink r:id="rId8">
        <w:r w:rsidRPr="0094231E">
          <w:rPr>
            <w:rFonts w:ascii="Times New Roman" w:eastAsia="Times New Roman" w:hAnsi="Times New Roman" w:cs="Times New Roman"/>
            <w:color w:val="1155CC"/>
            <w:sz w:val="24"/>
            <w:szCs w:val="24"/>
            <w:highlight w:val="white"/>
            <w:u w:val="single"/>
          </w:rPr>
          <w:t>https://www.proquest.com/openview/69e7f8b77d48bd5491f9f813c16795a3/1?pq-origsite=gscholar&amp;cbl=29414</w:t>
        </w:r>
      </w:hyperlink>
      <w:r w:rsidRPr="0094231E">
        <w:rPr>
          <w:rFonts w:ascii="Times New Roman" w:eastAsia="Times New Roman" w:hAnsi="Times New Roman" w:cs="Times New Roman"/>
          <w:color w:val="222222"/>
          <w:sz w:val="24"/>
          <w:szCs w:val="24"/>
          <w:highlight w:val="white"/>
        </w:rPr>
        <w:t xml:space="preserve"> </w:t>
      </w:r>
    </w:p>
    <w:p w14:paraId="57986591" w14:textId="77777777" w:rsidR="007E4058" w:rsidRPr="0094231E" w:rsidRDefault="007E4058" w:rsidP="007B261C">
      <w:pPr>
        <w:pStyle w:val="Normal1"/>
        <w:spacing w:before="240" w:after="240" w:line="360" w:lineRule="auto"/>
        <w:jc w:val="both"/>
        <w:rPr>
          <w:rFonts w:ascii="Times New Roman" w:eastAsia="Times New Roman" w:hAnsi="Times New Roman" w:cs="Times New Roman"/>
          <w:color w:val="222222"/>
          <w:sz w:val="24"/>
          <w:szCs w:val="24"/>
          <w:highlight w:val="white"/>
        </w:rPr>
      </w:pPr>
      <w:r w:rsidRPr="0094231E">
        <w:rPr>
          <w:rFonts w:ascii="Times New Roman" w:eastAsia="Times New Roman" w:hAnsi="Times New Roman" w:cs="Times New Roman"/>
          <w:color w:val="222222"/>
          <w:sz w:val="24"/>
          <w:szCs w:val="24"/>
          <w:highlight w:val="white"/>
        </w:rPr>
        <w:t xml:space="preserve">Cotter, T.S., (2021). Benefit–cost ratio analysis. In </w:t>
      </w:r>
      <w:r w:rsidRPr="0094231E">
        <w:rPr>
          <w:rFonts w:ascii="Times New Roman" w:eastAsia="Times New Roman" w:hAnsi="Times New Roman" w:cs="Times New Roman"/>
          <w:i/>
          <w:color w:val="222222"/>
          <w:sz w:val="24"/>
          <w:szCs w:val="24"/>
          <w:highlight w:val="white"/>
        </w:rPr>
        <w:t>Engineering managerial economic decision and risk analysis: economic decision-making and risk analysis</w:t>
      </w:r>
      <w:r w:rsidRPr="0094231E">
        <w:rPr>
          <w:rFonts w:ascii="Times New Roman" w:eastAsia="Times New Roman" w:hAnsi="Times New Roman" w:cs="Times New Roman"/>
          <w:color w:val="222222"/>
          <w:sz w:val="24"/>
          <w:szCs w:val="24"/>
          <w:highlight w:val="white"/>
        </w:rPr>
        <w:t xml:space="preserve"> (pp. 333-351). Cham: Springer International Publishing. </w:t>
      </w:r>
      <w:hyperlink r:id="rId9">
        <w:r w:rsidRPr="0094231E">
          <w:rPr>
            <w:rFonts w:ascii="Times New Roman" w:eastAsia="Times New Roman" w:hAnsi="Times New Roman" w:cs="Times New Roman"/>
            <w:color w:val="1155CC"/>
            <w:sz w:val="24"/>
            <w:szCs w:val="24"/>
            <w:highlight w:val="white"/>
            <w:u w:val="single"/>
          </w:rPr>
          <w:t>https://link.springer.com/chapter/10.1007/978-3-030-87767-5_14</w:t>
        </w:r>
      </w:hyperlink>
      <w:r w:rsidRPr="0094231E">
        <w:rPr>
          <w:rFonts w:ascii="Times New Roman" w:eastAsia="Times New Roman" w:hAnsi="Times New Roman" w:cs="Times New Roman"/>
          <w:color w:val="222222"/>
          <w:sz w:val="24"/>
          <w:szCs w:val="24"/>
          <w:highlight w:val="white"/>
        </w:rPr>
        <w:t xml:space="preserve"> </w:t>
      </w:r>
    </w:p>
    <w:p w14:paraId="0C7D55A1" w14:textId="77777777" w:rsidR="007E4058" w:rsidRPr="0094231E" w:rsidRDefault="007E4058" w:rsidP="007B261C">
      <w:pPr>
        <w:pStyle w:val="Normal1"/>
        <w:spacing w:before="240" w:after="240" w:line="360" w:lineRule="auto"/>
        <w:jc w:val="both"/>
        <w:rPr>
          <w:rFonts w:ascii="Times New Roman" w:eastAsia="Times New Roman" w:hAnsi="Times New Roman" w:cs="Times New Roman"/>
          <w:color w:val="222222"/>
          <w:sz w:val="24"/>
          <w:szCs w:val="24"/>
          <w:highlight w:val="white"/>
        </w:rPr>
      </w:pPr>
      <w:r w:rsidRPr="0094231E">
        <w:rPr>
          <w:rFonts w:ascii="Times New Roman" w:eastAsia="Times New Roman" w:hAnsi="Times New Roman" w:cs="Times New Roman"/>
          <w:color w:val="222222"/>
          <w:sz w:val="24"/>
          <w:szCs w:val="24"/>
          <w:highlight w:val="white"/>
        </w:rPr>
        <w:t xml:space="preserve">Felber, C., Campos, V. and Sanchis, J.R., (2019). The common good balance sheet, an adequate tool to capture non-financials?. </w:t>
      </w:r>
      <w:r w:rsidRPr="0094231E">
        <w:rPr>
          <w:rFonts w:ascii="Times New Roman" w:eastAsia="Times New Roman" w:hAnsi="Times New Roman" w:cs="Times New Roman"/>
          <w:i/>
          <w:color w:val="222222"/>
          <w:sz w:val="24"/>
          <w:szCs w:val="24"/>
          <w:highlight w:val="white"/>
        </w:rPr>
        <w:t>Sustainability</w:t>
      </w:r>
      <w:r w:rsidRPr="0094231E">
        <w:rPr>
          <w:rFonts w:ascii="Times New Roman" w:eastAsia="Times New Roman" w:hAnsi="Times New Roman" w:cs="Times New Roman"/>
          <w:color w:val="222222"/>
          <w:sz w:val="24"/>
          <w:szCs w:val="24"/>
          <w:highlight w:val="white"/>
        </w:rPr>
        <w:t xml:space="preserve">, </w:t>
      </w:r>
      <w:r w:rsidRPr="0094231E">
        <w:rPr>
          <w:rFonts w:ascii="Times New Roman" w:eastAsia="Times New Roman" w:hAnsi="Times New Roman" w:cs="Times New Roman"/>
          <w:i/>
          <w:color w:val="222222"/>
          <w:sz w:val="24"/>
          <w:szCs w:val="24"/>
          <w:highlight w:val="white"/>
        </w:rPr>
        <w:t>11</w:t>
      </w:r>
      <w:r w:rsidRPr="0094231E">
        <w:rPr>
          <w:rFonts w:ascii="Times New Roman" w:eastAsia="Times New Roman" w:hAnsi="Times New Roman" w:cs="Times New Roman"/>
          <w:color w:val="222222"/>
          <w:sz w:val="24"/>
          <w:szCs w:val="24"/>
          <w:highlight w:val="white"/>
        </w:rPr>
        <w:t xml:space="preserve">(14), p.3791. </w:t>
      </w:r>
      <w:hyperlink r:id="rId10">
        <w:r w:rsidRPr="0094231E">
          <w:rPr>
            <w:rFonts w:ascii="Times New Roman" w:eastAsia="Times New Roman" w:hAnsi="Times New Roman" w:cs="Times New Roman"/>
            <w:color w:val="1155CC"/>
            <w:sz w:val="24"/>
            <w:szCs w:val="24"/>
            <w:highlight w:val="white"/>
            <w:u w:val="single"/>
          </w:rPr>
          <w:t>https://www.mdpi.com/2071-1050/11/14/3791</w:t>
        </w:r>
      </w:hyperlink>
      <w:r w:rsidRPr="0094231E">
        <w:rPr>
          <w:rFonts w:ascii="Times New Roman" w:eastAsia="Times New Roman" w:hAnsi="Times New Roman" w:cs="Times New Roman"/>
          <w:color w:val="222222"/>
          <w:sz w:val="24"/>
          <w:szCs w:val="24"/>
          <w:highlight w:val="white"/>
        </w:rPr>
        <w:t xml:space="preserve"> </w:t>
      </w:r>
    </w:p>
    <w:p w14:paraId="3F4AAED2" w14:textId="49E2E65A" w:rsidR="007E4058" w:rsidRPr="0094231E" w:rsidRDefault="007E4058" w:rsidP="007B261C">
      <w:pPr>
        <w:pStyle w:val="Normal1"/>
        <w:spacing w:before="240" w:after="240" w:line="360" w:lineRule="auto"/>
        <w:jc w:val="both"/>
        <w:rPr>
          <w:rFonts w:ascii="Times New Roman" w:eastAsia="Times New Roman" w:hAnsi="Times New Roman" w:cs="Times New Roman"/>
          <w:color w:val="222222"/>
          <w:sz w:val="24"/>
          <w:szCs w:val="24"/>
          <w:highlight w:val="white"/>
        </w:rPr>
      </w:pPr>
      <w:r w:rsidRPr="0094231E">
        <w:rPr>
          <w:rFonts w:ascii="Times New Roman" w:eastAsia="Times New Roman" w:hAnsi="Times New Roman" w:cs="Times New Roman"/>
          <w:color w:val="222222"/>
          <w:sz w:val="24"/>
          <w:szCs w:val="24"/>
          <w:highlight w:val="white"/>
        </w:rPr>
        <w:t xml:space="preserve">GoCardless, (2021) </w:t>
      </w:r>
      <w:r w:rsidRPr="0094231E">
        <w:rPr>
          <w:rFonts w:ascii="Times New Roman" w:eastAsia="Times New Roman" w:hAnsi="Times New Roman" w:cs="Times New Roman"/>
          <w:i/>
          <w:color w:val="222222"/>
          <w:sz w:val="24"/>
          <w:szCs w:val="24"/>
          <w:highlight w:val="white"/>
        </w:rPr>
        <w:t>Why does a balance sheet need to balance?</w:t>
      </w:r>
      <w:r w:rsidRPr="0094231E">
        <w:rPr>
          <w:rFonts w:ascii="Times New Roman" w:eastAsia="Times New Roman" w:hAnsi="Times New Roman" w:cs="Times New Roman"/>
          <w:color w:val="222222"/>
          <w:sz w:val="24"/>
          <w:szCs w:val="24"/>
          <w:highlight w:val="white"/>
        </w:rPr>
        <w:t xml:space="preserve">, </w:t>
      </w:r>
      <w:r w:rsidRPr="0094231E">
        <w:rPr>
          <w:rFonts w:ascii="Times New Roman" w:eastAsia="Times New Roman" w:hAnsi="Times New Roman" w:cs="Times New Roman"/>
          <w:i/>
          <w:color w:val="222222"/>
          <w:sz w:val="24"/>
          <w:szCs w:val="24"/>
          <w:highlight w:val="white"/>
        </w:rPr>
        <w:t>United Kingdom</w:t>
      </w:r>
      <w:r w:rsidRPr="0094231E">
        <w:rPr>
          <w:rFonts w:ascii="Times New Roman" w:eastAsia="Times New Roman" w:hAnsi="Times New Roman" w:cs="Times New Roman"/>
          <w:color w:val="222222"/>
          <w:sz w:val="24"/>
          <w:szCs w:val="24"/>
          <w:highlight w:val="white"/>
        </w:rPr>
        <w:t xml:space="preserve">. Available at:https://gocardless.com/en-au/guides/posts/why-does-a-balance-sheet-need-to-balance/ (Accessed: 26 July 2023). </w:t>
      </w:r>
    </w:p>
    <w:p w14:paraId="2F218402" w14:textId="2B788714" w:rsidR="007E4058" w:rsidRPr="0094231E" w:rsidRDefault="007E4058" w:rsidP="007B261C">
      <w:pPr>
        <w:pStyle w:val="Normal1"/>
        <w:spacing w:before="240" w:after="240" w:line="360" w:lineRule="auto"/>
        <w:jc w:val="both"/>
        <w:rPr>
          <w:rFonts w:ascii="Times New Roman" w:eastAsia="Times New Roman" w:hAnsi="Times New Roman" w:cs="Times New Roman"/>
          <w:color w:val="222222"/>
          <w:sz w:val="24"/>
          <w:szCs w:val="24"/>
          <w:highlight w:val="white"/>
        </w:rPr>
      </w:pPr>
      <w:r w:rsidRPr="0094231E">
        <w:rPr>
          <w:rFonts w:ascii="Times New Roman" w:eastAsia="Times New Roman" w:hAnsi="Times New Roman" w:cs="Times New Roman"/>
          <w:color w:val="222222"/>
          <w:sz w:val="24"/>
          <w:szCs w:val="24"/>
          <w:highlight w:val="white"/>
        </w:rPr>
        <w:t xml:space="preserve">GoCardless, (2022) </w:t>
      </w:r>
      <w:r w:rsidRPr="0094231E">
        <w:rPr>
          <w:rFonts w:ascii="Times New Roman" w:eastAsia="Times New Roman" w:hAnsi="Times New Roman" w:cs="Times New Roman"/>
          <w:i/>
          <w:color w:val="222222"/>
          <w:sz w:val="24"/>
          <w:szCs w:val="24"/>
          <w:highlight w:val="white"/>
        </w:rPr>
        <w:t>Benefits of balance sheet for Small Business</w:t>
      </w:r>
      <w:r w:rsidRPr="0094231E">
        <w:rPr>
          <w:rFonts w:ascii="Times New Roman" w:eastAsia="Times New Roman" w:hAnsi="Times New Roman" w:cs="Times New Roman"/>
          <w:color w:val="222222"/>
          <w:sz w:val="24"/>
          <w:szCs w:val="24"/>
          <w:highlight w:val="white"/>
        </w:rPr>
        <w:t xml:space="preserve">, </w:t>
      </w:r>
      <w:r w:rsidRPr="0094231E">
        <w:rPr>
          <w:rFonts w:ascii="Times New Roman" w:eastAsia="Times New Roman" w:hAnsi="Times New Roman" w:cs="Times New Roman"/>
          <w:i/>
          <w:color w:val="222222"/>
          <w:sz w:val="24"/>
          <w:szCs w:val="24"/>
          <w:highlight w:val="white"/>
        </w:rPr>
        <w:t>United Kingdom</w:t>
      </w:r>
      <w:r w:rsidRPr="0094231E">
        <w:rPr>
          <w:rFonts w:ascii="Times New Roman" w:eastAsia="Times New Roman" w:hAnsi="Times New Roman" w:cs="Times New Roman"/>
          <w:color w:val="222222"/>
          <w:sz w:val="24"/>
          <w:szCs w:val="24"/>
          <w:highlight w:val="white"/>
        </w:rPr>
        <w:t>. Available at</w:t>
      </w:r>
      <w:r w:rsidR="00DC42C4">
        <w:rPr>
          <w:rFonts w:ascii="Times New Roman" w:eastAsia="Times New Roman" w:hAnsi="Times New Roman" w:cs="Times New Roman"/>
          <w:color w:val="222222"/>
          <w:sz w:val="24"/>
          <w:szCs w:val="24"/>
          <w:highlight w:val="white"/>
        </w:rPr>
        <w:t>:</w:t>
      </w:r>
      <w:r w:rsidRPr="0094231E">
        <w:rPr>
          <w:rFonts w:ascii="Times New Roman" w:eastAsia="Times New Roman" w:hAnsi="Times New Roman" w:cs="Times New Roman"/>
          <w:color w:val="222222"/>
          <w:sz w:val="24"/>
          <w:szCs w:val="24"/>
          <w:highlight w:val="white"/>
        </w:rPr>
        <w:t xml:space="preserve">https://gocardless.com/en-au/guides/posts/benefits-of-balance-sheet-for-small-businesses/#:~:text=It%20can%20be%20presented%20to,balance%20sheet%20to%20determine%20risk. (Accessed: 26 July 2023). </w:t>
      </w:r>
    </w:p>
    <w:p w14:paraId="33D212C6" w14:textId="33032E36" w:rsidR="007E4058" w:rsidRPr="0094231E" w:rsidRDefault="007E4058" w:rsidP="007B261C">
      <w:pPr>
        <w:pStyle w:val="Normal1"/>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KashFlow, (2019) A guide to profit and loss accounts - kashflow, IRIS KashFlow. Available at:https://www.kashflow.com/accounting-terms/profit-and-loss</w:t>
      </w:r>
      <w:r w:rsidR="00DC42C4">
        <w:rPr>
          <w:rFonts w:ascii="Times New Roman" w:eastAsia="Times New Roman" w:hAnsi="Times New Roman" w:cs="Times New Roman"/>
          <w:sz w:val="24"/>
          <w:szCs w:val="24"/>
        </w:rPr>
        <w:t>-</w:t>
      </w:r>
      <w:r w:rsidRPr="0094231E">
        <w:rPr>
          <w:rFonts w:ascii="Times New Roman" w:eastAsia="Times New Roman" w:hAnsi="Times New Roman" w:cs="Times New Roman"/>
          <w:sz w:val="24"/>
          <w:szCs w:val="24"/>
        </w:rPr>
        <w:lastRenderedPageBreak/>
        <w:t>account/#:~:text=Profit%20and%20loss%20accounts%20show,the%20profitability%20of%20a%20business. (Accessed: 26 July 2023).</w:t>
      </w:r>
    </w:p>
    <w:p w14:paraId="1D270BCD" w14:textId="546E6967" w:rsidR="007E4058" w:rsidRPr="0094231E" w:rsidRDefault="007E4058" w:rsidP="007B261C">
      <w:pPr>
        <w:pStyle w:val="Normal1"/>
        <w:spacing w:before="240" w:after="240" w:line="360" w:lineRule="auto"/>
        <w:jc w:val="both"/>
        <w:rPr>
          <w:rFonts w:ascii="Times New Roman" w:eastAsia="Times New Roman" w:hAnsi="Times New Roman" w:cs="Times New Roman"/>
          <w:color w:val="222222"/>
          <w:sz w:val="24"/>
          <w:szCs w:val="24"/>
          <w:highlight w:val="white"/>
        </w:rPr>
      </w:pPr>
      <w:r w:rsidRPr="0094231E">
        <w:rPr>
          <w:rFonts w:ascii="Times New Roman" w:eastAsia="Times New Roman" w:hAnsi="Times New Roman" w:cs="Times New Roman"/>
          <w:color w:val="222222"/>
          <w:sz w:val="24"/>
          <w:szCs w:val="24"/>
          <w:highlight w:val="white"/>
        </w:rPr>
        <w:t xml:space="preserve">Lisek, S., Luty, L. and Zioło, M., (2020). Measurement of return on capital employed in assessment of company’s condition. </w:t>
      </w:r>
      <w:r w:rsidRPr="0094231E">
        <w:rPr>
          <w:rFonts w:ascii="Times New Roman" w:eastAsia="Times New Roman" w:hAnsi="Times New Roman" w:cs="Times New Roman"/>
          <w:i/>
          <w:color w:val="222222"/>
          <w:sz w:val="24"/>
          <w:szCs w:val="24"/>
          <w:highlight w:val="white"/>
        </w:rPr>
        <w:t>Zeszyty Naukowe Małopolskiej Wyższej Szkoły EkonomicznejwTarnowie</w:t>
      </w:r>
      <w:r w:rsidRPr="0094231E">
        <w:rPr>
          <w:rFonts w:ascii="Times New Roman" w:eastAsia="Times New Roman" w:hAnsi="Times New Roman" w:cs="Times New Roman"/>
          <w:color w:val="222222"/>
          <w:sz w:val="24"/>
          <w:szCs w:val="24"/>
          <w:highlight w:val="white"/>
        </w:rPr>
        <w:t xml:space="preserve">,(2(46)),pp.55-67. </w:t>
      </w:r>
      <w:hyperlink r:id="rId11">
        <w:r w:rsidRPr="0094231E">
          <w:rPr>
            <w:rFonts w:ascii="Times New Roman" w:eastAsia="Times New Roman" w:hAnsi="Times New Roman" w:cs="Times New Roman"/>
            <w:color w:val="1155CC"/>
            <w:sz w:val="24"/>
            <w:szCs w:val="24"/>
            <w:highlight w:val="white"/>
            <w:u w:val="single"/>
          </w:rPr>
          <w:t>https://cejsh.icm.edu.pl/cejsh/element/bwmeta1.element.desklight-c32c53b3-5677-4573-b1b3-c2ec33b8b304</w:t>
        </w:r>
      </w:hyperlink>
      <w:r w:rsidRPr="0094231E">
        <w:rPr>
          <w:rFonts w:ascii="Times New Roman" w:eastAsia="Times New Roman" w:hAnsi="Times New Roman" w:cs="Times New Roman"/>
          <w:color w:val="222222"/>
          <w:sz w:val="24"/>
          <w:szCs w:val="24"/>
          <w:highlight w:val="white"/>
        </w:rPr>
        <w:t xml:space="preserve"> </w:t>
      </w:r>
    </w:p>
    <w:p w14:paraId="7DFC7117" w14:textId="77777777" w:rsidR="007E4058" w:rsidRPr="0094231E" w:rsidRDefault="007E4058" w:rsidP="007B261C">
      <w:pPr>
        <w:pStyle w:val="Normal1"/>
        <w:spacing w:before="240" w:after="240" w:line="360" w:lineRule="auto"/>
        <w:jc w:val="both"/>
        <w:rPr>
          <w:rFonts w:ascii="Times New Roman" w:eastAsia="Times New Roman" w:hAnsi="Times New Roman" w:cs="Times New Roman"/>
          <w:color w:val="222222"/>
          <w:sz w:val="24"/>
          <w:szCs w:val="24"/>
          <w:highlight w:val="white"/>
        </w:rPr>
      </w:pPr>
      <w:r w:rsidRPr="0094231E">
        <w:rPr>
          <w:rFonts w:ascii="Times New Roman" w:eastAsia="Times New Roman" w:hAnsi="Times New Roman" w:cs="Times New Roman"/>
          <w:color w:val="222222"/>
          <w:sz w:val="24"/>
          <w:szCs w:val="24"/>
          <w:highlight w:val="white"/>
        </w:rPr>
        <w:t xml:space="preserve">Mulyadi, D. and Sinaga, O., (2020). Analysis of Current Ratio, Net Profit Margin, and Good Corporate Governance against Company Value. </w:t>
      </w:r>
      <w:r w:rsidRPr="0094231E">
        <w:rPr>
          <w:rFonts w:ascii="Times New Roman" w:eastAsia="Times New Roman" w:hAnsi="Times New Roman" w:cs="Times New Roman"/>
          <w:i/>
          <w:color w:val="222222"/>
          <w:sz w:val="24"/>
          <w:szCs w:val="24"/>
          <w:highlight w:val="white"/>
        </w:rPr>
        <w:t>Systematic Reviews in Pharmacy</w:t>
      </w:r>
      <w:r w:rsidRPr="0094231E">
        <w:rPr>
          <w:rFonts w:ascii="Times New Roman" w:eastAsia="Times New Roman" w:hAnsi="Times New Roman" w:cs="Times New Roman"/>
          <w:color w:val="222222"/>
          <w:sz w:val="24"/>
          <w:szCs w:val="24"/>
          <w:highlight w:val="white"/>
        </w:rPr>
        <w:t xml:space="preserve">, </w:t>
      </w:r>
      <w:r w:rsidRPr="0094231E">
        <w:rPr>
          <w:rFonts w:ascii="Times New Roman" w:eastAsia="Times New Roman" w:hAnsi="Times New Roman" w:cs="Times New Roman"/>
          <w:i/>
          <w:color w:val="222222"/>
          <w:sz w:val="24"/>
          <w:szCs w:val="24"/>
          <w:highlight w:val="white"/>
        </w:rPr>
        <w:t>11</w:t>
      </w:r>
      <w:r w:rsidRPr="0094231E">
        <w:rPr>
          <w:rFonts w:ascii="Times New Roman" w:eastAsia="Times New Roman" w:hAnsi="Times New Roman" w:cs="Times New Roman"/>
          <w:color w:val="222222"/>
          <w:sz w:val="24"/>
          <w:szCs w:val="24"/>
          <w:highlight w:val="white"/>
        </w:rPr>
        <w:t xml:space="preserve">(1). </w:t>
      </w:r>
      <w:hyperlink r:id="rId12">
        <w:r w:rsidRPr="0094231E">
          <w:rPr>
            <w:rFonts w:ascii="Times New Roman" w:eastAsia="Times New Roman" w:hAnsi="Times New Roman" w:cs="Times New Roman"/>
            <w:color w:val="1155CC"/>
            <w:sz w:val="24"/>
            <w:szCs w:val="24"/>
            <w:highlight w:val="white"/>
            <w:u w:val="single"/>
          </w:rPr>
          <w:t>https://web.s.ebscohost.com/abstract?direct=true&amp;profile=ehost&amp;scope=site&amp;authtype=crawler&amp;jrnl=09758453&amp;AN=144513102&amp;h=cuti9OU87FfBhqdhWb%2frMySHzJQBd8Dj6HU0RzMWWWqOA%2f3aBOev5G5EaxfjtVVNhieqk1ypi7143ACeY%2fb%2bdA%3d%3d&amp;crl=c&amp;resultNs=AdminWebAuth&amp;resultLocal=ErrCrlNotAuth&amp;crlhashurl=login.aspx%3fdirect%3dtrue%26profile%3dehost%26scope%3dsite%26authtype%3dcrawler%26jrnl%3d09758453%26AN%3d144513102</w:t>
        </w:r>
      </w:hyperlink>
      <w:r w:rsidRPr="0094231E">
        <w:rPr>
          <w:rFonts w:ascii="Times New Roman" w:eastAsia="Times New Roman" w:hAnsi="Times New Roman" w:cs="Times New Roman"/>
          <w:color w:val="222222"/>
          <w:sz w:val="24"/>
          <w:szCs w:val="24"/>
          <w:highlight w:val="white"/>
        </w:rPr>
        <w:t xml:space="preserve"> </w:t>
      </w:r>
    </w:p>
    <w:p w14:paraId="588B7358" w14:textId="77777777" w:rsidR="007E4058" w:rsidRPr="0094231E" w:rsidRDefault="007E4058" w:rsidP="007B261C">
      <w:pPr>
        <w:pStyle w:val="Normal1"/>
        <w:spacing w:before="240" w:after="240" w:line="360" w:lineRule="auto"/>
        <w:jc w:val="both"/>
        <w:rPr>
          <w:rFonts w:ascii="Times New Roman" w:eastAsia="Times New Roman" w:hAnsi="Times New Roman" w:cs="Times New Roman"/>
          <w:color w:val="222222"/>
          <w:sz w:val="24"/>
          <w:szCs w:val="24"/>
          <w:highlight w:val="white"/>
        </w:rPr>
      </w:pPr>
      <w:r w:rsidRPr="0094231E">
        <w:rPr>
          <w:rFonts w:ascii="Times New Roman" w:eastAsia="Times New Roman" w:hAnsi="Times New Roman" w:cs="Times New Roman"/>
          <w:color w:val="222222"/>
          <w:sz w:val="24"/>
          <w:szCs w:val="24"/>
          <w:highlight w:val="white"/>
        </w:rPr>
        <w:t xml:space="preserve">Oxford Reference, (2023) </w:t>
      </w:r>
      <w:r w:rsidRPr="0094231E">
        <w:rPr>
          <w:rFonts w:ascii="Times New Roman" w:eastAsia="Times New Roman" w:hAnsi="Times New Roman" w:cs="Times New Roman"/>
          <w:i/>
          <w:color w:val="222222"/>
          <w:sz w:val="24"/>
          <w:szCs w:val="24"/>
          <w:highlight w:val="white"/>
        </w:rPr>
        <w:t>Debtor collection period</w:t>
      </w:r>
      <w:r w:rsidRPr="0094231E">
        <w:rPr>
          <w:rFonts w:ascii="Times New Roman" w:eastAsia="Times New Roman" w:hAnsi="Times New Roman" w:cs="Times New Roman"/>
          <w:color w:val="222222"/>
          <w:sz w:val="24"/>
          <w:szCs w:val="24"/>
          <w:highlight w:val="white"/>
        </w:rPr>
        <w:t xml:space="preserve">, </w:t>
      </w:r>
      <w:r w:rsidRPr="0094231E">
        <w:rPr>
          <w:rFonts w:ascii="Times New Roman" w:eastAsia="Times New Roman" w:hAnsi="Times New Roman" w:cs="Times New Roman"/>
          <w:i/>
          <w:color w:val="222222"/>
          <w:sz w:val="24"/>
          <w:szCs w:val="24"/>
          <w:highlight w:val="white"/>
        </w:rPr>
        <w:t>Oxford Reference</w:t>
      </w:r>
      <w:r w:rsidRPr="0094231E">
        <w:rPr>
          <w:rFonts w:ascii="Times New Roman" w:eastAsia="Times New Roman" w:hAnsi="Times New Roman" w:cs="Times New Roman"/>
          <w:color w:val="222222"/>
          <w:sz w:val="24"/>
          <w:szCs w:val="24"/>
          <w:highlight w:val="white"/>
        </w:rPr>
        <w:t xml:space="preserve">. Available at: https://www.oxfordreference.com/display/10.1093/oi/authority.20110803095705185;jsessionid=BE4B543524AC590DE52B867328BE5F50 (Accessed: 26 July 2023). </w:t>
      </w:r>
    </w:p>
    <w:p w14:paraId="78D4D7B3" w14:textId="27D7CAD7" w:rsidR="007E4058" w:rsidRPr="0094231E" w:rsidRDefault="007E4058" w:rsidP="007B261C">
      <w:pPr>
        <w:pStyle w:val="Normal1"/>
        <w:spacing w:before="240" w:after="240"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 xml:space="preserve">Paddle, (2023) </w:t>
      </w:r>
      <w:r w:rsidRPr="0094231E">
        <w:rPr>
          <w:rFonts w:ascii="Times New Roman" w:eastAsia="Times New Roman" w:hAnsi="Times New Roman" w:cs="Times New Roman"/>
          <w:i/>
          <w:sz w:val="24"/>
          <w:szCs w:val="24"/>
        </w:rPr>
        <w:t>What is Net Profit &amp; How to calculate (formula + examples)</w:t>
      </w:r>
      <w:r w:rsidRPr="0094231E">
        <w:rPr>
          <w:rFonts w:ascii="Times New Roman" w:eastAsia="Times New Roman" w:hAnsi="Times New Roman" w:cs="Times New Roman"/>
          <w:sz w:val="24"/>
          <w:szCs w:val="24"/>
        </w:rPr>
        <w:t xml:space="preserve">, </w:t>
      </w:r>
      <w:r w:rsidRPr="0094231E">
        <w:rPr>
          <w:rFonts w:ascii="Times New Roman" w:eastAsia="Times New Roman" w:hAnsi="Times New Roman" w:cs="Times New Roman"/>
          <w:i/>
          <w:sz w:val="24"/>
          <w:szCs w:val="24"/>
        </w:rPr>
        <w:t>What is net profit &amp; how to calculate (formula + examples)</w:t>
      </w:r>
      <w:r w:rsidRPr="0094231E">
        <w:rPr>
          <w:rFonts w:ascii="Times New Roman" w:eastAsia="Times New Roman" w:hAnsi="Times New Roman" w:cs="Times New Roman"/>
          <w:sz w:val="24"/>
          <w:szCs w:val="24"/>
        </w:rPr>
        <w:t>. Available</w:t>
      </w:r>
      <w:r w:rsidR="00DC42C4">
        <w:rPr>
          <w:rFonts w:ascii="Times New Roman" w:eastAsia="Times New Roman" w:hAnsi="Times New Roman" w:cs="Times New Roman"/>
          <w:sz w:val="24"/>
          <w:szCs w:val="24"/>
        </w:rPr>
        <w:t xml:space="preserve"> a</w:t>
      </w:r>
      <w:r w:rsidRPr="0094231E">
        <w:rPr>
          <w:rFonts w:ascii="Times New Roman" w:eastAsia="Times New Roman" w:hAnsi="Times New Roman" w:cs="Times New Roman"/>
          <w:sz w:val="24"/>
          <w:szCs w:val="24"/>
        </w:rPr>
        <w:t xml:space="preserve">t: https://www.paddle.com/resources/net-profit-formula (Accessed: 26 July 2023). </w:t>
      </w:r>
    </w:p>
    <w:p w14:paraId="1863DAFA" w14:textId="77777777" w:rsidR="007E4058" w:rsidRPr="0094231E" w:rsidRDefault="007E4058" w:rsidP="007B261C">
      <w:pPr>
        <w:pStyle w:val="Normal1"/>
        <w:spacing w:before="240" w:after="240" w:line="360" w:lineRule="auto"/>
        <w:jc w:val="both"/>
        <w:rPr>
          <w:rFonts w:ascii="Times New Roman" w:eastAsia="Times New Roman" w:hAnsi="Times New Roman" w:cs="Times New Roman"/>
          <w:color w:val="222222"/>
          <w:sz w:val="24"/>
          <w:szCs w:val="24"/>
          <w:highlight w:val="white"/>
        </w:rPr>
      </w:pPr>
      <w:r w:rsidRPr="0094231E">
        <w:rPr>
          <w:rFonts w:ascii="Times New Roman" w:eastAsia="Times New Roman" w:hAnsi="Times New Roman" w:cs="Times New Roman"/>
          <w:color w:val="222222"/>
          <w:sz w:val="24"/>
          <w:szCs w:val="24"/>
          <w:highlight w:val="white"/>
        </w:rPr>
        <w:t xml:space="preserve">Rahayu, M. and Ilham, R.N., (2023). THE INFLUENCE OF CASH TURNOVER, RECEIVABLES TURNOVER AND INVENTORY TURNOVER ON THE ECONOMIC PROFITABILITY OF REGISTERED PHARMACEUTICAL COMPANIES ON THE INDONESIAN STOCK EXCHANGE PERIOD 2017-2021. </w:t>
      </w:r>
      <w:r w:rsidRPr="0094231E">
        <w:rPr>
          <w:rFonts w:ascii="Times New Roman" w:eastAsia="Times New Roman" w:hAnsi="Times New Roman" w:cs="Times New Roman"/>
          <w:i/>
          <w:color w:val="222222"/>
          <w:sz w:val="24"/>
          <w:szCs w:val="24"/>
          <w:highlight w:val="white"/>
        </w:rPr>
        <w:t>Journal of Accounting Research, Utility Finance and Digital Assets</w:t>
      </w:r>
      <w:r w:rsidRPr="0094231E">
        <w:rPr>
          <w:rFonts w:ascii="Times New Roman" w:eastAsia="Times New Roman" w:hAnsi="Times New Roman" w:cs="Times New Roman"/>
          <w:color w:val="222222"/>
          <w:sz w:val="24"/>
          <w:szCs w:val="24"/>
          <w:highlight w:val="white"/>
        </w:rPr>
        <w:t xml:space="preserve">, </w:t>
      </w:r>
      <w:r w:rsidRPr="0094231E">
        <w:rPr>
          <w:rFonts w:ascii="Times New Roman" w:eastAsia="Times New Roman" w:hAnsi="Times New Roman" w:cs="Times New Roman"/>
          <w:i/>
          <w:color w:val="222222"/>
          <w:sz w:val="24"/>
          <w:szCs w:val="24"/>
          <w:highlight w:val="white"/>
        </w:rPr>
        <w:t>1</w:t>
      </w:r>
      <w:r w:rsidRPr="0094231E">
        <w:rPr>
          <w:rFonts w:ascii="Times New Roman" w:eastAsia="Times New Roman" w:hAnsi="Times New Roman" w:cs="Times New Roman"/>
          <w:color w:val="222222"/>
          <w:sz w:val="24"/>
          <w:szCs w:val="24"/>
          <w:highlight w:val="white"/>
        </w:rPr>
        <w:t xml:space="preserve">(4), pp.336-341. </w:t>
      </w:r>
      <w:hyperlink r:id="rId13">
        <w:r w:rsidRPr="0094231E">
          <w:rPr>
            <w:rFonts w:ascii="Times New Roman" w:eastAsia="Times New Roman" w:hAnsi="Times New Roman" w:cs="Times New Roman"/>
            <w:color w:val="1155CC"/>
            <w:sz w:val="24"/>
            <w:szCs w:val="24"/>
            <w:highlight w:val="white"/>
            <w:u w:val="single"/>
          </w:rPr>
          <w:t>http://jaruda.org/index.php/go/article/view/53</w:t>
        </w:r>
      </w:hyperlink>
      <w:r w:rsidRPr="0094231E">
        <w:rPr>
          <w:rFonts w:ascii="Times New Roman" w:eastAsia="Times New Roman" w:hAnsi="Times New Roman" w:cs="Times New Roman"/>
          <w:color w:val="222222"/>
          <w:sz w:val="24"/>
          <w:szCs w:val="24"/>
          <w:highlight w:val="white"/>
        </w:rPr>
        <w:t xml:space="preserve"> </w:t>
      </w:r>
    </w:p>
    <w:p w14:paraId="49D4607E" w14:textId="77777777" w:rsidR="007E4058" w:rsidRPr="0094231E" w:rsidRDefault="007E4058" w:rsidP="007B261C">
      <w:pPr>
        <w:pStyle w:val="Normal1"/>
        <w:spacing w:before="240" w:after="240" w:line="360" w:lineRule="auto"/>
        <w:jc w:val="both"/>
        <w:rPr>
          <w:rFonts w:ascii="Times New Roman" w:eastAsia="Times New Roman" w:hAnsi="Times New Roman" w:cs="Times New Roman"/>
          <w:color w:val="222222"/>
          <w:sz w:val="24"/>
          <w:szCs w:val="24"/>
          <w:highlight w:val="white"/>
        </w:rPr>
      </w:pPr>
      <w:r w:rsidRPr="0094231E">
        <w:rPr>
          <w:rFonts w:ascii="Times New Roman" w:eastAsia="Times New Roman" w:hAnsi="Times New Roman" w:cs="Times New Roman"/>
          <w:color w:val="222222"/>
          <w:sz w:val="24"/>
          <w:szCs w:val="24"/>
          <w:highlight w:val="white"/>
        </w:rPr>
        <w:t xml:space="preserve">Simon, H. and Simon, H., (2021). Profit: What is It?. </w:t>
      </w:r>
      <w:r w:rsidRPr="0094231E">
        <w:rPr>
          <w:rFonts w:ascii="Times New Roman" w:eastAsia="Times New Roman" w:hAnsi="Times New Roman" w:cs="Times New Roman"/>
          <w:i/>
          <w:color w:val="222222"/>
          <w:sz w:val="24"/>
          <w:szCs w:val="24"/>
          <w:highlight w:val="white"/>
        </w:rPr>
        <w:t>True Profit! No Company Ever Went Broke Turning a Profit</w:t>
      </w:r>
      <w:r w:rsidRPr="0094231E">
        <w:rPr>
          <w:rFonts w:ascii="Times New Roman" w:eastAsia="Times New Roman" w:hAnsi="Times New Roman" w:cs="Times New Roman"/>
          <w:color w:val="222222"/>
          <w:sz w:val="24"/>
          <w:szCs w:val="24"/>
          <w:highlight w:val="white"/>
        </w:rPr>
        <w:t xml:space="preserve">, pp.1-20. </w:t>
      </w:r>
      <w:hyperlink r:id="rId14">
        <w:r w:rsidRPr="0094231E">
          <w:rPr>
            <w:rFonts w:ascii="Times New Roman" w:eastAsia="Times New Roman" w:hAnsi="Times New Roman" w:cs="Times New Roman"/>
            <w:color w:val="1155CC"/>
            <w:sz w:val="24"/>
            <w:szCs w:val="24"/>
            <w:highlight w:val="white"/>
            <w:u w:val="single"/>
          </w:rPr>
          <w:t>https://link.springer.com/chapter/10.1007/978-3-030-76702-0_1</w:t>
        </w:r>
      </w:hyperlink>
      <w:r w:rsidRPr="0094231E">
        <w:rPr>
          <w:rFonts w:ascii="Times New Roman" w:eastAsia="Times New Roman" w:hAnsi="Times New Roman" w:cs="Times New Roman"/>
          <w:color w:val="222222"/>
          <w:sz w:val="24"/>
          <w:szCs w:val="24"/>
          <w:highlight w:val="white"/>
        </w:rPr>
        <w:t xml:space="preserve"> </w:t>
      </w:r>
    </w:p>
    <w:p w14:paraId="73869A09" w14:textId="77777777" w:rsidR="007E4058" w:rsidRPr="0094231E" w:rsidRDefault="007E4058" w:rsidP="007B261C">
      <w:pPr>
        <w:pStyle w:val="Normal1"/>
        <w:spacing w:before="240" w:after="240"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lastRenderedPageBreak/>
        <w:t xml:space="preserve">Starlingbank, (2023) </w:t>
      </w:r>
      <w:r w:rsidRPr="0094231E">
        <w:rPr>
          <w:rFonts w:ascii="Times New Roman" w:eastAsia="Times New Roman" w:hAnsi="Times New Roman" w:cs="Times New Roman"/>
          <w:i/>
          <w:sz w:val="24"/>
          <w:szCs w:val="24"/>
        </w:rPr>
        <w:t>Gross Profit vs Net Profit explained</w:t>
      </w:r>
      <w:r w:rsidRPr="0094231E">
        <w:rPr>
          <w:rFonts w:ascii="Times New Roman" w:eastAsia="Times New Roman" w:hAnsi="Times New Roman" w:cs="Times New Roman"/>
          <w:sz w:val="24"/>
          <w:szCs w:val="24"/>
        </w:rPr>
        <w:t xml:space="preserve">, </w:t>
      </w:r>
      <w:r w:rsidRPr="0094231E">
        <w:rPr>
          <w:rFonts w:ascii="Times New Roman" w:eastAsia="Times New Roman" w:hAnsi="Times New Roman" w:cs="Times New Roman"/>
          <w:i/>
          <w:sz w:val="24"/>
          <w:szCs w:val="24"/>
        </w:rPr>
        <w:t>Starling Bank</w:t>
      </w:r>
      <w:r w:rsidRPr="0094231E">
        <w:rPr>
          <w:rFonts w:ascii="Times New Roman" w:eastAsia="Times New Roman" w:hAnsi="Times New Roman" w:cs="Times New Roman"/>
          <w:sz w:val="24"/>
          <w:szCs w:val="24"/>
        </w:rPr>
        <w:t xml:space="preserve">. Available at: https://www.starlingbank.com/resources/business-guides/gross-profit-vs-net-profit-explained/#:~:text=Gross%20profit%20is%20the%20sales,Gross%20profit%20%2D%20Overheads%20%3D%20Net%20profits (Accessed: 26 July 2023). </w:t>
      </w:r>
    </w:p>
    <w:p w14:paraId="0DD04A6D" w14:textId="77777777" w:rsidR="007E4058" w:rsidRPr="0094231E" w:rsidRDefault="007E4058" w:rsidP="007B261C">
      <w:pPr>
        <w:pStyle w:val="Normal1"/>
        <w:spacing w:before="240" w:after="240" w:line="360" w:lineRule="auto"/>
        <w:jc w:val="both"/>
        <w:rPr>
          <w:rFonts w:ascii="Times New Roman" w:eastAsia="Times New Roman" w:hAnsi="Times New Roman" w:cs="Times New Roman"/>
          <w:color w:val="222222"/>
          <w:sz w:val="24"/>
          <w:szCs w:val="24"/>
          <w:highlight w:val="white"/>
        </w:rPr>
      </w:pPr>
      <w:r w:rsidRPr="0094231E">
        <w:rPr>
          <w:rFonts w:ascii="Times New Roman" w:eastAsia="Times New Roman" w:hAnsi="Times New Roman" w:cs="Times New Roman"/>
          <w:color w:val="222222"/>
          <w:sz w:val="24"/>
          <w:szCs w:val="24"/>
          <w:highlight w:val="white"/>
        </w:rPr>
        <w:t xml:space="preserve">Suranta, E., Satrio, M.A.B. and Midiastuty, P.P., (2023). Effect of Investment, Free Cash Flow, Earnings Management, Interest Coverage Ratio, Liquidity, and Leverage on Financial Distress. </w:t>
      </w:r>
      <w:r w:rsidRPr="0094231E">
        <w:rPr>
          <w:rFonts w:ascii="Times New Roman" w:eastAsia="Times New Roman" w:hAnsi="Times New Roman" w:cs="Times New Roman"/>
          <w:i/>
          <w:color w:val="222222"/>
          <w:sz w:val="24"/>
          <w:szCs w:val="24"/>
          <w:highlight w:val="white"/>
        </w:rPr>
        <w:t>Ilomata International Journal of Tax and Accounting</w:t>
      </w:r>
      <w:r w:rsidRPr="0094231E">
        <w:rPr>
          <w:rFonts w:ascii="Times New Roman" w:eastAsia="Times New Roman" w:hAnsi="Times New Roman" w:cs="Times New Roman"/>
          <w:color w:val="222222"/>
          <w:sz w:val="24"/>
          <w:szCs w:val="24"/>
          <w:highlight w:val="white"/>
        </w:rPr>
        <w:t xml:space="preserve">, </w:t>
      </w:r>
      <w:r w:rsidRPr="0094231E">
        <w:rPr>
          <w:rFonts w:ascii="Times New Roman" w:eastAsia="Times New Roman" w:hAnsi="Times New Roman" w:cs="Times New Roman"/>
          <w:i/>
          <w:color w:val="222222"/>
          <w:sz w:val="24"/>
          <w:szCs w:val="24"/>
          <w:highlight w:val="white"/>
        </w:rPr>
        <w:t>4</w:t>
      </w:r>
      <w:r w:rsidRPr="0094231E">
        <w:rPr>
          <w:rFonts w:ascii="Times New Roman" w:eastAsia="Times New Roman" w:hAnsi="Times New Roman" w:cs="Times New Roman"/>
          <w:color w:val="222222"/>
          <w:sz w:val="24"/>
          <w:szCs w:val="24"/>
          <w:highlight w:val="white"/>
        </w:rPr>
        <w:t xml:space="preserve">(2), pp.283-295. </w:t>
      </w:r>
      <w:hyperlink r:id="rId15">
        <w:r w:rsidRPr="0094231E">
          <w:rPr>
            <w:rFonts w:ascii="Times New Roman" w:eastAsia="Times New Roman" w:hAnsi="Times New Roman" w:cs="Times New Roman"/>
            <w:color w:val="1155CC"/>
            <w:sz w:val="24"/>
            <w:szCs w:val="24"/>
            <w:highlight w:val="white"/>
            <w:u w:val="single"/>
          </w:rPr>
          <w:t>https://www.ilomata.org/index.php/ijtc/article/view/714</w:t>
        </w:r>
      </w:hyperlink>
      <w:r w:rsidRPr="0094231E">
        <w:rPr>
          <w:rFonts w:ascii="Times New Roman" w:eastAsia="Times New Roman" w:hAnsi="Times New Roman" w:cs="Times New Roman"/>
          <w:color w:val="222222"/>
          <w:sz w:val="24"/>
          <w:szCs w:val="24"/>
          <w:highlight w:val="white"/>
        </w:rPr>
        <w:t xml:space="preserve"> </w:t>
      </w:r>
    </w:p>
    <w:p w14:paraId="0AC3F485" w14:textId="77777777" w:rsidR="007E4058" w:rsidRPr="0094231E" w:rsidRDefault="007E4058" w:rsidP="007B261C">
      <w:pPr>
        <w:pStyle w:val="Normal1"/>
        <w:spacing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color w:val="222222"/>
          <w:sz w:val="24"/>
          <w:szCs w:val="24"/>
          <w:highlight w:val="white"/>
        </w:rPr>
        <w:t xml:space="preserve">Triani, N.V., (2023). Income Statemen. </w:t>
      </w:r>
      <w:r w:rsidRPr="0094231E">
        <w:rPr>
          <w:rFonts w:ascii="Times New Roman" w:eastAsia="Times New Roman" w:hAnsi="Times New Roman" w:cs="Times New Roman"/>
          <w:i/>
          <w:color w:val="222222"/>
          <w:sz w:val="24"/>
          <w:szCs w:val="24"/>
          <w:highlight w:val="white"/>
        </w:rPr>
        <w:t>Available at SSRN 4338487</w:t>
      </w:r>
      <w:r w:rsidRPr="0094231E">
        <w:rPr>
          <w:rFonts w:ascii="Times New Roman" w:eastAsia="Times New Roman" w:hAnsi="Times New Roman" w:cs="Times New Roman"/>
          <w:color w:val="222222"/>
          <w:sz w:val="24"/>
          <w:szCs w:val="24"/>
          <w:highlight w:val="white"/>
        </w:rPr>
        <w:t xml:space="preserve">. </w:t>
      </w:r>
      <w:hyperlink r:id="rId16">
        <w:r w:rsidRPr="0094231E">
          <w:rPr>
            <w:rFonts w:ascii="Times New Roman" w:eastAsia="Times New Roman" w:hAnsi="Times New Roman" w:cs="Times New Roman"/>
            <w:color w:val="1155CC"/>
            <w:sz w:val="24"/>
            <w:szCs w:val="24"/>
            <w:highlight w:val="white"/>
            <w:u w:val="single"/>
          </w:rPr>
          <w:t>https://papers.ssrn.com/sol3/papers.cfm?abstract_id=4338487</w:t>
        </w:r>
      </w:hyperlink>
      <w:r w:rsidRPr="0094231E">
        <w:rPr>
          <w:rFonts w:ascii="Times New Roman" w:eastAsia="Times New Roman" w:hAnsi="Times New Roman" w:cs="Times New Roman"/>
          <w:color w:val="222222"/>
          <w:sz w:val="24"/>
          <w:szCs w:val="24"/>
          <w:highlight w:val="white"/>
        </w:rPr>
        <w:t xml:space="preserve"> </w:t>
      </w:r>
    </w:p>
    <w:p w14:paraId="1A883948" w14:textId="77777777" w:rsidR="007E4058" w:rsidRPr="0094231E" w:rsidRDefault="007E4058" w:rsidP="007B261C">
      <w:pPr>
        <w:pStyle w:val="Normal1"/>
        <w:spacing w:before="240" w:after="240" w:line="360" w:lineRule="auto"/>
        <w:jc w:val="both"/>
        <w:rPr>
          <w:rFonts w:ascii="Times New Roman" w:eastAsia="Times New Roman" w:hAnsi="Times New Roman" w:cs="Times New Roman"/>
          <w:color w:val="222222"/>
          <w:sz w:val="24"/>
          <w:szCs w:val="24"/>
          <w:highlight w:val="white"/>
        </w:rPr>
      </w:pPr>
      <w:r w:rsidRPr="0094231E">
        <w:rPr>
          <w:rFonts w:ascii="Times New Roman" w:eastAsia="Times New Roman" w:hAnsi="Times New Roman" w:cs="Times New Roman"/>
          <w:color w:val="222222"/>
          <w:sz w:val="24"/>
          <w:szCs w:val="24"/>
          <w:highlight w:val="white"/>
        </w:rPr>
        <w:t xml:space="preserve">Wallstreetprep, (2023) </w:t>
      </w:r>
      <w:r w:rsidRPr="0094231E">
        <w:rPr>
          <w:rFonts w:ascii="Times New Roman" w:eastAsia="Times New Roman" w:hAnsi="Times New Roman" w:cs="Times New Roman"/>
          <w:i/>
          <w:color w:val="222222"/>
          <w:sz w:val="24"/>
          <w:szCs w:val="24"/>
          <w:highlight w:val="white"/>
        </w:rPr>
        <w:t>Gearing ratio</w:t>
      </w:r>
      <w:r w:rsidRPr="0094231E">
        <w:rPr>
          <w:rFonts w:ascii="Times New Roman" w:eastAsia="Times New Roman" w:hAnsi="Times New Roman" w:cs="Times New Roman"/>
          <w:color w:val="222222"/>
          <w:sz w:val="24"/>
          <w:szCs w:val="24"/>
          <w:highlight w:val="white"/>
        </w:rPr>
        <w:t xml:space="preserve">, </w:t>
      </w:r>
      <w:r w:rsidRPr="0094231E">
        <w:rPr>
          <w:rFonts w:ascii="Times New Roman" w:eastAsia="Times New Roman" w:hAnsi="Times New Roman" w:cs="Times New Roman"/>
          <w:i/>
          <w:color w:val="222222"/>
          <w:sz w:val="24"/>
          <w:szCs w:val="24"/>
          <w:highlight w:val="white"/>
        </w:rPr>
        <w:t>Wall Street Prep</w:t>
      </w:r>
      <w:r w:rsidRPr="0094231E">
        <w:rPr>
          <w:rFonts w:ascii="Times New Roman" w:eastAsia="Times New Roman" w:hAnsi="Times New Roman" w:cs="Times New Roman"/>
          <w:color w:val="222222"/>
          <w:sz w:val="24"/>
          <w:szCs w:val="24"/>
          <w:highlight w:val="white"/>
        </w:rPr>
        <w:t xml:space="preserve">. Available at: https://www.wallstreetprep.com/knowledge/gearing-ratio/ (Accessed: 26 July 2023). </w:t>
      </w:r>
    </w:p>
    <w:p w14:paraId="770A4403" w14:textId="77777777" w:rsidR="007E4058" w:rsidRPr="0094231E" w:rsidRDefault="007E4058" w:rsidP="007B261C">
      <w:pPr>
        <w:pStyle w:val="Normal1"/>
        <w:spacing w:before="240" w:after="240"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 xml:space="preserve">Zoho, (2021) </w:t>
      </w:r>
      <w:r w:rsidRPr="0094231E">
        <w:rPr>
          <w:rFonts w:ascii="Times New Roman" w:eastAsia="Times New Roman" w:hAnsi="Times New Roman" w:cs="Times New Roman"/>
          <w:i/>
          <w:sz w:val="24"/>
          <w:szCs w:val="24"/>
        </w:rPr>
        <w:t>Difference between gross profit and net profit - zoho books</w:t>
      </w:r>
      <w:r w:rsidRPr="0094231E">
        <w:rPr>
          <w:rFonts w:ascii="Times New Roman" w:eastAsia="Times New Roman" w:hAnsi="Times New Roman" w:cs="Times New Roman"/>
          <w:sz w:val="24"/>
          <w:szCs w:val="24"/>
        </w:rPr>
        <w:t xml:space="preserve">, </w:t>
      </w:r>
      <w:r w:rsidRPr="0094231E">
        <w:rPr>
          <w:rFonts w:ascii="Times New Roman" w:eastAsia="Times New Roman" w:hAnsi="Times New Roman" w:cs="Times New Roman"/>
          <w:i/>
          <w:sz w:val="24"/>
          <w:szCs w:val="24"/>
        </w:rPr>
        <w:t>Essential Business Guides</w:t>
      </w:r>
      <w:r w:rsidRPr="0094231E">
        <w:rPr>
          <w:rFonts w:ascii="Times New Roman" w:eastAsia="Times New Roman" w:hAnsi="Times New Roman" w:cs="Times New Roman"/>
          <w:sz w:val="24"/>
          <w:szCs w:val="24"/>
        </w:rPr>
        <w:t xml:space="preserve">. Available at: https://www.zoho.com/books/guides/what-is-the-difference-between-gross-and-net-profit.html#:~:text=Gross%20profit%20is%20a%20measure,costs%20needed%20to%20generate%20revenue. (Accessed: 26 July 2023). </w:t>
      </w:r>
    </w:p>
    <w:p w14:paraId="5FE02485" w14:textId="77777777" w:rsidR="007E4058" w:rsidRPr="0094231E" w:rsidRDefault="007E4058" w:rsidP="007B261C">
      <w:pPr>
        <w:pStyle w:val="Normal1"/>
        <w:spacing w:before="240" w:after="240" w:line="360" w:lineRule="auto"/>
        <w:jc w:val="both"/>
        <w:rPr>
          <w:rFonts w:ascii="Times New Roman" w:eastAsia="Times New Roman" w:hAnsi="Times New Roman" w:cs="Times New Roman"/>
          <w:sz w:val="24"/>
          <w:szCs w:val="24"/>
        </w:rPr>
      </w:pPr>
      <w:r w:rsidRPr="0094231E">
        <w:rPr>
          <w:rFonts w:ascii="Times New Roman" w:eastAsia="Times New Roman" w:hAnsi="Times New Roman" w:cs="Times New Roman"/>
          <w:sz w:val="24"/>
          <w:szCs w:val="24"/>
        </w:rPr>
        <w:t xml:space="preserve">Zoho, (2021) </w:t>
      </w:r>
      <w:r w:rsidRPr="0094231E">
        <w:rPr>
          <w:rFonts w:ascii="Times New Roman" w:eastAsia="Times New Roman" w:hAnsi="Times New Roman" w:cs="Times New Roman"/>
          <w:i/>
          <w:sz w:val="24"/>
          <w:szCs w:val="24"/>
        </w:rPr>
        <w:t>Difference between gross profit and net profit - zoho books</w:t>
      </w:r>
      <w:r w:rsidRPr="0094231E">
        <w:rPr>
          <w:rFonts w:ascii="Times New Roman" w:eastAsia="Times New Roman" w:hAnsi="Times New Roman" w:cs="Times New Roman"/>
          <w:sz w:val="24"/>
          <w:szCs w:val="24"/>
        </w:rPr>
        <w:t xml:space="preserve">, </w:t>
      </w:r>
      <w:r w:rsidRPr="0094231E">
        <w:rPr>
          <w:rFonts w:ascii="Times New Roman" w:eastAsia="Times New Roman" w:hAnsi="Times New Roman" w:cs="Times New Roman"/>
          <w:i/>
          <w:sz w:val="24"/>
          <w:szCs w:val="24"/>
        </w:rPr>
        <w:t>Essential Business Guides</w:t>
      </w:r>
      <w:r w:rsidRPr="0094231E">
        <w:rPr>
          <w:rFonts w:ascii="Times New Roman" w:eastAsia="Times New Roman" w:hAnsi="Times New Roman" w:cs="Times New Roman"/>
          <w:sz w:val="24"/>
          <w:szCs w:val="24"/>
        </w:rPr>
        <w:t xml:space="preserve">. Available at: https://www.zoho.com/books/guides/what-is-the-difference-between-gross-and-net-profit.html#:~:text=Net%20profit%20is%20another%20important,when%20to%20reduce%20your%20expenses. (Accessed: 26 July 2023). </w:t>
      </w:r>
    </w:p>
    <w:p w14:paraId="74BBA8FC" w14:textId="79F4E772" w:rsidR="00AE0CB2" w:rsidRDefault="00AE0CB2" w:rsidP="007B261C">
      <w:pPr>
        <w:pStyle w:val="Normal1"/>
        <w:spacing w:line="360" w:lineRule="auto"/>
        <w:jc w:val="both"/>
        <w:rPr>
          <w:rFonts w:ascii="Times New Roman" w:eastAsia="Times New Roman" w:hAnsi="Times New Roman" w:cs="Times New Roman"/>
          <w:sz w:val="24"/>
          <w:szCs w:val="24"/>
        </w:rPr>
      </w:pPr>
    </w:p>
    <w:p w14:paraId="435FEABD" w14:textId="51BD24E8" w:rsidR="00B96BCA" w:rsidRDefault="00B96BCA" w:rsidP="007B261C">
      <w:pPr>
        <w:pStyle w:val="Normal1"/>
        <w:spacing w:line="360" w:lineRule="auto"/>
        <w:jc w:val="both"/>
        <w:rPr>
          <w:rFonts w:ascii="Times New Roman" w:eastAsia="Times New Roman" w:hAnsi="Times New Roman" w:cs="Times New Roman"/>
          <w:sz w:val="24"/>
          <w:szCs w:val="24"/>
        </w:rPr>
      </w:pPr>
    </w:p>
    <w:p w14:paraId="603DC6B9" w14:textId="3CFD9D5F" w:rsidR="00B96BCA" w:rsidRDefault="00B96BCA" w:rsidP="007B261C">
      <w:pPr>
        <w:pStyle w:val="Normal1"/>
        <w:spacing w:line="360" w:lineRule="auto"/>
        <w:jc w:val="both"/>
        <w:rPr>
          <w:rFonts w:ascii="Times New Roman" w:eastAsia="Times New Roman" w:hAnsi="Times New Roman" w:cs="Times New Roman"/>
          <w:sz w:val="24"/>
          <w:szCs w:val="24"/>
        </w:rPr>
      </w:pPr>
    </w:p>
    <w:p w14:paraId="688B0A25" w14:textId="391115F8" w:rsidR="00B96BCA" w:rsidRDefault="00B96BCA" w:rsidP="007B261C">
      <w:pPr>
        <w:pStyle w:val="Normal1"/>
        <w:spacing w:line="360" w:lineRule="auto"/>
        <w:jc w:val="both"/>
        <w:rPr>
          <w:rFonts w:ascii="Times New Roman" w:eastAsia="Times New Roman" w:hAnsi="Times New Roman" w:cs="Times New Roman"/>
          <w:sz w:val="24"/>
          <w:szCs w:val="24"/>
        </w:rPr>
      </w:pPr>
    </w:p>
    <w:p w14:paraId="5F848D7B" w14:textId="7B347EF9" w:rsidR="00B96BCA" w:rsidRDefault="00B96BCA" w:rsidP="007B261C">
      <w:pPr>
        <w:pStyle w:val="Normal1"/>
        <w:spacing w:line="360" w:lineRule="auto"/>
        <w:jc w:val="both"/>
        <w:rPr>
          <w:rFonts w:ascii="Times New Roman" w:eastAsia="Times New Roman" w:hAnsi="Times New Roman" w:cs="Times New Roman"/>
          <w:sz w:val="24"/>
          <w:szCs w:val="24"/>
        </w:rPr>
      </w:pPr>
    </w:p>
    <w:p w14:paraId="27F807C0" w14:textId="714E1CCD" w:rsidR="00B96BCA" w:rsidRDefault="00B96BCA" w:rsidP="007B261C">
      <w:pPr>
        <w:pStyle w:val="Normal1"/>
        <w:spacing w:line="360" w:lineRule="auto"/>
        <w:jc w:val="both"/>
        <w:rPr>
          <w:rFonts w:ascii="Times New Roman" w:eastAsia="Times New Roman" w:hAnsi="Times New Roman" w:cs="Times New Roman"/>
          <w:sz w:val="24"/>
          <w:szCs w:val="24"/>
        </w:rPr>
      </w:pPr>
    </w:p>
    <w:p w14:paraId="5CB3CC52" w14:textId="78B25CB2" w:rsidR="00B96BCA" w:rsidRDefault="00B96BCA" w:rsidP="007B261C">
      <w:pPr>
        <w:pStyle w:val="Normal1"/>
        <w:spacing w:line="360" w:lineRule="auto"/>
        <w:jc w:val="both"/>
        <w:rPr>
          <w:rFonts w:ascii="Times New Roman" w:eastAsia="Times New Roman" w:hAnsi="Times New Roman" w:cs="Times New Roman"/>
          <w:sz w:val="24"/>
          <w:szCs w:val="24"/>
        </w:rPr>
      </w:pPr>
    </w:p>
    <w:p w14:paraId="2874420E" w14:textId="77777777" w:rsidR="00B96BCA" w:rsidRPr="0094231E" w:rsidRDefault="00B96BCA" w:rsidP="007B261C">
      <w:pPr>
        <w:pStyle w:val="Normal1"/>
        <w:spacing w:line="360" w:lineRule="auto"/>
        <w:jc w:val="both"/>
        <w:rPr>
          <w:rFonts w:ascii="Times New Roman" w:eastAsia="Times New Roman" w:hAnsi="Times New Roman" w:cs="Times New Roman"/>
          <w:sz w:val="24"/>
          <w:szCs w:val="24"/>
        </w:rPr>
      </w:pPr>
    </w:p>
    <w:sectPr w:rsidR="00B96BCA" w:rsidRPr="0094231E" w:rsidSect="008D748C">
      <w:footerReference w:type="default" r:id="rId1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C3450" w14:textId="77777777" w:rsidR="00265F55" w:rsidRDefault="00265F55" w:rsidP="008D748C">
      <w:pPr>
        <w:spacing w:line="240" w:lineRule="auto"/>
      </w:pPr>
      <w:r>
        <w:separator/>
      </w:r>
    </w:p>
  </w:endnote>
  <w:endnote w:type="continuationSeparator" w:id="0">
    <w:p w14:paraId="2AB0B7F7" w14:textId="77777777" w:rsidR="00265F55" w:rsidRDefault="00265F55" w:rsidP="008D74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4494522"/>
      <w:docPartObj>
        <w:docPartGallery w:val="Page Numbers (Bottom of Page)"/>
        <w:docPartUnique/>
      </w:docPartObj>
    </w:sdtPr>
    <w:sdtEndPr>
      <w:rPr>
        <w:noProof/>
      </w:rPr>
    </w:sdtEndPr>
    <w:sdtContent>
      <w:p w14:paraId="2BBFBF47" w14:textId="55678B17" w:rsidR="008D748C" w:rsidRDefault="008D74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3EE99C" w14:textId="77777777" w:rsidR="008D748C" w:rsidRDefault="008D74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CC304" w14:textId="77777777" w:rsidR="00265F55" w:rsidRDefault="00265F55" w:rsidP="008D748C">
      <w:pPr>
        <w:spacing w:line="240" w:lineRule="auto"/>
      </w:pPr>
      <w:r>
        <w:separator/>
      </w:r>
    </w:p>
  </w:footnote>
  <w:footnote w:type="continuationSeparator" w:id="0">
    <w:p w14:paraId="4FB9719F" w14:textId="77777777" w:rsidR="00265F55" w:rsidRDefault="00265F55" w:rsidP="008D748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CB2"/>
    <w:rsid w:val="00117745"/>
    <w:rsid w:val="00265F55"/>
    <w:rsid w:val="003D42E5"/>
    <w:rsid w:val="00434024"/>
    <w:rsid w:val="005E5C0B"/>
    <w:rsid w:val="006E1A27"/>
    <w:rsid w:val="007B261C"/>
    <w:rsid w:val="007E4058"/>
    <w:rsid w:val="008D748C"/>
    <w:rsid w:val="0094231E"/>
    <w:rsid w:val="00AE0CB2"/>
    <w:rsid w:val="00B96BCA"/>
    <w:rsid w:val="00DC42C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581F4"/>
  <w15:docId w15:val="{69045A88-398E-4A7A-BC49-05DB254D5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table" w:customStyle="1" w:styleId="Table4">
    <w:name w:val="Table4"/>
    <w:basedOn w:val="TableNormal1"/>
    <w:tblPr>
      <w:tblStyleRowBandSize w:val="1"/>
      <w:tblStyleColBandSize w:val="1"/>
      <w:tblCellMar>
        <w:top w:w="100" w:type="dxa"/>
        <w:left w:w="100" w:type="dxa"/>
        <w:bottom w:w="100" w:type="dxa"/>
        <w:right w:w="100" w:type="dxa"/>
      </w:tblCellMar>
    </w:tblPr>
  </w:style>
  <w:style w:type="table" w:customStyle="1" w:styleId="Table5">
    <w:name w:val="Table5"/>
    <w:basedOn w:val="TableNormal1"/>
    <w:tblPr>
      <w:tblStyleRowBandSize w:val="1"/>
      <w:tblStyleColBandSize w:val="1"/>
      <w:tblCellMar>
        <w:top w:w="100" w:type="dxa"/>
        <w:left w:w="100" w:type="dxa"/>
        <w:bottom w:w="100" w:type="dxa"/>
        <w:right w:w="100" w:type="dxa"/>
      </w:tblCellMar>
    </w:tblPr>
  </w:style>
  <w:style w:type="table" w:customStyle="1" w:styleId="Table6">
    <w:name w:val="Table6"/>
    <w:basedOn w:val="TableNormal1"/>
    <w:tblPr>
      <w:tblStyleRowBandSize w:val="1"/>
      <w:tblStyleColBandSize w:val="1"/>
      <w:tblCellMar>
        <w:top w:w="100" w:type="dxa"/>
        <w:left w:w="100" w:type="dxa"/>
        <w:bottom w:w="100" w:type="dxa"/>
        <w:right w:w="100" w:type="dxa"/>
      </w:tblCellMar>
    </w:tblPr>
  </w:style>
  <w:style w:type="table" w:customStyle="1" w:styleId="Table7">
    <w:name w:val="Table7"/>
    <w:basedOn w:val="TableNormal1"/>
    <w:tblPr>
      <w:tblStyleRowBandSize w:val="1"/>
      <w:tblStyleColBandSize w:val="1"/>
      <w:tblCellMar>
        <w:top w:w="100" w:type="dxa"/>
        <w:left w:w="100" w:type="dxa"/>
        <w:bottom w:w="100" w:type="dxa"/>
        <w:right w:w="100" w:type="dxa"/>
      </w:tblCellMar>
    </w:tblPr>
  </w:style>
  <w:style w:type="table" w:customStyle="1" w:styleId="Table8">
    <w:name w:val="Table8"/>
    <w:basedOn w:val="TableNormal1"/>
    <w:tblPr>
      <w:tblStyleRowBandSize w:val="1"/>
      <w:tblStyleColBandSize w:val="1"/>
      <w:tblCellMar>
        <w:top w:w="100" w:type="dxa"/>
        <w:left w:w="100" w:type="dxa"/>
        <w:bottom w:w="100" w:type="dxa"/>
        <w:right w:w="100" w:type="dxa"/>
      </w:tblCellMar>
    </w:tblPr>
  </w:style>
  <w:style w:type="table" w:customStyle="1" w:styleId="Table9">
    <w:name w:val="Table9"/>
    <w:basedOn w:val="TableNormal1"/>
    <w:tblPr>
      <w:tblStyleRowBandSize w:val="1"/>
      <w:tblStyleColBandSize w:val="1"/>
      <w:tblCellMar>
        <w:top w:w="100" w:type="dxa"/>
        <w:left w:w="100" w:type="dxa"/>
        <w:bottom w:w="100" w:type="dxa"/>
        <w:right w:w="100" w:type="dxa"/>
      </w:tblCellMar>
    </w:tblPr>
  </w:style>
  <w:style w:type="table" w:customStyle="1" w:styleId="Table10">
    <w:name w:val="Table10"/>
    <w:basedOn w:val="TableNormal1"/>
    <w:tblPr>
      <w:tblStyleRowBandSize w:val="1"/>
      <w:tblStyleColBandSize w:val="1"/>
      <w:tblCellMar>
        <w:top w:w="100" w:type="dxa"/>
        <w:left w:w="100" w:type="dxa"/>
        <w:bottom w:w="100" w:type="dxa"/>
        <w:right w:w="100" w:type="dxa"/>
      </w:tblCellMar>
    </w:tblPr>
  </w:style>
  <w:style w:type="table" w:customStyle="1" w:styleId="Table11">
    <w:name w:val="Table11"/>
    <w:basedOn w:val="TableNormal1"/>
    <w:tblPr>
      <w:tblStyleRowBandSize w:val="1"/>
      <w:tblStyleColBandSize w:val="1"/>
      <w:tblCellMar>
        <w:top w:w="100" w:type="dxa"/>
        <w:left w:w="100" w:type="dxa"/>
        <w:bottom w:w="100" w:type="dxa"/>
        <w:right w:w="100" w:type="dxa"/>
      </w:tblCellMar>
    </w:tblPr>
  </w:style>
  <w:style w:type="table" w:customStyle="1" w:styleId="Table12">
    <w:name w:val="Table12"/>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D748C"/>
    <w:pPr>
      <w:tabs>
        <w:tab w:val="center" w:pos="4513"/>
        <w:tab w:val="right" w:pos="9026"/>
      </w:tabs>
      <w:spacing w:line="240" w:lineRule="auto"/>
    </w:pPr>
  </w:style>
  <w:style w:type="character" w:customStyle="1" w:styleId="HeaderChar">
    <w:name w:val="Header Char"/>
    <w:basedOn w:val="DefaultParagraphFont"/>
    <w:link w:val="Header"/>
    <w:uiPriority w:val="99"/>
    <w:rsid w:val="008D748C"/>
  </w:style>
  <w:style w:type="paragraph" w:styleId="Footer">
    <w:name w:val="footer"/>
    <w:basedOn w:val="Normal"/>
    <w:link w:val="FooterChar"/>
    <w:uiPriority w:val="99"/>
    <w:unhideWhenUsed/>
    <w:rsid w:val="008D748C"/>
    <w:pPr>
      <w:tabs>
        <w:tab w:val="center" w:pos="4513"/>
        <w:tab w:val="right" w:pos="9026"/>
      </w:tabs>
      <w:spacing w:line="240" w:lineRule="auto"/>
    </w:pPr>
  </w:style>
  <w:style w:type="character" w:customStyle="1" w:styleId="FooterChar">
    <w:name w:val="Footer Char"/>
    <w:basedOn w:val="DefaultParagraphFont"/>
    <w:link w:val="Footer"/>
    <w:uiPriority w:val="99"/>
    <w:rsid w:val="008D748C"/>
  </w:style>
  <w:style w:type="character" w:styleId="Hyperlink">
    <w:name w:val="Hyperlink"/>
    <w:basedOn w:val="DefaultParagraphFont"/>
    <w:uiPriority w:val="99"/>
    <w:unhideWhenUsed/>
    <w:rsid w:val="00434024"/>
    <w:rPr>
      <w:color w:val="0000FF" w:themeColor="hyperlink"/>
      <w:u w:val="single"/>
    </w:rPr>
  </w:style>
  <w:style w:type="character" w:styleId="UnresolvedMention">
    <w:name w:val="Unresolved Mention"/>
    <w:basedOn w:val="DefaultParagraphFont"/>
    <w:uiPriority w:val="99"/>
    <w:semiHidden/>
    <w:unhideWhenUsed/>
    <w:rsid w:val="00434024"/>
    <w:rPr>
      <w:color w:val="605E5C"/>
      <w:shd w:val="clear" w:color="auto" w:fill="E1DFDD"/>
    </w:rPr>
  </w:style>
  <w:style w:type="character" w:styleId="FollowedHyperlink">
    <w:name w:val="FollowedHyperlink"/>
    <w:basedOn w:val="DefaultParagraphFont"/>
    <w:uiPriority w:val="99"/>
    <w:semiHidden/>
    <w:unhideWhenUsed/>
    <w:rsid w:val="0043402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proquest.com/openview/69e7f8b77d48bd5491f9f813c16795a3/1?pq-origsite=gscholar&amp;cbl=29414" TargetMode="External"/><Relationship Id="rId13" Type="http://schemas.openxmlformats.org/officeDocument/2006/relationships/hyperlink" Target="http://jaruda.org/index.php/go/article/view/53"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journal.upbatam.ac.id/index.php/jim/article/view/3729" TargetMode="External"/><Relationship Id="rId12" Type="http://schemas.openxmlformats.org/officeDocument/2006/relationships/hyperlink" Target="https://web.s.ebscohost.com/abstract?direct=true&amp;profile=ehost&amp;scope=site&amp;authtype=crawler&amp;jrnl=09758453&amp;AN=144513102&amp;h=cuti9OU87FfBhqdhWb%2frMySHzJQBd8Dj6HU0RzMWWWqOA%2f3aBOev5G5EaxfjtVVNhieqk1ypi7143ACeY%2fb%2bdA%3d%3d&amp;crl=c&amp;resultNs=AdminWebAuth&amp;resultLocal=ErrCrlNotAuth&amp;crlhashurl=login.aspx%3fdirect%3dtrue%26profile%3dehost%26scope%3dsite%26authtype%3dcrawler%26jrnl%3d09758453%26AN%3d144513102"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papers.ssrn.com/sol3/papers.cfm?abstract_id=4338487"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cejsh.icm.edu.pl/cejsh/element/bwmeta1.element.desklight-c32c53b3-5677-4573-b1b3-c2ec33b8b304" TargetMode="External"/><Relationship Id="rId5" Type="http://schemas.openxmlformats.org/officeDocument/2006/relationships/endnotes" Target="endnotes.xml"/><Relationship Id="rId15" Type="http://schemas.openxmlformats.org/officeDocument/2006/relationships/hyperlink" Target="https://www.ilomata.org/index.php/ijtc/article/view/714" TargetMode="External"/><Relationship Id="rId10" Type="http://schemas.openxmlformats.org/officeDocument/2006/relationships/hyperlink" Target="https://www.mdpi.com/2071-1050/11/14/3791"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link.springer.com/chapter/10.1007/978-3-030-87767-5_14" TargetMode="External"/><Relationship Id="rId14" Type="http://schemas.openxmlformats.org/officeDocument/2006/relationships/hyperlink" Target="https://link.springer.com/chapter/10.1007/978-3-030-76702-0_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13</Pages>
  <Words>3296</Words>
  <Characters>18793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Victoria Rotari</cp:lastModifiedBy>
  <cp:revision>7</cp:revision>
  <dcterms:created xsi:type="dcterms:W3CDTF">2023-07-26T12:45:00Z</dcterms:created>
  <dcterms:modified xsi:type="dcterms:W3CDTF">2023-08-23T18:39:00Z</dcterms:modified>
</cp:coreProperties>
</file>