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A8215" w14:textId="2BBE5D56" w:rsidR="00AB3DDA" w:rsidRPr="00B05778" w:rsidRDefault="00AB3DDA" w:rsidP="00FD45C9">
      <w:pPr>
        <w:pStyle w:val="NormalWeb"/>
        <w:spacing w:line="360" w:lineRule="auto"/>
        <w:rPr>
          <w:rStyle w:val="Strong"/>
          <w:rFonts w:ascii="Arial" w:hAnsi="Arial" w:cs="Arial"/>
          <w:b w:val="0"/>
          <w:bCs w:val="0"/>
          <w:sz w:val="40"/>
          <w:szCs w:val="40"/>
        </w:rPr>
      </w:pPr>
      <w:bookmarkStart w:id="0" w:name="_Hlk213575164"/>
      <w:r w:rsidRPr="00B05778">
        <w:rPr>
          <w:rStyle w:val="Strong"/>
          <w:rFonts w:ascii="Arial" w:hAnsi="Arial" w:cs="Arial"/>
          <w:sz w:val="40"/>
          <w:szCs w:val="40"/>
        </w:rPr>
        <w:t>Module Name and Code:</w:t>
      </w:r>
      <w:r w:rsidRPr="00B05778">
        <w:rPr>
          <w:rFonts w:ascii="Arial" w:hAnsi="Arial" w:cs="Arial"/>
          <w:sz w:val="40"/>
          <w:szCs w:val="40"/>
        </w:rPr>
        <w:t xml:space="preserve"> LCLM 5004</w:t>
      </w:r>
      <w:r w:rsidR="00BA3620">
        <w:rPr>
          <w:rFonts w:ascii="Arial" w:hAnsi="Arial" w:cs="Arial"/>
          <w:sz w:val="40"/>
          <w:szCs w:val="40"/>
        </w:rPr>
        <w:t xml:space="preserve"> </w:t>
      </w:r>
      <w:r w:rsidRPr="00B05778">
        <w:rPr>
          <w:rFonts w:ascii="Arial" w:hAnsi="Arial" w:cs="Arial"/>
          <w:sz w:val="40"/>
          <w:szCs w:val="40"/>
        </w:rPr>
        <w:t>- Managing Business Information</w:t>
      </w:r>
    </w:p>
    <w:p w14:paraId="664D4B00" w14:textId="410F6DF4" w:rsidR="00AB3DDA" w:rsidRPr="00B05778" w:rsidRDefault="00AB3DDA" w:rsidP="00FD45C9">
      <w:pPr>
        <w:pStyle w:val="NormalWeb"/>
        <w:spacing w:line="360" w:lineRule="auto"/>
        <w:rPr>
          <w:rFonts w:ascii="Arial" w:hAnsi="Arial" w:cs="Arial"/>
          <w:sz w:val="40"/>
          <w:szCs w:val="40"/>
        </w:rPr>
      </w:pPr>
      <w:r w:rsidRPr="00B05778">
        <w:rPr>
          <w:rStyle w:val="Strong"/>
          <w:rFonts w:ascii="Arial" w:hAnsi="Arial" w:cs="Arial"/>
          <w:sz w:val="40"/>
          <w:szCs w:val="40"/>
        </w:rPr>
        <w:t>Assignment Title:</w:t>
      </w:r>
      <w:r w:rsidRPr="00B05778">
        <w:rPr>
          <w:rFonts w:ascii="Arial" w:hAnsi="Arial" w:cs="Arial"/>
          <w:sz w:val="40"/>
          <w:szCs w:val="40"/>
        </w:rPr>
        <w:t xml:space="preserve"> Individual report</w:t>
      </w:r>
      <w:r w:rsidR="00BA3620">
        <w:rPr>
          <w:rFonts w:ascii="Arial" w:hAnsi="Arial" w:cs="Arial"/>
          <w:sz w:val="40"/>
          <w:szCs w:val="40"/>
        </w:rPr>
        <w:t xml:space="preserve"> </w:t>
      </w:r>
      <w:r w:rsidRPr="00B05778">
        <w:rPr>
          <w:rFonts w:ascii="Arial" w:hAnsi="Arial" w:cs="Arial"/>
          <w:color w:val="000000" w:themeColor="text1"/>
          <w:sz w:val="40"/>
          <w:szCs w:val="40"/>
        </w:rPr>
        <w:t>- Information Systems Improvements</w:t>
      </w:r>
      <w:r w:rsidRPr="00B05778">
        <w:rPr>
          <w:rFonts w:ascii="Arial" w:hAnsi="Arial" w:cs="Arial"/>
          <w:sz w:val="40"/>
          <w:szCs w:val="40"/>
        </w:rPr>
        <w:br/>
      </w:r>
      <w:r w:rsidRPr="00B05778">
        <w:rPr>
          <w:rStyle w:val="Strong"/>
          <w:rFonts w:ascii="Arial" w:hAnsi="Arial" w:cs="Arial"/>
          <w:sz w:val="40"/>
          <w:szCs w:val="40"/>
        </w:rPr>
        <w:t>Lecturer’s Name:</w:t>
      </w:r>
      <w:r w:rsidRPr="00B05778">
        <w:rPr>
          <w:rFonts w:ascii="Arial" w:hAnsi="Arial" w:cs="Arial"/>
          <w:sz w:val="40"/>
          <w:szCs w:val="40"/>
        </w:rPr>
        <w:t xml:space="preserve"> Chinomso </w:t>
      </w:r>
      <w:proofErr w:type="spellStart"/>
      <w:r w:rsidRPr="00B05778">
        <w:rPr>
          <w:rFonts w:ascii="Arial" w:hAnsi="Arial" w:cs="Arial"/>
          <w:sz w:val="40"/>
          <w:szCs w:val="40"/>
        </w:rPr>
        <w:t>Nwagboso</w:t>
      </w:r>
      <w:proofErr w:type="spellEnd"/>
      <w:r w:rsidRPr="00B05778">
        <w:rPr>
          <w:rFonts w:ascii="Arial" w:hAnsi="Arial" w:cs="Arial"/>
          <w:sz w:val="40"/>
          <w:szCs w:val="40"/>
        </w:rPr>
        <w:br/>
      </w:r>
      <w:r w:rsidRPr="00B05778">
        <w:rPr>
          <w:rStyle w:val="Strong"/>
          <w:rFonts w:ascii="Arial" w:hAnsi="Arial" w:cs="Arial"/>
          <w:sz w:val="40"/>
          <w:szCs w:val="40"/>
        </w:rPr>
        <w:t>Student Name:</w:t>
      </w:r>
      <w:r w:rsidRPr="00B05778">
        <w:rPr>
          <w:rFonts w:ascii="Arial" w:hAnsi="Arial" w:cs="Arial"/>
          <w:sz w:val="40"/>
          <w:szCs w:val="40"/>
        </w:rPr>
        <w:t xml:space="preserve"> Gabriela Alina Barza</w:t>
      </w:r>
      <w:r w:rsidRPr="00B05778">
        <w:rPr>
          <w:rFonts w:ascii="Arial" w:hAnsi="Arial" w:cs="Arial"/>
          <w:sz w:val="40"/>
          <w:szCs w:val="40"/>
        </w:rPr>
        <w:br/>
      </w:r>
      <w:r w:rsidRPr="00B05778">
        <w:rPr>
          <w:rStyle w:val="Strong"/>
          <w:rFonts w:ascii="Arial" w:hAnsi="Arial" w:cs="Arial"/>
          <w:sz w:val="40"/>
          <w:szCs w:val="40"/>
        </w:rPr>
        <w:t>Student ID:</w:t>
      </w:r>
      <w:r w:rsidRPr="00B05778">
        <w:rPr>
          <w:rFonts w:ascii="Arial" w:hAnsi="Arial" w:cs="Arial"/>
          <w:sz w:val="40"/>
          <w:szCs w:val="40"/>
        </w:rPr>
        <w:t xml:space="preserve"> 2332746</w:t>
      </w:r>
    </w:p>
    <w:p w14:paraId="0FD54AB8" w14:textId="77777777" w:rsidR="00AB3DDA" w:rsidRDefault="00AB3DDA" w:rsidP="00FD45C9">
      <w:pPr>
        <w:spacing w:before="100" w:beforeAutospacing="1" w:after="100" w:afterAutospacing="1" w:line="360" w:lineRule="auto"/>
        <w:jc w:val="both"/>
        <w:rPr>
          <w:rFonts w:ascii="Arial" w:eastAsia="Times New Roman" w:hAnsi="Arial" w:cs="Arial"/>
          <w:b/>
          <w:bCs/>
          <w:lang w:eastAsia="en-GB"/>
        </w:rPr>
      </w:pPr>
    </w:p>
    <w:p w14:paraId="04C123C5" w14:textId="77777777" w:rsidR="00AB3DDA" w:rsidRDefault="00AB3DDA" w:rsidP="00FD45C9">
      <w:pPr>
        <w:spacing w:line="360" w:lineRule="auto"/>
        <w:rPr>
          <w:rFonts w:ascii="Arial" w:eastAsia="Times New Roman" w:hAnsi="Arial" w:cs="Arial"/>
          <w:b/>
          <w:bCs/>
          <w:lang w:eastAsia="en-GB"/>
        </w:rPr>
      </w:pPr>
    </w:p>
    <w:p w14:paraId="2A9F06F7" w14:textId="66D78D92" w:rsidR="00920536" w:rsidRDefault="00AB3DDA" w:rsidP="00FD45C9">
      <w:pPr>
        <w:spacing w:line="360" w:lineRule="auto"/>
        <w:rPr>
          <w:rFonts w:ascii="Arial" w:eastAsia="Times New Roman" w:hAnsi="Arial" w:cs="Arial"/>
          <w:b/>
          <w:bCs/>
          <w:lang w:eastAsia="en-GB"/>
        </w:rPr>
      </w:pPr>
      <w:r>
        <w:rPr>
          <w:rFonts w:ascii="Arial" w:eastAsia="Times New Roman" w:hAnsi="Arial" w:cs="Arial"/>
          <w:b/>
          <w:bCs/>
          <w:lang w:eastAsia="en-GB"/>
        </w:rPr>
        <w:br w:type="page"/>
      </w:r>
    </w:p>
    <w:sdt>
      <w:sdtPr>
        <w:rPr>
          <w:rFonts w:asciiTheme="minorHAnsi" w:eastAsiaTheme="minorHAnsi" w:hAnsiTheme="minorHAnsi" w:cstheme="minorBidi"/>
          <w:color w:val="auto"/>
          <w:sz w:val="22"/>
          <w:szCs w:val="22"/>
          <w:lang w:eastAsia="en-US"/>
        </w:rPr>
        <w:id w:val="267508044"/>
        <w:docPartObj>
          <w:docPartGallery w:val="Table of Contents"/>
          <w:docPartUnique/>
        </w:docPartObj>
      </w:sdtPr>
      <w:sdtEndPr>
        <w:rPr>
          <w:b/>
          <w:bCs/>
        </w:rPr>
      </w:sdtEndPr>
      <w:sdtContent>
        <w:p w14:paraId="343D51F2" w14:textId="33380A87" w:rsidR="00920536" w:rsidRDefault="00920536" w:rsidP="00FD45C9">
          <w:pPr>
            <w:pStyle w:val="TOCHeading"/>
            <w:spacing w:line="360" w:lineRule="auto"/>
          </w:pPr>
          <w:r>
            <w:t>Contents</w:t>
          </w:r>
        </w:p>
        <w:p w14:paraId="7E3C3873" w14:textId="359B25A3" w:rsidR="00AF7F40" w:rsidRDefault="00920536">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65407" w:history="1">
            <w:r w:rsidR="00AF7F40" w:rsidRPr="00B7774C">
              <w:rPr>
                <w:rStyle w:val="Hyperlink"/>
                <w:noProof/>
              </w:rPr>
              <w:t>1. Introduction</w:t>
            </w:r>
            <w:r w:rsidR="00AF7F40">
              <w:rPr>
                <w:noProof/>
                <w:webHidden/>
              </w:rPr>
              <w:tab/>
            </w:r>
            <w:r w:rsidR="00AF7F40">
              <w:rPr>
                <w:noProof/>
                <w:webHidden/>
              </w:rPr>
              <w:fldChar w:fldCharType="begin"/>
            </w:r>
            <w:r w:rsidR="00AF7F40">
              <w:rPr>
                <w:noProof/>
                <w:webHidden/>
              </w:rPr>
              <w:instrText xml:space="preserve"> PAGEREF _Toc214565407 \h </w:instrText>
            </w:r>
            <w:r w:rsidR="00AF7F40">
              <w:rPr>
                <w:noProof/>
                <w:webHidden/>
              </w:rPr>
            </w:r>
            <w:r w:rsidR="00AF7F40">
              <w:rPr>
                <w:noProof/>
                <w:webHidden/>
              </w:rPr>
              <w:fldChar w:fldCharType="separate"/>
            </w:r>
            <w:r w:rsidR="00AF7F40">
              <w:rPr>
                <w:noProof/>
                <w:webHidden/>
              </w:rPr>
              <w:t>3</w:t>
            </w:r>
            <w:r w:rsidR="00AF7F40">
              <w:rPr>
                <w:noProof/>
                <w:webHidden/>
              </w:rPr>
              <w:fldChar w:fldCharType="end"/>
            </w:r>
          </w:hyperlink>
        </w:p>
        <w:p w14:paraId="674E95C7" w14:textId="2D73F2B8" w:rsidR="00AF7F40" w:rsidRDefault="00AF7F40">
          <w:pPr>
            <w:pStyle w:val="TOC3"/>
            <w:tabs>
              <w:tab w:val="right" w:leader="dot" w:pos="9016"/>
            </w:tabs>
            <w:rPr>
              <w:rFonts w:eastAsiaTheme="minorEastAsia"/>
              <w:noProof/>
              <w:lang w:eastAsia="en-GB"/>
            </w:rPr>
          </w:pPr>
          <w:hyperlink w:anchor="_Toc214565408" w:history="1">
            <w:r w:rsidRPr="00B7774C">
              <w:rPr>
                <w:rStyle w:val="Hyperlink"/>
                <w:noProof/>
              </w:rPr>
              <w:t>2. Organisational Context: Zara within Inditex</w:t>
            </w:r>
            <w:r>
              <w:rPr>
                <w:noProof/>
                <w:webHidden/>
              </w:rPr>
              <w:tab/>
            </w:r>
            <w:r>
              <w:rPr>
                <w:noProof/>
                <w:webHidden/>
              </w:rPr>
              <w:fldChar w:fldCharType="begin"/>
            </w:r>
            <w:r>
              <w:rPr>
                <w:noProof/>
                <w:webHidden/>
              </w:rPr>
              <w:instrText xml:space="preserve"> PAGEREF _Toc214565408 \h </w:instrText>
            </w:r>
            <w:r>
              <w:rPr>
                <w:noProof/>
                <w:webHidden/>
              </w:rPr>
            </w:r>
            <w:r>
              <w:rPr>
                <w:noProof/>
                <w:webHidden/>
              </w:rPr>
              <w:fldChar w:fldCharType="separate"/>
            </w:r>
            <w:r>
              <w:rPr>
                <w:noProof/>
                <w:webHidden/>
              </w:rPr>
              <w:t>3</w:t>
            </w:r>
            <w:r>
              <w:rPr>
                <w:noProof/>
                <w:webHidden/>
              </w:rPr>
              <w:fldChar w:fldCharType="end"/>
            </w:r>
          </w:hyperlink>
        </w:p>
        <w:p w14:paraId="4CD4D2D3" w14:textId="204B0286" w:rsidR="00AF7F40" w:rsidRDefault="00AF7F40">
          <w:pPr>
            <w:pStyle w:val="TOC3"/>
            <w:tabs>
              <w:tab w:val="right" w:leader="dot" w:pos="9016"/>
            </w:tabs>
            <w:rPr>
              <w:rFonts w:eastAsiaTheme="minorEastAsia"/>
              <w:noProof/>
              <w:lang w:eastAsia="en-GB"/>
            </w:rPr>
          </w:pPr>
          <w:hyperlink w:anchor="_Toc214565409" w:history="1">
            <w:r w:rsidRPr="00B7774C">
              <w:rPr>
                <w:rStyle w:val="Hyperlink"/>
                <w:noProof/>
              </w:rPr>
              <w:t>3. Strategic Importance of BI in Fast Fashion</w:t>
            </w:r>
            <w:r>
              <w:rPr>
                <w:noProof/>
                <w:webHidden/>
              </w:rPr>
              <w:tab/>
            </w:r>
            <w:r>
              <w:rPr>
                <w:noProof/>
                <w:webHidden/>
              </w:rPr>
              <w:fldChar w:fldCharType="begin"/>
            </w:r>
            <w:r>
              <w:rPr>
                <w:noProof/>
                <w:webHidden/>
              </w:rPr>
              <w:instrText xml:space="preserve"> PAGEREF _Toc214565409 \h </w:instrText>
            </w:r>
            <w:r>
              <w:rPr>
                <w:noProof/>
                <w:webHidden/>
              </w:rPr>
            </w:r>
            <w:r>
              <w:rPr>
                <w:noProof/>
                <w:webHidden/>
              </w:rPr>
              <w:fldChar w:fldCharType="separate"/>
            </w:r>
            <w:r>
              <w:rPr>
                <w:noProof/>
                <w:webHidden/>
              </w:rPr>
              <w:t>4</w:t>
            </w:r>
            <w:r>
              <w:rPr>
                <w:noProof/>
                <w:webHidden/>
              </w:rPr>
              <w:fldChar w:fldCharType="end"/>
            </w:r>
          </w:hyperlink>
        </w:p>
        <w:p w14:paraId="1BA8D932" w14:textId="182FB98F" w:rsidR="00AF7F40" w:rsidRDefault="00AF7F40">
          <w:pPr>
            <w:pStyle w:val="TOC3"/>
            <w:tabs>
              <w:tab w:val="right" w:leader="dot" w:pos="9016"/>
            </w:tabs>
            <w:rPr>
              <w:rFonts w:eastAsiaTheme="minorEastAsia"/>
              <w:noProof/>
              <w:lang w:eastAsia="en-GB"/>
            </w:rPr>
          </w:pPr>
          <w:hyperlink w:anchor="_Toc214565410" w:history="1">
            <w:r w:rsidRPr="00B7774C">
              <w:rPr>
                <w:rStyle w:val="Hyperlink"/>
                <w:noProof/>
              </w:rPr>
              <w:t>4. Current Information System Challenges at Zara / Inditex</w:t>
            </w:r>
            <w:r>
              <w:rPr>
                <w:noProof/>
                <w:webHidden/>
              </w:rPr>
              <w:tab/>
            </w:r>
            <w:r>
              <w:rPr>
                <w:noProof/>
                <w:webHidden/>
              </w:rPr>
              <w:fldChar w:fldCharType="begin"/>
            </w:r>
            <w:r>
              <w:rPr>
                <w:noProof/>
                <w:webHidden/>
              </w:rPr>
              <w:instrText xml:space="preserve"> PAGEREF _Toc214565410 \h </w:instrText>
            </w:r>
            <w:r>
              <w:rPr>
                <w:noProof/>
                <w:webHidden/>
              </w:rPr>
            </w:r>
            <w:r>
              <w:rPr>
                <w:noProof/>
                <w:webHidden/>
              </w:rPr>
              <w:fldChar w:fldCharType="separate"/>
            </w:r>
            <w:r>
              <w:rPr>
                <w:noProof/>
                <w:webHidden/>
              </w:rPr>
              <w:t>5</w:t>
            </w:r>
            <w:r>
              <w:rPr>
                <w:noProof/>
                <w:webHidden/>
              </w:rPr>
              <w:fldChar w:fldCharType="end"/>
            </w:r>
          </w:hyperlink>
        </w:p>
        <w:p w14:paraId="37A12643" w14:textId="4ABD4458" w:rsidR="00AF7F40" w:rsidRDefault="00AF7F40">
          <w:pPr>
            <w:pStyle w:val="TOC3"/>
            <w:tabs>
              <w:tab w:val="right" w:leader="dot" w:pos="9016"/>
            </w:tabs>
            <w:rPr>
              <w:rFonts w:eastAsiaTheme="minorEastAsia"/>
              <w:noProof/>
              <w:lang w:eastAsia="en-GB"/>
            </w:rPr>
          </w:pPr>
          <w:hyperlink w:anchor="_Toc214565411" w:history="1">
            <w:r w:rsidRPr="00B7774C">
              <w:rPr>
                <w:rStyle w:val="Hyperlink"/>
                <w:noProof/>
              </w:rPr>
              <w:t>5. Literature and Theoretical Foundation for BI Adoption</w:t>
            </w:r>
            <w:r>
              <w:rPr>
                <w:noProof/>
                <w:webHidden/>
              </w:rPr>
              <w:tab/>
            </w:r>
            <w:r>
              <w:rPr>
                <w:noProof/>
                <w:webHidden/>
              </w:rPr>
              <w:fldChar w:fldCharType="begin"/>
            </w:r>
            <w:r>
              <w:rPr>
                <w:noProof/>
                <w:webHidden/>
              </w:rPr>
              <w:instrText xml:space="preserve"> PAGEREF _Toc214565411 \h </w:instrText>
            </w:r>
            <w:r>
              <w:rPr>
                <w:noProof/>
                <w:webHidden/>
              </w:rPr>
            </w:r>
            <w:r>
              <w:rPr>
                <w:noProof/>
                <w:webHidden/>
              </w:rPr>
              <w:fldChar w:fldCharType="separate"/>
            </w:r>
            <w:r>
              <w:rPr>
                <w:noProof/>
                <w:webHidden/>
              </w:rPr>
              <w:t>6</w:t>
            </w:r>
            <w:r>
              <w:rPr>
                <w:noProof/>
                <w:webHidden/>
              </w:rPr>
              <w:fldChar w:fldCharType="end"/>
            </w:r>
          </w:hyperlink>
        </w:p>
        <w:p w14:paraId="3C459CAD" w14:textId="6AA59029" w:rsidR="00AF7F40" w:rsidRDefault="00AF7F40">
          <w:pPr>
            <w:pStyle w:val="TOC3"/>
            <w:tabs>
              <w:tab w:val="right" w:leader="dot" w:pos="9016"/>
            </w:tabs>
            <w:rPr>
              <w:rFonts w:eastAsiaTheme="minorEastAsia"/>
              <w:noProof/>
              <w:lang w:eastAsia="en-GB"/>
            </w:rPr>
          </w:pPr>
          <w:hyperlink w:anchor="_Toc214565412" w:history="1">
            <w:r w:rsidRPr="00B7774C">
              <w:rPr>
                <w:rStyle w:val="Hyperlink"/>
                <w:noProof/>
              </w:rPr>
              <w:t>6. Recommended BI Solution: Custom Hybrid Architecture</w:t>
            </w:r>
            <w:r>
              <w:rPr>
                <w:noProof/>
                <w:webHidden/>
              </w:rPr>
              <w:tab/>
            </w:r>
            <w:r>
              <w:rPr>
                <w:noProof/>
                <w:webHidden/>
              </w:rPr>
              <w:fldChar w:fldCharType="begin"/>
            </w:r>
            <w:r>
              <w:rPr>
                <w:noProof/>
                <w:webHidden/>
              </w:rPr>
              <w:instrText xml:space="preserve"> PAGEREF _Toc214565412 \h </w:instrText>
            </w:r>
            <w:r>
              <w:rPr>
                <w:noProof/>
                <w:webHidden/>
              </w:rPr>
            </w:r>
            <w:r>
              <w:rPr>
                <w:noProof/>
                <w:webHidden/>
              </w:rPr>
              <w:fldChar w:fldCharType="separate"/>
            </w:r>
            <w:r>
              <w:rPr>
                <w:noProof/>
                <w:webHidden/>
              </w:rPr>
              <w:t>7</w:t>
            </w:r>
            <w:r>
              <w:rPr>
                <w:noProof/>
                <w:webHidden/>
              </w:rPr>
              <w:fldChar w:fldCharType="end"/>
            </w:r>
          </w:hyperlink>
        </w:p>
        <w:p w14:paraId="55986580" w14:textId="63B83D34" w:rsidR="00AF7F40" w:rsidRDefault="00AF7F40">
          <w:pPr>
            <w:pStyle w:val="TOC3"/>
            <w:tabs>
              <w:tab w:val="right" w:leader="dot" w:pos="9016"/>
            </w:tabs>
            <w:rPr>
              <w:rFonts w:eastAsiaTheme="minorEastAsia"/>
              <w:noProof/>
              <w:lang w:eastAsia="en-GB"/>
            </w:rPr>
          </w:pPr>
          <w:hyperlink w:anchor="_Toc214565413" w:history="1">
            <w:r w:rsidRPr="00B7774C">
              <w:rPr>
                <w:rStyle w:val="Hyperlink"/>
                <w:noProof/>
              </w:rPr>
              <w:t>7. Strategic Impact of the BI System</w:t>
            </w:r>
            <w:r>
              <w:rPr>
                <w:noProof/>
                <w:webHidden/>
              </w:rPr>
              <w:tab/>
            </w:r>
            <w:r>
              <w:rPr>
                <w:noProof/>
                <w:webHidden/>
              </w:rPr>
              <w:fldChar w:fldCharType="begin"/>
            </w:r>
            <w:r>
              <w:rPr>
                <w:noProof/>
                <w:webHidden/>
              </w:rPr>
              <w:instrText xml:space="preserve"> PAGEREF _Toc214565413 \h </w:instrText>
            </w:r>
            <w:r>
              <w:rPr>
                <w:noProof/>
                <w:webHidden/>
              </w:rPr>
            </w:r>
            <w:r>
              <w:rPr>
                <w:noProof/>
                <w:webHidden/>
              </w:rPr>
              <w:fldChar w:fldCharType="separate"/>
            </w:r>
            <w:r>
              <w:rPr>
                <w:noProof/>
                <w:webHidden/>
              </w:rPr>
              <w:t>8</w:t>
            </w:r>
            <w:r>
              <w:rPr>
                <w:noProof/>
                <w:webHidden/>
              </w:rPr>
              <w:fldChar w:fldCharType="end"/>
            </w:r>
          </w:hyperlink>
        </w:p>
        <w:p w14:paraId="527AB25F" w14:textId="74DAC31E" w:rsidR="00AF7F40" w:rsidRDefault="00AF7F40">
          <w:pPr>
            <w:pStyle w:val="TOC3"/>
            <w:tabs>
              <w:tab w:val="right" w:leader="dot" w:pos="9016"/>
            </w:tabs>
            <w:rPr>
              <w:rFonts w:eastAsiaTheme="minorEastAsia"/>
              <w:noProof/>
              <w:lang w:eastAsia="en-GB"/>
            </w:rPr>
          </w:pPr>
          <w:hyperlink w:anchor="_Toc214565414" w:history="1">
            <w:r w:rsidRPr="00B7774C">
              <w:rPr>
                <w:rStyle w:val="Hyperlink"/>
                <w:noProof/>
              </w:rPr>
              <w:t>8. Competitor Benchmarking: The Analytical Gap</w:t>
            </w:r>
            <w:r>
              <w:rPr>
                <w:noProof/>
                <w:webHidden/>
              </w:rPr>
              <w:tab/>
            </w:r>
            <w:r>
              <w:rPr>
                <w:noProof/>
                <w:webHidden/>
              </w:rPr>
              <w:fldChar w:fldCharType="begin"/>
            </w:r>
            <w:r>
              <w:rPr>
                <w:noProof/>
                <w:webHidden/>
              </w:rPr>
              <w:instrText xml:space="preserve"> PAGEREF _Toc214565414 \h </w:instrText>
            </w:r>
            <w:r>
              <w:rPr>
                <w:noProof/>
                <w:webHidden/>
              </w:rPr>
            </w:r>
            <w:r>
              <w:rPr>
                <w:noProof/>
                <w:webHidden/>
              </w:rPr>
              <w:fldChar w:fldCharType="separate"/>
            </w:r>
            <w:r>
              <w:rPr>
                <w:noProof/>
                <w:webHidden/>
              </w:rPr>
              <w:t>9</w:t>
            </w:r>
            <w:r>
              <w:rPr>
                <w:noProof/>
                <w:webHidden/>
              </w:rPr>
              <w:fldChar w:fldCharType="end"/>
            </w:r>
          </w:hyperlink>
        </w:p>
        <w:p w14:paraId="4819BC4E" w14:textId="7CEB3936" w:rsidR="00AF7F40" w:rsidRDefault="00AF7F40">
          <w:pPr>
            <w:pStyle w:val="TOC3"/>
            <w:tabs>
              <w:tab w:val="right" w:leader="dot" w:pos="9016"/>
            </w:tabs>
            <w:rPr>
              <w:rFonts w:eastAsiaTheme="minorEastAsia"/>
              <w:noProof/>
              <w:lang w:eastAsia="en-GB"/>
            </w:rPr>
          </w:pPr>
          <w:hyperlink w:anchor="_Toc214565415" w:history="1">
            <w:r w:rsidRPr="00B7774C">
              <w:rPr>
                <w:rStyle w:val="Hyperlink"/>
                <w:noProof/>
              </w:rPr>
              <w:t>9. Governance, Ethics and GDPR Alignment</w:t>
            </w:r>
            <w:r>
              <w:rPr>
                <w:noProof/>
                <w:webHidden/>
              </w:rPr>
              <w:tab/>
            </w:r>
            <w:r>
              <w:rPr>
                <w:noProof/>
                <w:webHidden/>
              </w:rPr>
              <w:fldChar w:fldCharType="begin"/>
            </w:r>
            <w:r>
              <w:rPr>
                <w:noProof/>
                <w:webHidden/>
              </w:rPr>
              <w:instrText xml:space="preserve"> PAGEREF _Toc214565415 \h </w:instrText>
            </w:r>
            <w:r>
              <w:rPr>
                <w:noProof/>
                <w:webHidden/>
              </w:rPr>
            </w:r>
            <w:r>
              <w:rPr>
                <w:noProof/>
                <w:webHidden/>
              </w:rPr>
              <w:fldChar w:fldCharType="separate"/>
            </w:r>
            <w:r>
              <w:rPr>
                <w:noProof/>
                <w:webHidden/>
              </w:rPr>
              <w:t>9</w:t>
            </w:r>
            <w:r>
              <w:rPr>
                <w:noProof/>
                <w:webHidden/>
              </w:rPr>
              <w:fldChar w:fldCharType="end"/>
            </w:r>
          </w:hyperlink>
        </w:p>
        <w:p w14:paraId="1E59D55A" w14:textId="0920FAE7" w:rsidR="00AF7F40" w:rsidRDefault="00AF7F40">
          <w:pPr>
            <w:pStyle w:val="TOC3"/>
            <w:tabs>
              <w:tab w:val="right" w:leader="dot" w:pos="9016"/>
            </w:tabs>
            <w:rPr>
              <w:rFonts w:eastAsiaTheme="minorEastAsia"/>
              <w:noProof/>
              <w:lang w:eastAsia="en-GB"/>
            </w:rPr>
          </w:pPr>
          <w:hyperlink w:anchor="_Toc214565416" w:history="1">
            <w:r w:rsidRPr="00B7774C">
              <w:rPr>
                <w:rStyle w:val="Hyperlink"/>
                <w:noProof/>
              </w:rPr>
              <w:t>10. Risks and Mitigation</w:t>
            </w:r>
            <w:r>
              <w:rPr>
                <w:noProof/>
                <w:webHidden/>
              </w:rPr>
              <w:tab/>
            </w:r>
            <w:r>
              <w:rPr>
                <w:noProof/>
                <w:webHidden/>
              </w:rPr>
              <w:fldChar w:fldCharType="begin"/>
            </w:r>
            <w:r>
              <w:rPr>
                <w:noProof/>
                <w:webHidden/>
              </w:rPr>
              <w:instrText xml:space="preserve"> PAGEREF _Toc214565416 \h </w:instrText>
            </w:r>
            <w:r>
              <w:rPr>
                <w:noProof/>
                <w:webHidden/>
              </w:rPr>
            </w:r>
            <w:r>
              <w:rPr>
                <w:noProof/>
                <w:webHidden/>
              </w:rPr>
              <w:fldChar w:fldCharType="separate"/>
            </w:r>
            <w:r>
              <w:rPr>
                <w:noProof/>
                <w:webHidden/>
              </w:rPr>
              <w:t>10</w:t>
            </w:r>
            <w:r>
              <w:rPr>
                <w:noProof/>
                <w:webHidden/>
              </w:rPr>
              <w:fldChar w:fldCharType="end"/>
            </w:r>
          </w:hyperlink>
        </w:p>
        <w:p w14:paraId="775AAF70" w14:textId="02C7E38D" w:rsidR="00AF7F40" w:rsidRDefault="00AF7F40">
          <w:pPr>
            <w:pStyle w:val="TOC3"/>
            <w:tabs>
              <w:tab w:val="right" w:leader="dot" w:pos="9016"/>
            </w:tabs>
            <w:rPr>
              <w:rFonts w:eastAsiaTheme="minorEastAsia"/>
              <w:noProof/>
              <w:lang w:eastAsia="en-GB"/>
            </w:rPr>
          </w:pPr>
          <w:hyperlink w:anchor="_Toc214565417" w:history="1">
            <w:r w:rsidRPr="00B7774C">
              <w:rPr>
                <w:rStyle w:val="Hyperlink"/>
                <w:noProof/>
              </w:rPr>
              <w:t>11. Implementation Plan (Timeline and Resources)</w:t>
            </w:r>
            <w:r>
              <w:rPr>
                <w:noProof/>
                <w:webHidden/>
              </w:rPr>
              <w:tab/>
            </w:r>
            <w:r>
              <w:rPr>
                <w:noProof/>
                <w:webHidden/>
              </w:rPr>
              <w:fldChar w:fldCharType="begin"/>
            </w:r>
            <w:r>
              <w:rPr>
                <w:noProof/>
                <w:webHidden/>
              </w:rPr>
              <w:instrText xml:space="preserve"> PAGEREF _Toc214565417 \h </w:instrText>
            </w:r>
            <w:r>
              <w:rPr>
                <w:noProof/>
                <w:webHidden/>
              </w:rPr>
            </w:r>
            <w:r>
              <w:rPr>
                <w:noProof/>
                <w:webHidden/>
              </w:rPr>
              <w:fldChar w:fldCharType="separate"/>
            </w:r>
            <w:r>
              <w:rPr>
                <w:noProof/>
                <w:webHidden/>
              </w:rPr>
              <w:t>11</w:t>
            </w:r>
            <w:r>
              <w:rPr>
                <w:noProof/>
                <w:webHidden/>
              </w:rPr>
              <w:fldChar w:fldCharType="end"/>
            </w:r>
          </w:hyperlink>
        </w:p>
        <w:p w14:paraId="6D096268" w14:textId="6763CE3D" w:rsidR="00AF7F40" w:rsidRDefault="00AF7F40">
          <w:pPr>
            <w:pStyle w:val="TOC3"/>
            <w:tabs>
              <w:tab w:val="right" w:leader="dot" w:pos="9016"/>
            </w:tabs>
            <w:rPr>
              <w:rFonts w:eastAsiaTheme="minorEastAsia"/>
              <w:noProof/>
              <w:lang w:eastAsia="en-GB"/>
            </w:rPr>
          </w:pPr>
          <w:hyperlink w:anchor="_Toc214565418" w:history="1">
            <w:r w:rsidRPr="00B7774C">
              <w:rPr>
                <w:rStyle w:val="Hyperlink"/>
                <w:rFonts w:ascii="Arial" w:hAnsi="Arial" w:cs="Arial"/>
                <w:noProof/>
              </w:rPr>
              <w:t>Timeline (12-Month Phased Delivery)</w:t>
            </w:r>
            <w:r>
              <w:rPr>
                <w:noProof/>
                <w:webHidden/>
              </w:rPr>
              <w:tab/>
            </w:r>
            <w:r>
              <w:rPr>
                <w:noProof/>
                <w:webHidden/>
              </w:rPr>
              <w:fldChar w:fldCharType="begin"/>
            </w:r>
            <w:r>
              <w:rPr>
                <w:noProof/>
                <w:webHidden/>
              </w:rPr>
              <w:instrText xml:space="preserve"> PAGEREF _Toc214565418 \h </w:instrText>
            </w:r>
            <w:r>
              <w:rPr>
                <w:noProof/>
                <w:webHidden/>
              </w:rPr>
            </w:r>
            <w:r>
              <w:rPr>
                <w:noProof/>
                <w:webHidden/>
              </w:rPr>
              <w:fldChar w:fldCharType="separate"/>
            </w:r>
            <w:r>
              <w:rPr>
                <w:noProof/>
                <w:webHidden/>
              </w:rPr>
              <w:t>11</w:t>
            </w:r>
            <w:r>
              <w:rPr>
                <w:noProof/>
                <w:webHidden/>
              </w:rPr>
              <w:fldChar w:fldCharType="end"/>
            </w:r>
          </w:hyperlink>
        </w:p>
        <w:p w14:paraId="1C112067" w14:textId="50E8124B" w:rsidR="00AF7F40" w:rsidRDefault="00AF7F40">
          <w:pPr>
            <w:pStyle w:val="TOC3"/>
            <w:tabs>
              <w:tab w:val="right" w:leader="dot" w:pos="9016"/>
            </w:tabs>
            <w:rPr>
              <w:rFonts w:eastAsiaTheme="minorEastAsia"/>
              <w:noProof/>
              <w:lang w:eastAsia="en-GB"/>
            </w:rPr>
          </w:pPr>
          <w:hyperlink w:anchor="_Toc214565419" w:history="1">
            <w:r w:rsidRPr="00B7774C">
              <w:rPr>
                <w:rStyle w:val="Hyperlink"/>
                <w:rFonts w:ascii="Arial" w:hAnsi="Arial" w:cs="Arial"/>
                <w:noProof/>
              </w:rPr>
              <w:t>Resource Requirements</w:t>
            </w:r>
            <w:r>
              <w:rPr>
                <w:noProof/>
                <w:webHidden/>
              </w:rPr>
              <w:tab/>
            </w:r>
            <w:r>
              <w:rPr>
                <w:noProof/>
                <w:webHidden/>
              </w:rPr>
              <w:fldChar w:fldCharType="begin"/>
            </w:r>
            <w:r>
              <w:rPr>
                <w:noProof/>
                <w:webHidden/>
              </w:rPr>
              <w:instrText xml:space="preserve"> PAGEREF _Toc214565419 \h </w:instrText>
            </w:r>
            <w:r>
              <w:rPr>
                <w:noProof/>
                <w:webHidden/>
              </w:rPr>
            </w:r>
            <w:r>
              <w:rPr>
                <w:noProof/>
                <w:webHidden/>
              </w:rPr>
              <w:fldChar w:fldCharType="separate"/>
            </w:r>
            <w:r>
              <w:rPr>
                <w:noProof/>
                <w:webHidden/>
              </w:rPr>
              <w:t>11</w:t>
            </w:r>
            <w:r>
              <w:rPr>
                <w:noProof/>
                <w:webHidden/>
              </w:rPr>
              <w:fldChar w:fldCharType="end"/>
            </w:r>
          </w:hyperlink>
        </w:p>
        <w:p w14:paraId="5814C331" w14:textId="4E6DD6A6" w:rsidR="00AF7F40" w:rsidRDefault="00AF7F40">
          <w:pPr>
            <w:pStyle w:val="TOC3"/>
            <w:tabs>
              <w:tab w:val="right" w:leader="dot" w:pos="9016"/>
            </w:tabs>
            <w:rPr>
              <w:rFonts w:eastAsiaTheme="minorEastAsia"/>
              <w:noProof/>
              <w:lang w:eastAsia="en-GB"/>
            </w:rPr>
          </w:pPr>
          <w:hyperlink w:anchor="_Toc214565420" w:history="1">
            <w:r w:rsidRPr="00B7774C">
              <w:rPr>
                <w:rStyle w:val="Hyperlink"/>
                <w:rFonts w:ascii="Arial" w:hAnsi="Arial" w:cs="Arial"/>
                <w:noProof/>
              </w:rPr>
              <w:t>Success Indicators</w:t>
            </w:r>
            <w:r>
              <w:rPr>
                <w:noProof/>
                <w:webHidden/>
              </w:rPr>
              <w:tab/>
            </w:r>
            <w:r>
              <w:rPr>
                <w:noProof/>
                <w:webHidden/>
              </w:rPr>
              <w:fldChar w:fldCharType="begin"/>
            </w:r>
            <w:r>
              <w:rPr>
                <w:noProof/>
                <w:webHidden/>
              </w:rPr>
              <w:instrText xml:space="preserve"> PAGEREF _Toc214565420 \h </w:instrText>
            </w:r>
            <w:r>
              <w:rPr>
                <w:noProof/>
                <w:webHidden/>
              </w:rPr>
            </w:r>
            <w:r>
              <w:rPr>
                <w:noProof/>
                <w:webHidden/>
              </w:rPr>
              <w:fldChar w:fldCharType="separate"/>
            </w:r>
            <w:r>
              <w:rPr>
                <w:noProof/>
                <w:webHidden/>
              </w:rPr>
              <w:t>12</w:t>
            </w:r>
            <w:r>
              <w:rPr>
                <w:noProof/>
                <w:webHidden/>
              </w:rPr>
              <w:fldChar w:fldCharType="end"/>
            </w:r>
          </w:hyperlink>
        </w:p>
        <w:p w14:paraId="2F911C59" w14:textId="43179CD1" w:rsidR="00AF7F40" w:rsidRDefault="00AF7F40">
          <w:pPr>
            <w:pStyle w:val="TOC3"/>
            <w:tabs>
              <w:tab w:val="right" w:leader="dot" w:pos="9016"/>
            </w:tabs>
            <w:rPr>
              <w:rFonts w:eastAsiaTheme="minorEastAsia"/>
              <w:noProof/>
              <w:lang w:eastAsia="en-GB"/>
            </w:rPr>
          </w:pPr>
          <w:hyperlink w:anchor="_Toc214565421" w:history="1">
            <w:r w:rsidRPr="00B7774C">
              <w:rPr>
                <w:rStyle w:val="Hyperlink"/>
                <w:noProof/>
              </w:rPr>
              <w:t>12. Conclusion</w:t>
            </w:r>
            <w:r>
              <w:rPr>
                <w:noProof/>
                <w:webHidden/>
              </w:rPr>
              <w:tab/>
            </w:r>
            <w:r>
              <w:rPr>
                <w:noProof/>
                <w:webHidden/>
              </w:rPr>
              <w:fldChar w:fldCharType="begin"/>
            </w:r>
            <w:r>
              <w:rPr>
                <w:noProof/>
                <w:webHidden/>
              </w:rPr>
              <w:instrText xml:space="preserve"> PAGEREF _Toc214565421 \h </w:instrText>
            </w:r>
            <w:r>
              <w:rPr>
                <w:noProof/>
                <w:webHidden/>
              </w:rPr>
            </w:r>
            <w:r>
              <w:rPr>
                <w:noProof/>
                <w:webHidden/>
              </w:rPr>
              <w:fldChar w:fldCharType="separate"/>
            </w:r>
            <w:r>
              <w:rPr>
                <w:noProof/>
                <w:webHidden/>
              </w:rPr>
              <w:t>12</w:t>
            </w:r>
            <w:r>
              <w:rPr>
                <w:noProof/>
                <w:webHidden/>
              </w:rPr>
              <w:fldChar w:fldCharType="end"/>
            </w:r>
          </w:hyperlink>
        </w:p>
        <w:p w14:paraId="6CF94B3C" w14:textId="7B229E29" w:rsidR="00AF7F40" w:rsidRDefault="00AF7F40">
          <w:pPr>
            <w:pStyle w:val="TOC3"/>
            <w:tabs>
              <w:tab w:val="right" w:leader="dot" w:pos="9016"/>
            </w:tabs>
            <w:rPr>
              <w:rFonts w:eastAsiaTheme="minorEastAsia"/>
              <w:noProof/>
              <w:lang w:eastAsia="en-GB"/>
            </w:rPr>
          </w:pPr>
          <w:hyperlink w:anchor="_Toc214565422" w:history="1">
            <w:r w:rsidRPr="00B7774C">
              <w:rPr>
                <w:rStyle w:val="Hyperlink"/>
                <w:noProof/>
              </w:rPr>
              <w:t>REFERENCES:</w:t>
            </w:r>
            <w:r>
              <w:rPr>
                <w:noProof/>
                <w:webHidden/>
              </w:rPr>
              <w:tab/>
            </w:r>
            <w:r>
              <w:rPr>
                <w:noProof/>
                <w:webHidden/>
              </w:rPr>
              <w:fldChar w:fldCharType="begin"/>
            </w:r>
            <w:r>
              <w:rPr>
                <w:noProof/>
                <w:webHidden/>
              </w:rPr>
              <w:instrText xml:space="preserve"> PAGEREF _Toc214565422 \h </w:instrText>
            </w:r>
            <w:r>
              <w:rPr>
                <w:noProof/>
                <w:webHidden/>
              </w:rPr>
            </w:r>
            <w:r>
              <w:rPr>
                <w:noProof/>
                <w:webHidden/>
              </w:rPr>
              <w:fldChar w:fldCharType="separate"/>
            </w:r>
            <w:r>
              <w:rPr>
                <w:noProof/>
                <w:webHidden/>
              </w:rPr>
              <w:t>13</w:t>
            </w:r>
            <w:r>
              <w:rPr>
                <w:noProof/>
                <w:webHidden/>
              </w:rPr>
              <w:fldChar w:fldCharType="end"/>
            </w:r>
          </w:hyperlink>
        </w:p>
        <w:p w14:paraId="2F7D7B65" w14:textId="32C832E3" w:rsidR="00920536" w:rsidRDefault="00920536" w:rsidP="00FD45C9">
          <w:pPr>
            <w:spacing w:line="360" w:lineRule="auto"/>
          </w:pPr>
          <w:r>
            <w:rPr>
              <w:b/>
              <w:bCs/>
            </w:rPr>
            <w:fldChar w:fldCharType="end"/>
          </w:r>
        </w:p>
      </w:sdtContent>
    </w:sdt>
    <w:p w14:paraId="758E1564" w14:textId="7C6CBE75" w:rsidR="00AB3DDA" w:rsidRDefault="00920536" w:rsidP="00FD45C9">
      <w:pPr>
        <w:spacing w:line="360" w:lineRule="auto"/>
        <w:rPr>
          <w:rFonts w:ascii="Arial" w:eastAsia="Times New Roman" w:hAnsi="Arial" w:cs="Arial"/>
          <w:b/>
          <w:bCs/>
          <w:lang w:eastAsia="en-GB"/>
        </w:rPr>
      </w:pPr>
      <w:r>
        <w:rPr>
          <w:rFonts w:ascii="Arial" w:eastAsia="Times New Roman" w:hAnsi="Arial" w:cs="Arial"/>
          <w:b/>
          <w:bCs/>
          <w:lang w:eastAsia="en-GB"/>
        </w:rPr>
        <w:br w:type="page"/>
      </w:r>
    </w:p>
    <w:p w14:paraId="756BDE8B" w14:textId="04A021E1" w:rsidR="008E6130" w:rsidRPr="00AB3DDA" w:rsidRDefault="008E6130" w:rsidP="00FD45C9">
      <w:pPr>
        <w:pStyle w:val="Heading3"/>
        <w:spacing w:line="360" w:lineRule="auto"/>
      </w:pPr>
      <w:bookmarkStart w:id="1" w:name="_Toc214125473"/>
      <w:bookmarkStart w:id="2" w:name="_Toc214565407"/>
      <w:r w:rsidRPr="00AB3DDA">
        <w:lastRenderedPageBreak/>
        <w:t>1. Introduction</w:t>
      </w:r>
      <w:bookmarkEnd w:id="1"/>
      <w:bookmarkEnd w:id="2"/>
    </w:p>
    <w:p w14:paraId="46456C03" w14:textId="6EEAB66B"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Fast-fashion retail increasingly competes on analytical intelligence rather than logistics alone, which means Business Intelligence (BI) is no longer a supportive IT tool but a structural driver of competitive advantage. In markets where product relevance can change within days, the capacity to interpret data quickly has become a </w:t>
      </w:r>
      <w:r w:rsidR="004C702E" w:rsidRPr="00AB3DDA">
        <w:rPr>
          <w:rFonts w:ascii="Arial" w:eastAsia="Times New Roman" w:hAnsi="Arial" w:cs="Arial"/>
          <w:lang w:eastAsia="en-GB"/>
        </w:rPr>
        <w:t xml:space="preserve">requirement </w:t>
      </w:r>
      <w:r w:rsidRPr="00AB3DDA">
        <w:rPr>
          <w:rFonts w:ascii="Arial" w:eastAsia="Times New Roman" w:hAnsi="Arial" w:cs="Arial"/>
          <w:lang w:eastAsia="en-GB"/>
        </w:rPr>
        <w:t>for strategic responsiveness. This view is consistent with Davenport and Harris (2007), who argue that analytics functions as a “strategic infrastructure” that reshapes how decisions are made. The lecture guidance also reinforces this shift, defining BI as an organisational capability for turning data into decision insight (Adegbite, 2025,</w:t>
      </w:r>
      <w:r w:rsidR="004C702E" w:rsidRPr="00AB3DDA">
        <w:rPr>
          <w:rFonts w:ascii="Arial" w:eastAsia="Times New Roman" w:hAnsi="Arial" w:cs="Arial"/>
          <w:lang w:eastAsia="en-GB"/>
        </w:rPr>
        <w:t>)</w:t>
      </w:r>
      <w:r w:rsidRPr="00AB3DDA">
        <w:rPr>
          <w:rFonts w:ascii="Arial" w:eastAsia="Times New Roman" w:hAnsi="Arial" w:cs="Arial"/>
          <w:lang w:eastAsia="en-GB"/>
        </w:rPr>
        <w:t>. Within the retail sector, this translates into not only tracking consumer demand, but anticipating it.</w:t>
      </w:r>
    </w:p>
    <w:p w14:paraId="704D901F" w14:textId="315633D0"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Laudon and Laudon (2012) similarly frame BI as a system that connects data from across the firm and uses analysis to guide managerial judgement. This theoretical perspective is particularly relevant for Zara, given that fast fashion depends on </w:t>
      </w:r>
      <w:proofErr w:type="gramStart"/>
      <w:r w:rsidRPr="00AB3DDA">
        <w:rPr>
          <w:rFonts w:ascii="Arial" w:eastAsia="Times New Roman" w:hAnsi="Arial" w:cs="Arial"/>
          <w:lang w:eastAsia="en-GB"/>
        </w:rPr>
        <w:t xml:space="preserve">velocity </w:t>
      </w:r>
      <w:r w:rsidR="004C702E" w:rsidRPr="00AB3DDA">
        <w:rPr>
          <w:rFonts w:ascii="Arial" w:eastAsia="Times New Roman" w:hAnsi="Arial" w:cs="Arial"/>
          <w:lang w:eastAsia="en-GB"/>
        </w:rPr>
        <w:t>,</w:t>
      </w:r>
      <w:proofErr w:type="gramEnd"/>
      <w:r w:rsidR="004C702E" w:rsidRPr="00AB3DDA">
        <w:rPr>
          <w:rFonts w:ascii="Arial" w:eastAsia="Times New Roman" w:hAnsi="Arial" w:cs="Arial"/>
          <w:lang w:eastAsia="en-GB"/>
        </w:rPr>
        <w:t xml:space="preserve"> </w:t>
      </w:r>
      <w:r w:rsidRPr="00AB3DDA">
        <w:rPr>
          <w:rFonts w:ascii="Arial" w:eastAsia="Times New Roman" w:hAnsi="Arial" w:cs="Arial"/>
          <w:lang w:eastAsia="en-GB"/>
        </w:rPr>
        <w:t>not only in production, but in the interpretation of market signals. The purpose of this proposal is therefore to critically examine how Zara (as part of the Inditex Group) can embed a custom hybrid BI solution to enhance its decision-making processes across both supply chain operations and customer intelligence. The analysis draws on Porter’s Value Chain and Five Forces frameworks to position BI as a strategic capability, rather than a supporting technology, and uses a socio-technical lens to highlight the organisational changes required to make such a system effective.</w:t>
      </w:r>
    </w:p>
    <w:p w14:paraId="6A9ED7B7" w14:textId="23B2EBF6" w:rsidR="008E6130" w:rsidRPr="00AB3DDA" w:rsidRDefault="008E6130" w:rsidP="00FD45C9">
      <w:pPr>
        <w:spacing w:after="0" w:line="360" w:lineRule="auto"/>
        <w:jc w:val="both"/>
        <w:rPr>
          <w:rFonts w:ascii="Arial" w:eastAsia="Times New Roman" w:hAnsi="Arial" w:cs="Arial"/>
          <w:lang w:eastAsia="en-GB"/>
        </w:rPr>
      </w:pPr>
    </w:p>
    <w:p w14:paraId="6AC67B64" w14:textId="77777777" w:rsidR="008E6130" w:rsidRPr="00AB3DDA" w:rsidRDefault="008E6130" w:rsidP="00FD45C9">
      <w:pPr>
        <w:pStyle w:val="Heading3"/>
        <w:spacing w:line="360" w:lineRule="auto"/>
      </w:pPr>
      <w:bookmarkStart w:id="3" w:name="_Toc214125474"/>
      <w:bookmarkStart w:id="4" w:name="_Toc214565408"/>
      <w:r w:rsidRPr="00AB3DDA">
        <w:t>2. Organisational Context: Zara within Inditex</w:t>
      </w:r>
      <w:bookmarkEnd w:id="3"/>
      <w:bookmarkEnd w:id="4"/>
    </w:p>
    <w:p w14:paraId="5B78AB74"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Zara’s competitive model is built on rapid product turnover, centralised control, and a highly compressed design-to-store cycle. Its success is attributed to what Ferdows et al. (2004) describe as a “rapid-fire fulfilment” system, in which stores act as continuous information nodes rather than passive distribution points. Caro and Gallien (2010), writing in Operations Research, show that Zara’s inventory control relies on frequent short-burst replenishment to keep product offerings constantly aligned with observed demand patterns.</w:t>
      </w:r>
    </w:p>
    <w:p w14:paraId="3F56725C"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This responsiveness is made possible by Inditex’s vertically coordinated structure. However, as </w:t>
      </w:r>
      <w:proofErr w:type="spellStart"/>
      <w:r w:rsidRPr="00AB3DDA">
        <w:rPr>
          <w:rFonts w:ascii="Arial" w:eastAsia="Times New Roman" w:hAnsi="Arial" w:cs="Arial"/>
          <w:lang w:eastAsia="en-GB"/>
        </w:rPr>
        <w:t>Tokatli</w:t>
      </w:r>
      <w:proofErr w:type="spellEnd"/>
      <w:r w:rsidRPr="00AB3DDA">
        <w:rPr>
          <w:rFonts w:ascii="Arial" w:eastAsia="Times New Roman" w:hAnsi="Arial" w:cs="Arial"/>
          <w:lang w:eastAsia="en-GB"/>
        </w:rPr>
        <w:t xml:space="preserve"> (2008) observes, Zara’s historical advantage derived from agility of execution, not necessarily depth of data interpretation. More recent scholarship highlights that Inditex’s digital strategies have leaned toward sustainability reporting and omnichannel commerce rather than </w:t>
      </w:r>
      <w:r w:rsidRPr="00AB3DDA">
        <w:rPr>
          <w:rFonts w:ascii="Arial" w:eastAsia="Times New Roman" w:hAnsi="Arial" w:cs="Arial"/>
          <w:lang w:eastAsia="en-GB"/>
        </w:rPr>
        <w:lastRenderedPageBreak/>
        <w:t>fully matured analytics (Arrigo, 2020). In other words, although Zara gathers large volumes of valuable data, it does not yet convert that data into forecasted or predictive intelligence at enterprise scale.</w:t>
      </w:r>
    </w:p>
    <w:p w14:paraId="122851CF" w14:textId="75927560" w:rsidR="000B2700" w:rsidRPr="00C134A6"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This creates a strategic inflection point. Zara’s competitive strategy can no longer rely on speed alone: its operational infrastructure is strong, but modern competitors (especially Shein) are competing on insight velocity their ability to detect a trend before it peaks, rather than simply responding to it after the signal is observable in-store. BI therefore becomes a mechanism through which Zara can convert its logistical strength into sustained strategic foresight.</w:t>
      </w:r>
    </w:p>
    <w:p w14:paraId="4FD3D9D7" w14:textId="568046C8" w:rsidR="008E6130" w:rsidRPr="00AB3DDA" w:rsidRDefault="008E6130" w:rsidP="00FD45C9">
      <w:pPr>
        <w:pStyle w:val="Heading3"/>
        <w:spacing w:line="360" w:lineRule="auto"/>
      </w:pPr>
      <w:bookmarkStart w:id="5" w:name="_Toc214125475"/>
      <w:bookmarkStart w:id="6" w:name="_Toc214565409"/>
      <w:r w:rsidRPr="00AB3DDA">
        <w:t>3. Strategic Importance of BI in Fast Fashion</w:t>
      </w:r>
      <w:bookmarkEnd w:id="5"/>
      <w:bookmarkEnd w:id="6"/>
    </w:p>
    <w:p w14:paraId="0D58EDB1"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The value of BI for Zara can be understood through two complementary strategic lenses: internal capability enhancement (via the Value Chain) and external positioning (via the Five Forces).</w:t>
      </w:r>
    </w:p>
    <w:p w14:paraId="27A357F3"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From a Value Chain perspective, BI improves the internal flow of information across inbound logistics, operations, merchandising, and replenishment. Instead of relying on retrospective store feedback, BI enables forward-looking assortment planning and regionalised allocation. This aligns with Davenport and Harris’ (2007) argument that analytics upgrades the organisation from being merely “data-rich” to being insight-competent, which is particularly relevant for product categories with short life cycles.</w:t>
      </w:r>
    </w:p>
    <w:p w14:paraId="4071C50B"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From a Five Forces perspective, BI helps defend Zara’s market position amid escalating competitive pressure. Rivalry in fast fashion has intensified as algorithmic retailers leverage predictive data to reduce demand uncertainty. Choi and Luo (2019) show that real-time analytics improves demand sensing and reduces mismatch risk, giving firms a defensive advantage. BI also weakens buyer power by supporting more personalised, better-fitted assortments, and raises entry barriers by embedding analytics into the operating model in ways that are not easily replicated.</w:t>
      </w:r>
    </w:p>
    <w:p w14:paraId="67A10093"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In combination, these frameworks demonstrate that BI is not an incremental enhancement for Zara but a strategic prerequisite for sustaining its differentiation model as fast fashion becomes increasingly data-led rather than production-led.</w:t>
      </w:r>
    </w:p>
    <w:p w14:paraId="05E514C4" w14:textId="00029857" w:rsidR="004A0057" w:rsidRPr="00AB3DDA" w:rsidRDefault="004A0057" w:rsidP="00FD45C9">
      <w:pPr>
        <w:spacing w:line="360" w:lineRule="auto"/>
        <w:jc w:val="both"/>
        <w:rPr>
          <w:rFonts w:ascii="Arial" w:hAnsi="Arial" w:cs="Arial"/>
        </w:rPr>
      </w:pPr>
    </w:p>
    <w:p w14:paraId="7E9AFC6C" w14:textId="1AD2ABA1" w:rsidR="008E6130" w:rsidRPr="00AB3DDA" w:rsidRDefault="008E6130" w:rsidP="00FD45C9">
      <w:pPr>
        <w:spacing w:line="360" w:lineRule="auto"/>
        <w:jc w:val="both"/>
        <w:rPr>
          <w:rFonts w:ascii="Arial" w:hAnsi="Arial" w:cs="Arial"/>
        </w:rPr>
      </w:pPr>
    </w:p>
    <w:p w14:paraId="287C03E6" w14:textId="77777777" w:rsidR="008E6130" w:rsidRPr="00AB3DDA" w:rsidRDefault="008E6130" w:rsidP="00FD45C9">
      <w:pPr>
        <w:pStyle w:val="Heading3"/>
        <w:spacing w:line="360" w:lineRule="auto"/>
      </w:pPr>
      <w:bookmarkStart w:id="7" w:name="_Toc214124941"/>
      <w:bookmarkStart w:id="8" w:name="_Toc214125476"/>
      <w:bookmarkStart w:id="9" w:name="_Toc214565410"/>
      <w:r w:rsidRPr="00AB3DDA">
        <w:lastRenderedPageBreak/>
        <w:t>4. Current Information System Challenges at Zara / Inditex</w:t>
      </w:r>
      <w:bookmarkEnd w:id="7"/>
      <w:bookmarkEnd w:id="8"/>
      <w:bookmarkEnd w:id="9"/>
    </w:p>
    <w:p w14:paraId="38AE5896"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Although Zara is widely recognised for its operational sophistication, its analytical infrastructure has not developed at the same pace as its logistics capability. The company’s systems are optimised for rapid execution but remain limited in predictive insight generation. </w:t>
      </w:r>
      <w:proofErr w:type="spellStart"/>
      <w:r w:rsidRPr="00AB3DDA">
        <w:rPr>
          <w:rFonts w:ascii="Arial" w:eastAsia="Times New Roman" w:hAnsi="Arial" w:cs="Arial"/>
          <w:lang w:eastAsia="en-GB"/>
        </w:rPr>
        <w:t>Tokatli</w:t>
      </w:r>
      <w:proofErr w:type="spellEnd"/>
      <w:r w:rsidRPr="00AB3DDA">
        <w:rPr>
          <w:rFonts w:ascii="Arial" w:eastAsia="Times New Roman" w:hAnsi="Arial" w:cs="Arial"/>
          <w:lang w:eastAsia="en-GB"/>
        </w:rPr>
        <w:t xml:space="preserve"> (2008) notes that Zara’s advantage historically relied on supply-chain responsiveness, yet the present retail climate increasingly rewards firms that can forecast trends before they fully materialise, rather than merely respond to them.</w:t>
      </w:r>
    </w:p>
    <w:p w14:paraId="138937A7"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More recent scholarship reinforces this view. Arrigo (2020) highlights that Inditex’s digital transformation has prioritised commercial and sustainability reporting, while advanced analytics has not yet been embedded into its core operating logic. Bhatti (2020) similarly observes that many retailers remain trapped in the “descriptive analytics” stage, lacking the predictive and prescriptive maturity required for proactive decision-making. Zara currently fits this pattern: it captures a significant volume of operational and consumer data, but it does not yet convert these inputs into foresight.</w:t>
      </w:r>
    </w:p>
    <w:p w14:paraId="1228CE3F"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A fundamental constraint is data fragmentation. Operational data, online browsing behaviour, supply-chain records and CRM information are all managed in separate systems. This limits Zara’s ability to derive enterprise-level insight. Laudon and Laudon (2012) describe this as a “transactional orientation”, where data supports isolated activities but lacks analytical integration. Without a unified BI architecture, decision-making risks remaining localised, sometimes subjective, and dependent on tacit knowledge rather than firm-level analysis.</w:t>
      </w:r>
    </w:p>
    <w:p w14:paraId="427D12CA"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Another structural challenge is Zara’s reliance on reactive rather than predictive restocking logic. While its rapid replenishment processes remain an industry benchmark, </w:t>
      </w:r>
      <w:proofErr w:type="gramStart"/>
      <w:r w:rsidRPr="00AB3DDA">
        <w:rPr>
          <w:rFonts w:ascii="Arial" w:eastAsia="Times New Roman" w:hAnsi="Arial" w:cs="Arial"/>
          <w:lang w:eastAsia="en-GB"/>
        </w:rPr>
        <w:t>Choi</w:t>
      </w:r>
      <w:proofErr w:type="gramEnd"/>
      <w:r w:rsidRPr="00AB3DDA">
        <w:rPr>
          <w:rFonts w:ascii="Arial" w:eastAsia="Times New Roman" w:hAnsi="Arial" w:cs="Arial"/>
          <w:lang w:eastAsia="en-GB"/>
        </w:rPr>
        <w:t xml:space="preserve"> and Luo (2019) demonstrate that modern fast-fashion competitors increasingly rely on AI-driven demand sensing, enabling them to detect trends earlier in the product lifecycle. This places Zara at a strategic disadvantage in fast-evolving segments.</w:t>
      </w:r>
    </w:p>
    <w:p w14:paraId="5346A94C"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Moreover, Zara’s omnichannel expansion has outgrown its analytical infrastructure. Physical and digital channels are now commercially integrated, yet customer intelligence is still partial and siloed. From a knowledge-management perspective, this means that observational insight held by store teams is not systematically captured or transformed into institutional learning. As emphasised in Week 7 lecture materials, BI should translate tacit knowledge into explicit, shareable organisational insight (Adegbite, 2025, Week 7 Lecture Slides).</w:t>
      </w:r>
    </w:p>
    <w:p w14:paraId="58D9A140"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lastRenderedPageBreak/>
        <w:t>A final layer of complexity concerns risk and resilience. Ivanov (2021) shows that supply chain competitiveness increasingly depends on predictive visibility, not just speed. For Zara, this implies that its current executional strength may not protect its long-term positioning unless analytics becomes embedded in its decision architecture. As the industry shifts toward BI-led competition, failure to invest strategically would gradually erode Zara’s advantage.</w:t>
      </w:r>
    </w:p>
    <w:p w14:paraId="300BE985" w14:textId="15714192" w:rsidR="008E6130" w:rsidRPr="00AB3DDA" w:rsidRDefault="008E6130" w:rsidP="00FD45C9">
      <w:pPr>
        <w:spacing w:after="0" w:line="360" w:lineRule="auto"/>
        <w:jc w:val="both"/>
        <w:rPr>
          <w:rFonts w:ascii="Arial" w:eastAsia="Times New Roman" w:hAnsi="Arial" w:cs="Arial"/>
          <w:lang w:eastAsia="en-GB"/>
        </w:rPr>
      </w:pPr>
    </w:p>
    <w:p w14:paraId="540A61EA" w14:textId="77777777" w:rsidR="008E6130" w:rsidRPr="00AB3DDA" w:rsidRDefault="008E6130" w:rsidP="00FD45C9">
      <w:pPr>
        <w:pStyle w:val="Heading3"/>
        <w:spacing w:line="360" w:lineRule="auto"/>
      </w:pPr>
      <w:bookmarkStart w:id="10" w:name="_Toc214124942"/>
      <w:bookmarkStart w:id="11" w:name="_Toc214125477"/>
      <w:bookmarkStart w:id="12" w:name="_Toc214565411"/>
      <w:r w:rsidRPr="00AB3DDA">
        <w:t>5. Literature and Theoretical Foundation for BI Adoption</w:t>
      </w:r>
      <w:bookmarkEnd w:id="10"/>
      <w:bookmarkEnd w:id="11"/>
      <w:bookmarkEnd w:id="12"/>
    </w:p>
    <w:p w14:paraId="2D5B3C9A"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The theoretical rationale for BI adoption is grounded in two intersecting strands of information systems literature: BI as a strategic capability and BI as a sociotechnical infrastructure.</w:t>
      </w:r>
    </w:p>
    <w:p w14:paraId="2030BDAF" w14:textId="091BA191"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From a strategic perspective, </w:t>
      </w:r>
      <w:proofErr w:type="gramStart"/>
      <w:r w:rsidRPr="00AB3DDA">
        <w:rPr>
          <w:rFonts w:ascii="Arial" w:eastAsia="Times New Roman" w:hAnsi="Arial" w:cs="Arial"/>
          <w:lang w:eastAsia="en-GB"/>
        </w:rPr>
        <w:t>Davenport</w:t>
      </w:r>
      <w:proofErr w:type="gramEnd"/>
      <w:r w:rsidRPr="00AB3DDA">
        <w:rPr>
          <w:rFonts w:ascii="Arial" w:eastAsia="Times New Roman" w:hAnsi="Arial" w:cs="Arial"/>
          <w:lang w:eastAsia="en-GB"/>
        </w:rPr>
        <w:t xml:space="preserve"> and Harris (2007) argue that BI enables organisations to transform raw data into structured insight that directly informs strategic choices. Cegarra-Navarro et al. (2016) build on this by showing that firms achieve sustained performance improvements only when BI becomes embedded in organisational learning processes transforming data not merely into reports, but into institutional knowledge.</w:t>
      </w:r>
    </w:p>
    <w:p w14:paraId="08E99EF8"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Laudon and Laudon (2012) position BI within a sociotechnical framework, meaning its effectiveness derives from the alignment between technological tools, organisational </w:t>
      </w:r>
      <w:proofErr w:type="gramStart"/>
      <w:r w:rsidRPr="00AB3DDA">
        <w:rPr>
          <w:rFonts w:ascii="Arial" w:eastAsia="Times New Roman" w:hAnsi="Arial" w:cs="Arial"/>
          <w:lang w:eastAsia="en-GB"/>
        </w:rPr>
        <w:t>processes</w:t>
      </w:r>
      <w:proofErr w:type="gramEnd"/>
      <w:r w:rsidRPr="00AB3DDA">
        <w:rPr>
          <w:rFonts w:ascii="Arial" w:eastAsia="Times New Roman" w:hAnsi="Arial" w:cs="Arial"/>
          <w:lang w:eastAsia="en-GB"/>
        </w:rPr>
        <w:t xml:space="preserve"> and people-based competencies. This perspective is echoed in Week 4 lecture materials, which define BI not as a software product but as a decision-support capability (Adegbite, 2025, Week 4 Lecture Slides). For Zara, this means BI adoption must be accompanied by cultural and process integration, not merely technical deployment.</w:t>
      </w:r>
    </w:p>
    <w:p w14:paraId="05845302" w14:textId="3F6087DC"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The academic literature also demonstrates that hybrid BI </w:t>
      </w:r>
      <w:proofErr w:type="gramStart"/>
      <w:r w:rsidRPr="00AB3DDA">
        <w:rPr>
          <w:rFonts w:ascii="Arial" w:eastAsia="Times New Roman" w:hAnsi="Arial" w:cs="Arial"/>
          <w:lang w:eastAsia="en-GB"/>
        </w:rPr>
        <w:t>architectures  combining</w:t>
      </w:r>
      <w:proofErr w:type="gramEnd"/>
      <w:r w:rsidRPr="00AB3DDA">
        <w:rPr>
          <w:rFonts w:ascii="Arial" w:eastAsia="Times New Roman" w:hAnsi="Arial" w:cs="Arial"/>
          <w:lang w:eastAsia="en-GB"/>
        </w:rPr>
        <w:t xml:space="preserve"> on-premise governance with cloud-based analytics are emerging as best practice in industries that balance compliance with rapid decision cycles (Gartner, 2022). This is especially relevant under GDPR, which mandates restrictions on how and where personal data is processed.</w:t>
      </w:r>
    </w:p>
    <w:p w14:paraId="40712F12"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In fast fashion specifically, Choi and Luo (2019) provide empirical evidence that real-time analytics increases forecast accuracy, while McKinsey &amp; Company (2023) show that analytics-driven retailers outperform peers on margin uplift. Together, these findings illustrate that BI is now a source of strategic resilience, not only operational optimisation.</w:t>
      </w:r>
    </w:p>
    <w:p w14:paraId="512799FC"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lastRenderedPageBreak/>
        <w:t>Taken as a whole, the literature strongly supports the argument that Zara’s next phase of competitive advantage will rely on transitioning from executional speed to analytical foresight, which BI directly enables.</w:t>
      </w:r>
    </w:p>
    <w:p w14:paraId="7BD76885" w14:textId="77777777" w:rsidR="008E6130" w:rsidRPr="00920536" w:rsidRDefault="008E6130" w:rsidP="00FD45C9">
      <w:pPr>
        <w:pStyle w:val="Heading3"/>
        <w:spacing w:line="360" w:lineRule="auto"/>
      </w:pPr>
      <w:bookmarkStart w:id="13" w:name="_Toc214124943"/>
      <w:bookmarkStart w:id="14" w:name="_Toc214125478"/>
      <w:bookmarkStart w:id="15" w:name="_Toc214565412"/>
      <w:bookmarkEnd w:id="0"/>
      <w:r w:rsidRPr="00920536">
        <w:t>6. Recommended BI Solution: Custom Hybrid Architecture</w:t>
      </w:r>
      <w:bookmarkEnd w:id="13"/>
      <w:bookmarkEnd w:id="14"/>
      <w:bookmarkEnd w:id="15"/>
    </w:p>
    <w:p w14:paraId="11D1B061" w14:textId="44C98E62"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To close the capability gap identified in the previous section, Zara requires a BI system that unifies its data across operational and customer-facing channels while preserving governance and compliance integrity. A </w:t>
      </w:r>
      <w:r w:rsidRPr="00AB3DDA">
        <w:rPr>
          <w:rStyle w:val="Strong"/>
          <w:rFonts w:ascii="Arial" w:hAnsi="Arial" w:cs="Arial"/>
          <w:b w:val="0"/>
          <w:bCs w:val="0"/>
          <w:sz w:val="22"/>
          <w:szCs w:val="22"/>
        </w:rPr>
        <w:t>custom hybrid BI architecture</w:t>
      </w:r>
      <w:r w:rsidRPr="00AB3DDA">
        <w:rPr>
          <w:rFonts w:ascii="Arial" w:hAnsi="Arial" w:cs="Arial"/>
          <w:sz w:val="22"/>
          <w:szCs w:val="22"/>
        </w:rPr>
        <w:t xml:space="preserve"> offers the most suitable model for this purpose, combining secure, </w:t>
      </w:r>
      <w:r w:rsidR="00AB3DDA" w:rsidRPr="00AB3DDA">
        <w:rPr>
          <w:rFonts w:ascii="Arial" w:hAnsi="Arial" w:cs="Arial"/>
          <w:sz w:val="22"/>
          <w:szCs w:val="22"/>
        </w:rPr>
        <w:t>on-premises</w:t>
      </w:r>
      <w:r w:rsidRPr="00AB3DDA">
        <w:rPr>
          <w:rFonts w:ascii="Arial" w:hAnsi="Arial" w:cs="Arial"/>
          <w:sz w:val="22"/>
          <w:szCs w:val="22"/>
        </w:rPr>
        <w:t xml:space="preserve"> storage for sensitive data with cloud-based analytical capacity for complex modelling.</w:t>
      </w:r>
    </w:p>
    <w:p w14:paraId="346828AB"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This approach is consistent with Gartner’s (2022) recommendation that hybrid BI frameworks are now the leading strategic configuration for industries handling regulated personal data yet requiring agility. It also reflects the sociotechnical perspective outlined by Laudon and Laudon (2012), where business intelligence is effective only when integrated with organisational structures and decision processes rather than functioning as a stand-alone IT layer.</w:t>
      </w:r>
    </w:p>
    <w:p w14:paraId="1AED0123"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The proposed architecture is made up of four interdependent layers:</w:t>
      </w:r>
    </w:p>
    <w:p w14:paraId="55A071C7" w14:textId="5A8D0077" w:rsidR="00BB2755" w:rsidRPr="00920536" w:rsidRDefault="00BB2755" w:rsidP="00FD45C9">
      <w:pPr>
        <w:pStyle w:val="NormalWeb"/>
        <w:numPr>
          <w:ilvl w:val="0"/>
          <w:numId w:val="1"/>
        </w:numPr>
        <w:spacing w:line="360" w:lineRule="auto"/>
        <w:jc w:val="both"/>
        <w:rPr>
          <w:rStyle w:val="Strong"/>
        </w:rPr>
      </w:pPr>
      <w:r w:rsidRPr="00920536">
        <w:rPr>
          <w:rStyle w:val="Strong"/>
        </w:rPr>
        <w:t xml:space="preserve">Data Ingestion </w:t>
      </w:r>
      <w:r w:rsidR="00AB3DDA" w:rsidRPr="00920536">
        <w:rPr>
          <w:rStyle w:val="Strong"/>
        </w:rPr>
        <w:t>and</w:t>
      </w:r>
      <w:r w:rsidRPr="00920536">
        <w:rPr>
          <w:rStyle w:val="Strong"/>
        </w:rPr>
        <w:t xml:space="preserve"> Integration Layer</w:t>
      </w:r>
    </w:p>
    <w:p w14:paraId="109A5129" w14:textId="72D39A9E" w:rsidR="00BB2755"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This layer consolidates all data flows</w:t>
      </w:r>
      <w:r w:rsidR="00BB2755" w:rsidRPr="00AB3DDA">
        <w:rPr>
          <w:rFonts w:ascii="Arial" w:hAnsi="Arial" w:cs="Arial"/>
          <w:sz w:val="22"/>
          <w:szCs w:val="22"/>
        </w:rPr>
        <w:t>,</w:t>
      </w:r>
      <w:r w:rsidRPr="00AB3DDA">
        <w:rPr>
          <w:rFonts w:ascii="Arial" w:hAnsi="Arial" w:cs="Arial"/>
          <w:sz w:val="22"/>
          <w:szCs w:val="22"/>
        </w:rPr>
        <w:t xml:space="preserve"> including sales transactions, RFID-based stock movements, warehouse telemetry, CRM interactions and e-commerce behavioural </w:t>
      </w:r>
      <w:proofErr w:type="gramStart"/>
      <w:r w:rsidRPr="00AB3DDA">
        <w:rPr>
          <w:rFonts w:ascii="Arial" w:hAnsi="Arial" w:cs="Arial"/>
          <w:sz w:val="22"/>
          <w:szCs w:val="22"/>
        </w:rPr>
        <w:t>patterns  into</w:t>
      </w:r>
      <w:proofErr w:type="gramEnd"/>
      <w:r w:rsidRPr="00AB3DDA">
        <w:rPr>
          <w:rFonts w:ascii="Arial" w:hAnsi="Arial" w:cs="Arial"/>
          <w:sz w:val="22"/>
          <w:szCs w:val="22"/>
        </w:rPr>
        <w:t xml:space="preserve"> a unified pipeline. By replacing disjointed reporting with structured ingestion, Zara would eliminate the fragmentation that currently limits enterprise insight. The creation of a single source of truth also strengthens organisational transparency, making analytics more accessible across functions.</w:t>
      </w:r>
    </w:p>
    <w:p w14:paraId="1F209B60" w14:textId="77777777" w:rsidR="00BB2755" w:rsidRPr="00920536" w:rsidRDefault="00BB2755" w:rsidP="00FD45C9">
      <w:pPr>
        <w:pStyle w:val="NormalWeb"/>
        <w:numPr>
          <w:ilvl w:val="0"/>
          <w:numId w:val="1"/>
        </w:numPr>
        <w:spacing w:line="360" w:lineRule="auto"/>
        <w:jc w:val="both"/>
        <w:rPr>
          <w:rStyle w:val="Strong"/>
        </w:rPr>
      </w:pPr>
      <w:r w:rsidRPr="00920536">
        <w:rPr>
          <w:rStyle w:val="Strong"/>
        </w:rPr>
        <w:t>Hybrid Warehouse</w:t>
      </w:r>
    </w:p>
    <w:p w14:paraId="5D9C22A2" w14:textId="3ADF9303" w:rsidR="008E6130" w:rsidRPr="00FD45C9" w:rsidRDefault="008E6130" w:rsidP="00FD45C9">
      <w:pPr>
        <w:pStyle w:val="NormalWeb"/>
        <w:spacing w:line="360" w:lineRule="auto"/>
        <w:jc w:val="both"/>
        <w:rPr>
          <w:rStyle w:val="Strong"/>
          <w:rFonts w:ascii="Arial" w:hAnsi="Arial" w:cs="Arial"/>
          <w:b w:val="0"/>
          <w:bCs w:val="0"/>
          <w:sz w:val="22"/>
          <w:szCs w:val="22"/>
        </w:rPr>
      </w:pPr>
      <w:r w:rsidRPr="00AB3DDA">
        <w:rPr>
          <w:rFonts w:ascii="Arial" w:hAnsi="Arial" w:cs="Arial"/>
          <w:sz w:val="22"/>
          <w:szCs w:val="22"/>
        </w:rPr>
        <w:t xml:space="preserve">Operational and personally identifiable data remains securely stored </w:t>
      </w:r>
      <w:proofErr w:type="gramStart"/>
      <w:r w:rsidRPr="00AB3DDA">
        <w:rPr>
          <w:rFonts w:ascii="Arial" w:hAnsi="Arial" w:cs="Arial"/>
          <w:sz w:val="22"/>
          <w:szCs w:val="22"/>
        </w:rPr>
        <w:t>on-premise</w:t>
      </w:r>
      <w:proofErr w:type="gramEnd"/>
      <w:r w:rsidRPr="00AB3DDA">
        <w:rPr>
          <w:rFonts w:ascii="Arial" w:hAnsi="Arial" w:cs="Arial"/>
          <w:sz w:val="22"/>
          <w:szCs w:val="22"/>
        </w:rPr>
        <w:t xml:space="preserve"> to ensure GDPR compliance, while aggregated and pseudonymised datasets can be processed in a cloud analytics layer. This structure strikes a balance between governance and innovation: it protects jurisdictional data integrity while enabling computation at scale. Cegarra-Navarro et al. (2016) support such an approach, noting that BI only enhances performance when accompanied by knowledge-integration mechanisms.</w:t>
      </w:r>
    </w:p>
    <w:p w14:paraId="49E987BA" w14:textId="2DC118C1" w:rsidR="008E6130" w:rsidRPr="00920536" w:rsidRDefault="00920536" w:rsidP="00FD45C9">
      <w:pPr>
        <w:pStyle w:val="Heading4"/>
        <w:spacing w:line="360" w:lineRule="auto"/>
        <w:jc w:val="both"/>
        <w:rPr>
          <w:rStyle w:val="Strong"/>
          <w:rFonts w:ascii="Calisto MT" w:hAnsi="Calisto MT"/>
          <w:i w:val="0"/>
          <w:iCs w:val="0"/>
          <w:color w:val="auto"/>
        </w:rPr>
      </w:pPr>
      <w:r w:rsidRPr="00920536">
        <w:rPr>
          <w:rStyle w:val="Strong"/>
          <w:rFonts w:ascii="Calisto MT" w:hAnsi="Calisto MT"/>
          <w:i w:val="0"/>
          <w:iCs w:val="0"/>
          <w:color w:val="auto"/>
        </w:rPr>
        <w:lastRenderedPageBreak/>
        <w:t xml:space="preserve">      </w:t>
      </w:r>
      <w:r w:rsidR="008E6130" w:rsidRPr="00920536">
        <w:rPr>
          <w:rStyle w:val="Strong"/>
          <w:rFonts w:ascii="Calisto MT" w:hAnsi="Calisto MT"/>
          <w:i w:val="0"/>
          <w:iCs w:val="0"/>
          <w:color w:val="auto"/>
        </w:rPr>
        <w:t>3</w:t>
      </w:r>
      <w:r w:rsidR="008E6130" w:rsidRPr="00FD45C9">
        <w:rPr>
          <w:rStyle w:val="Strong"/>
          <w:rFonts w:ascii="Times New Roman" w:hAnsi="Times New Roman" w:cs="Times New Roman"/>
          <w:i w:val="0"/>
          <w:iCs w:val="0"/>
          <w:color w:val="auto"/>
          <w:sz w:val="24"/>
          <w:szCs w:val="24"/>
        </w:rPr>
        <w:t>. Analytics and Modelling Layer</w:t>
      </w:r>
    </w:p>
    <w:p w14:paraId="1F08D379"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Once data is unified, cloud-based analytical tools can support trend forecasting, price sensitivity modelling, store-level microtrend analysis, and inventory optimisation. This capability is crucial for shortening the insight-response gap. Choi and Luo (2019) demonstrate that firms integrating real-time analytics into supply forecasting outperform those that rely solely on backward-looking metrics.</w:t>
      </w:r>
    </w:p>
    <w:p w14:paraId="30A587D3" w14:textId="2C09E35D" w:rsidR="008E6130" w:rsidRPr="00FD45C9" w:rsidRDefault="008E6130" w:rsidP="00FD45C9">
      <w:pPr>
        <w:spacing w:line="360" w:lineRule="auto"/>
        <w:jc w:val="both"/>
        <w:rPr>
          <w:rFonts w:ascii="Times New Roman" w:hAnsi="Times New Roman" w:cs="Times New Roman"/>
          <w:sz w:val="24"/>
          <w:szCs w:val="24"/>
        </w:rPr>
      </w:pPr>
    </w:p>
    <w:p w14:paraId="59586C56" w14:textId="38BF641A" w:rsidR="008E6130" w:rsidRPr="00FD45C9" w:rsidRDefault="00920536" w:rsidP="00FD45C9">
      <w:pPr>
        <w:pStyle w:val="Heading4"/>
        <w:spacing w:line="360" w:lineRule="auto"/>
        <w:jc w:val="both"/>
        <w:rPr>
          <w:rStyle w:val="Strong"/>
          <w:rFonts w:ascii="Times New Roman" w:hAnsi="Times New Roman" w:cs="Times New Roman"/>
          <w:b w:val="0"/>
          <w:bCs w:val="0"/>
          <w:i w:val="0"/>
          <w:iCs w:val="0"/>
          <w:color w:val="auto"/>
          <w:sz w:val="24"/>
          <w:szCs w:val="24"/>
        </w:rPr>
      </w:pPr>
      <w:r w:rsidRPr="00FD45C9">
        <w:rPr>
          <w:rFonts w:ascii="Times New Roman" w:hAnsi="Times New Roman" w:cs="Times New Roman"/>
          <w:b/>
          <w:bCs/>
          <w:i w:val="0"/>
          <w:iCs w:val="0"/>
          <w:color w:val="auto"/>
          <w:sz w:val="24"/>
          <w:szCs w:val="24"/>
        </w:rPr>
        <w:t xml:space="preserve">    </w:t>
      </w:r>
      <w:r w:rsidR="008E6130" w:rsidRPr="00FD45C9">
        <w:rPr>
          <w:rFonts w:ascii="Times New Roman" w:hAnsi="Times New Roman" w:cs="Times New Roman"/>
          <w:b/>
          <w:bCs/>
          <w:i w:val="0"/>
          <w:iCs w:val="0"/>
          <w:color w:val="auto"/>
          <w:sz w:val="24"/>
          <w:szCs w:val="24"/>
        </w:rPr>
        <w:t>4</w:t>
      </w:r>
      <w:r w:rsidR="008E6130" w:rsidRPr="00FD45C9">
        <w:rPr>
          <w:rStyle w:val="Strong"/>
          <w:rFonts w:ascii="Times New Roman" w:hAnsi="Times New Roman" w:cs="Times New Roman"/>
          <w:b w:val="0"/>
          <w:bCs w:val="0"/>
          <w:i w:val="0"/>
          <w:iCs w:val="0"/>
          <w:color w:val="auto"/>
          <w:sz w:val="24"/>
          <w:szCs w:val="24"/>
        </w:rPr>
        <w:t xml:space="preserve">. </w:t>
      </w:r>
      <w:r w:rsidR="008E6130" w:rsidRPr="00FD45C9">
        <w:rPr>
          <w:rStyle w:val="Strong"/>
          <w:rFonts w:ascii="Times New Roman" w:hAnsi="Times New Roman" w:cs="Times New Roman"/>
          <w:i w:val="0"/>
          <w:iCs w:val="0"/>
          <w:color w:val="auto"/>
          <w:sz w:val="24"/>
          <w:szCs w:val="24"/>
        </w:rPr>
        <w:t>User Interface / Decision Layer</w:t>
      </w:r>
    </w:p>
    <w:p w14:paraId="30411269"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Different managerial levels would access BI through tailored interfaces: ESS dashboards for strategic oversight, DSS tools for planning, and MIS reporting for store operations. This tiered design mirrors the BI constituency framework presented in Laudon and Laudon (2012) and ensures BI is embedded into everyday decision-making rather than remaining a specialist function.</w:t>
      </w:r>
    </w:p>
    <w:p w14:paraId="4B6C0097" w14:textId="126438D6" w:rsidR="008E6130" w:rsidRPr="00AB3DDA" w:rsidRDefault="008E6130" w:rsidP="00FD45C9">
      <w:pPr>
        <w:spacing w:line="360" w:lineRule="auto"/>
        <w:jc w:val="both"/>
        <w:rPr>
          <w:rFonts w:ascii="Arial" w:hAnsi="Arial" w:cs="Arial"/>
        </w:rPr>
      </w:pPr>
    </w:p>
    <w:p w14:paraId="095F6E69" w14:textId="77777777" w:rsidR="008E6130" w:rsidRPr="00920536" w:rsidRDefault="008E6130" w:rsidP="00FD45C9">
      <w:pPr>
        <w:pStyle w:val="Heading3"/>
        <w:spacing w:line="360" w:lineRule="auto"/>
      </w:pPr>
      <w:bookmarkStart w:id="16" w:name="_Toc214124944"/>
      <w:bookmarkStart w:id="17" w:name="_Toc214125479"/>
      <w:bookmarkStart w:id="18" w:name="_Toc214565413"/>
      <w:r w:rsidRPr="00920536">
        <w:t>7. Strategic Impact of the BI System</w:t>
      </w:r>
      <w:bookmarkEnd w:id="16"/>
      <w:bookmarkEnd w:id="17"/>
      <w:bookmarkEnd w:id="18"/>
    </w:p>
    <w:p w14:paraId="2D1B658C"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The introduction of a hybrid BI system would simultaneously strengthen Zara’s internal coordination and its external strategic defensibility.</w:t>
      </w:r>
    </w:p>
    <w:p w14:paraId="0F137691" w14:textId="0F6A782E"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From an internal perspective, BI improves alignment across the value chain by enabling more precise demand forecasting, more efficient replenishment targeting, and better-informed assortment decisions. These improvements translate into lower inventory risk, faster response cycles, and tighter SKU </w:t>
      </w:r>
      <w:r w:rsidR="00AB3DDA" w:rsidRPr="00AB3DDA">
        <w:rPr>
          <w:rFonts w:ascii="Arial" w:hAnsi="Arial" w:cs="Arial"/>
          <w:sz w:val="22"/>
          <w:szCs w:val="22"/>
        </w:rPr>
        <w:t>optimisation,</w:t>
      </w:r>
      <w:r w:rsidRPr="00AB3DDA">
        <w:rPr>
          <w:rFonts w:ascii="Arial" w:hAnsi="Arial" w:cs="Arial"/>
          <w:sz w:val="22"/>
          <w:szCs w:val="22"/>
        </w:rPr>
        <w:t xml:space="preserve"> all of which reinforce Zara’s operational core.</w:t>
      </w:r>
    </w:p>
    <w:p w14:paraId="78B84FD2" w14:textId="46D1C65A"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From an external perspective, BI bolsters Zara’s resilience against intensifying competition. It reduces dependence on intuition-based trend reading and enables proactive strategy formation. As the fashion cycle becomes increasingly digitised, </w:t>
      </w:r>
      <w:r w:rsidRPr="00AB3DDA">
        <w:rPr>
          <w:rStyle w:val="Emphasis"/>
          <w:rFonts w:ascii="Arial" w:hAnsi="Arial" w:cs="Arial"/>
          <w:i w:val="0"/>
          <w:iCs w:val="0"/>
          <w:sz w:val="22"/>
          <w:szCs w:val="22"/>
        </w:rPr>
        <w:t xml:space="preserve">insight </w:t>
      </w:r>
      <w:r w:rsidR="00AB3DDA" w:rsidRPr="00AB3DDA">
        <w:rPr>
          <w:rStyle w:val="Emphasis"/>
          <w:rFonts w:ascii="Arial" w:hAnsi="Arial" w:cs="Arial"/>
          <w:i w:val="0"/>
          <w:iCs w:val="0"/>
          <w:sz w:val="22"/>
          <w:szCs w:val="22"/>
        </w:rPr>
        <w:t>velocity</w:t>
      </w:r>
      <w:r w:rsidR="00AB3DDA" w:rsidRPr="00AB3DDA">
        <w:rPr>
          <w:rFonts w:ascii="Arial" w:hAnsi="Arial" w:cs="Arial"/>
          <w:sz w:val="22"/>
          <w:szCs w:val="22"/>
        </w:rPr>
        <w:t xml:space="preserve"> not</w:t>
      </w:r>
      <w:r w:rsidRPr="00AB3DDA">
        <w:rPr>
          <w:rFonts w:ascii="Arial" w:hAnsi="Arial" w:cs="Arial"/>
          <w:sz w:val="22"/>
          <w:szCs w:val="22"/>
        </w:rPr>
        <w:t xml:space="preserve"> only manufacturing speed becomes the source of differentiation.</w:t>
      </w:r>
    </w:p>
    <w:p w14:paraId="51DB1F81" w14:textId="29E51940" w:rsidR="008E6130" w:rsidRPr="00AB3DDA" w:rsidRDefault="008E6130" w:rsidP="00FD45C9">
      <w:pPr>
        <w:spacing w:line="360" w:lineRule="auto"/>
        <w:jc w:val="both"/>
        <w:rPr>
          <w:rFonts w:ascii="Arial" w:hAnsi="Arial" w:cs="Arial"/>
        </w:rPr>
      </w:pPr>
    </w:p>
    <w:p w14:paraId="5E546736" w14:textId="77777777" w:rsidR="008E6130" w:rsidRPr="00920536" w:rsidRDefault="008E6130" w:rsidP="00FD45C9">
      <w:pPr>
        <w:pStyle w:val="Heading3"/>
        <w:spacing w:line="360" w:lineRule="auto"/>
      </w:pPr>
      <w:bookmarkStart w:id="19" w:name="_Toc214124945"/>
      <w:bookmarkStart w:id="20" w:name="_Toc214125480"/>
      <w:bookmarkStart w:id="21" w:name="_Toc214565414"/>
      <w:r w:rsidRPr="00920536">
        <w:t>8. Competitor Benchmarking: The Analytical Gap</w:t>
      </w:r>
      <w:bookmarkEnd w:id="19"/>
      <w:bookmarkEnd w:id="20"/>
      <w:bookmarkEnd w:id="21"/>
    </w:p>
    <w:p w14:paraId="67086A2B"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lastRenderedPageBreak/>
        <w:t>The urgency for BI adoption becomes clearer when Zara is benchmarked against its closest rivals: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69"/>
        <w:gridCol w:w="5759"/>
        <w:gridCol w:w="1988"/>
      </w:tblGrid>
      <w:tr w:rsidR="008E6130" w:rsidRPr="00AB3DDA" w14:paraId="1974D1BF" w14:textId="77777777" w:rsidTr="004A739C">
        <w:trPr>
          <w:tblHeader/>
          <w:tblCellSpacing w:w="15" w:type="dxa"/>
        </w:trPr>
        <w:tc>
          <w:tcPr>
            <w:tcW w:w="0" w:type="auto"/>
            <w:shd w:val="clear" w:color="auto" w:fill="FFC000" w:themeFill="accent4"/>
            <w:vAlign w:val="center"/>
            <w:hideMark/>
          </w:tcPr>
          <w:p w14:paraId="48DDCE82" w14:textId="77777777" w:rsidR="008E6130" w:rsidRPr="00AB3DDA" w:rsidRDefault="008E6130" w:rsidP="00FD45C9">
            <w:pPr>
              <w:spacing w:line="360" w:lineRule="auto"/>
              <w:jc w:val="both"/>
              <w:rPr>
                <w:rFonts w:ascii="Arial" w:hAnsi="Arial" w:cs="Arial"/>
                <w:b/>
                <w:bCs/>
                <w:highlight w:val="yellow"/>
              </w:rPr>
            </w:pPr>
            <w:r w:rsidRPr="00AB3DDA">
              <w:rPr>
                <w:rFonts w:ascii="Arial" w:hAnsi="Arial" w:cs="Arial"/>
                <w:b/>
                <w:bCs/>
                <w:highlight w:val="yellow"/>
              </w:rPr>
              <w:t>Competitor</w:t>
            </w:r>
          </w:p>
        </w:tc>
        <w:tc>
          <w:tcPr>
            <w:tcW w:w="0" w:type="auto"/>
            <w:shd w:val="clear" w:color="auto" w:fill="FFC000" w:themeFill="accent4"/>
            <w:vAlign w:val="center"/>
            <w:hideMark/>
          </w:tcPr>
          <w:p w14:paraId="004837BC" w14:textId="77777777" w:rsidR="008E6130" w:rsidRPr="00AB3DDA" w:rsidRDefault="008E6130" w:rsidP="00FD45C9">
            <w:pPr>
              <w:spacing w:line="360" w:lineRule="auto"/>
              <w:jc w:val="both"/>
              <w:rPr>
                <w:rFonts w:ascii="Arial" w:hAnsi="Arial" w:cs="Arial"/>
                <w:b/>
                <w:bCs/>
                <w:highlight w:val="yellow"/>
              </w:rPr>
            </w:pPr>
            <w:r w:rsidRPr="00AB3DDA">
              <w:rPr>
                <w:rFonts w:ascii="Arial" w:hAnsi="Arial" w:cs="Arial"/>
                <w:b/>
                <w:bCs/>
                <w:highlight w:val="yellow"/>
              </w:rPr>
              <w:t>Current Competitive Strength</w:t>
            </w:r>
          </w:p>
        </w:tc>
        <w:tc>
          <w:tcPr>
            <w:tcW w:w="0" w:type="auto"/>
            <w:shd w:val="clear" w:color="auto" w:fill="FFC000" w:themeFill="accent4"/>
            <w:vAlign w:val="center"/>
            <w:hideMark/>
          </w:tcPr>
          <w:p w14:paraId="6D8EC6FD" w14:textId="77777777" w:rsidR="008E6130" w:rsidRPr="00AB3DDA" w:rsidRDefault="008E6130" w:rsidP="00FD45C9">
            <w:pPr>
              <w:spacing w:line="360" w:lineRule="auto"/>
              <w:jc w:val="both"/>
              <w:rPr>
                <w:rFonts w:ascii="Arial" w:hAnsi="Arial" w:cs="Arial"/>
                <w:b/>
                <w:bCs/>
                <w:color w:val="FFE599" w:themeColor="accent4" w:themeTint="66"/>
              </w:rPr>
            </w:pPr>
            <w:r w:rsidRPr="00AB3DDA">
              <w:rPr>
                <w:rFonts w:ascii="Arial" w:hAnsi="Arial" w:cs="Arial"/>
                <w:b/>
                <w:bCs/>
                <w:highlight w:val="yellow"/>
              </w:rPr>
              <w:t>Analytics Maturity</w:t>
            </w:r>
          </w:p>
        </w:tc>
      </w:tr>
      <w:tr w:rsidR="008E6130" w:rsidRPr="00AB3DDA" w14:paraId="7BA10DF0" w14:textId="77777777" w:rsidTr="004A739C">
        <w:trPr>
          <w:tblCellSpacing w:w="15" w:type="dxa"/>
        </w:trPr>
        <w:tc>
          <w:tcPr>
            <w:tcW w:w="0" w:type="auto"/>
            <w:vAlign w:val="center"/>
            <w:hideMark/>
          </w:tcPr>
          <w:p w14:paraId="319F5B96" w14:textId="77777777" w:rsidR="008E6130" w:rsidRPr="00AB3DDA" w:rsidRDefault="008E6130" w:rsidP="00FD45C9">
            <w:pPr>
              <w:spacing w:line="360" w:lineRule="auto"/>
              <w:jc w:val="both"/>
              <w:rPr>
                <w:rFonts w:ascii="Arial" w:hAnsi="Arial" w:cs="Arial"/>
              </w:rPr>
            </w:pPr>
            <w:r w:rsidRPr="00AB3DDA">
              <w:rPr>
                <w:rFonts w:ascii="Arial" w:hAnsi="Arial" w:cs="Arial"/>
              </w:rPr>
              <w:t>H&amp;M</w:t>
            </w:r>
          </w:p>
        </w:tc>
        <w:tc>
          <w:tcPr>
            <w:tcW w:w="0" w:type="auto"/>
            <w:vAlign w:val="center"/>
            <w:hideMark/>
          </w:tcPr>
          <w:p w14:paraId="4989631B" w14:textId="77777777" w:rsidR="008E6130" w:rsidRPr="00AB3DDA" w:rsidRDefault="008E6130" w:rsidP="00FD45C9">
            <w:pPr>
              <w:spacing w:line="360" w:lineRule="auto"/>
              <w:jc w:val="both"/>
              <w:rPr>
                <w:rFonts w:ascii="Arial" w:hAnsi="Arial" w:cs="Arial"/>
              </w:rPr>
            </w:pPr>
            <w:r w:rsidRPr="00AB3DDA">
              <w:rPr>
                <w:rFonts w:ascii="Arial" w:hAnsi="Arial" w:cs="Arial"/>
              </w:rPr>
              <w:t>Data-assisted supply planning</w:t>
            </w:r>
          </w:p>
        </w:tc>
        <w:tc>
          <w:tcPr>
            <w:tcW w:w="0" w:type="auto"/>
            <w:vAlign w:val="center"/>
            <w:hideMark/>
          </w:tcPr>
          <w:p w14:paraId="36ABE5F1" w14:textId="77777777" w:rsidR="008E6130" w:rsidRPr="00AB3DDA" w:rsidRDefault="008E6130" w:rsidP="00FD45C9">
            <w:pPr>
              <w:spacing w:line="360" w:lineRule="auto"/>
              <w:jc w:val="both"/>
              <w:rPr>
                <w:rFonts w:ascii="Arial" w:hAnsi="Arial" w:cs="Arial"/>
              </w:rPr>
            </w:pPr>
            <w:r w:rsidRPr="00AB3DDA">
              <w:rPr>
                <w:rFonts w:ascii="Arial" w:hAnsi="Arial" w:cs="Arial"/>
              </w:rPr>
              <w:t>High</w:t>
            </w:r>
          </w:p>
        </w:tc>
      </w:tr>
      <w:tr w:rsidR="008E6130" w:rsidRPr="00AB3DDA" w14:paraId="4F26D4D8" w14:textId="77777777" w:rsidTr="004A739C">
        <w:trPr>
          <w:tblCellSpacing w:w="15" w:type="dxa"/>
        </w:trPr>
        <w:tc>
          <w:tcPr>
            <w:tcW w:w="0" w:type="auto"/>
            <w:vAlign w:val="center"/>
            <w:hideMark/>
          </w:tcPr>
          <w:p w14:paraId="6CA0A3A6" w14:textId="77777777" w:rsidR="008E6130" w:rsidRPr="00AB3DDA" w:rsidRDefault="008E6130" w:rsidP="00FD45C9">
            <w:pPr>
              <w:spacing w:line="360" w:lineRule="auto"/>
              <w:jc w:val="both"/>
              <w:rPr>
                <w:rFonts w:ascii="Arial" w:hAnsi="Arial" w:cs="Arial"/>
              </w:rPr>
            </w:pPr>
            <w:r w:rsidRPr="00AB3DDA">
              <w:rPr>
                <w:rFonts w:ascii="Arial" w:hAnsi="Arial" w:cs="Arial"/>
              </w:rPr>
              <w:t>Uniqlo</w:t>
            </w:r>
          </w:p>
        </w:tc>
        <w:tc>
          <w:tcPr>
            <w:tcW w:w="0" w:type="auto"/>
            <w:vAlign w:val="center"/>
            <w:hideMark/>
          </w:tcPr>
          <w:p w14:paraId="69B3140F" w14:textId="77777777" w:rsidR="008E6130" w:rsidRPr="00AB3DDA" w:rsidRDefault="008E6130" w:rsidP="00FD45C9">
            <w:pPr>
              <w:spacing w:line="360" w:lineRule="auto"/>
              <w:jc w:val="both"/>
              <w:rPr>
                <w:rFonts w:ascii="Arial" w:hAnsi="Arial" w:cs="Arial"/>
              </w:rPr>
            </w:pPr>
            <w:r w:rsidRPr="00AB3DDA">
              <w:rPr>
                <w:rFonts w:ascii="Arial" w:hAnsi="Arial" w:cs="Arial"/>
              </w:rPr>
              <w:t>Weather-linked demand forecasting</w:t>
            </w:r>
          </w:p>
        </w:tc>
        <w:tc>
          <w:tcPr>
            <w:tcW w:w="0" w:type="auto"/>
            <w:vAlign w:val="center"/>
            <w:hideMark/>
          </w:tcPr>
          <w:p w14:paraId="16156DED" w14:textId="77777777" w:rsidR="008E6130" w:rsidRPr="00AB3DDA" w:rsidRDefault="008E6130" w:rsidP="00FD45C9">
            <w:pPr>
              <w:spacing w:line="360" w:lineRule="auto"/>
              <w:jc w:val="both"/>
              <w:rPr>
                <w:rFonts w:ascii="Arial" w:hAnsi="Arial" w:cs="Arial"/>
              </w:rPr>
            </w:pPr>
            <w:r w:rsidRPr="00AB3DDA">
              <w:rPr>
                <w:rFonts w:ascii="Arial" w:hAnsi="Arial" w:cs="Arial"/>
              </w:rPr>
              <w:t>High</w:t>
            </w:r>
          </w:p>
        </w:tc>
      </w:tr>
      <w:tr w:rsidR="008E6130" w:rsidRPr="00AB3DDA" w14:paraId="7A9FAFBD" w14:textId="77777777" w:rsidTr="004A739C">
        <w:trPr>
          <w:tblCellSpacing w:w="15" w:type="dxa"/>
        </w:trPr>
        <w:tc>
          <w:tcPr>
            <w:tcW w:w="0" w:type="auto"/>
            <w:vAlign w:val="center"/>
            <w:hideMark/>
          </w:tcPr>
          <w:p w14:paraId="1FC041B4" w14:textId="77777777" w:rsidR="008E6130" w:rsidRPr="00AB3DDA" w:rsidRDefault="008E6130" w:rsidP="00FD45C9">
            <w:pPr>
              <w:spacing w:line="360" w:lineRule="auto"/>
              <w:jc w:val="both"/>
              <w:rPr>
                <w:rFonts w:ascii="Arial" w:hAnsi="Arial" w:cs="Arial"/>
              </w:rPr>
            </w:pPr>
            <w:r w:rsidRPr="00AB3DDA">
              <w:rPr>
                <w:rFonts w:ascii="Arial" w:hAnsi="Arial" w:cs="Arial"/>
              </w:rPr>
              <w:t>Shein</w:t>
            </w:r>
          </w:p>
        </w:tc>
        <w:tc>
          <w:tcPr>
            <w:tcW w:w="0" w:type="auto"/>
            <w:vAlign w:val="center"/>
            <w:hideMark/>
          </w:tcPr>
          <w:p w14:paraId="2DA56B10" w14:textId="77777777" w:rsidR="008E6130" w:rsidRPr="00AB3DDA" w:rsidRDefault="008E6130" w:rsidP="00FD45C9">
            <w:pPr>
              <w:spacing w:line="360" w:lineRule="auto"/>
              <w:jc w:val="both"/>
              <w:rPr>
                <w:rFonts w:ascii="Arial" w:hAnsi="Arial" w:cs="Arial"/>
              </w:rPr>
            </w:pPr>
            <w:r w:rsidRPr="00AB3DDA">
              <w:rPr>
                <w:rFonts w:ascii="Arial" w:hAnsi="Arial" w:cs="Arial"/>
              </w:rPr>
              <w:t>Algorithmic, machine-learning-led product iteration</w:t>
            </w:r>
          </w:p>
        </w:tc>
        <w:tc>
          <w:tcPr>
            <w:tcW w:w="0" w:type="auto"/>
            <w:vAlign w:val="center"/>
            <w:hideMark/>
          </w:tcPr>
          <w:p w14:paraId="3E090208" w14:textId="77777777" w:rsidR="008E6130" w:rsidRPr="00AB3DDA" w:rsidRDefault="008E6130" w:rsidP="00FD45C9">
            <w:pPr>
              <w:spacing w:line="360" w:lineRule="auto"/>
              <w:jc w:val="both"/>
              <w:rPr>
                <w:rFonts w:ascii="Arial" w:hAnsi="Arial" w:cs="Arial"/>
              </w:rPr>
            </w:pPr>
            <w:r w:rsidRPr="00AB3DDA">
              <w:rPr>
                <w:rFonts w:ascii="Arial" w:hAnsi="Arial" w:cs="Arial"/>
              </w:rPr>
              <w:t>Very high</w:t>
            </w:r>
          </w:p>
        </w:tc>
      </w:tr>
      <w:tr w:rsidR="008E6130" w:rsidRPr="00AB3DDA" w14:paraId="20808D3E" w14:textId="77777777" w:rsidTr="004A739C">
        <w:trPr>
          <w:tblCellSpacing w:w="15" w:type="dxa"/>
        </w:trPr>
        <w:tc>
          <w:tcPr>
            <w:tcW w:w="0" w:type="auto"/>
            <w:vAlign w:val="center"/>
            <w:hideMark/>
          </w:tcPr>
          <w:p w14:paraId="5B25E6C3" w14:textId="77777777" w:rsidR="008E6130" w:rsidRPr="00AB3DDA" w:rsidRDefault="008E6130" w:rsidP="00FD45C9">
            <w:pPr>
              <w:spacing w:line="360" w:lineRule="auto"/>
              <w:jc w:val="both"/>
              <w:rPr>
                <w:rFonts w:ascii="Arial" w:hAnsi="Arial" w:cs="Arial"/>
              </w:rPr>
            </w:pPr>
            <w:r w:rsidRPr="00AB3DDA">
              <w:rPr>
                <w:rFonts w:ascii="Arial" w:hAnsi="Arial" w:cs="Arial"/>
              </w:rPr>
              <w:t>Zara</w:t>
            </w:r>
          </w:p>
        </w:tc>
        <w:tc>
          <w:tcPr>
            <w:tcW w:w="0" w:type="auto"/>
            <w:vAlign w:val="center"/>
            <w:hideMark/>
          </w:tcPr>
          <w:p w14:paraId="58129F7B" w14:textId="77777777" w:rsidR="008E6130" w:rsidRPr="00AB3DDA" w:rsidRDefault="008E6130" w:rsidP="00FD45C9">
            <w:pPr>
              <w:spacing w:line="360" w:lineRule="auto"/>
              <w:jc w:val="both"/>
              <w:rPr>
                <w:rFonts w:ascii="Arial" w:hAnsi="Arial" w:cs="Arial"/>
              </w:rPr>
            </w:pPr>
            <w:r w:rsidRPr="00AB3DDA">
              <w:rPr>
                <w:rFonts w:ascii="Arial" w:hAnsi="Arial" w:cs="Arial"/>
              </w:rPr>
              <w:t>Industry-leading supply chain speed, but reactive analytics</w:t>
            </w:r>
          </w:p>
        </w:tc>
        <w:tc>
          <w:tcPr>
            <w:tcW w:w="0" w:type="auto"/>
            <w:vAlign w:val="center"/>
            <w:hideMark/>
          </w:tcPr>
          <w:p w14:paraId="5D7D06F3" w14:textId="77777777" w:rsidR="008E6130" w:rsidRPr="00AB3DDA" w:rsidRDefault="008E6130" w:rsidP="00FD45C9">
            <w:pPr>
              <w:spacing w:line="360" w:lineRule="auto"/>
              <w:jc w:val="both"/>
              <w:rPr>
                <w:rFonts w:ascii="Arial" w:hAnsi="Arial" w:cs="Arial"/>
              </w:rPr>
            </w:pPr>
            <w:r w:rsidRPr="00AB3DDA">
              <w:rPr>
                <w:rFonts w:ascii="Arial" w:hAnsi="Arial" w:cs="Arial"/>
              </w:rPr>
              <w:t>Medium</w:t>
            </w:r>
          </w:p>
        </w:tc>
      </w:tr>
    </w:tbl>
    <w:p w14:paraId="7EB74BC0" w14:textId="77777777" w:rsidR="008E6130" w:rsidRPr="00AB3DDA" w:rsidRDefault="008E6130" w:rsidP="00FD45C9">
      <w:pPr>
        <w:pStyle w:val="NormalWeb"/>
        <w:spacing w:line="360" w:lineRule="auto"/>
        <w:jc w:val="both"/>
        <w:rPr>
          <w:rFonts w:ascii="Arial" w:hAnsi="Arial" w:cs="Arial"/>
          <w:b/>
          <w:bCs/>
          <w:sz w:val="22"/>
          <w:szCs w:val="22"/>
        </w:rPr>
      </w:pPr>
      <w:r w:rsidRPr="00AB3DDA">
        <w:rPr>
          <w:rFonts w:ascii="Arial" w:hAnsi="Arial" w:cs="Arial"/>
          <w:sz w:val="22"/>
          <w:szCs w:val="22"/>
        </w:rPr>
        <w:t xml:space="preserve">McKinsey &amp; Company (2023) report that retailers who embed analytics into merchandising and inventory planning achieve a measurable uplift in margin performance. This reinforces that the next stage of advantage in fast fashion derives from </w:t>
      </w:r>
      <w:r w:rsidRPr="00AB3DDA">
        <w:rPr>
          <w:rStyle w:val="Strong"/>
          <w:rFonts w:ascii="Arial" w:hAnsi="Arial" w:cs="Arial"/>
          <w:b w:val="0"/>
          <w:bCs w:val="0"/>
          <w:sz w:val="22"/>
          <w:szCs w:val="22"/>
        </w:rPr>
        <w:t>prediction, not reaction</w:t>
      </w:r>
      <w:r w:rsidRPr="00AB3DDA">
        <w:rPr>
          <w:rFonts w:ascii="Arial" w:hAnsi="Arial" w:cs="Arial"/>
          <w:b/>
          <w:bCs/>
          <w:sz w:val="22"/>
          <w:szCs w:val="22"/>
        </w:rPr>
        <w:t>.</w:t>
      </w:r>
    </w:p>
    <w:p w14:paraId="58E208D9" w14:textId="0F69989D" w:rsidR="008E6130" w:rsidRPr="00AB3DDA" w:rsidRDefault="00AB3DDA" w:rsidP="00FD45C9">
      <w:pPr>
        <w:pStyle w:val="NormalWeb"/>
        <w:spacing w:line="360" w:lineRule="auto"/>
        <w:jc w:val="both"/>
        <w:rPr>
          <w:rFonts w:ascii="Arial" w:hAnsi="Arial" w:cs="Arial"/>
          <w:sz w:val="22"/>
          <w:szCs w:val="22"/>
        </w:rPr>
      </w:pPr>
      <w:r w:rsidRPr="00AB3DDA">
        <w:rPr>
          <w:rFonts w:ascii="Arial" w:hAnsi="Arial" w:cs="Arial"/>
          <w:sz w:val="22"/>
          <w:szCs w:val="22"/>
        </w:rPr>
        <w:t>Considering</w:t>
      </w:r>
      <w:r w:rsidR="008E6130" w:rsidRPr="00AB3DDA">
        <w:rPr>
          <w:rFonts w:ascii="Arial" w:hAnsi="Arial" w:cs="Arial"/>
          <w:sz w:val="22"/>
          <w:szCs w:val="22"/>
        </w:rPr>
        <w:t xml:space="preserve"> this, Zara’s competitive vulnerability is not in logistics efficiency, but in its current </w:t>
      </w:r>
      <w:r w:rsidR="008E6130" w:rsidRPr="00AB3DDA">
        <w:rPr>
          <w:rStyle w:val="Emphasis"/>
          <w:rFonts w:ascii="Arial" w:hAnsi="Arial" w:cs="Arial"/>
          <w:i w:val="0"/>
          <w:iCs w:val="0"/>
          <w:sz w:val="22"/>
          <w:szCs w:val="22"/>
        </w:rPr>
        <w:t>absence of deep predictive intelligence</w:t>
      </w:r>
      <w:r w:rsidR="008E6130" w:rsidRPr="00AB3DDA">
        <w:rPr>
          <w:rFonts w:ascii="Arial" w:hAnsi="Arial" w:cs="Arial"/>
          <w:sz w:val="22"/>
          <w:szCs w:val="22"/>
        </w:rPr>
        <w:t>. BI therefore serves as a strategic counterbalance, preventing rivals from outmanoeuvring Zara through earlier detection of demand shifts.</w:t>
      </w:r>
    </w:p>
    <w:p w14:paraId="490BADCD" w14:textId="4558A8F3" w:rsidR="008E6130" w:rsidRPr="00AB3DDA" w:rsidRDefault="008E6130" w:rsidP="00FD45C9">
      <w:pPr>
        <w:spacing w:line="360" w:lineRule="auto"/>
        <w:jc w:val="both"/>
        <w:rPr>
          <w:rFonts w:ascii="Arial" w:hAnsi="Arial" w:cs="Arial"/>
        </w:rPr>
      </w:pPr>
    </w:p>
    <w:p w14:paraId="7C3EACEB" w14:textId="77777777" w:rsidR="008E6130" w:rsidRPr="00AB3DDA" w:rsidRDefault="008E6130" w:rsidP="00FD45C9">
      <w:pPr>
        <w:pStyle w:val="Heading3"/>
        <w:spacing w:line="360" w:lineRule="auto"/>
      </w:pPr>
      <w:bookmarkStart w:id="22" w:name="_Toc214124946"/>
      <w:bookmarkStart w:id="23" w:name="_Toc214125481"/>
      <w:bookmarkStart w:id="24" w:name="_Toc214565415"/>
      <w:r w:rsidRPr="00AB3DDA">
        <w:t>9. Governance, Ethics and GDPR Alignment</w:t>
      </w:r>
      <w:bookmarkEnd w:id="22"/>
      <w:bookmarkEnd w:id="23"/>
      <w:bookmarkEnd w:id="24"/>
    </w:p>
    <w:p w14:paraId="0B7CAD35"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To embed BI responsibly, Zara will need to strengthen its governance framework so that data use is both legally compliant and ethically defensible. The Week 5 lecture materials emphasise that information governance must be treated as a strategic responsibility rather than a narrow IT function (Adegbite, 2025, Week 5 Lecture Slides). Because BI would introduce deeper visibility into customer patterns and store-level behaviour, it must be designed with “privacy by architecture”, not privacy as an afterthought.</w:t>
      </w:r>
    </w:p>
    <w:p w14:paraId="490D8B37"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A hybrid configuration provides a governance advantage: sensitive personal data can remain </w:t>
      </w:r>
      <w:proofErr w:type="gramStart"/>
      <w:r w:rsidRPr="00AB3DDA">
        <w:rPr>
          <w:rFonts w:ascii="Arial" w:eastAsia="Times New Roman" w:hAnsi="Arial" w:cs="Arial"/>
          <w:lang w:eastAsia="en-GB"/>
        </w:rPr>
        <w:t>on-premise</w:t>
      </w:r>
      <w:proofErr w:type="gramEnd"/>
      <w:r w:rsidRPr="00AB3DDA">
        <w:rPr>
          <w:rFonts w:ascii="Arial" w:eastAsia="Times New Roman" w:hAnsi="Arial" w:cs="Arial"/>
          <w:lang w:eastAsia="en-GB"/>
        </w:rPr>
        <w:t>, subject to EU jurisdiction and internal control, while non-sensitive, aggregated datasets are passed to cloud analytics. This structure supports core GDPR safeguards such as purpose limitation and proportionality (GDPR, Art.5, 2021). It also reduces compliance risk by ensuring that analysis interacts with de-identified rather than identifiable profiles.</w:t>
      </w:r>
    </w:p>
    <w:p w14:paraId="27A2A954" w14:textId="43A84146"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lastRenderedPageBreak/>
        <w:t>Ethically, BI also raises questions about how far personalisation should extend in a commercial setting. Laudon and Laudon (2012) caution that the expansion of analytical capability increases an organisation’s ethical burden, especially when customer profiling could cross into manipulation rather than service enhancement. The literature on BI capability similarly warns that analytics can reproduce structural bias if data governance remains weak (Cegarra-Navarro et al., 2016). In Zara’s case, ethical BI means strengthening customer trust while improving operational insight not commodifying behavioural data beyond proportional relevance.</w:t>
      </w:r>
    </w:p>
    <w:p w14:paraId="2646C805" w14:textId="550665DE" w:rsidR="008E6130" w:rsidRPr="00AB3DDA" w:rsidRDefault="008E6130" w:rsidP="00FD45C9">
      <w:pPr>
        <w:spacing w:after="0" w:line="360" w:lineRule="auto"/>
        <w:jc w:val="both"/>
        <w:rPr>
          <w:rFonts w:ascii="Arial" w:eastAsia="Times New Roman" w:hAnsi="Arial" w:cs="Arial"/>
          <w:lang w:eastAsia="en-GB"/>
        </w:rPr>
      </w:pPr>
    </w:p>
    <w:p w14:paraId="04742CC1" w14:textId="77777777" w:rsidR="008E6130" w:rsidRPr="00AB3DDA" w:rsidRDefault="008E6130" w:rsidP="00FD45C9">
      <w:pPr>
        <w:pStyle w:val="Heading3"/>
        <w:spacing w:line="360" w:lineRule="auto"/>
      </w:pPr>
      <w:bookmarkStart w:id="25" w:name="_Toc214124947"/>
      <w:bookmarkStart w:id="26" w:name="_Toc214125482"/>
      <w:bookmarkStart w:id="27" w:name="_Toc214565416"/>
      <w:r w:rsidRPr="00AB3DDA">
        <w:t>10. Risks and Mitigation</w:t>
      </w:r>
      <w:bookmarkEnd w:id="25"/>
      <w:bookmarkEnd w:id="26"/>
      <w:bookmarkEnd w:id="27"/>
    </w:p>
    <w:p w14:paraId="77E59FC8"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Several categories of risk must be managed for BI implementation to succeed.</w:t>
      </w:r>
    </w:p>
    <w:p w14:paraId="3F2FBA49" w14:textId="1756BEC0"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b/>
          <w:bCs/>
          <w:lang w:eastAsia="en-GB"/>
        </w:rPr>
        <w:t>Cultural</w:t>
      </w:r>
      <w:r w:rsidR="000B2700" w:rsidRPr="00AB3DDA">
        <w:rPr>
          <w:rFonts w:ascii="Arial" w:eastAsia="Times New Roman" w:hAnsi="Arial" w:cs="Arial"/>
          <w:b/>
          <w:bCs/>
          <w:lang w:eastAsia="en-GB"/>
        </w:rPr>
        <w:t xml:space="preserve"> </w:t>
      </w:r>
      <w:r w:rsidRPr="00AB3DDA">
        <w:rPr>
          <w:rFonts w:ascii="Arial" w:eastAsia="Times New Roman" w:hAnsi="Arial" w:cs="Arial"/>
          <w:b/>
          <w:bCs/>
          <w:lang w:eastAsia="en-GB"/>
        </w:rPr>
        <w:t>/Organisational</w:t>
      </w:r>
      <w:r w:rsidR="000B2700" w:rsidRPr="00AB3DDA">
        <w:rPr>
          <w:rFonts w:ascii="Arial" w:eastAsia="Times New Roman" w:hAnsi="Arial" w:cs="Arial"/>
          <w:b/>
          <w:bCs/>
          <w:lang w:eastAsia="en-GB"/>
        </w:rPr>
        <w:tab/>
      </w:r>
      <w:r w:rsidRPr="00AB3DDA">
        <w:rPr>
          <w:rFonts w:ascii="Arial" w:eastAsia="Times New Roman" w:hAnsi="Arial" w:cs="Arial"/>
          <w:b/>
          <w:bCs/>
          <w:lang w:eastAsia="en-GB"/>
        </w:rPr>
        <w:t>Risk:</w:t>
      </w:r>
      <w:r w:rsidRPr="00AB3DDA">
        <w:rPr>
          <w:rFonts w:ascii="Arial" w:eastAsia="Times New Roman" w:hAnsi="Arial" w:cs="Arial"/>
          <w:lang w:eastAsia="en-GB"/>
        </w:rPr>
        <w:br/>
        <w:t xml:space="preserve">One of the most common reasons BI initiatives underperform is resistance from decision-makers accustomed to intuition-led judgement. Bhatti (2020) finds that organisational </w:t>
      </w:r>
      <w:proofErr w:type="gramStart"/>
      <w:r w:rsidRPr="00AB3DDA">
        <w:rPr>
          <w:rFonts w:ascii="Arial" w:eastAsia="Times New Roman" w:hAnsi="Arial" w:cs="Arial"/>
          <w:lang w:eastAsia="en-GB"/>
        </w:rPr>
        <w:t>adoption  not</w:t>
      </w:r>
      <w:proofErr w:type="gramEnd"/>
      <w:r w:rsidRPr="00AB3DDA">
        <w:rPr>
          <w:rFonts w:ascii="Arial" w:eastAsia="Times New Roman" w:hAnsi="Arial" w:cs="Arial"/>
          <w:lang w:eastAsia="en-GB"/>
        </w:rPr>
        <w:t xml:space="preserve"> technology is the strongest predictor of BI effectiveness. This can be mitigated by embedding BI literacy within merchandising and planning roles so that insight is interpreted by the people who act on it.</w:t>
      </w:r>
    </w:p>
    <w:p w14:paraId="250A5B76" w14:textId="1DB1834E"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b/>
          <w:bCs/>
          <w:lang w:eastAsia="en-GB"/>
        </w:rPr>
        <w:t>Data</w:t>
      </w:r>
      <w:r w:rsidR="000B2700" w:rsidRPr="00AB3DDA">
        <w:rPr>
          <w:rFonts w:ascii="Arial" w:eastAsia="Times New Roman" w:hAnsi="Arial" w:cs="Arial"/>
          <w:b/>
          <w:bCs/>
          <w:lang w:eastAsia="en-GB"/>
        </w:rPr>
        <w:t xml:space="preserve"> </w:t>
      </w:r>
      <w:r w:rsidRPr="00AB3DDA">
        <w:rPr>
          <w:rFonts w:ascii="Arial" w:eastAsia="Times New Roman" w:hAnsi="Arial" w:cs="Arial"/>
          <w:b/>
          <w:bCs/>
          <w:lang w:eastAsia="en-GB"/>
        </w:rPr>
        <w:t>Quality</w:t>
      </w:r>
      <w:r w:rsidR="000B2700" w:rsidRPr="00AB3DDA">
        <w:rPr>
          <w:rFonts w:ascii="Arial" w:eastAsia="Times New Roman" w:hAnsi="Arial" w:cs="Arial"/>
          <w:b/>
          <w:bCs/>
          <w:lang w:eastAsia="en-GB"/>
        </w:rPr>
        <w:tab/>
      </w:r>
      <w:r w:rsidRPr="00AB3DDA">
        <w:rPr>
          <w:rFonts w:ascii="Arial" w:eastAsia="Times New Roman" w:hAnsi="Arial" w:cs="Arial"/>
          <w:b/>
          <w:bCs/>
          <w:lang w:eastAsia="en-GB"/>
        </w:rPr>
        <w:t>Risk:</w:t>
      </w:r>
      <w:r w:rsidRPr="00AB3DDA">
        <w:rPr>
          <w:rFonts w:ascii="Arial" w:eastAsia="Times New Roman" w:hAnsi="Arial" w:cs="Arial"/>
          <w:lang w:eastAsia="en-GB"/>
        </w:rPr>
        <w:br/>
        <w:t xml:space="preserve">Predictive analytics is only as reliable as the input data that feeds it. Ivanov (2021) shows that supply-chain foresight depends on data integrity and systemwide visibility. </w:t>
      </w:r>
      <w:proofErr w:type="gramStart"/>
      <w:r w:rsidRPr="00AB3DDA">
        <w:rPr>
          <w:rFonts w:ascii="Arial" w:eastAsia="Times New Roman" w:hAnsi="Arial" w:cs="Arial"/>
          <w:lang w:eastAsia="en-GB"/>
        </w:rPr>
        <w:t>This is why</w:t>
      </w:r>
      <w:proofErr w:type="gramEnd"/>
      <w:r w:rsidRPr="00AB3DDA">
        <w:rPr>
          <w:rFonts w:ascii="Arial" w:eastAsia="Times New Roman" w:hAnsi="Arial" w:cs="Arial"/>
          <w:lang w:eastAsia="en-GB"/>
        </w:rPr>
        <w:t xml:space="preserve"> the first stage of the recommended implementation plan emphasises data cleansing and governance.</w:t>
      </w:r>
    </w:p>
    <w:p w14:paraId="196388A6" w14:textId="64668A51"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b/>
          <w:bCs/>
          <w:lang w:eastAsia="en-GB"/>
        </w:rPr>
        <w:t>Analytic</w:t>
      </w:r>
      <w:r w:rsidR="000B2700" w:rsidRPr="00AB3DDA">
        <w:rPr>
          <w:rFonts w:ascii="Arial" w:eastAsia="Times New Roman" w:hAnsi="Arial" w:cs="Arial"/>
          <w:b/>
          <w:bCs/>
          <w:lang w:eastAsia="en-GB"/>
        </w:rPr>
        <w:t xml:space="preserve"> </w:t>
      </w:r>
      <w:r w:rsidRPr="00AB3DDA">
        <w:rPr>
          <w:rFonts w:ascii="Arial" w:eastAsia="Times New Roman" w:hAnsi="Arial" w:cs="Arial"/>
          <w:b/>
          <w:bCs/>
          <w:lang w:eastAsia="en-GB"/>
        </w:rPr>
        <w:t>Dependence</w:t>
      </w:r>
      <w:r w:rsidR="000B2700" w:rsidRPr="00AB3DDA">
        <w:rPr>
          <w:rFonts w:ascii="Arial" w:eastAsia="Times New Roman" w:hAnsi="Arial" w:cs="Arial"/>
          <w:b/>
          <w:bCs/>
          <w:lang w:eastAsia="en-GB"/>
        </w:rPr>
        <w:tab/>
      </w:r>
      <w:r w:rsidRPr="00AB3DDA">
        <w:rPr>
          <w:rFonts w:ascii="Arial" w:eastAsia="Times New Roman" w:hAnsi="Arial" w:cs="Arial"/>
          <w:b/>
          <w:bCs/>
          <w:lang w:eastAsia="en-GB"/>
        </w:rPr>
        <w:t>Risk:</w:t>
      </w:r>
      <w:r w:rsidRPr="00AB3DDA">
        <w:rPr>
          <w:rFonts w:ascii="Arial" w:eastAsia="Times New Roman" w:hAnsi="Arial" w:cs="Arial"/>
          <w:lang w:eastAsia="en-GB"/>
        </w:rPr>
        <w:br/>
        <w:t>As BI becomes central to decision-making, the organisation may become dependent on model accuracy. For this reason, a socio-technical approach is essential: human oversight complements algorithmic insight, avoiding blind faith in modelling outputs (Laudon and Laudon, 2012).</w:t>
      </w:r>
    </w:p>
    <w:p w14:paraId="1A7E066C" w14:textId="41EB402B" w:rsidR="008E6130"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b/>
          <w:bCs/>
          <w:lang w:eastAsia="en-GB"/>
        </w:rPr>
        <w:t>Reputational &amp; Compliance</w:t>
      </w:r>
      <w:r w:rsidR="000B2700" w:rsidRPr="00AB3DDA">
        <w:rPr>
          <w:rFonts w:ascii="Arial" w:eastAsia="Times New Roman" w:hAnsi="Arial" w:cs="Arial"/>
          <w:b/>
          <w:bCs/>
          <w:lang w:eastAsia="en-GB"/>
        </w:rPr>
        <w:tab/>
        <w:t xml:space="preserve"> </w:t>
      </w:r>
      <w:r w:rsidRPr="00AB3DDA">
        <w:rPr>
          <w:rFonts w:ascii="Arial" w:eastAsia="Times New Roman" w:hAnsi="Arial" w:cs="Arial"/>
          <w:b/>
          <w:bCs/>
          <w:lang w:eastAsia="en-GB"/>
        </w:rPr>
        <w:t>Risk:</w:t>
      </w:r>
      <w:r w:rsidRPr="00AB3DDA">
        <w:rPr>
          <w:rFonts w:ascii="Arial" w:eastAsia="Times New Roman" w:hAnsi="Arial" w:cs="Arial"/>
          <w:lang w:eastAsia="en-GB"/>
        </w:rPr>
        <w:br/>
        <w:t>If customer analytics were to exceed perceived ethical boundaries, public trust could be harmed. GDPR-aligned architecture substantially limits this risk by controlling who sees identifiable data and under what justification (GDPR, Art.5, 2021).</w:t>
      </w:r>
    </w:p>
    <w:p w14:paraId="790993ED" w14:textId="7F7CD0EC" w:rsidR="00AF7F40" w:rsidRDefault="00AF7F40" w:rsidP="00FD45C9">
      <w:pPr>
        <w:spacing w:before="100" w:beforeAutospacing="1" w:after="100" w:afterAutospacing="1" w:line="360" w:lineRule="auto"/>
        <w:jc w:val="both"/>
        <w:rPr>
          <w:rFonts w:ascii="Arial" w:eastAsia="Times New Roman" w:hAnsi="Arial" w:cs="Arial"/>
          <w:lang w:eastAsia="en-GB"/>
        </w:rPr>
      </w:pPr>
    </w:p>
    <w:p w14:paraId="0D1B7C2B" w14:textId="77777777" w:rsidR="00AF7F40" w:rsidRPr="00AF7F40" w:rsidRDefault="00AF7F40" w:rsidP="00AF7F40">
      <w:pPr>
        <w:pStyle w:val="Heading3"/>
      </w:pPr>
      <w:bookmarkStart w:id="28" w:name="_Toc214565417"/>
      <w:r w:rsidRPr="00AF7F40">
        <w:rPr>
          <w:rStyle w:val="Strong"/>
          <w:b/>
          <w:bCs/>
        </w:rPr>
        <w:t>11. Implementation Plan (Timeline and Resources)</w:t>
      </w:r>
      <w:bookmarkEnd w:id="28"/>
    </w:p>
    <w:p w14:paraId="7277307F" w14:textId="77777777" w:rsidR="00AF7F40" w:rsidRPr="00AF7F40" w:rsidRDefault="00AF7F40" w:rsidP="00AF7F40">
      <w:pPr>
        <w:pStyle w:val="NormalWeb"/>
        <w:spacing w:line="360" w:lineRule="auto"/>
        <w:rPr>
          <w:rFonts w:ascii="Arial" w:hAnsi="Arial" w:cs="Arial"/>
          <w:sz w:val="22"/>
          <w:szCs w:val="22"/>
        </w:rPr>
      </w:pPr>
      <w:r w:rsidRPr="00AF7F40">
        <w:rPr>
          <w:rFonts w:ascii="Arial" w:hAnsi="Arial" w:cs="Arial"/>
          <w:sz w:val="22"/>
          <w:szCs w:val="22"/>
        </w:rPr>
        <w:t>To ensure effective delivery of the proposed hybrid BI system, Zara should follow a structured, resource-efficient rollout.</w:t>
      </w:r>
    </w:p>
    <w:p w14:paraId="618C5EC9" w14:textId="77777777" w:rsidR="00AF7F40" w:rsidRPr="00AF7F40" w:rsidRDefault="00AF7F40" w:rsidP="00AF7F40">
      <w:pPr>
        <w:pStyle w:val="Heading3"/>
        <w:spacing w:line="360" w:lineRule="auto"/>
        <w:rPr>
          <w:rFonts w:ascii="Arial" w:hAnsi="Arial" w:cs="Arial"/>
          <w:sz w:val="22"/>
          <w:szCs w:val="22"/>
        </w:rPr>
      </w:pPr>
      <w:bookmarkStart w:id="29" w:name="_Toc214565418"/>
      <w:r w:rsidRPr="00AF7F40">
        <w:rPr>
          <w:rStyle w:val="Strong"/>
          <w:rFonts w:ascii="Arial" w:hAnsi="Arial" w:cs="Arial"/>
          <w:sz w:val="22"/>
          <w:szCs w:val="22"/>
        </w:rPr>
        <w:t>Timeline (12-Month Phased Delivery)</w:t>
      </w:r>
      <w:bookmarkEnd w:id="29"/>
    </w:p>
    <w:p w14:paraId="611D3F87" w14:textId="54A212C6" w:rsidR="00AF7F40" w:rsidRPr="00AF7F40" w:rsidRDefault="00AF7F40" w:rsidP="00AF7F40">
      <w:pPr>
        <w:pStyle w:val="NormalWeb"/>
        <w:spacing w:line="360" w:lineRule="auto"/>
        <w:rPr>
          <w:rFonts w:ascii="Arial" w:hAnsi="Arial" w:cs="Arial"/>
          <w:sz w:val="22"/>
          <w:szCs w:val="22"/>
        </w:rPr>
      </w:pPr>
      <w:r w:rsidRPr="00AF7F40">
        <w:rPr>
          <w:rStyle w:val="Strong"/>
          <w:rFonts w:ascii="Arial" w:hAnsi="Arial" w:cs="Arial"/>
          <w:b w:val="0"/>
          <w:bCs w:val="0"/>
          <w:sz w:val="22"/>
          <w:szCs w:val="22"/>
        </w:rPr>
        <w:t>Phase 1 (Months 1</w:t>
      </w:r>
      <w:r>
        <w:rPr>
          <w:rStyle w:val="Strong"/>
          <w:rFonts w:ascii="Arial" w:hAnsi="Arial" w:cs="Arial"/>
          <w:b w:val="0"/>
          <w:bCs w:val="0"/>
          <w:sz w:val="22"/>
          <w:szCs w:val="22"/>
        </w:rPr>
        <w:t xml:space="preserve"> - </w:t>
      </w:r>
      <w:r w:rsidRPr="00AF7F40">
        <w:rPr>
          <w:rStyle w:val="Strong"/>
          <w:rFonts w:ascii="Arial" w:hAnsi="Arial" w:cs="Arial"/>
          <w:b w:val="0"/>
          <w:bCs w:val="0"/>
          <w:sz w:val="22"/>
          <w:szCs w:val="22"/>
        </w:rPr>
        <w:t>2): Data Audit &amp; Governance</w:t>
      </w:r>
      <w:r w:rsidRPr="00AF7F40">
        <w:rPr>
          <w:rFonts w:ascii="Arial" w:hAnsi="Arial" w:cs="Arial"/>
          <w:sz w:val="22"/>
          <w:szCs w:val="22"/>
        </w:rPr>
        <w:br/>
        <w:t xml:space="preserve">Clean and standardise data across POS, RFID, </w:t>
      </w:r>
      <w:proofErr w:type="gramStart"/>
      <w:r w:rsidRPr="00AF7F40">
        <w:rPr>
          <w:rFonts w:ascii="Arial" w:hAnsi="Arial" w:cs="Arial"/>
          <w:sz w:val="22"/>
          <w:szCs w:val="22"/>
        </w:rPr>
        <w:t>CRM</w:t>
      </w:r>
      <w:proofErr w:type="gramEnd"/>
      <w:r w:rsidRPr="00AF7F40">
        <w:rPr>
          <w:rFonts w:ascii="Arial" w:hAnsi="Arial" w:cs="Arial"/>
          <w:sz w:val="22"/>
          <w:szCs w:val="22"/>
        </w:rPr>
        <w:t xml:space="preserve"> and e-commerce.</w:t>
      </w:r>
      <w:r w:rsidRPr="00AF7F40">
        <w:rPr>
          <w:rFonts w:ascii="Arial" w:hAnsi="Arial" w:cs="Arial"/>
          <w:sz w:val="22"/>
          <w:szCs w:val="22"/>
        </w:rPr>
        <w:br/>
        <w:t>Establish GDPR-aligned governance.</w:t>
      </w:r>
    </w:p>
    <w:p w14:paraId="3A1AF735" w14:textId="7CFFE8F6" w:rsidR="00AF7F40" w:rsidRPr="00AF7F40" w:rsidRDefault="00AF7F40" w:rsidP="00AF7F40">
      <w:pPr>
        <w:pStyle w:val="NormalWeb"/>
        <w:spacing w:line="360" w:lineRule="auto"/>
        <w:rPr>
          <w:rFonts w:ascii="Arial" w:hAnsi="Arial" w:cs="Arial"/>
          <w:sz w:val="22"/>
          <w:szCs w:val="22"/>
        </w:rPr>
      </w:pPr>
      <w:r w:rsidRPr="00AF7F40">
        <w:rPr>
          <w:rStyle w:val="Strong"/>
          <w:rFonts w:ascii="Arial" w:hAnsi="Arial" w:cs="Arial"/>
          <w:b w:val="0"/>
          <w:bCs w:val="0"/>
          <w:sz w:val="22"/>
          <w:szCs w:val="22"/>
        </w:rPr>
        <w:t>Phase 2 (Months 3–5): Integration Layer</w:t>
      </w:r>
      <w:r w:rsidRPr="00AF7F40">
        <w:rPr>
          <w:rFonts w:ascii="Arial" w:hAnsi="Arial" w:cs="Arial"/>
          <w:sz w:val="22"/>
          <w:szCs w:val="22"/>
        </w:rPr>
        <w:br/>
        <w:t>Build unified ingestion pipelines and create a single source of truth to remove system fragmentation.</w:t>
      </w:r>
    </w:p>
    <w:p w14:paraId="378A8BF0" w14:textId="0C20FC5C" w:rsidR="00AF7F40" w:rsidRPr="00AF7F40" w:rsidRDefault="00AF7F40" w:rsidP="00AF7F40">
      <w:pPr>
        <w:pStyle w:val="NormalWeb"/>
        <w:spacing w:line="360" w:lineRule="auto"/>
        <w:rPr>
          <w:rFonts w:ascii="Arial" w:hAnsi="Arial" w:cs="Arial"/>
          <w:sz w:val="22"/>
          <w:szCs w:val="22"/>
        </w:rPr>
      </w:pPr>
      <w:r w:rsidRPr="00AF7F40">
        <w:rPr>
          <w:rStyle w:val="Strong"/>
          <w:rFonts w:ascii="Arial" w:hAnsi="Arial" w:cs="Arial"/>
          <w:b w:val="0"/>
          <w:bCs w:val="0"/>
          <w:sz w:val="22"/>
          <w:szCs w:val="22"/>
        </w:rPr>
        <w:t>Phase 3 (Months 6–8): Hybrid Warehouse Deployment</w:t>
      </w:r>
      <w:r w:rsidRPr="00AF7F40">
        <w:rPr>
          <w:rFonts w:ascii="Arial" w:hAnsi="Arial" w:cs="Arial"/>
          <w:b/>
          <w:bCs/>
          <w:sz w:val="22"/>
          <w:szCs w:val="22"/>
        </w:rPr>
        <w:br/>
      </w:r>
      <w:r w:rsidRPr="00AF7F40">
        <w:rPr>
          <w:rFonts w:ascii="Arial" w:hAnsi="Arial" w:cs="Arial"/>
          <w:sz w:val="22"/>
          <w:szCs w:val="22"/>
        </w:rPr>
        <w:t xml:space="preserve">Configure secure </w:t>
      </w:r>
      <w:proofErr w:type="gramStart"/>
      <w:r w:rsidRPr="00AF7F40">
        <w:rPr>
          <w:rFonts w:ascii="Arial" w:hAnsi="Arial" w:cs="Arial"/>
          <w:sz w:val="22"/>
          <w:szCs w:val="22"/>
        </w:rPr>
        <w:t>on-premise</w:t>
      </w:r>
      <w:proofErr w:type="gramEnd"/>
      <w:r w:rsidRPr="00AF7F40">
        <w:rPr>
          <w:rFonts w:ascii="Arial" w:hAnsi="Arial" w:cs="Arial"/>
          <w:sz w:val="22"/>
          <w:szCs w:val="22"/>
        </w:rPr>
        <w:t xml:space="preserve"> storage for PII and cloud processing for analytics.</w:t>
      </w:r>
    </w:p>
    <w:p w14:paraId="59274E4D" w14:textId="61309D73" w:rsidR="00AF7F40" w:rsidRPr="00AF7F40" w:rsidRDefault="00AF7F40" w:rsidP="00AF7F40">
      <w:pPr>
        <w:pStyle w:val="NormalWeb"/>
        <w:spacing w:line="360" w:lineRule="auto"/>
        <w:rPr>
          <w:rFonts w:ascii="Arial" w:hAnsi="Arial" w:cs="Arial"/>
          <w:sz w:val="22"/>
          <w:szCs w:val="22"/>
        </w:rPr>
      </w:pPr>
      <w:r w:rsidRPr="00AF7F40">
        <w:rPr>
          <w:rStyle w:val="Strong"/>
          <w:rFonts w:ascii="Arial" w:hAnsi="Arial" w:cs="Arial"/>
          <w:b w:val="0"/>
          <w:bCs w:val="0"/>
          <w:sz w:val="22"/>
          <w:szCs w:val="22"/>
        </w:rPr>
        <w:t>Phase 4 (Months 8–10): Analytics &amp; Modelling</w:t>
      </w:r>
      <w:r w:rsidRPr="00AF7F40">
        <w:rPr>
          <w:rFonts w:ascii="Arial" w:hAnsi="Arial" w:cs="Arial"/>
          <w:sz w:val="22"/>
          <w:szCs w:val="22"/>
        </w:rPr>
        <w:br/>
        <w:t>Develop forecasting, trend detection and inventory optimisation models; pilot with merchandising.</w:t>
      </w:r>
    </w:p>
    <w:p w14:paraId="53F3D130" w14:textId="2B39BDBC" w:rsidR="00AF7F40" w:rsidRPr="00AF7F40" w:rsidRDefault="00AF7F40" w:rsidP="00AF7F40">
      <w:pPr>
        <w:pStyle w:val="NormalWeb"/>
        <w:spacing w:line="360" w:lineRule="auto"/>
        <w:rPr>
          <w:rFonts w:ascii="Arial" w:hAnsi="Arial" w:cs="Arial"/>
          <w:sz w:val="22"/>
          <w:szCs w:val="22"/>
        </w:rPr>
      </w:pPr>
      <w:r w:rsidRPr="00AF7F40">
        <w:rPr>
          <w:rStyle w:val="Strong"/>
          <w:rFonts w:ascii="Arial" w:hAnsi="Arial" w:cs="Arial"/>
          <w:b w:val="0"/>
          <w:bCs w:val="0"/>
          <w:sz w:val="22"/>
          <w:szCs w:val="22"/>
        </w:rPr>
        <w:t>Phase 5 (Months 10–12): Dashboards &amp; Training</w:t>
      </w:r>
      <w:r w:rsidRPr="00AF7F40">
        <w:rPr>
          <w:rFonts w:ascii="Arial" w:hAnsi="Arial" w:cs="Arial"/>
          <w:sz w:val="22"/>
          <w:szCs w:val="22"/>
        </w:rPr>
        <w:br/>
        <w:t>Deploy MIS, DSS and ESS dashboards; deliver BI literacy training to support adoption.</w:t>
      </w:r>
    </w:p>
    <w:p w14:paraId="4BAD09E2" w14:textId="77777777" w:rsidR="00AF7F40" w:rsidRPr="00AF7F40" w:rsidRDefault="00AF7F40" w:rsidP="00AF7F40">
      <w:pPr>
        <w:pStyle w:val="Heading3"/>
        <w:spacing w:line="360" w:lineRule="auto"/>
        <w:rPr>
          <w:rFonts w:ascii="Arial" w:hAnsi="Arial" w:cs="Arial"/>
          <w:sz w:val="22"/>
          <w:szCs w:val="22"/>
        </w:rPr>
      </w:pPr>
      <w:bookmarkStart w:id="30" w:name="_Toc214565419"/>
      <w:r w:rsidRPr="00AF7F40">
        <w:rPr>
          <w:rStyle w:val="Strong"/>
          <w:rFonts w:ascii="Arial" w:hAnsi="Arial" w:cs="Arial"/>
          <w:b/>
          <w:bCs/>
          <w:sz w:val="22"/>
          <w:szCs w:val="22"/>
        </w:rPr>
        <w:t>Resource Requirements</w:t>
      </w:r>
      <w:bookmarkEnd w:id="30"/>
    </w:p>
    <w:p w14:paraId="21EE6E37" w14:textId="0EADD612" w:rsidR="00AF7F40" w:rsidRDefault="00AF7F40" w:rsidP="00C134A6">
      <w:pPr>
        <w:pStyle w:val="NormalWeb"/>
        <w:spacing w:line="360" w:lineRule="auto"/>
        <w:rPr>
          <w:rStyle w:val="Strong"/>
          <w:rFonts w:ascii="Arial" w:hAnsi="Arial" w:cs="Arial"/>
          <w:b w:val="0"/>
          <w:bCs w:val="0"/>
          <w:sz w:val="22"/>
          <w:szCs w:val="22"/>
        </w:rPr>
      </w:pPr>
      <w:r w:rsidRPr="00AF7F40">
        <w:rPr>
          <w:rStyle w:val="Strong"/>
          <w:rFonts w:ascii="Arial" w:hAnsi="Arial" w:cs="Arial"/>
          <w:b w:val="0"/>
          <w:bCs w:val="0"/>
          <w:sz w:val="22"/>
          <w:szCs w:val="22"/>
        </w:rPr>
        <w:t>Human Resources</w:t>
      </w:r>
      <w:r w:rsidRPr="00AF7F40">
        <w:rPr>
          <w:rStyle w:val="Strong"/>
          <w:rFonts w:ascii="Arial" w:hAnsi="Arial" w:cs="Arial"/>
          <w:sz w:val="22"/>
          <w:szCs w:val="22"/>
        </w:rPr>
        <w:t>:</w:t>
      </w:r>
      <w:r w:rsidRPr="00AF7F40">
        <w:rPr>
          <w:rFonts w:ascii="Arial" w:hAnsi="Arial" w:cs="Arial"/>
          <w:sz w:val="22"/>
          <w:szCs w:val="22"/>
        </w:rPr>
        <w:t xml:space="preserve"> Data engineers, BI analysts, governance officer, project manager, and training staff to support cultural adoption.</w:t>
      </w:r>
      <w:r w:rsidRPr="00AF7F40">
        <w:rPr>
          <w:rFonts w:ascii="Arial" w:hAnsi="Arial" w:cs="Arial"/>
          <w:sz w:val="22"/>
          <w:szCs w:val="22"/>
        </w:rPr>
        <w:br/>
      </w:r>
      <w:r w:rsidRPr="00AF7F40">
        <w:rPr>
          <w:rStyle w:val="Strong"/>
          <w:rFonts w:ascii="Arial" w:hAnsi="Arial" w:cs="Arial"/>
          <w:b w:val="0"/>
          <w:bCs w:val="0"/>
          <w:sz w:val="22"/>
          <w:szCs w:val="22"/>
        </w:rPr>
        <w:t>Technical Resources</w:t>
      </w:r>
      <w:r w:rsidRPr="00AF7F40">
        <w:rPr>
          <w:rStyle w:val="Strong"/>
          <w:rFonts w:ascii="Arial" w:hAnsi="Arial" w:cs="Arial"/>
          <w:sz w:val="22"/>
          <w:szCs w:val="22"/>
        </w:rPr>
        <w:t>:</w:t>
      </w:r>
      <w:r w:rsidRPr="00AF7F40">
        <w:rPr>
          <w:rFonts w:ascii="Arial" w:hAnsi="Arial" w:cs="Arial"/>
          <w:sz w:val="22"/>
          <w:szCs w:val="22"/>
        </w:rPr>
        <w:t xml:space="preserve"> </w:t>
      </w:r>
      <w:proofErr w:type="gramStart"/>
      <w:r w:rsidRPr="00AF7F40">
        <w:rPr>
          <w:rFonts w:ascii="Arial" w:hAnsi="Arial" w:cs="Arial"/>
          <w:sz w:val="22"/>
          <w:szCs w:val="22"/>
        </w:rPr>
        <w:t>On-premise</w:t>
      </w:r>
      <w:proofErr w:type="gramEnd"/>
      <w:r w:rsidRPr="00AF7F40">
        <w:rPr>
          <w:rFonts w:ascii="Arial" w:hAnsi="Arial" w:cs="Arial"/>
          <w:sz w:val="22"/>
          <w:szCs w:val="22"/>
        </w:rPr>
        <w:t xml:space="preserve"> servers, cloud analytics platform, integration middleware and dashboard tools.</w:t>
      </w:r>
      <w:r w:rsidRPr="00AF7F40">
        <w:rPr>
          <w:rFonts w:ascii="Arial" w:hAnsi="Arial" w:cs="Arial"/>
          <w:sz w:val="22"/>
          <w:szCs w:val="22"/>
        </w:rPr>
        <w:br/>
      </w:r>
      <w:r w:rsidRPr="00AF7F40">
        <w:rPr>
          <w:rStyle w:val="Strong"/>
          <w:rFonts w:ascii="Arial" w:hAnsi="Arial" w:cs="Arial"/>
          <w:b w:val="0"/>
          <w:bCs w:val="0"/>
          <w:sz w:val="22"/>
          <w:szCs w:val="22"/>
        </w:rPr>
        <w:t>Financial Resources</w:t>
      </w:r>
      <w:r w:rsidRPr="00AF7F40">
        <w:rPr>
          <w:rStyle w:val="Strong"/>
          <w:rFonts w:ascii="Arial" w:hAnsi="Arial" w:cs="Arial"/>
          <w:sz w:val="22"/>
          <w:szCs w:val="22"/>
        </w:rPr>
        <w:t>:</w:t>
      </w:r>
      <w:r w:rsidRPr="00AF7F40">
        <w:rPr>
          <w:rFonts w:ascii="Arial" w:hAnsi="Arial" w:cs="Arial"/>
          <w:sz w:val="22"/>
          <w:szCs w:val="22"/>
        </w:rPr>
        <w:t xml:space="preserve"> Infrastructure, software licences, modelling development and workforce upskilling</w:t>
      </w:r>
      <w:r>
        <w:rPr>
          <w:rFonts w:ascii="Arial" w:hAnsi="Arial" w:cs="Arial"/>
          <w:sz w:val="22"/>
          <w:szCs w:val="22"/>
        </w:rPr>
        <w:t>.</w:t>
      </w:r>
    </w:p>
    <w:p w14:paraId="4E8C1BED" w14:textId="46901E7D" w:rsidR="00AF7F40" w:rsidRPr="00AF7F40" w:rsidRDefault="00AF7F40" w:rsidP="00AF7F40">
      <w:pPr>
        <w:pStyle w:val="Heading3"/>
        <w:spacing w:line="360" w:lineRule="auto"/>
        <w:rPr>
          <w:rFonts w:ascii="Arial" w:hAnsi="Arial" w:cs="Arial"/>
          <w:sz w:val="22"/>
          <w:szCs w:val="22"/>
        </w:rPr>
      </w:pPr>
      <w:bookmarkStart w:id="31" w:name="_Toc214565420"/>
      <w:r w:rsidRPr="00AF7F40">
        <w:rPr>
          <w:rStyle w:val="Strong"/>
          <w:rFonts w:ascii="Arial" w:hAnsi="Arial" w:cs="Arial"/>
          <w:b/>
          <w:bCs/>
          <w:sz w:val="22"/>
          <w:szCs w:val="22"/>
        </w:rPr>
        <w:t>Success Indicators</w:t>
      </w:r>
      <w:bookmarkEnd w:id="31"/>
    </w:p>
    <w:p w14:paraId="70182CA2" w14:textId="478E4828" w:rsidR="00AF7F40" w:rsidRPr="00AF7F40" w:rsidRDefault="00AF7F40" w:rsidP="00AF7F40">
      <w:pPr>
        <w:pStyle w:val="NormalWeb"/>
        <w:spacing w:line="360" w:lineRule="auto"/>
        <w:rPr>
          <w:rFonts w:ascii="Arial" w:hAnsi="Arial" w:cs="Arial"/>
          <w:sz w:val="22"/>
          <w:szCs w:val="22"/>
        </w:rPr>
      </w:pPr>
      <w:r w:rsidRPr="00AF7F40">
        <w:rPr>
          <w:rFonts w:ascii="Arial" w:hAnsi="Arial" w:cs="Arial"/>
          <w:sz w:val="22"/>
          <w:szCs w:val="22"/>
        </w:rPr>
        <w:t>Improved forecast accuracy, reduced stock mismatches, faster insight-to-action cycles, better SKU performance and higher omnichannel conversion.</w:t>
      </w:r>
    </w:p>
    <w:p w14:paraId="7267E83D" w14:textId="77777777" w:rsidR="00AF7F40" w:rsidRPr="00AF7F40" w:rsidRDefault="00AF7F40" w:rsidP="00AF7F40">
      <w:pPr>
        <w:spacing w:before="100" w:beforeAutospacing="1" w:after="100" w:afterAutospacing="1" w:line="360" w:lineRule="auto"/>
        <w:jc w:val="both"/>
        <w:rPr>
          <w:rFonts w:ascii="Arial" w:eastAsia="Times New Roman" w:hAnsi="Arial" w:cs="Arial"/>
          <w:sz w:val="24"/>
          <w:szCs w:val="24"/>
          <w:lang w:eastAsia="en-GB"/>
        </w:rPr>
      </w:pPr>
    </w:p>
    <w:p w14:paraId="6FC926F6" w14:textId="717EE9A2" w:rsidR="008E6130" w:rsidRPr="00AB3DDA" w:rsidRDefault="008E6130" w:rsidP="00FD45C9">
      <w:pPr>
        <w:spacing w:after="0" w:line="360" w:lineRule="auto"/>
        <w:jc w:val="both"/>
        <w:rPr>
          <w:rFonts w:ascii="Arial" w:eastAsia="Times New Roman" w:hAnsi="Arial" w:cs="Arial"/>
          <w:lang w:eastAsia="en-GB"/>
        </w:rPr>
      </w:pPr>
    </w:p>
    <w:p w14:paraId="12E8A162" w14:textId="6E710749" w:rsidR="008E6130" w:rsidRPr="00AF7F40" w:rsidRDefault="008E6130" w:rsidP="00AF7F40">
      <w:pPr>
        <w:pStyle w:val="Heading3"/>
      </w:pPr>
      <w:bookmarkStart w:id="32" w:name="_Toc214124948"/>
      <w:bookmarkStart w:id="33" w:name="_Toc214125483"/>
      <w:bookmarkStart w:id="34" w:name="_Toc214565421"/>
      <w:r w:rsidRPr="00AF7F40">
        <w:t>1</w:t>
      </w:r>
      <w:r w:rsidR="00AF7F40" w:rsidRPr="00AF7F40">
        <w:t>2</w:t>
      </w:r>
      <w:r w:rsidRPr="00AF7F40">
        <w:t>. Conclusion</w:t>
      </w:r>
      <w:bookmarkEnd w:id="32"/>
      <w:bookmarkEnd w:id="33"/>
      <w:bookmarkEnd w:id="34"/>
      <w:r w:rsidRPr="00AF7F40">
        <w:t xml:space="preserve"> </w:t>
      </w:r>
    </w:p>
    <w:p w14:paraId="0183E361"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The analysis reveals that Zara’s next phase of competitiveness depends not on faster production, but on transforming its supply-chain responsiveness into organisational foresight. Logistics alone once created advantage; today, sustained differentiation in fast fashion hinges on the ability to anticipate rather than merely respond. BI therefore operates not as a technical bolt-on but as a strategic capability that allows Zara to turn its extensive data exhaust into predictive intelligence.</w:t>
      </w:r>
    </w:p>
    <w:p w14:paraId="3BB6AB3F" w14:textId="77777777"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By adopting a hybrid BI architecture, Zara can align operational speed with insight-generation, giving the firm the capacity to read demand shifts earlier, allocate inventory more precisely, and institutionalise knowledge that currently remains tacit and localised. From an internal perspective, BI strengthens the value chain by improving integration between data, planning and replenishment. From an external perspective, it protects Zara from being outpaced by rivals leveraging algorithmic competition.</w:t>
      </w:r>
    </w:p>
    <w:p w14:paraId="69D473C4" w14:textId="3123D431" w:rsidR="008E6130" w:rsidRPr="00AB3DDA" w:rsidRDefault="008E6130" w:rsidP="00FD45C9">
      <w:pPr>
        <w:spacing w:before="100" w:beforeAutospacing="1" w:after="100" w:afterAutospacing="1" w:line="360" w:lineRule="auto"/>
        <w:jc w:val="both"/>
        <w:rPr>
          <w:rFonts w:ascii="Arial" w:eastAsia="Times New Roman" w:hAnsi="Arial" w:cs="Arial"/>
          <w:lang w:eastAsia="en-GB"/>
        </w:rPr>
      </w:pPr>
      <w:r w:rsidRPr="00AB3DDA">
        <w:rPr>
          <w:rFonts w:ascii="Arial" w:eastAsia="Times New Roman" w:hAnsi="Arial" w:cs="Arial"/>
          <w:lang w:eastAsia="en-GB"/>
        </w:rPr>
        <w:t xml:space="preserve">Through this lens, BI is most accurately understood as a socio-technical transformation: technological infrastructure provides analytical power, but organisational practices translate that power into strategic value. When combined with GDPR-compliant governance and cultural adoption, BI allows Zara to evolve from excellence in execution to excellence in </w:t>
      </w:r>
      <w:r w:rsidR="00AF7F40" w:rsidRPr="00AB3DDA">
        <w:rPr>
          <w:rFonts w:ascii="Arial" w:eastAsia="Times New Roman" w:hAnsi="Arial" w:cs="Arial"/>
          <w:lang w:eastAsia="en-GB"/>
        </w:rPr>
        <w:t>anticipation which</w:t>
      </w:r>
      <w:r w:rsidRPr="00AB3DDA">
        <w:rPr>
          <w:rFonts w:ascii="Arial" w:eastAsia="Times New Roman" w:hAnsi="Arial" w:cs="Arial"/>
          <w:lang w:eastAsia="en-GB"/>
        </w:rPr>
        <w:t xml:space="preserve"> is now the decisive advantage in fast fashion.</w:t>
      </w:r>
    </w:p>
    <w:p w14:paraId="75565508" w14:textId="5841E0AD" w:rsidR="008E6130" w:rsidRPr="00AB3DDA" w:rsidRDefault="008E6130" w:rsidP="00FD45C9">
      <w:pPr>
        <w:spacing w:line="360" w:lineRule="auto"/>
        <w:jc w:val="both"/>
        <w:rPr>
          <w:rFonts w:ascii="Arial" w:hAnsi="Arial" w:cs="Arial"/>
        </w:rPr>
      </w:pPr>
    </w:p>
    <w:p w14:paraId="72552017" w14:textId="46BD0AFD" w:rsidR="008E6130" w:rsidRPr="00AB3DDA" w:rsidRDefault="008E6130" w:rsidP="00FD45C9">
      <w:pPr>
        <w:spacing w:line="360" w:lineRule="auto"/>
        <w:jc w:val="both"/>
        <w:rPr>
          <w:rFonts w:ascii="Arial" w:hAnsi="Arial" w:cs="Arial"/>
        </w:rPr>
      </w:pPr>
    </w:p>
    <w:p w14:paraId="5D5B76D5" w14:textId="18EAAAF0" w:rsidR="008E6130" w:rsidRPr="00AB3DDA" w:rsidRDefault="008E6130" w:rsidP="00FD45C9">
      <w:pPr>
        <w:pStyle w:val="Heading3"/>
        <w:spacing w:line="360" w:lineRule="auto"/>
      </w:pPr>
    </w:p>
    <w:p w14:paraId="5E034AB4" w14:textId="77777777" w:rsidR="00920536" w:rsidRDefault="00920536" w:rsidP="00FD45C9">
      <w:pPr>
        <w:pStyle w:val="Heading3"/>
        <w:spacing w:line="360" w:lineRule="auto"/>
      </w:pPr>
    </w:p>
    <w:p w14:paraId="565B6700" w14:textId="77777777" w:rsidR="00920536" w:rsidRDefault="00920536" w:rsidP="00FD45C9">
      <w:pPr>
        <w:pStyle w:val="Heading3"/>
        <w:spacing w:line="360" w:lineRule="auto"/>
      </w:pPr>
    </w:p>
    <w:p w14:paraId="7B38629E" w14:textId="77777777" w:rsidR="00920536" w:rsidRDefault="00920536" w:rsidP="00FD45C9">
      <w:pPr>
        <w:pStyle w:val="Heading3"/>
        <w:spacing w:line="360" w:lineRule="auto"/>
      </w:pPr>
    </w:p>
    <w:p w14:paraId="3F3C0B06" w14:textId="77777777" w:rsidR="00C134A6" w:rsidRDefault="00C134A6" w:rsidP="00FD45C9">
      <w:pPr>
        <w:pStyle w:val="Heading3"/>
        <w:spacing w:line="360" w:lineRule="auto"/>
      </w:pPr>
      <w:bookmarkStart w:id="35" w:name="_Toc214125484"/>
      <w:bookmarkStart w:id="36" w:name="_Toc214565422"/>
    </w:p>
    <w:p w14:paraId="7DAC7FB1" w14:textId="3DFA1D1F" w:rsidR="008E6130" w:rsidRPr="00AB3DDA" w:rsidRDefault="008E6130" w:rsidP="00FD45C9">
      <w:pPr>
        <w:pStyle w:val="Heading3"/>
        <w:spacing w:line="360" w:lineRule="auto"/>
      </w:pPr>
      <w:r w:rsidRPr="00AB3DDA">
        <w:lastRenderedPageBreak/>
        <w:t>REFERENCES:</w:t>
      </w:r>
      <w:bookmarkEnd w:id="35"/>
      <w:bookmarkEnd w:id="36"/>
    </w:p>
    <w:p w14:paraId="52B70E17"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Adegbite, O. (2025) </w:t>
      </w:r>
      <w:r w:rsidRPr="00AB3DDA">
        <w:rPr>
          <w:rStyle w:val="Emphasis"/>
          <w:rFonts w:ascii="Arial" w:hAnsi="Arial" w:cs="Arial"/>
          <w:i w:val="0"/>
          <w:iCs w:val="0"/>
          <w:sz w:val="22"/>
          <w:szCs w:val="22"/>
        </w:rPr>
        <w:t>Week 4 lecture slides: Business intelligence and analytics</w:t>
      </w:r>
      <w:r w:rsidRPr="00AB3DDA">
        <w:rPr>
          <w:rFonts w:ascii="Arial" w:hAnsi="Arial" w:cs="Arial"/>
          <w:sz w:val="22"/>
          <w:szCs w:val="22"/>
        </w:rPr>
        <w:t>. University of Wales Trinity Saint David.</w:t>
      </w:r>
    </w:p>
    <w:p w14:paraId="53A47C92"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Adegbite, O. (2025) </w:t>
      </w:r>
      <w:r w:rsidRPr="00AB3DDA">
        <w:rPr>
          <w:rStyle w:val="Emphasis"/>
          <w:rFonts w:ascii="Arial" w:hAnsi="Arial" w:cs="Arial"/>
          <w:i w:val="0"/>
          <w:iCs w:val="0"/>
          <w:sz w:val="22"/>
          <w:szCs w:val="22"/>
        </w:rPr>
        <w:t>Week 5 lecture slides: Information security and governance</w:t>
      </w:r>
      <w:r w:rsidRPr="00AB3DDA">
        <w:rPr>
          <w:rFonts w:ascii="Arial" w:hAnsi="Arial" w:cs="Arial"/>
          <w:sz w:val="22"/>
          <w:szCs w:val="22"/>
        </w:rPr>
        <w:t>. University of Wales Trinity Saint David.</w:t>
      </w:r>
    </w:p>
    <w:p w14:paraId="684BBC50"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Adegbite, O. (2025) </w:t>
      </w:r>
      <w:r w:rsidRPr="00AB3DDA">
        <w:rPr>
          <w:rStyle w:val="Emphasis"/>
          <w:rFonts w:ascii="Arial" w:hAnsi="Arial" w:cs="Arial"/>
          <w:i w:val="0"/>
          <w:iCs w:val="0"/>
          <w:sz w:val="22"/>
          <w:szCs w:val="22"/>
        </w:rPr>
        <w:t>Week 7 lecture slides: Knowledge management</w:t>
      </w:r>
      <w:r w:rsidRPr="00AB3DDA">
        <w:rPr>
          <w:rFonts w:ascii="Arial" w:hAnsi="Arial" w:cs="Arial"/>
          <w:sz w:val="22"/>
          <w:szCs w:val="22"/>
        </w:rPr>
        <w:t>. University of Wales Trinity Saint David.</w:t>
      </w:r>
    </w:p>
    <w:p w14:paraId="3C8429A5"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Adegbite, O. (2025) </w:t>
      </w:r>
      <w:r w:rsidRPr="00AB3DDA">
        <w:rPr>
          <w:rStyle w:val="Emphasis"/>
          <w:rFonts w:ascii="Arial" w:hAnsi="Arial" w:cs="Arial"/>
          <w:i w:val="0"/>
          <w:iCs w:val="0"/>
          <w:sz w:val="22"/>
          <w:szCs w:val="22"/>
        </w:rPr>
        <w:t>Week 8 lecture slides: Emerging technologies in information management</w:t>
      </w:r>
      <w:r w:rsidRPr="00AB3DDA">
        <w:rPr>
          <w:rFonts w:ascii="Arial" w:hAnsi="Arial" w:cs="Arial"/>
          <w:sz w:val="22"/>
          <w:szCs w:val="22"/>
        </w:rPr>
        <w:t>. University of Wales Trinity Saint David.</w:t>
      </w:r>
    </w:p>
    <w:p w14:paraId="353E7DF4"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Arrigo, E. (2020) ‘Sustainable value co-creation and digital transformation in fashion retailing: The Inditex-Zara case’, </w:t>
      </w:r>
      <w:r w:rsidRPr="00AB3DDA">
        <w:rPr>
          <w:rStyle w:val="Emphasis"/>
          <w:rFonts w:ascii="Arial" w:hAnsi="Arial" w:cs="Arial"/>
          <w:i w:val="0"/>
          <w:iCs w:val="0"/>
          <w:sz w:val="22"/>
          <w:szCs w:val="22"/>
        </w:rPr>
        <w:t>Journal of Global Fashion Marketing</w:t>
      </w:r>
      <w:r w:rsidRPr="00AB3DDA">
        <w:rPr>
          <w:rFonts w:ascii="Arial" w:hAnsi="Arial" w:cs="Arial"/>
          <w:sz w:val="22"/>
          <w:szCs w:val="22"/>
        </w:rPr>
        <w:t>, 11(1), pp. 23–38.</w:t>
      </w:r>
    </w:p>
    <w:p w14:paraId="3972B968"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Bhatti, R. (2020) ‘Impact of business intelligence on firm performance in the retail sector’, </w:t>
      </w:r>
      <w:r w:rsidRPr="00AB3DDA">
        <w:rPr>
          <w:rStyle w:val="Emphasis"/>
          <w:rFonts w:ascii="Arial" w:hAnsi="Arial" w:cs="Arial"/>
          <w:i w:val="0"/>
          <w:iCs w:val="0"/>
          <w:sz w:val="22"/>
          <w:szCs w:val="22"/>
        </w:rPr>
        <w:t>International Journal of Business Analytics</w:t>
      </w:r>
      <w:r w:rsidRPr="00AB3DDA">
        <w:rPr>
          <w:rFonts w:ascii="Arial" w:hAnsi="Arial" w:cs="Arial"/>
          <w:sz w:val="22"/>
          <w:szCs w:val="22"/>
        </w:rPr>
        <w:t>, 7(3), pp. 44–61.</w:t>
      </w:r>
    </w:p>
    <w:p w14:paraId="013F945D"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Caro, F. and Gallien, J. (2010) ‘Inventory management of a fast-fashion retail network’, </w:t>
      </w:r>
      <w:r w:rsidRPr="00AB3DDA">
        <w:rPr>
          <w:rStyle w:val="Emphasis"/>
          <w:rFonts w:ascii="Arial" w:hAnsi="Arial" w:cs="Arial"/>
          <w:i w:val="0"/>
          <w:iCs w:val="0"/>
          <w:sz w:val="22"/>
          <w:szCs w:val="22"/>
        </w:rPr>
        <w:t>Operations Research</w:t>
      </w:r>
      <w:r w:rsidRPr="00AB3DDA">
        <w:rPr>
          <w:rFonts w:ascii="Arial" w:hAnsi="Arial" w:cs="Arial"/>
          <w:sz w:val="22"/>
          <w:szCs w:val="22"/>
        </w:rPr>
        <w:t>, 58(2), pp. 257–273.</w:t>
      </w:r>
    </w:p>
    <w:p w14:paraId="7F2B757E"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Cegarra-Navarro, J-G., Soto-Acosta, P. and Wensley, A. (2016) ‘Structured knowledge processes and firm performance: The role of business intelligence’, </w:t>
      </w:r>
      <w:r w:rsidRPr="00AB3DDA">
        <w:rPr>
          <w:rStyle w:val="Emphasis"/>
          <w:rFonts w:ascii="Arial" w:hAnsi="Arial" w:cs="Arial"/>
          <w:i w:val="0"/>
          <w:iCs w:val="0"/>
          <w:sz w:val="22"/>
          <w:szCs w:val="22"/>
        </w:rPr>
        <w:t>Journal of Knowledge Management</w:t>
      </w:r>
      <w:r w:rsidRPr="00AB3DDA">
        <w:rPr>
          <w:rFonts w:ascii="Arial" w:hAnsi="Arial" w:cs="Arial"/>
          <w:sz w:val="22"/>
          <w:szCs w:val="22"/>
        </w:rPr>
        <w:t>, 20(2), pp. 321–340.</w:t>
      </w:r>
    </w:p>
    <w:p w14:paraId="41476E71"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Choi, S. and Luo, X. (2019) ‘Real-time analytics in fast fashion supply chains’, </w:t>
      </w:r>
      <w:r w:rsidRPr="00AB3DDA">
        <w:rPr>
          <w:rStyle w:val="Emphasis"/>
          <w:rFonts w:ascii="Arial" w:hAnsi="Arial" w:cs="Arial"/>
          <w:i w:val="0"/>
          <w:iCs w:val="0"/>
          <w:sz w:val="22"/>
          <w:szCs w:val="22"/>
        </w:rPr>
        <w:t>International Journal of Operations and Production Management</w:t>
      </w:r>
      <w:r w:rsidRPr="00AB3DDA">
        <w:rPr>
          <w:rFonts w:ascii="Arial" w:hAnsi="Arial" w:cs="Arial"/>
          <w:sz w:val="22"/>
          <w:szCs w:val="22"/>
        </w:rPr>
        <w:t>, 39(3), pp. 340–365.</w:t>
      </w:r>
    </w:p>
    <w:p w14:paraId="6C64BA3E"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Davenport, T. and Harris, J. (2007) </w:t>
      </w:r>
      <w:r w:rsidRPr="00AB3DDA">
        <w:rPr>
          <w:rStyle w:val="Emphasis"/>
          <w:rFonts w:ascii="Arial" w:hAnsi="Arial" w:cs="Arial"/>
          <w:i w:val="0"/>
          <w:iCs w:val="0"/>
          <w:sz w:val="22"/>
          <w:szCs w:val="22"/>
        </w:rPr>
        <w:t>Competing on analytics: The new science of winning</w:t>
      </w:r>
      <w:r w:rsidRPr="00AB3DDA">
        <w:rPr>
          <w:rFonts w:ascii="Arial" w:hAnsi="Arial" w:cs="Arial"/>
          <w:sz w:val="22"/>
          <w:szCs w:val="22"/>
        </w:rPr>
        <w:t>. Boston: Harvard Business School Press.</w:t>
      </w:r>
    </w:p>
    <w:p w14:paraId="6F49CA84"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European Union General Data Protection Regulation (GDPR) (2021) Art. 5. Official Journal of the European Union.</w:t>
      </w:r>
    </w:p>
    <w:p w14:paraId="7CEB1CAA"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Ferdows, K., Lewis, M. and Machuca, J. (2004) ‘Rapid-fire </w:t>
      </w:r>
      <w:proofErr w:type="spellStart"/>
      <w:r w:rsidRPr="00AB3DDA">
        <w:rPr>
          <w:rFonts w:ascii="Arial" w:hAnsi="Arial" w:cs="Arial"/>
          <w:sz w:val="22"/>
          <w:szCs w:val="22"/>
        </w:rPr>
        <w:t>fulfillment</w:t>
      </w:r>
      <w:proofErr w:type="spellEnd"/>
      <w:r w:rsidRPr="00AB3DDA">
        <w:rPr>
          <w:rFonts w:ascii="Arial" w:hAnsi="Arial" w:cs="Arial"/>
          <w:sz w:val="22"/>
          <w:szCs w:val="22"/>
        </w:rPr>
        <w:t xml:space="preserve">’, </w:t>
      </w:r>
      <w:r w:rsidRPr="00AB3DDA">
        <w:rPr>
          <w:rStyle w:val="Emphasis"/>
          <w:rFonts w:ascii="Arial" w:hAnsi="Arial" w:cs="Arial"/>
          <w:i w:val="0"/>
          <w:iCs w:val="0"/>
          <w:sz w:val="22"/>
          <w:szCs w:val="22"/>
        </w:rPr>
        <w:t>Harvard Business Review</w:t>
      </w:r>
      <w:r w:rsidRPr="00AB3DDA">
        <w:rPr>
          <w:rFonts w:ascii="Arial" w:hAnsi="Arial" w:cs="Arial"/>
          <w:sz w:val="22"/>
          <w:szCs w:val="22"/>
        </w:rPr>
        <w:t>, 82(11), pp. 104–110.</w:t>
      </w:r>
    </w:p>
    <w:p w14:paraId="62B7A98E"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Gartner (2022) </w:t>
      </w:r>
      <w:r w:rsidRPr="00AB3DDA">
        <w:rPr>
          <w:rStyle w:val="Emphasis"/>
          <w:rFonts w:ascii="Arial" w:hAnsi="Arial" w:cs="Arial"/>
          <w:i w:val="0"/>
          <w:iCs w:val="0"/>
          <w:sz w:val="22"/>
          <w:szCs w:val="22"/>
        </w:rPr>
        <w:t>Magic quadrant for business intelligence platforms</w:t>
      </w:r>
      <w:r w:rsidRPr="00AB3DDA">
        <w:rPr>
          <w:rFonts w:ascii="Arial" w:hAnsi="Arial" w:cs="Arial"/>
          <w:sz w:val="22"/>
          <w:szCs w:val="22"/>
        </w:rPr>
        <w:t>. Stamford: Gartner Insights.</w:t>
      </w:r>
    </w:p>
    <w:p w14:paraId="3AF099E8"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lastRenderedPageBreak/>
        <w:t xml:space="preserve">Ivanov, D. (2021) ‘Supply chain viability and structural dynamics under disruption risks: A predictive analytics perspective’, </w:t>
      </w:r>
      <w:r w:rsidRPr="00AB3DDA">
        <w:rPr>
          <w:rStyle w:val="Emphasis"/>
          <w:rFonts w:ascii="Arial" w:hAnsi="Arial" w:cs="Arial"/>
          <w:i w:val="0"/>
          <w:iCs w:val="0"/>
          <w:sz w:val="22"/>
          <w:szCs w:val="22"/>
        </w:rPr>
        <w:t>Annals of Operations Research</w:t>
      </w:r>
      <w:r w:rsidRPr="00AB3DDA">
        <w:rPr>
          <w:rFonts w:ascii="Arial" w:hAnsi="Arial" w:cs="Arial"/>
          <w:sz w:val="22"/>
          <w:szCs w:val="22"/>
        </w:rPr>
        <w:t>, 299(1), pp. 683–701.</w:t>
      </w:r>
    </w:p>
    <w:p w14:paraId="3B4D33A5"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Laudon, K.C. and Laudon, J.P. (2012) </w:t>
      </w:r>
      <w:r w:rsidRPr="00AB3DDA">
        <w:rPr>
          <w:rStyle w:val="Emphasis"/>
          <w:rFonts w:ascii="Arial" w:hAnsi="Arial" w:cs="Arial"/>
          <w:i w:val="0"/>
          <w:iCs w:val="0"/>
          <w:sz w:val="22"/>
          <w:szCs w:val="22"/>
        </w:rPr>
        <w:t>Management information systems: Managing the digital firm</w:t>
      </w:r>
      <w:r w:rsidRPr="00AB3DDA">
        <w:rPr>
          <w:rFonts w:ascii="Arial" w:hAnsi="Arial" w:cs="Arial"/>
          <w:sz w:val="22"/>
          <w:szCs w:val="22"/>
        </w:rPr>
        <w:t xml:space="preserve">. 12th </w:t>
      </w:r>
      <w:proofErr w:type="spellStart"/>
      <w:r w:rsidRPr="00AB3DDA">
        <w:rPr>
          <w:rFonts w:ascii="Arial" w:hAnsi="Arial" w:cs="Arial"/>
          <w:sz w:val="22"/>
          <w:szCs w:val="22"/>
        </w:rPr>
        <w:t>edn</w:t>
      </w:r>
      <w:proofErr w:type="spellEnd"/>
      <w:r w:rsidRPr="00AB3DDA">
        <w:rPr>
          <w:rFonts w:ascii="Arial" w:hAnsi="Arial" w:cs="Arial"/>
          <w:sz w:val="22"/>
          <w:szCs w:val="22"/>
        </w:rPr>
        <w:t>. Harlow: Pearson.</w:t>
      </w:r>
    </w:p>
    <w:p w14:paraId="1BC31D08" w14:textId="77777777" w:rsidR="008E6130" w:rsidRPr="00AB3DDA" w:rsidRDefault="008E6130" w:rsidP="00FD45C9">
      <w:pPr>
        <w:pStyle w:val="NormalWeb"/>
        <w:spacing w:line="360" w:lineRule="auto"/>
        <w:jc w:val="both"/>
        <w:rPr>
          <w:rFonts w:ascii="Arial" w:hAnsi="Arial" w:cs="Arial"/>
          <w:sz w:val="22"/>
          <w:szCs w:val="22"/>
        </w:rPr>
      </w:pPr>
      <w:r w:rsidRPr="00AB3DDA">
        <w:rPr>
          <w:rFonts w:ascii="Arial" w:hAnsi="Arial" w:cs="Arial"/>
          <w:sz w:val="22"/>
          <w:szCs w:val="22"/>
        </w:rPr>
        <w:t xml:space="preserve">McKinsey &amp; Company (2023) </w:t>
      </w:r>
      <w:r w:rsidRPr="00AB3DDA">
        <w:rPr>
          <w:rStyle w:val="Emphasis"/>
          <w:rFonts w:ascii="Arial" w:hAnsi="Arial" w:cs="Arial"/>
          <w:i w:val="0"/>
          <w:iCs w:val="0"/>
          <w:sz w:val="22"/>
          <w:szCs w:val="22"/>
        </w:rPr>
        <w:t>The state of fashion 2023: Data-driven growth in a post-pandemic marketplace</w:t>
      </w:r>
      <w:r w:rsidRPr="00AB3DDA">
        <w:rPr>
          <w:rFonts w:ascii="Arial" w:hAnsi="Arial" w:cs="Arial"/>
          <w:sz w:val="22"/>
          <w:szCs w:val="22"/>
        </w:rPr>
        <w:t>. McKinsey Global Institute.</w:t>
      </w:r>
    </w:p>
    <w:p w14:paraId="273D7873" w14:textId="72A1D4BB" w:rsidR="008E6130" w:rsidRPr="00AB3DDA" w:rsidRDefault="008E6130" w:rsidP="00FD45C9">
      <w:pPr>
        <w:pStyle w:val="NormalWeb"/>
        <w:spacing w:line="360" w:lineRule="auto"/>
        <w:jc w:val="both"/>
        <w:rPr>
          <w:rFonts w:ascii="Arial" w:hAnsi="Arial" w:cs="Arial"/>
          <w:sz w:val="22"/>
          <w:szCs w:val="22"/>
        </w:rPr>
      </w:pPr>
      <w:proofErr w:type="spellStart"/>
      <w:r w:rsidRPr="00AB3DDA">
        <w:rPr>
          <w:rFonts w:ascii="Arial" w:hAnsi="Arial" w:cs="Arial"/>
          <w:sz w:val="22"/>
          <w:szCs w:val="22"/>
        </w:rPr>
        <w:t>Tokatli</w:t>
      </w:r>
      <w:proofErr w:type="spellEnd"/>
      <w:r w:rsidRPr="00AB3DDA">
        <w:rPr>
          <w:rFonts w:ascii="Arial" w:hAnsi="Arial" w:cs="Arial"/>
          <w:sz w:val="22"/>
          <w:szCs w:val="22"/>
        </w:rPr>
        <w:t>, N. (2008) ‘Global sourcing: Insights from the global clothing industry</w:t>
      </w:r>
      <w:r w:rsidR="00AB3DDA" w:rsidRPr="00AB3DDA">
        <w:rPr>
          <w:rFonts w:ascii="Arial" w:hAnsi="Arial" w:cs="Arial"/>
          <w:sz w:val="22"/>
          <w:szCs w:val="22"/>
        </w:rPr>
        <w:t xml:space="preserve"> - </w:t>
      </w:r>
      <w:r w:rsidRPr="00AB3DDA">
        <w:rPr>
          <w:rFonts w:ascii="Arial" w:hAnsi="Arial" w:cs="Arial"/>
          <w:sz w:val="22"/>
          <w:szCs w:val="22"/>
        </w:rPr>
        <w:t xml:space="preserve">the case of Zara’, </w:t>
      </w:r>
      <w:r w:rsidRPr="00AB3DDA">
        <w:rPr>
          <w:rStyle w:val="Emphasis"/>
          <w:rFonts w:ascii="Arial" w:hAnsi="Arial" w:cs="Arial"/>
          <w:i w:val="0"/>
          <w:iCs w:val="0"/>
          <w:sz w:val="22"/>
          <w:szCs w:val="22"/>
        </w:rPr>
        <w:t>Journal of Economic Geography</w:t>
      </w:r>
      <w:r w:rsidRPr="00AB3DDA">
        <w:rPr>
          <w:rFonts w:ascii="Arial" w:hAnsi="Arial" w:cs="Arial"/>
          <w:sz w:val="22"/>
          <w:szCs w:val="22"/>
        </w:rPr>
        <w:t>, 8(1), pp. 21–38.</w:t>
      </w:r>
    </w:p>
    <w:sectPr w:rsidR="008E6130" w:rsidRPr="00AB3DD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61C49" w14:textId="77777777" w:rsidR="005E7562" w:rsidRDefault="005E7562" w:rsidP="00AB3DDA">
      <w:pPr>
        <w:spacing w:after="0" w:line="240" w:lineRule="auto"/>
      </w:pPr>
      <w:r>
        <w:separator/>
      </w:r>
    </w:p>
  </w:endnote>
  <w:endnote w:type="continuationSeparator" w:id="0">
    <w:p w14:paraId="3BC0598A" w14:textId="77777777" w:rsidR="005E7562" w:rsidRDefault="005E7562" w:rsidP="00AB3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160638"/>
      <w:docPartObj>
        <w:docPartGallery w:val="Page Numbers (Bottom of Page)"/>
        <w:docPartUnique/>
      </w:docPartObj>
    </w:sdtPr>
    <w:sdtContent>
      <w:p w14:paraId="32D3A072" w14:textId="3B732A86" w:rsidR="00AB3DDA" w:rsidRDefault="00AB3DDA">
        <w:pPr>
          <w:pStyle w:val="Footer"/>
          <w:jc w:val="center"/>
        </w:pPr>
        <w:r>
          <w:fldChar w:fldCharType="begin"/>
        </w:r>
        <w:r>
          <w:instrText>PAGE   \* MERGEFORMAT</w:instrText>
        </w:r>
        <w:r>
          <w:fldChar w:fldCharType="separate"/>
        </w:r>
        <w:r>
          <w:t>2</w:t>
        </w:r>
        <w:r>
          <w:fldChar w:fldCharType="end"/>
        </w:r>
      </w:p>
    </w:sdtContent>
  </w:sdt>
  <w:p w14:paraId="062E84E2" w14:textId="77777777" w:rsidR="00AB3DDA" w:rsidRDefault="00AB3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F13ED" w14:textId="77777777" w:rsidR="005E7562" w:rsidRDefault="005E7562" w:rsidP="00AB3DDA">
      <w:pPr>
        <w:spacing w:after="0" w:line="240" w:lineRule="auto"/>
      </w:pPr>
      <w:r>
        <w:separator/>
      </w:r>
    </w:p>
  </w:footnote>
  <w:footnote w:type="continuationSeparator" w:id="0">
    <w:p w14:paraId="4D7DF4FC" w14:textId="77777777" w:rsidR="005E7562" w:rsidRDefault="005E7562" w:rsidP="00AB3D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885D44"/>
    <w:multiLevelType w:val="hybridMultilevel"/>
    <w:tmpl w:val="EED87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555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736"/>
    <w:rsid w:val="000B2700"/>
    <w:rsid w:val="004269A0"/>
    <w:rsid w:val="00442BDD"/>
    <w:rsid w:val="004A0057"/>
    <w:rsid w:val="004A739C"/>
    <w:rsid w:val="004C702E"/>
    <w:rsid w:val="00596736"/>
    <w:rsid w:val="005E7562"/>
    <w:rsid w:val="008514A3"/>
    <w:rsid w:val="008E6130"/>
    <w:rsid w:val="00920536"/>
    <w:rsid w:val="009614A3"/>
    <w:rsid w:val="00A6700A"/>
    <w:rsid w:val="00AB3DDA"/>
    <w:rsid w:val="00AF7F40"/>
    <w:rsid w:val="00B05778"/>
    <w:rsid w:val="00BA3620"/>
    <w:rsid w:val="00BB2755"/>
    <w:rsid w:val="00C134A6"/>
    <w:rsid w:val="00EF7285"/>
    <w:rsid w:val="00F66739"/>
    <w:rsid w:val="00FD4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BC3C7"/>
  <w15:chartTrackingRefBased/>
  <w15:docId w15:val="{F9688FCE-E48A-42D2-8699-E839989F7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D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F7F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E613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E61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6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E6130"/>
    <w:rPr>
      <w:b/>
      <w:bCs/>
    </w:rPr>
  </w:style>
  <w:style w:type="character" w:styleId="Emphasis">
    <w:name w:val="Emphasis"/>
    <w:basedOn w:val="DefaultParagraphFont"/>
    <w:uiPriority w:val="20"/>
    <w:qFormat/>
    <w:rsid w:val="008E6130"/>
    <w:rPr>
      <w:i/>
      <w:iCs/>
    </w:rPr>
  </w:style>
  <w:style w:type="character" w:customStyle="1" w:styleId="Heading3Char">
    <w:name w:val="Heading 3 Char"/>
    <w:basedOn w:val="DefaultParagraphFont"/>
    <w:link w:val="Heading3"/>
    <w:uiPriority w:val="9"/>
    <w:rsid w:val="008E6130"/>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8E6130"/>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B3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DDA"/>
  </w:style>
  <w:style w:type="paragraph" w:styleId="Footer">
    <w:name w:val="footer"/>
    <w:basedOn w:val="Normal"/>
    <w:link w:val="FooterChar"/>
    <w:uiPriority w:val="99"/>
    <w:unhideWhenUsed/>
    <w:rsid w:val="00AB3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DDA"/>
  </w:style>
  <w:style w:type="character" w:customStyle="1" w:styleId="Heading1Char">
    <w:name w:val="Heading 1 Char"/>
    <w:basedOn w:val="DefaultParagraphFont"/>
    <w:link w:val="Heading1"/>
    <w:uiPriority w:val="9"/>
    <w:rsid w:val="00AB3D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3DDA"/>
    <w:pPr>
      <w:outlineLvl w:val="9"/>
    </w:pPr>
    <w:rPr>
      <w:lang w:eastAsia="en-GB"/>
    </w:rPr>
  </w:style>
  <w:style w:type="paragraph" w:styleId="TOC3">
    <w:name w:val="toc 3"/>
    <w:basedOn w:val="Normal"/>
    <w:next w:val="Normal"/>
    <w:autoRedefine/>
    <w:uiPriority w:val="39"/>
    <w:unhideWhenUsed/>
    <w:rsid w:val="00AB3DDA"/>
    <w:pPr>
      <w:spacing w:after="100"/>
      <w:ind w:left="440"/>
    </w:pPr>
  </w:style>
  <w:style w:type="character" w:styleId="Hyperlink">
    <w:name w:val="Hyperlink"/>
    <w:basedOn w:val="DefaultParagraphFont"/>
    <w:uiPriority w:val="99"/>
    <w:unhideWhenUsed/>
    <w:rsid w:val="00AB3DDA"/>
    <w:rPr>
      <w:color w:val="0563C1" w:themeColor="hyperlink"/>
      <w:u w:val="single"/>
    </w:rPr>
  </w:style>
  <w:style w:type="paragraph" w:styleId="ListParagraph">
    <w:name w:val="List Paragraph"/>
    <w:basedOn w:val="Normal"/>
    <w:uiPriority w:val="34"/>
    <w:qFormat/>
    <w:rsid w:val="00920536"/>
    <w:pPr>
      <w:ind w:left="720"/>
      <w:contextualSpacing/>
    </w:pPr>
  </w:style>
  <w:style w:type="character" w:customStyle="1" w:styleId="Heading2Char">
    <w:name w:val="Heading 2 Char"/>
    <w:basedOn w:val="DefaultParagraphFont"/>
    <w:link w:val="Heading2"/>
    <w:uiPriority w:val="9"/>
    <w:semiHidden/>
    <w:rsid w:val="00AF7F4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481369">
      <w:bodyDiv w:val="1"/>
      <w:marLeft w:val="0"/>
      <w:marRight w:val="0"/>
      <w:marTop w:val="0"/>
      <w:marBottom w:val="0"/>
      <w:divBdr>
        <w:top w:val="none" w:sz="0" w:space="0" w:color="auto"/>
        <w:left w:val="none" w:sz="0" w:space="0" w:color="auto"/>
        <w:bottom w:val="none" w:sz="0" w:space="0" w:color="auto"/>
        <w:right w:val="none" w:sz="0" w:space="0" w:color="auto"/>
      </w:divBdr>
      <w:divsChild>
        <w:div w:id="1196842909">
          <w:marLeft w:val="0"/>
          <w:marRight w:val="0"/>
          <w:marTop w:val="0"/>
          <w:marBottom w:val="0"/>
          <w:divBdr>
            <w:top w:val="none" w:sz="0" w:space="0" w:color="auto"/>
            <w:left w:val="none" w:sz="0" w:space="0" w:color="auto"/>
            <w:bottom w:val="none" w:sz="0" w:space="0" w:color="auto"/>
            <w:right w:val="none" w:sz="0" w:space="0" w:color="auto"/>
          </w:divBdr>
          <w:divsChild>
            <w:div w:id="109716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282355">
      <w:bodyDiv w:val="1"/>
      <w:marLeft w:val="0"/>
      <w:marRight w:val="0"/>
      <w:marTop w:val="0"/>
      <w:marBottom w:val="0"/>
      <w:divBdr>
        <w:top w:val="none" w:sz="0" w:space="0" w:color="auto"/>
        <w:left w:val="none" w:sz="0" w:space="0" w:color="auto"/>
        <w:bottom w:val="none" w:sz="0" w:space="0" w:color="auto"/>
        <w:right w:val="none" w:sz="0" w:space="0" w:color="auto"/>
      </w:divBdr>
    </w:div>
    <w:div w:id="1012293615">
      <w:bodyDiv w:val="1"/>
      <w:marLeft w:val="0"/>
      <w:marRight w:val="0"/>
      <w:marTop w:val="0"/>
      <w:marBottom w:val="0"/>
      <w:divBdr>
        <w:top w:val="none" w:sz="0" w:space="0" w:color="auto"/>
        <w:left w:val="none" w:sz="0" w:space="0" w:color="auto"/>
        <w:bottom w:val="none" w:sz="0" w:space="0" w:color="auto"/>
        <w:right w:val="none" w:sz="0" w:space="0" w:color="auto"/>
      </w:divBdr>
    </w:div>
    <w:div w:id="1325427674">
      <w:bodyDiv w:val="1"/>
      <w:marLeft w:val="0"/>
      <w:marRight w:val="0"/>
      <w:marTop w:val="0"/>
      <w:marBottom w:val="0"/>
      <w:divBdr>
        <w:top w:val="none" w:sz="0" w:space="0" w:color="auto"/>
        <w:left w:val="none" w:sz="0" w:space="0" w:color="auto"/>
        <w:bottom w:val="none" w:sz="0" w:space="0" w:color="auto"/>
        <w:right w:val="none" w:sz="0" w:space="0" w:color="auto"/>
      </w:divBdr>
    </w:div>
    <w:div w:id="1688825549">
      <w:bodyDiv w:val="1"/>
      <w:marLeft w:val="0"/>
      <w:marRight w:val="0"/>
      <w:marTop w:val="0"/>
      <w:marBottom w:val="0"/>
      <w:divBdr>
        <w:top w:val="none" w:sz="0" w:space="0" w:color="auto"/>
        <w:left w:val="none" w:sz="0" w:space="0" w:color="auto"/>
        <w:bottom w:val="none" w:sz="0" w:space="0" w:color="auto"/>
        <w:right w:val="none" w:sz="0" w:space="0" w:color="auto"/>
      </w:divBdr>
    </w:div>
    <w:div w:id="1978603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40055C-79C4-4802-9701-E39C518849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14</Pages>
  <Words>3741</Words>
  <Characters>21325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Barza (2332746)</dc:creator>
  <cp:keywords/>
  <dc:description/>
  <cp:lastModifiedBy>Gabriela Barza (2332746)</cp:lastModifiedBy>
  <cp:revision>16</cp:revision>
  <dcterms:created xsi:type="dcterms:W3CDTF">2025-10-25T10:29:00Z</dcterms:created>
  <dcterms:modified xsi:type="dcterms:W3CDTF">2025-11-20T21:11:00Z</dcterms:modified>
</cp:coreProperties>
</file>