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4D7F31" w14:textId="77777777" w:rsidR="00BA57D3" w:rsidRDefault="00BA57D3" w:rsidP="00257F60">
      <w:pPr>
        <w:ind w:left="720" w:hanging="360"/>
        <w:jc w:val="center"/>
        <w:rPr>
          <w:noProof/>
        </w:rPr>
      </w:pPr>
    </w:p>
    <w:p w14:paraId="308D7008" w14:textId="77777777" w:rsidR="00BA57D3" w:rsidRDefault="00BA57D3" w:rsidP="00257F60">
      <w:pPr>
        <w:ind w:left="720" w:hanging="360"/>
        <w:jc w:val="center"/>
        <w:rPr>
          <w:noProof/>
        </w:rPr>
      </w:pPr>
    </w:p>
    <w:p w14:paraId="1DA2B0BB" w14:textId="55156340" w:rsidR="00257F60" w:rsidRDefault="00257F60" w:rsidP="00257F60">
      <w:pPr>
        <w:ind w:left="720" w:hanging="360"/>
        <w:jc w:val="center"/>
      </w:pPr>
      <w:r>
        <w:rPr>
          <w:noProof/>
        </w:rPr>
        <w:drawing>
          <wp:inline distT="0" distB="0" distL="0" distR="0" wp14:anchorId="019D78A2" wp14:editId="713BDEE0">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29358C23" w14:textId="77777777" w:rsidR="00257F60" w:rsidRDefault="00257F60" w:rsidP="00257F60"/>
    <w:p w14:paraId="5EBEB076" w14:textId="77777777" w:rsidR="00257F60" w:rsidRDefault="00257F60" w:rsidP="00257F60">
      <w:pPr>
        <w:jc w:val="center"/>
        <w:rPr>
          <w:szCs w:val="24"/>
          <w:u w:val="single"/>
        </w:rPr>
      </w:pPr>
    </w:p>
    <w:p w14:paraId="7B6D6E86" w14:textId="77777777" w:rsidR="00257F60" w:rsidRDefault="00257F60" w:rsidP="00257F60">
      <w:pPr>
        <w:jc w:val="center"/>
        <w:rPr>
          <w:szCs w:val="24"/>
          <w:u w:val="single"/>
        </w:rPr>
      </w:pPr>
    </w:p>
    <w:p w14:paraId="202C4C93" w14:textId="77777777" w:rsidR="00BA57D3" w:rsidRDefault="00BA57D3" w:rsidP="00257F60">
      <w:pPr>
        <w:jc w:val="center"/>
        <w:rPr>
          <w:rFonts w:cs="Arial"/>
          <w:sz w:val="36"/>
          <w:szCs w:val="36"/>
        </w:rPr>
      </w:pPr>
    </w:p>
    <w:p w14:paraId="6F41F796" w14:textId="1692FE23" w:rsidR="00257F60" w:rsidRPr="00BA57D3" w:rsidRDefault="00257F60" w:rsidP="00257F60">
      <w:pPr>
        <w:jc w:val="center"/>
        <w:rPr>
          <w:rFonts w:cs="Arial"/>
          <w:sz w:val="36"/>
          <w:szCs w:val="36"/>
        </w:rPr>
      </w:pPr>
      <w:r w:rsidRPr="00BA57D3">
        <w:rPr>
          <w:rFonts w:cs="Arial"/>
          <w:sz w:val="36"/>
          <w:szCs w:val="36"/>
        </w:rPr>
        <w:t xml:space="preserve">An evaluation of education and understanding of parents’ knowledge into </w:t>
      </w:r>
      <w:r w:rsidR="00BA57D3">
        <w:rPr>
          <w:rFonts w:cs="Arial"/>
          <w:sz w:val="36"/>
          <w:szCs w:val="36"/>
        </w:rPr>
        <w:t>c</w:t>
      </w:r>
      <w:r w:rsidRPr="00BA57D3">
        <w:rPr>
          <w:rFonts w:cs="Arial"/>
          <w:sz w:val="36"/>
          <w:szCs w:val="36"/>
        </w:rPr>
        <w:t xml:space="preserve">ounty </w:t>
      </w:r>
      <w:r w:rsidR="00BA57D3">
        <w:rPr>
          <w:rFonts w:cs="Arial"/>
          <w:sz w:val="36"/>
          <w:szCs w:val="36"/>
        </w:rPr>
        <w:t>l</w:t>
      </w:r>
      <w:r w:rsidRPr="00BA57D3">
        <w:rPr>
          <w:rFonts w:cs="Arial"/>
          <w:sz w:val="36"/>
          <w:szCs w:val="36"/>
        </w:rPr>
        <w:t xml:space="preserve">ines </w:t>
      </w:r>
      <w:r w:rsidR="00BA57D3">
        <w:rPr>
          <w:rFonts w:cs="Arial"/>
          <w:sz w:val="36"/>
          <w:szCs w:val="36"/>
        </w:rPr>
        <w:t>e</w:t>
      </w:r>
      <w:r w:rsidRPr="00BA57D3">
        <w:rPr>
          <w:rFonts w:cs="Arial"/>
          <w:sz w:val="36"/>
          <w:szCs w:val="36"/>
        </w:rPr>
        <w:t>xploitation</w:t>
      </w:r>
    </w:p>
    <w:p w14:paraId="12C579FB" w14:textId="77777777" w:rsidR="00257F60" w:rsidRPr="001E4ADF" w:rsidRDefault="00257F60" w:rsidP="00257F60">
      <w:pPr>
        <w:rPr>
          <w:rFonts w:ascii="Times New Roman" w:hAnsi="Times New Roman" w:cs="Times New Roman"/>
          <w:szCs w:val="24"/>
        </w:rPr>
      </w:pPr>
    </w:p>
    <w:p w14:paraId="6DE21D82" w14:textId="77777777" w:rsidR="00BA57D3" w:rsidRDefault="00BA57D3" w:rsidP="001E4ADF">
      <w:pPr>
        <w:jc w:val="center"/>
        <w:rPr>
          <w:rFonts w:cs="Arial"/>
          <w:sz w:val="32"/>
          <w:szCs w:val="32"/>
        </w:rPr>
      </w:pPr>
    </w:p>
    <w:p w14:paraId="4676EA7C" w14:textId="0EC9C6F3" w:rsidR="00257F60" w:rsidRPr="00BA57D3" w:rsidRDefault="00257F60" w:rsidP="001E4ADF">
      <w:pPr>
        <w:jc w:val="center"/>
        <w:rPr>
          <w:rFonts w:cs="Arial"/>
          <w:sz w:val="32"/>
          <w:szCs w:val="32"/>
        </w:rPr>
      </w:pPr>
      <w:r w:rsidRPr="00BA57D3">
        <w:rPr>
          <w:rFonts w:cs="Arial"/>
          <w:sz w:val="32"/>
          <w:szCs w:val="32"/>
        </w:rPr>
        <w:t>Emma Jayne Thomas</w:t>
      </w:r>
    </w:p>
    <w:p w14:paraId="7AE60B00" w14:textId="77777777" w:rsidR="001E4ADF" w:rsidRPr="00BA57D3" w:rsidRDefault="001E4ADF" w:rsidP="001E4ADF">
      <w:pPr>
        <w:jc w:val="center"/>
        <w:rPr>
          <w:rFonts w:cs="Arial"/>
          <w:sz w:val="32"/>
          <w:szCs w:val="32"/>
        </w:rPr>
      </w:pPr>
    </w:p>
    <w:p w14:paraId="47B57A83" w14:textId="16FD7218" w:rsidR="00257F60" w:rsidRPr="00BA57D3" w:rsidRDefault="00257F60" w:rsidP="001E4ADF">
      <w:pPr>
        <w:jc w:val="center"/>
        <w:rPr>
          <w:rFonts w:cs="Arial"/>
          <w:sz w:val="32"/>
          <w:szCs w:val="32"/>
        </w:rPr>
      </w:pPr>
      <w:r w:rsidRPr="00BA57D3">
        <w:rPr>
          <w:rFonts w:cs="Arial"/>
          <w:sz w:val="32"/>
          <w:szCs w:val="32"/>
        </w:rPr>
        <w:t>2117853</w:t>
      </w:r>
    </w:p>
    <w:p w14:paraId="67E4470B" w14:textId="77777777" w:rsidR="001E4ADF" w:rsidRPr="00BA57D3" w:rsidRDefault="001E4ADF" w:rsidP="001E4ADF">
      <w:pPr>
        <w:jc w:val="center"/>
        <w:rPr>
          <w:rFonts w:cs="Arial"/>
          <w:sz w:val="32"/>
          <w:szCs w:val="32"/>
        </w:rPr>
      </w:pPr>
    </w:p>
    <w:p w14:paraId="5F5189A6" w14:textId="708EBA11" w:rsidR="001E4ADF" w:rsidRPr="00BA57D3" w:rsidRDefault="001E4ADF" w:rsidP="001E4ADF">
      <w:pPr>
        <w:pStyle w:val="NormalWeb"/>
        <w:spacing w:before="0" w:beforeAutospacing="0" w:after="0" w:afterAutospacing="0" w:line="480" w:lineRule="auto"/>
        <w:jc w:val="center"/>
        <w:rPr>
          <w:rFonts w:ascii="Arial" w:hAnsi="Arial" w:cs="Arial"/>
          <w:color w:val="0E101A"/>
          <w:sz w:val="32"/>
          <w:szCs w:val="32"/>
        </w:rPr>
      </w:pPr>
      <w:r w:rsidRPr="00BA57D3">
        <w:rPr>
          <w:rFonts w:ascii="Arial" w:hAnsi="Arial" w:cs="Arial"/>
          <w:color w:val="0E101A"/>
          <w:sz w:val="32"/>
          <w:szCs w:val="32"/>
        </w:rPr>
        <w:t>BSc</w:t>
      </w:r>
      <w:r w:rsidR="00BA57D3">
        <w:rPr>
          <w:rFonts w:ascii="Arial" w:hAnsi="Arial" w:cs="Arial"/>
          <w:color w:val="0E101A"/>
          <w:sz w:val="32"/>
          <w:szCs w:val="32"/>
        </w:rPr>
        <w:t xml:space="preserve"> (Hons)</w:t>
      </w:r>
      <w:r w:rsidRPr="00BA57D3">
        <w:rPr>
          <w:rFonts w:ascii="Arial" w:hAnsi="Arial" w:cs="Arial"/>
          <w:color w:val="0E101A"/>
          <w:sz w:val="32"/>
          <w:szCs w:val="32"/>
        </w:rPr>
        <w:t xml:space="preserve"> Professional Policing Practice</w:t>
      </w:r>
    </w:p>
    <w:p w14:paraId="33870EDA" w14:textId="77777777" w:rsidR="001E4ADF" w:rsidRDefault="001E4ADF" w:rsidP="00257F60"/>
    <w:p w14:paraId="52D4343B" w14:textId="77777777" w:rsidR="00257F60" w:rsidRDefault="00257F60" w:rsidP="00257F60"/>
    <w:p w14:paraId="46BA94EC" w14:textId="54E59D27" w:rsidR="00DE4A05" w:rsidRDefault="00DE4A05">
      <w:r>
        <w:br w:type="page"/>
      </w:r>
    </w:p>
    <w:p w14:paraId="07CABAB7" w14:textId="65AC2118" w:rsidR="00DE4A05" w:rsidRPr="00717BBF" w:rsidRDefault="00DE4A05" w:rsidP="00DE4A05">
      <w:pPr>
        <w:rPr>
          <w:rFonts w:cs="Arial"/>
          <w:b/>
          <w:bCs/>
          <w:u w:val="single"/>
        </w:rPr>
      </w:pPr>
      <w:r w:rsidRPr="00717BBF">
        <w:rPr>
          <w:rFonts w:cs="Arial"/>
          <w:b/>
          <w:bCs/>
          <w:u w:val="single"/>
        </w:rPr>
        <w:lastRenderedPageBreak/>
        <w:t>Acknowledgements</w:t>
      </w:r>
    </w:p>
    <w:p w14:paraId="1DC32FCA" w14:textId="0A9EF28F" w:rsidR="001E12E6" w:rsidRPr="001E12E6" w:rsidRDefault="00D23C7C" w:rsidP="001E12E6">
      <w:pPr>
        <w:pStyle w:val="NormalWeb"/>
        <w:rPr>
          <w:rFonts w:ascii="Arial" w:hAnsi="Arial" w:cs="Arial"/>
        </w:rPr>
      </w:pPr>
      <w:r w:rsidRPr="001E12E6">
        <w:rPr>
          <w:rFonts w:ascii="Arial" w:hAnsi="Arial" w:cs="Arial"/>
        </w:rPr>
        <w:t>Primarily</w:t>
      </w:r>
      <w:r w:rsidR="001E12E6" w:rsidRPr="001E12E6">
        <w:rPr>
          <w:rFonts w:ascii="Arial" w:hAnsi="Arial" w:cs="Arial"/>
        </w:rPr>
        <w:t xml:space="preserve">, I would like to extend my gratitude to my supervisor for her support throughout the duration of my dissertation. </w:t>
      </w:r>
    </w:p>
    <w:p w14:paraId="640D2628" w14:textId="77777777" w:rsidR="001E12E6" w:rsidRPr="001E12E6" w:rsidRDefault="001E12E6" w:rsidP="001E12E6">
      <w:pPr>
        <w:pStyle w:val="NormalWeb"/>
        <w:rPr>
          <w:rFonts w:ascii="Arial" w:hAnsi="Arial" w:cs="Arial"/>
        </w:rPr>
      </w:pPr>
      <w:r w:rsidRPr="001E12E6">
        <w:rPr>
          <w:rFonts w:ascii="Arial" w:hAnsi="Arial" w:cs="Arial"/>
        </w:rPr>
        <w:t>I would also like to express my sincere thanks to all the participants who took the time to complete my research questionnaire. Their contributions were invaluable to the success of this study.</w:t>
      </w:r>
    </w:p>
    <w:p w14:paraId="677DBB33" w14:textId="77777777" w:rsidR="001E12E6" w:rsidRPr="001E12E6" w:rsidRDefault="001E12E6" w:rsidP="001E12E6">
      <w:pPr>
        <w:pStyle w:val="NormalWeb"/>
        <w:rPr>
          <w:rFonts w:ascii="Arial" w:hAnsi="Arial" w:cs="Arial"/>
        </w:rPr>
      </w:pPr>
      <w:r w:rsidRPr="001E12E6">
        <w:rPr>
          <w:rFonts w:ascii="Arial" w:hAnsi="Arial" w:cs="Arial"/>
        </w:rPr>
        <w:t>Furthermore, I am deeply grateful to my friends and family for their understanding and support during this journey, especially during times when I could not be with them. My children have shown remarkable patience, for which I am immensely thankful.</w:t>
      </w:r>
    </w:p>
    <w:p w14:paraId="5D83783B" w14:textId="79E7979E" w:rsidR="001E12E6" w:rsidRPr="001E12E6" w:rsidRDefault="001E12E6" w:rsidP="001E12E6">
      <w:pPr>
        <w:pStyle w:val="NormalWeb"/>
        <w:rPr>
          <w:rFonts w:ascii="Arial" w:hAnsi="Arial" w:cs="Arial"/>
        </w:rPr>
      </w:pPr>
      <w:r w:rsidRPr="001E12E6">
        <w:rPr>
          <w:rFonts w:ascii="Arial" w:hAnsi="Arial" w:cs="Arial"/>
        </w:rPr>
        <w:t>Lastly, I must acknowledge my colleagues on my team. Their support during stressful times has been</w:t>
      </w:r>
      <w:r w:rsidR="003E4E9F" w:rsidRPr="003E4E9F">
        <w:rPr>
          <w:rFonts w:ascii="Arial" w:hAnsi="Arial" w:cs="Arial"/>
        </w:rPr>
        <w:t xml:space="preserve"> </w:t>
      </w:r>
      <w:r w:rsidR="003E4E9F">
        <w:rPr>
          <w:rFonts w:ascii="Arial" w:hAnsi="Arial" w:cs="Arial"/>
        </w:rPr>
        <w:t>central to this project</w:t>
      </w:r>
      <w:r w:rsidRPr="001E12E6">
        <w:rPr>
          <w:rFonts w:ascii="Arial" w:hAnsi="Arial" w:cs="Arial"/>
        </w:rPr>
        <w:t>, and I am certain they share in the satisfaction of seeing this project come to completion.</w:t>
      </w:r>
    </w:p>
    <w:p w14:paraId="1AA4A04C" w14:textId="500E4C4D" w:rsidR="00DE4A05" w:rsidRDefault="00DE4A05">
      <w:r>
        <w:br w:type="page"/>
      </w:r>
    </w:p>
    <w:p w14:paraId="4F9208F4" w14:textId="56665C28" w:rsidR="00DE4A05" w:rsidRPr="00717BBF" w:rsidRDefault="00DE4A05" w:rsidP="00DE4A05">
      <w:pPr>
        <w:rPr>
          <w:b/>
          <w:bCs/>
          <w:u w:val="single"/>
        </w:rPr>
      </w:pPr>
      <w:r w:rsidRPr="00717BBF">
        <w:rPr>
          <w:b/>
          <w:bCs/>
          <w:u w:val="single"/>
        </w:rPr>
        <w:lastRenderedPageBreak/>
        <w:t>Declarations</w:t>
      </w:r>
    </w:p>
    <w:p w14:paraId="49AC9DEA" w14:textId="77777777" w:rsidR="00DE4A05" w:rsidRDefault="00DE4A05" w:rsidP="00DE4A05"/>
    <w:p w14:paraId="69B2B8BC" w14:textId="400B9D6C" w:rsidR="00DE4A05" w:rsidRPr="00DE4A05" w:rsidRDefault="00DE4A05" w:rsidP="001E12E6">
      <w:pPr>
        <w:rPr>
          <w:color w:val="FF0000"/>
        </w:rPr>
      </w:pPr>
    </w:p>
    <w:p w14:paraId="327BB6AE" w14:textId="4321CE75" w:rsidR="001E4ADF" w:rsidRDefault="00DE4A05" w:rsidP="00DE4A05">
      <w:pPr>
        <w:numPr>
          <w:ilvl w:val="0"/>
          <w:numId w:val="4"/>
        </w:numPr>
      </w:pPr>
      <w:r w:rsidRPr="00DE4A05">
        <w:rPr>
          <w:u w:val="single"/>
        </w:rPr>
        <w:t>Declaration</w:t>
      </w:r>
      <w:r w:rsidRPr="00DE4A05">
        <w:t xml:space="preserve"> - This work has not previously been accepted in substance for any degree and is not being concurrently submitted in candidature for any degree</w:t>
      </w:r>
      <w:r w:rsidR="00D23C7C" w:rsidRPr="00DE4A05">
        <w:t xml:space="preserve">. </w:t>
      </w:r>
    </w:p>
    <w:p w14:paraId="582CB8AE" w14:textId="77777777" w:rsidR="00DF39A9" w:rsidRDefault="00DE4A05" w:rsidP="001E4ADF">
      <w:pPr>
        <w:ind w:left="720"/>
      </w:pPr>
      <w:r w:rsidRPr="00DE4A05">
        <w:t xml:space="preserve">Signed: </w:t>
      </w:r>
      <w:r w:rsidR="001E6507">
        <w:t>E. Thomas</w:t>
      </w:r>
    </w:p>
    <w:p w14:paraId="0865E183" w14:textId="4A99A440" w:rsidR="00DE4A05" w:rsidRDefault="00DE4A05" w:rsidP="001E4ADF">
      <w:pPr>
        <w:ind w:left="720"/>
      </w:pPr>
      <w:r w:rsidRPr="00DE4A05">
        <w:t xml:space="preserve">Date: </w:t>
      </w:r>
      <w:r w:rsidR="001E6507">
        <w:t>0</w:t>
      </w:r>
      <w:r w:rsidR="00DF39A9">
        <w:t>5</w:t>
      </w:r>
      <w:r w:rsidR="001E6507">
        <w:t>/07/2024</w:t>
      </w:r>
    </w:p>
    <w:p w14:paraId="43C26B85" w14:textId="77777777" w:rsidR="001E12E6" w:rsidRPr="00DE4A05" w:rsidRDefault="001E12E6" w:rsidP="001E4ADF">
      <w:pPr>
        <w:ind w:left="720"/>
      </w:pPr>
    </w:p>
    <w:p w14:paraId="47891091" w14:textId="7CE27927" w:rsidR="00DE4A05" w:rsidRDefault="00DE4A05" w:rsidP="00DE4A05">
      <w:pPr>
        <w:numPr>
          <w:ilvl w:val="0"/>
          <w:numId w:val="4"/>
        </w:numPr>
      </w:pPr>
      <w:r w:rsidRPr="00DE4A05">
        <w:rPr>
          <w:u w:val="single"/>
        </w:rPr>
        <w:t>Statement 1</w:t>
      </w:r>
      <w:r w:rsidRPr="00DE4A05">
        <w:t xml:space="preserve"> - This dissertation is being submitted in partial fulfilment of the requirements for the degree of BSc. </w:t>
      </w:r>
      <w:r w:rsidR="001E4ADF">
        <w:br/>
      </w:r>
      <w:r w:rsidRPr="00DE4A05">
        <w:t xml:space="preserve">Signed: </w:t>
      </w:r>
      <w:r w:rsidR="001E6507">
        <w:t>E. Thomas</w:t>
      </w:r>
      <w:r w:rsidR="001E4ADF">
        <w:br/>
      </w:r>
      <w:r w:rsidRPr="00DE4A05">
        <w:t xml:space="preserve">Date: </w:t>
      </w:r>
      <w:r w:rsidR="001E6507">
        <w:t>0</w:t>
      </w:r>
      <w:r w:rsidR="00DF39A9">
        <w:t>5</w:t>
      </w:r>
      <w:r w:rsidR="001E6507">
        <w:t>/0</w:t>
      </w:r>
      <w:r w:rsidR="00DF39A9">
        <w:t>7</w:t>
      </w:r>
      <w:r w:rsidR="001E6507">
        <w:t>/2024</w:t>
      </w:r>
    </w:p>
    <w:p w14:paraId="68025C2A" w14:textId="77777777" w:rsidR="001E12E6" w:rsidRPr="00DE4A05" w:rsidRDefault="001E12E6" w:rsidP="001E12E6">
      <w:pPr>
        <w:ind w:left="720"/>
      </w:pPr>
    </w:p>
    <w:p w14:paraId="704D6A6E" w14:textId="02192453" w:rsidR="00DE4A05" w:rsidRDefault="00DE4A05" w:rsidP="00DE4A05">
      <w:pPr>
        <w:numPr>
          <w:ilvl w:val="0"/>
          <w:numId w:val="4"/>
        </w:numPr>
      </w:pPr>
      <w:r w:rsidRPr="00DE4A05">
        <w:rPr>
          <w:u w:val="single"/>
        </w:rPr>
        <w:t>Statement 2</w:t>
      </w:r>
      <w:r w:rsidRPr="00DE4A05">
        <w:t xml:space="preserve"> - This dissertation is the result of my own independent work/investigation, except where otherwise stated. Other sources are acknowledged by footnotes giving explicit references</w:t>
      </w:r>
      <w:r w:rsidR="00D23C7C" w:rsidRPr="00DE4A05">
        <w:t xml:space="preserve">. </w:t>
      </w:r>
      <w:r w:rsidRPr="00DE4A05">
        <w:t xml:space="preserve">A bibliography is appended. </w:t>
      </w:r>
      <w:r w:rsidR="001E4ADF">
        <w:br/>
      </w:r>
      <w:r w:rsidRPr="00DE4A05">
        <w:t xml:space="preserve">Signed:  </w:t>
      </w:r>
      <w:r w:rsidR="001E6507">
        <w:t>E. Thomas</w:t>
      </w:r>
      <w:r w:rsidR="001E4ADF">
        <w:br/>
      </w:r>
      <w:r w:rsidRPr="00DE4A05">
        <w:t xml:space="preserve">Date: </w:t>
      </w:r>
      <w:r w:rsidR="001E6507">
        <w:t>0</w:t>
      </w:r>
      <w:r w:rsidR="00DF39A9">
        <w:t>5</w:t>
      </w:r>
      <w:r w:rsidR="001E6507">
        <w:t>/07/2024</w:t>
      </w:r>
    </w:p>
    <w:p w14:paraId="41FAC6EA" w14:textId="77777777" w:rsidR="001E12E6" w:rsidRDefault="001E12E6" w:rsidP="001E12E6">
      <w:pPr>
        <w:pStyle w:val="ListParagraph"/>
      </w:pPr>
    </w:p>
    <w:p w14:paraId="64F90368" w14:textId="4DF37262" w:rsidR="00DE4A05" w:rsidRDefault="00DE4A05" w:rsidP="00DE4A05">
      <w:pPr>
        <w:numPr>
          <w:ilvl w:val="0"/>
          <w:numId w:val="4"/>
        </w:numPr>
      </w:pPr>
      <w:r w:rsidRPr="00DE4A05">
        <w:rPr>
          <w:u w:val="single"/>
        </w:rPr>
        <w:t>Statement 3</w:t>
      </w:r>
      <w:r w:rsidRPr="00DE4A05">
        <w:t xml:space="preserve"> - I hereby give consent for my dissertation, if accepted, to be available for photocopying and for interlibrary loan, and for the title and summary to be made available to outside organisations. </w:t>
      </w:r>
      <w:r w:rsidR="001E4ADF">
        <w:br/>
      </w:r>
      <w:r w:rsidRPr="00DE4A05">
        <w:t>Signed</w:t>
      </w:r>
      <w:r w:rsidR="001E6507">
        <w:t>: E. Thomas</w:t>
      </w:r>
      <w:r w:rsidRPr="00DE4A05">
        <w:t xml:space="preserve"> </w:t>
      </w:r>
      <w:r w:rsidR="001E4ADF">
        <w:br/>
      </w:r>
      <w:r w:rsidRPr="00DE4A05">
        <w:t>Date:</w:t>
      </w:r>
      <w:r w:rsidR="001E6507">
        <w:t xml:space="preserve"> 0</w:t>
      </w:r>
      <w:r w:rsidR="00DF39A9">
        <w:t>5</w:t>
      </w:r>
      <w:r w:rsidR="001E6507">
        <w:t>.07.2024</w:t>
      </w:r>
    </w:p>
    <w:p w14:paraId="42DB0039" w14:textId="77777777" w:rsidR="001E12E6" w:rsidRPr="00DE4A05" w:rsidRDefault="001E12E6" w:rsidP="001E12E6"/>
    <w:p w14:paraId="400499F4" w14:textId="0627FA38" w:rsidR="00DE4A05" w:rsidRPr="00DE4A05" w:rsidRDefault="00DE4A05" w:rsidP="00DE4A05">
      <w:pPr>
        <w:numPr>
          <w:ilvl w:val="0"/>
          <w:numId w:val="4"/>
        </w:numPr>
      </w:pPr>
      <w:r w:rsidRPr="00DE4A05">
        <w:rPr>
          <w:u w:val="single"/>
        </w:rPr>
        <w:t>Statement 4</w:t>
      </w:r>
      <w:r w:rsidRPr="00DE4A05">
        <w:t xml:space="preserve"> - I hereby give consent for my dissertation, if accepted, to be available on the university’s IT system to those who have consent to use the system. </w:t>
      </w:r>
      <w:r w:rsidR="001E4ADF">
        <w:br/>
      </w:r>
      <w:r w:rsidRPr="00DE4A05">
        <w:t xml:space="preserve">Signed:  </w:t>
      </w:r>
      <w:r w:rsidR="001E6507">
        <w:t>E. Thomas</w:t>
      </w:r>
      <w:r w:rsidR="001E4ADF">
        <w:br/>
      </w:r>
      <w:r w:rsidRPr="00DE4A05">
        <w:t>Date:</w:t>
      </w:r>
      <w:r w:rsidR="001E6507">
        <w:t xml:space="preserve"> 0</w:t>
      </w:r>
      <w:r w:rsidR="00DF39A9">
        <w:t>5</w:t>
      </w:r>
      <w:r w:rsidR="001E6507">
        <w:t>/07/2024</w:t>
      </w:r>
    </w:p>
    <w:p w14:paraId="064E2027" w14:textId="178BDA71" w:rsidR="00DE4A05" w:rsidRDefault="00DE4A05">
      <w:r>
        <w:br w:type="page"/>
      </w:r>
    </w:p>
    <w:p w14:paraId="1413348A" w14:textId="5340D416" w:rsidR="009C4D6F" w:rsidRPr="00BA57D3" w:rsidRDefault="00DE4A05" w:rsidP="009C4D6F">
      <w:pPr>
        <w:rPr>
          <w:rFonts w:cs="Arial"/>
          <w:b/>
          <w:bCs/>
          <w:u w:val="single"/>
        </w:rPr>
      </w:pPr>
      <w:r w:rsidRPr="00BA57D3">
        <w:rPr>
          <w:rFonts w:cs="Arial"/>
          <w:b/>
          <w:bCs/>
          <w:u w:val="single"/>
        </w:rPr>
        <w:lastRenderedPageBreak/>
        <w:t>Abstract</w:t>
      </w:r>
    </w:p>
    <w:p w14:paraId="244B378D" w14:textId="000E654F" w:rsidR="009C4D6F" w:rsidRPr="00BA57D3" w:rsidRDefault="009C4D6F" w:rsidP="009C4D6F">
      <w:pPr>
        <w:pStyle w:val="NormalWeb"/>
        <w:rPr>
          <w:rFonts w:ascii="Arial" w:hAnsi="Arial" w:cs="Arial"/>
        </w:rPr>
      </w:pPr>
      <w:r w:rsidRPr="00BA57D3">
        <w:rPr>
          <w:rFonts w:ascii="Arial" w:hAnsi="Arial" w:cs="Arial"/>
        </w:rPr>
        <w:t xml:space="preserve">The purpose of this research project is to delve deeper into county lines exploitation on children aged eleven to sixteen. The focus is on how much parents and the public </w:t>
      </w:r>
      <w:r w:rsidR="001E12E6" w:rsidRPr="00BA57D3">
        <w:rPr>
          <w:rFonts w:ascii="Arial" w:hAnsi="Arial" w:cs="Arial"/>
        </w:rPr>
        <w:t>know</w:t>
      </w:r>
      <w:r w:rsidRPr="00BA57D3">
        <w:rPr>
          <w:rFonts w:ascii="Arial" w:hAnsi="Arial" w:cs="Arial"/>
        </w:rPr>
        <w:t xml:space="preserve"> about the subject and is it taught enough. This research aims to contribute to the knowledge field of how society must adapt to address this evolving threat. The research paper examines existing literature to analyse areas such as the nature of county lines exploitation, public perception, the responsibility for policing these crimes, and preventative measures necessary to protect vulnerable populations. The literature provides definitions and explanations of different facets of county lines exploitation and their societal implications. The methodology section outlines the research approach, explaining why primary research was undertaken, specifically through a questionnaire distributed among parents. This method was chosen to directly capture parental knowledge and perceptions regarding county lines. The section also addresses ethical considerations to ensure the research was conducted responsibly. Findings reveal that while some parents are aware of county lines exploitation, many lack comprehensive understanding, highlighting the need for enhanced educational efforts. The public believes that police efficiency in dealing with county lines could improve through multi-agency collaborations, emphasising the importance of community partnerships in keeping children safe from exploitation and the need to educate.</w:t>
      </w:r>
    </w:p>
    <w:p w14:paraId="743777CF" w14:textId="77777777" w:rsidR="00DF39A9" w:rsidRDefault="00DF39A9" w:rsidP="001E12E6">
      <w:pPr>
        <w:rPr>
          <w:rFonts w:cs="Arial"/>
          <w:b/>
          <w:bCs/>
          <w:u w:val="single"/>
        </w:rPr>
      </w:pPr>
    </w:p>
    <w:p w14:paraId="0FFA027F" w14:textId="46B6F73B" w:rsidR="00073995" w:rsidRPr="00717BBF" w:rsidRDefault="00073995" w:rsidP="001E12E6">
      <w:pPr>
        <w:rPr>
          <w:rFonts w:cs="Arial"/>
          <w:b/>
          <w:bCs/>
          <w:u w:val="single"/>
        </w:rPr>
      </w:pPr>
      <w:r w:rsidRPr="00717BBF">
        <w:rPr>
          <w:rFonts w:cs="Arial"/>
          <w:b/>
          <w:bCs/>
          <w:u w:val="single"/>
        </w:rPr>
        <w:t xml:space="preserve">Aims and Objectives </w:t>
      </w:r>
    </w:p>
    <w:p w14:paraId="68822B33" w14:textId="77777777" w:rsidR="001E12E6" w:rsidRPr="00BA57D3" w:rsidRDefault="001E12E6" w:rsidP="001E12E6">
      <w:pPr>
        <w:rPr>
          <w:rFonts w:cs="Arial"/>
        </w:rPr>
      </w:pPr>
    </w:p>
    <w:p w14:paraId="053E71DF" w14:textId="4368E8BC" w:rsidR="00073995" w:rsidRPr="00BA57D3" w:rsidRDefault="00073995" w:rsidP="001E12E6">
      <w:pPr>
        <w:rPr>
          <w:rFonts w:cs="Arial"/>
          <w:lang w:val="en-US"/>
        </w:rPr>
      </w:pPr>
      <w:r w:rsidRPr="00BA57D3">
        <w:rPr>
          <w:rFonts w:cs="Arial"/>
        </w:rPr>
        <w:t>Aim: This research project will aim to critically analyse the education for children and knowledge of parents and the public in relation to county lines exploitation by organised crime groups.</w:t>
      </w:r>
    </w:p>
    <w:p w14:paraId="4B87CCB8" w14:textId="77777777" w:rsidR="001E12E6" w:rsidRPr="00BA57D3" w:rsidRDefault="001E12E6" w:rsidP="001E12E6">
      <w:pPr>
        <w:rPr>
          <w:rFonts w:cs="Arial"/>
        </w:rPr>
      </w:pPr>
    </w:p>
    <w:p w14:paraId="47A3202C" w14:textId="6E1F8D97" w:rsidR="00073995" w:rsidRPr="00717BBF" w:rsidRDefault="00073995" w:rsidP="001E12E6">
      <w:pPr>
        <w:rPr>
          <w:rFonts w:cs="Arial"/>
          <w:b/>
          <w:bCs/>
          <w:u w:val="single"/>
        </w:rPr>
      </w:pPr>
      <w:r w:rsidRPr="00717BBF">
        <w:rPr>
          <w:rFonts w:cs="Arial"/>
          <w:b/>
          <w:bCs/>
          <w:u w:val="single"/>
        </w:rPr>
        <w:t>Research Objectives:</w:t>
      </w:r>
    </w:p>
    <w:p w14:paraId="3E3B36E2" w14:textId="77777777" w:rsidR="001E12E6" w:rsidRPr="00BA57D3" w:rsidRDefault="001E12E6" w:rsidP="001E12E6">
      <w:pPr>
        <w:rPr>
          <w:rFonts w:cs="Arial"/>
          <w:lang w:val="en-US"/>
        </w:rPr>
      </w:pPr>
    </w:p>
    <w:p w14:paraId="7A57A8F7" w14:textId="4DB7F2E8" w:rsidR="00073995" w:rsidRPr="00BA57D3" w:rsidRDefault="00ED0980" w:rsidP="001E12E6">
      <w:pPr>
        <w:pStyle w:val="ListParagraph"/>
        <w:numPr>
          <w:ilvl w:val="0"/>
          <w:numId w:val="8"/>
        </w:numPr>
        <w:rPr>
          <w:rFonts w:cs="Arial"/>
        </w:rPr>
      </w:pPr>
      <w:r w:rsidRPr="00BA57D3">
        <w:rPr>
          <w:rFonts w:cs="Arial"/>
        </w:rPr>
        <w:t>E</w:t>
      </w:r>
      <w:r w:rsidRPr="00BA57D3">
        <w:rPr>
          <w:rFonts w:eastAsia="Times New Roman" w:cs="Arial"/>
          <w:kern w:val="0"/>
          <w:lang w:eastAsia="en-GB"/>
          <w14:ligatures w14:val="none"/>
        </w:rPr>
        <w:t>xplore if there is enough knowledge and education for children and their parents to prevent exploitation by gangs</w:t>
      </w:r>
      <w:r w:rsidRPr="00BA57D3">
        <w:rPr>
          <w:rFonts w:cs="Arial"/>
        </w:rPr>
        <w:t>.</w:t>
      </w:r>
    </w:p>
    <w:p w14:paraId="6E44DACB" w14:textId="5E438F43" w:rsidR="00ED0980" w:rsidRPr="00BA57D3" w:rsidRDefault="00ED0980" w:rsidP="001E12E6">
      <w:pPr>
        <w:pStyle w:val="ListParagraph"/>
        <w:numPr>
          <w:ilvl w:val="0"/>
          <w:numId w:val="8"/>
        </w:numPr>
        <w:rPr>
          <w:rFonts w:cs="Arial"/>
        </w:rPr>
      </w:pPr>
      <w:r w:rsidRPr="00BA57D3">
        <w:rPr>
          <w:rFonts w:cs="Arial"/>
        </w:rPr>
        <w:t>To conduct primary research to identify the publics perception of county lines exploitation</w:t>
      </w:r>
      <w:r w:rsidR="001E12E6" w:rsidRPr="00BA57D3">
        <w:rPr>
          <w:rFonts w:cs="Arial"/>
        </w:rPr>
        <w:t xml:space="preserve"> using online questionnaires.</w:t>
      </w:r>
    </w:p>
    <w:p w14:paraId="30918D3D" w14:textId="75A8F0F6" w:rsidR="001E12E6" w:rsidRPr="00BA57D3" w:rsidRDefault="001E12E6" w:rsidP="001E12E6">
      <w:pPr>
        <w:pStyle w:val="ListParagraph"/>
        <w:numPr>
          <w:ilvl w:val="0"/>
          <w:numId w:val="8"/>
        </w:numPr>
        <w:rPr>
          <w:rFonts w:cs="Arial"/>
        </w:rPr>
      </w:pPr>
      <w:r w:rsidRPr="00BA57D3">
        <w:rPr>
          <w:rFonts w:cs="Arial"/>
        </w:rPr>
        <w:t>Explore how knowledge of county lines exploitation can be enhanced.</w:t>
      </w:r>
    </w:p>
    <w:p w14:paraId="636E7590" w14:textId="1FA0FE11" w:rsidR="00073995" w:rsidRPr="001E12E6" w:rsidRDefault="00073995" w:rsidP="001E12E6">
      <w:r w:rsidRPr="001E12E6">
        <w:br w:type="page"/>
      </w:r>
    </w:p>
    <w:p w14:paraId="3A49AE62" w14:textId="77777777" w:rsidR="00D43545" w:rsidRDefault="00D43545" w:rsidP="00D43545">
      <w:pPr>
        <w:spacing w:before="30"/>
        <w:rPr>
          <w:rFonts w:eastAsia="Calibri" w:cs="Arial"/>
          <w:b/>
          <w:bCs/>
          <w:color w:val="000000" w:themeColor="text1"/>
          <w:u w:val="single"/>
        </w:rPr>
      </w:pPr>
      <w:r w:rsidRPr="00664D3E">
        <w:rPr>
          <w:rFonts w:eastAsia="Calibri" w:cs="Arial"/>
          <w:b/>
          <w:bCs/>
          <w:color w:val="000000" w:themeColor="text1"/>
          <w:u w:val="single"/>
        </w:rPr>
        <w:lastRenderedPageBreak/>
        <w:t>Content page</w:t>
      </w:r>
    </w:p>
    <w:p w14:paraId="6F6C15D6" w14:textId="77777777" w:rsidR="00664D3E" w:rsidRPr="00664D3E" w:rsidRDefault="00664D3E" w:rsidP="00D43545">
      <w:pPr>
        <w:spacing w:before="30"/>
        <w:rPr>
          <w:rFonts w:eastAsia="Calibri" w:cs="Arial"/>
          <w:b/>
          <w:bCs/>
          <w:color w:val="000000" w:themeColor="text1"/>
          <w:u w:val="single"/>
        </w:rPr>
      </w:pPr>
    </w:p>
    <w:p w14:paraId="37B3AD62" w14:textId="1EFFA61D" w:rsidR="00D43545" w:rsidRDefault="00D43545" w:rsidP="00D43545">
      <w:pPr>
        <w:spacing w:before="30"/>
        <w:rPr>
          <w:rFonts w:eastAsia="Calibri" w:cs="Arial"/>
          <w:color w:val="000000" w:themeColor="text1"/>
        </w:rPr>
      </w:pPr>
      <w:r w:rsidRPr="00664D3E">
        <w:rPr>
          <w:rFonts w:eastAsia="Calibri" w:cs="Arial"/>
          <w:b/>
          <w:bCs/>
          <w:color w:val="000000" w:themeColor="text1"/>
        </w:rPr>
        <w:t xml:space="preserve">Chapter One- Introduction </w:t>
      </w:r>
      <w:r w:rsidRPr="00664D3E">
        <w:rPr>
          <w:rFonts w:eastAsia="Calibri" w:cs="Arial"/>
          <w:color w:val="000000" w:themeColor="text1"/>
        </w:rPr>
        <w:t>(Page</w:t>
      </w:r>
      <w:r w:rsidR="00405C7F">
        <w:rPr>
          <w:rFonts w:eastAsia="Calibri" w:cs="Arial"/>
          <w:color w:val="000000" w:themeColor="text1"/>
        </w:rPr>
        <w:t xml:space="preserve"> 6-</w:t>
      </w:r>
      <w:r w:rsidR="00BA57D3">
        <w:rPr>
          <w:rFonts w:eastAsia="Calibri" w:cs="Arial"/>
          <w:color w:val="000000" w:themeColor="text1"/>
        </w:rPr>
        <w:t>7</w:t>
      </w:r>
      <w:r w:rsidRPr="00664D3E">
        <w:rPr>
          <w:rFonts w:eastAsia="Calibri" w:cs="Arial"/>
          <w:color w:val="000000" w:themeColor="text1"/>
        </w:rPr>
        <w:t>)</w:t>
      </w:r>
    </w:p>
    <w:p w14:paraId="5B750FF2" w14:textId="77777777" w:rsidR="00664D3E" w:rsidRPr="00664D3E" w:rsidRDefault="00664D3E" w:rsidP="00D43545">
      <w:pPr>
        <w:spacing w:before="30"/>
        <w:rPr>
          <w:rFonts w:eastAsia="Calibri" w:cs="Arial"/>
          <w:b/>
          <w:bCs/>
          <w:color w:val="000000" w:themeColor="text1"/>
        </w:rPr>
      </w:pPr>
    </w:p>
    <w:p w14:paraId="030F62E5" w14:textId="1C34221C" w:rsidR="00D43545" w:rsidRPr="00664D3E" w:rsidRDefault="00D43545" w:rsidP="00D43545">
      <w:pPr>
        <w:spacing w:before="30"/>
        <w:rPr>
          <w:rFonts w:eastAsia="Calibri" w:cs="Arial"/>
          <w:b/>
          <w:bCs/>
          <w:color w:val="000000" w:themeColor="text1"/>
        </w:rPr>
      </w:pPr>
      <w:r w:rsidRPr="00664D3E">
        <w:rPr>
          <w:rFonts w:eastAsia="Calibri" w:cs="Arial"/>
          <w:b/>
          <w:bCs/>
          <w:color w:val="000000" w:themeColor="text1"/>
        </w:rPr>
        <w:t xml:space="preserve">Chapter Two- Literature Review </w:t>
      </w:r>
      <w:r w:rsidRPr="00664D3E">
        <w:rPr>
          <w:rFonts w:eastAsia="Calibri" w:cs="Arial"/>
          <w:color w:val="000000" w:themeColor="text1"/>
        </w:rPr>
        <w:t xml:space="preserve">(Pages </w:t>
      </w:r>
      <w:r w:rsidR="00BA57D3">
        <w:rPr>
          <w:rFonts w:eastAsia="Calibri" w:cs="Arial"/>
          <w:color w:val="000000" w:themeColor="text1"/>
        </w:rPr>
        <w:t>8</w:t>
      </w:r>
      <w:r w:rsidRPr="00664D3E">
        <w:rPr>
          <w:rFonts w:eastAsia="Calibri" w:cs="Arial"/>
          <w:color w:val="000000" w:themeColor="text1"/>
        </w:rPr>
        <w:t>-1</w:t>
      </w:r>
      <w:r w:rsidR="00BA57D3">
        <w:rPr>
          <w:rFonts w:eastAsia="Calibri" w:cs="Arial"/>
          <w:color w:val="000000" w:themeColor="text1"/>
        </w:rPr>
        <w:t>5</w:t>
      </w:r>
      <w:r w:rsidRPr="00664D3E">
        <w:rPr>
          <w:rFonts w:eastAsia="Calibri" w:cs="Arial"/>
          <w:color w:val="000000" w:themeColor="text1"/>
        </w:rPr>
        <w:t>)</w:t>
      </w:r>
    </w:p>
    <w:p w14:paraId="005199F3" w14:textId="06045CBB" w:rsidR="00D43545" w:rsidRPr="00664D3E" w:rsidRDefault="00D43545" w:rsidP="00D43545">
      <w:pPr>
        <w:spacing w:before="30"/>
        <w:rPr>
          <w:rFonts w:eastAsia="Calibri" w:cs="Arial"/>
          <w:b/>
          <w:bCs/>
          <w:color w:val="000000" w:themeColor="text1"/>
        </w:rPr>
      </w:pPr>
      <w:r w:rsidRPr="00664D3E">
        <w:rPr>
          <w:rFonts w:eastAsia="Calibri" w:cs="Arial"/>
          <w:color w:val="000000" w:themeColor="text1"/>
        </w:rPr>
        <w:t xml:space="preserve">Section 2.1- Introduction (Page </w:t>
      </w:r>
      <w:r w:rsidR="00BA57D3">
        <w:rPr>
          <w:rFonts w:eastAsia="Calibri" w:cs="Arial"/>
          <w:color w:val="000000" w:themeColor="text1"/>
        </w:rPr>
        <w:t>8</w:t>
      </w:r>
      <w:r w:rsidRPr="00664D3E">
        <w:rPr>
          <w:rFonts w:eastAsia="Calibri" w:cs="Arial"/>
          <w:color w:val="000000" w:themeColor="text1"/>
        </w:rPr>
        <w:t>)</w:t>
      </w:r>
    </w:p>
    <w:p w14:paraId="558BBFF1" w14:textId="7DBB267C" w:rsidR="00D43545" w:rsidRPr="00664D3E" w:rsidRDefault="00D43545" w:rsidP="00D43545">
      <w:pPr>
        <w:spacing w:before="30"/>
        <w:rPr>
          <w:rFonts w:eastAsia="Calibri" w:cs="Arial"/>
          <w:color w:val="000000" w:themeColor="text1"/>
        </w:rPr>
      </w:pPr>
      <w:r w:rsidRPr="00664D3E">
        <w:rPr>
          <w:rFonts w:eastAsia="Calibri" w:cs="Arial"/>
          <w:color w:val="000000" w:themeColor="text1"/>
        </w:rPr>
        <w:t xml:space="preserve">Section 2.2- Human trafficking and </w:t>
      </w:r>
      <w:r w:rsidR="00664D3E" w:rsidRPr="00664D3E">
        <w:rPr>
          <w:rFonts w:eastAsia="Calibri" w:cs="Arial"/>
          <w:color w:val="000000" w:themeColor="text1"/>
        </w:rPr>
        <w:t>modern-day</w:t>
      </w:r>
      <w:r w:rsidRPr="00664D3E">
        <w:rPr>
          <w:rFonts w:eastAsia="Calibri" w:cs="Arial"/>
          <w:color w:val="000000" w:themeColor="text1"/>
        </w:rPr>
        <w:t xml:space="preserve"> slavery (Page 9)</w:t>
      </w:r>
    </w:p>
    <w:p w14:paraId="6D4F6805" w14:textId="0996F9DE" w:rsidR="00D43545" w:rsidRPr="00664D3E" w:rsidRDefault="00D43545" w:rsidP="00D43545">
      <w:pPr>
        <w:spacing w:before="30"/>
        <w:rPr>
          <w:rFonts w:eastAsia="Calibri" w:cs="Arial"/>
          <w:color w:val="000000" w:themeColor="text1"/>
        </w:rPr>
      </w:pPr>
      <w:r w:rsidRPr="00664D3E">
        <w:rPr>
          <w:rFonts w:eastAsia="Calibri" w:cs="Arial"/>
          <w:color w:val="000000" w:themeColor="text1"/>
        </w:rPr>
        <w:t xml:space="preserve">Section 2.3- Gangs and their victims (Page </w:t>
      </w:r>
      <w:r w:rsidR="00207AC1" w:rsidRPr="00664D3E">
        <w:rPr>
          <w:rFonts w:eastAsia="Calibri" w:cs="Arial"/>
          <w:color w:val="000000" w:themeColor="text1"/>
        </w:rPr>
        <w:t>10</w:t>
      </w:r>
      <w:r w:rsidR="00623F4B">
        <w:rPr>
          <w:rFonts w:eastAsia="Calibri" w:cs="Arial"/>
          <w:color w:val="000000" w:themeColor="text1"/>
        </w:rPr>
        <w:t>-11</w:t>
      </w:r>
      <w:r w:rsidRPr="00664D3E">
        <w:rPr>
          <w:rFonts w:eastAsia="Calibri" w:cs="Arial"/>
          <w:color w:val="000000" w:themeColor="text1"/>
        </w:rPr>
        <w:t xml:space="preserve">) </w:t>
      </w:r>
    </w:p>
    <w:p w14:paraId="1A5671D8" w14:textId="5BC3DB65" w:rsidR="00D43545" w:rsidRPr="00664D3E" w:rsidRDefault="00D43545" w:rsidP="00D43545">
      <w:pPr>
        <w:spacing w:before="30"/>
        <w:rPr>
          <w:rFonts w:eastAsia="Calibri" w:cs="Arial"/>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2.</w:t>
      </w:r>
      <w:r w:rsidRPr="00664D3E">
        <w:rPr>
          <w:rFonts w:eastAsia="Calibri" w:cs="Arial"/>
          <w:color w:val="000000" w:themeColor="text1"/>
        </w:rPr>
        <w:t xml:space="preserve">4- </w:t>
      </w:r>
      <w:r w:rsidR="00207AC1" w:rsidRPr="00664D3E">
        <w:rPr>
          <w:rFonts w:eastAsia="Calibri" w:cs="Arial"/>
          <w:color w:val="000000" w:themeColor="text1"/>
        </w:rPr>
        <w:t>Public knowledge and the role of education</w:t>
      </w:r>
      <w:r w:rsidRPr="00664D3E">
        <w:rPr>
          <w:rFonts w:eastAsia="Calibri" w:cs="Arial"/>
          <w:color w:val="000000" w:themeColor="text1"/>
        </w:rPr>
        <w:t xml:space="preserve"> (Page 1</w:t>
      </w:r>
      <w:r w:rsidR="00207AC1" w:rsidRPr="00664D3E">
        <w:rPr>
          <w:rFonts w:eastAsia="Calibri" w:cs="Arial"/>
          <w:color w:val="000000" w:themeColor="text1"/>
        </w:rPr>
        <w:t>2</w:t>
      </w:r>
      <w:r w:rsidRPr="00664D3E">
        <w:rPr>
          <w:rFonts w:eastAsia="Calibri" w:cs="Arial"/>
          <w:color w:val="000000" w:themeColor="text1"/>
        </w:rPr>
        <w:t>)</w:t>
      </w:r>
    </w:p>
    <w:p w14:paraId="015A1FD9" w14:textId="5DB86DA0" w:rsidR="00D43545" w:rsidRDefault="00D43545" w:rsidP="00D43545">
      <w:pPr>
        <w:spacing w:before="30"/>
        <w:rPr>
          <w:rFonts w:eastAsia="Calibri" w:cs="Arial"/>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2.</w:t>
      </w:r>
      <w:r w:rsidRPr="00664D3E">
        <w:rPr>
          <w:rFonts w:eastAsia="Calibri" w:cs="Arial"/>
          <w:color w:val="000000" w:themeColor="text1"/>
        </w:rPr>
        <w:t xml:space="preserve">5- </w:t>
      </w:r>
      <w:r w:rsidR="00207AC1" w:rsidRPr="00664D3E">
        <w:rPr>
          <w:rFonts w:eastAsia="Calibri" w:cs="Arial"/>
          <w:color w:val="000000" w:themeColor="text1"/>
        </w:rPr>
        <w:t>Education and interventions</w:t>
      </w:r>
      <w:r w:rsidRPr="00664D3E">
        <w:rPr>
          <w:rFonts w:eastAsia="Calibri" w:cs="Arial"/>
          <w:color w:val="000000" w:themeColor="text1"/>
        </w:rPr>
        <w:t xml:space="preserve"> (Page 1</w:t>
      </w:r>
      <w:r w:rsidR="00207AC1" w:rsidRPr="00664D3E">
        <w:rPr>
          <w:rFonts w:eastAsia="Calibri" w:cs="Arial"/>
          <w:color w:val="000000" w:themeColor="text1"/>
        </w:rPr>
        <w:t>3</w:t>
      </w:r>
      <w:r w:rsidR="00405C7F">
        <w:rPr>
          <w:rFonts w:eastAsia="Calibri" w:cs="Arial"/>
          <w:color w:val="000000" w:themeColor="text1"/>
        </w:rPr>
        <w:t>-14</w:t>
      </w:r>
      <w:r w:rsidRPr="00664D3E">
        <w:rPr>
          <w:rFonts w:eastAsia="Calibri" w:cs="Arial"/>
          <w:color w:val="000000" w:themeColor="text1"/>
        </w:rPr>
        <w:t>)</w:t>
      </w:r>
    </w:p>
    <w:p w14:paraId="046C8064" w14:textId="4CE68A92" w:rsidR="00405C7F" w:rsidRPr="00664D3E" w:rsidRDefault="00405C7F" w:rsidP="00D43545">
      <w:pPr>
        <w:spacing w:before="30"/>
        <w:rPr>
          <w:rFonts w:eastAsia="Calibri" w:cs="Arial"/>
          <w:color w:val="000000" w:themeColor="text1"/>
        </w:rPr>
      </w:pPr>
      <w:r>
        <w:rPr>
          <w:rFonts w:eastAsia="Calibri" w:cs="Arial"/>
          <w:color w:val="000000" w:themeColor="text1"/>
        </w:rPr>
        <w:t>Section 2.6 – Conclusion (Page 15)</w:t>
      </w:r>
    </w:p>
    <w:p w14:paraId="36A37BBD" w14:textId="77777777" w:rsidR="00664D3E" w:rsidRDefault="00664D3E" w:rsidP="00D43545">
      <w:pPr>
        <w:spacing w:before="30"/>
        <w:rPr>
          <w:rFonts w:eastAsia="Calibri" w:cs="Arial"/>
          <w:b/>
          <w:bCs/>
          <w:color w:val="000000" w:themeColor="text1"/>
        </w:rPr>
      </w:pPr>
    </w:p>
    <w:p w14:paraId="79847A08" w14:textId="34F1ADC0" w:rsidR="00D43545" w:rsidRPr="00664D3E" w:rsidRDefault="00D43545" w:rsidP="00D43545">
      <w:pPr>
        <w:spacing w:before="30"/>
        <w:rPr>
          <w:rFonts w:eastAsia="Calibri" w:cs="Arial"/>
          <w:b/>
          <w:bCs/>
          <w:color w:val="000000" w:themeColor="text1"/>
        </w:rPr>
      </w:pPr>
      <w:r w:rsidRPr="00664D3E">
        <w:rPr>
          <w:rFonts w:eastAsia="Calibri" w:cs="Arial"/>
          <w:b/>
          <w:bCs/>
          <w:color w:val="000000" w:themeColor="text1"/>
        </w:rPr>
        <w:t xml:space="preserve">Chapter Three- Research Methodology </w:t>
      </w:r>
      <w:r w:rsidRPr="00664D3E">
        <w:rPr>
          <w:rFonts w:eastAsia="Calibri" w:cs="Arial"/>
          <w:color w:val="000000" w:themeColor="text1"/>
        </w:rPr>
        <w:t>(Pages 1</w:t>
      </w:r>
      <w:r w:rsidR="001D77E2" w:rsidRPr="00664D3E">
        <w:rPr>
          <w:rFonts w:eastAsia="Calibri" w:cs="Arial"/>
          <w:color w:val="000000" w:themeColor="text1"/>
        </w:rPr>
        <w:t>6</w:t>
      </w:r>
      <w:r w:rsidRPr="00664D3E">
        <w:rPr>
          <w:rFonts w:eastAsia="Calibri" w:cs="Arial"/>
          <w:color w:val="000000" w:themeColor="text1"/>
        </w:rPr>
        <w:t>-18)</w:t>
      </w:r>
    </w:p>
    <w:p w14:paraId="6A4A7992" w14:textId="697C6DFE" w:rsidR="00D43545" w:rsidRPr="00664D3E" w:rsidRDefault="00D43545" w:rsidP="00D43545">
      <w:pPr>
        <w:spacing w:before="30"/>
        <w:rPr>
          <w:rFonts w:eastAsia="Calibri" w:cs="Arial"/>
          <w:b/>
          <w:bCs/>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3.</w:t>
      </w:r>
      <w:r w:rsidRPr="00664D3E">
        <w:rPr>
          <w:rFonts w:eastAsia="Calibri" w:cs="Arial"/>
          <w:color w:val="000000" w:themeColor="text1"/>
        </w:rPr>
        <w:t>1- Introduction (Page 1</w:t>
      </w:r>
      <w:r w:rsidR="001D77E2" w:rsidRPr="00664D3E">
        <w:rPr>
          <w:rFonts w:eastAsia="Calibri" w:cs="Arial"/>
          <w:color w:val="000000" w:themeColor="text1"/>
        </w:rPr>
        <w:t>6</w:t>
      </w:r>
      <w:r w:rsidRPr="00664D3E">
        <w:rPr>
          <w:rFonts w:eastAsia="Calibri" w:cs="Arial"/>
          <w:color w:val="000000" w:themeColor="text1"/>
        </w:rPr>
        <w:t>)</w:t>
      </w:r>
    </w:p>
    <w:p w14:paraId="4626B460" w14:textId="201198CC" w:rsidR="00D43545" w:rsidRPr="00664D3E" w:rsidRDefault="00D43545" w:rsidP="00D43545">
      <w:pPr>
        <w:spacing w:before="30"/>
        <w:rPr>
          <w:rFonts w:eastAsia="Calibri" w:cs="Arial"/>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3.</w:t>
      </w:r>
      <w:r w:rsidRPr="00664D3E">
        <w:rPr>
          <w:rFonts w:eastAsia="Calibri" w:cs="Arial"/>
          <w:color w:val="000000" w:themeColor="text1"/>
        </w:rPr>
        <w:t xml:space="preserve">2- </w:t>
      </w:r>
      <w:r w:rsidR="001D77E2" w:rsidRPr="00664D3E">
        <w:rPr>
          <w:rFonts w:eastAsia="Calibri" w:cs="Arial"/>
          <w:color w:val="000000" w:themeColor="text1"/>
        </w:rPr>
        <w:t>Data collection</w:t>
      </w:r>
      <w:r w:rsidRPr="00664D3E">
        <w:rPr>
          <w:rFonts w:eastAsia="Calibri" w:cs="Arial"/>
          <w:color w:val="000000" w:themeColor="text1"/>
        </w:rPr>
        <w:t xml:space="preserve"> (Page 1</w:t>
      </w:r>
      <w:r w:rsidR="001D77E2" w:rsidRPr="00664D3E">
        <w:rPr>
          <w:rFonts w:eastAsia="Calibri" w:cs="Arial"/>
          <w:color w:val="000000" w:themeColor="text1"/>
        </w:rPr>
        <w:t>6</w:t>
      </w:r>
      <w:r w:rsidR="00405C7F">
        <w:rPr>
          <w:rFonts w:eastAsia="Calibri" w:cs="Arial"/>
          <w:color w:val="000000" w:themeColor="text1"/>
        </w:rPr>
        <w:t>-17</w:t>
      </w:r>
      <w:r w:rsidRPr="00664D3E">
        <w:rPr>
          <w:rFonts w:eastAsia="Calibri" w:cs="Arial"/>
          <w:color w:val="000000" w:themeColor="text1"/>
        </w:rPr>
        <w:t>)</w:t>
      </w:r>
    </w:p>
    <w:p w14:paraId="55E294A6" w14:textId="28F9D418" w:rsidR="00D43545" w:rsidRPr="00664D3E" w:rsidRDefault="00D43545" w:rsidP="00D43545">
      <w:pPr>
        <w:spacing w:before="30"/>
        <w:rPr>
          <w:rFonts w:eastAsia="Calibri" w:cs="Arial"/>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3.</w:t>
      </w:r>
      <w:r w:rsidRPr="00664D3E">
        <w:rPr>
          <w:rFonts w:eastAsia="Calibri" w:cs="Arial"/>
          <w:color w:val="000000" w:themeColor="text1"/>
        </w:rPr>
        <w:t xml:space="preserve">3- </w:t>
      </w:r>
      <w:r w:rsidR="001D77E2" w:rsidRPr="00664D3E">
        <w:rPr>
          <w:rFonts w:eastAsia="Calibri" w:cs="Arial"/>
          <w:color w:val="000000" w:themeColor="text1"/>
        </w:rPr>
        <w:t>Data analysis</w:t>
      </w:r>
      <w:r w:rsidRPr="00664D3E">
        <w:rPr>
          <w:rFonts w:eastAsia="Calibri" w:cs="Arial"/>
          <w:color w:val="000000" w:themeColor="text1"/>
        </w:rPr>
        <w:t xml:space="preserve"> (Page 1</w:t>
      </w:r>
      <w:r w:rsidR="001D77E2" w:rsidRPr="00664D3E">
        <w:rPr>
          <w:rFonts w:eastAsia="Calibri" w:cs="Arial"/>
          <w:color w:val="000000" w:themeColor="text1"/>
        </w:rPr>
        <w:t>8</w:t>
      </w:r>
      <w:r w:rsidRPr="00664D3E">
        <w:rPr>
          <w:rFonts w:eastAsia="Calibri" w:cs="Arial"/>
          <w:color w:val="000000" w:themeColor="text1"/>
        </w:rPr>
        <w:t>)</w:t>
      </w:r>
    </w:p>
    <w:p w14:paraId="706D92F9" w14:textId="6AA5F91D" w:rsidR="00D43545" w:rsidRDefault="00D43545" w:rsidP="00D43545">
      <w:pPr>
        <w:spacing w:before="30"/>
        <w:rPr>
          <w:rFonts w:eastAsia="Calibri" w:cs="Arial"/>
          <w:color w:val="000000" w:themeColor="text1"/>
        </w:rPr>
      </w:pPr>
      <w:r w:rsidRPr="00664D3E">
        <w:rPr>
          <w:rFonts w:eastAsia="Calibri" w:cs="Arial"/>
          <w:color w:val="000000" w:themeColor="text1"/>
        </w:rPr>
        <w:t xml:space="preserve">Section </w:t>
      </w:r>
      <w:r w:rsidR="001D77E2" w:rsidRPr="00664D3E">
        <w:rPr>
          <w:rFonts w:eastAsia="Calibri" w:cs="Arial"/>
          <w:color w:val="000000" w:themeColor="text1"/>
        </w:rPr>
        <w:t>3.</w:t>
      </w:r>
      <w:r w:rsidRPr="00664D3E">
        <w:rPr>
          <w:rFonts w:eastAsia="Calibri" w:cs="Arial"/>
          <w:color w:val="000000" w:themeColor="text1"/>
        </w:rPr>
        <w:t xml:space="preserve">4- </w:t>
      </w:r>
      <w:r w:rsidR="001D77E2" w:rsidRPr="00664D3E">
        <w:rPr>
          <w:rFonts w:eastAsia="Calibri" w:cs="Arial"/>
          <w:color w:val="000000" w:themeColor="text1"/>
        </w:rPr>
        <w:t>Limitations and potential problems</w:t>
      </w:r>
      <w:r w:rsidRPr="00664D3E">
        <w:rPr>
          <w:rFonts w:eastAsia="Calibri" w:cs="Arial"/>
          <w:color w:val="000000" w:themeColor="text1"/>
        </w:rPr>
        <w:t xml:space="preserve"> (Page 1</w:t>
      </w:r>
      <w:r w:rsidR="001D77E2" w:rsidRPr="00664D3E">
        <w:rPr>
          <w:rFonts w:eastAsia="Calibri" w:cs="Arial"/>
          <w:color w:val="000000" w:themeColor="text1"/>
        </w:rPr>
        <w:t>8</w:t>
      </w:r>
      <w:r w:rsidRPr="00664D3E">
        <w:rPr>
          <w:rFonts w:eastAsia="Calibri" w:cs="Arial"/>
          <w:color w:val="000000" w:themeColor="text1"/>
        </w:rPr>
        <w:t>)</w:t>
      </w:r>
    </w:p>
    <w:p w14:paraId="6F56486D" w14:textId="1FA657D0" w:rsidR="00405C7F" w:rsidRPr="00664D3E" w:rsidRDefault="00405C7F" w:rsidP="00D43545">
      <w:pPr>
        <w:spacing w:before="30"/>
        <w:rPr>
          <w:rFonts w:eastAsia="Calibri" w:cs="Arial"/>
          <w:color w:val="000000" w:themeColor="text1"/>
        </w:rPr>
      </w:pPr>
      <w:r>
        <w:rPr>
          <w:rFonts w:eastAsia="Calibri" w:cs="Arial"/>
          <w:color w:val="000000" w:themeColor="text1"/>
        </w:rPr>
        <w:t>Section 3.5 – Conclusion (Page 19)</w:t>
      </w:r>
    </w:p>
    <w:p w14:paraId="1E11D8A0" w14:textId="77777777" w:rsidR="00664D3E" w:rsidRDefault="00664D3E" w:rsidP="00D43545">
      <w:pPr>
        <w:spacing w:before="30"/>
        <w:rPr>
          <w:rFonts w:eastAsia="Calibri" w:cs="Arial"/>
          <w:b/>
          <w:bCs/>
          <w:color w:val="000000" w:themeColor="text1"/>
        </w:rPr>
      </w:pPr>
    </w:p>
    <w:p w14:paraId="4AC414CC" w14:textId="208EB711" w:rsidR="00D43545" w:rsidRPr="00664D3E" w:rsidRDefault="00D43545" w:rsidP="00D43545">
      <w:pPr>
        <w:spacing w:before="30"/>
        <w:rPr>
          <w:rFonts w:eastAsia="Calibri" w:cs="Arial"/>
          <w:b/>
          <w:bCs/>
          <w:color w:val="000000" w:themeColor="text1"/>
        </w:rPr>
      </w:pPr>
      <w:r w:rsidRPr="00664D3E">
        <w:rPr>
          <w:rFonts w:eastAsia="Calibri" w:cs="Arial"/>
          <w:b/>
          <w:bCs/>
          <w:color w:val="000000" w:themeColor="text1"/>
        </w:rPr>
        <w:t xml:space="preserve">Chapter Four- </w:t>
      </w:r>
      <w:r w:rsidR="0016295D" w:rsidRPr="00664D3E">
        <w:rPr>
          <w:rFonts w:eastAsia="Calibri" w:cs="Arial"/>
          <w:b/>
          <w:bCs/>
          <w:color w:val="000000" w:themeColor="text1"/>
        </w:rPr>
        <w:t>Results</w:t>
      </w:r>
      <w:r w:rsidRPr="00664D3E">
        <w:rPr>
          <w:rFonts w:eastAsia="Calibri" w:cs="Arial"/>
          <w:color w:val="000000" w:themeColor="text1"/>
        </w:rPr>
        <w:t xml:space="preserve"> (Pages </w:t>
      </w:r>
      <w:r w:rsidR="00664D3E" w:rsidRPr="00664D3E">
        <w:rPr>
          <w:rFonts w:eastAsia="Calibri" w:cs="Arial"/>
          <w:color w:val="000000" w:themeColor="text1"/>
        </w:rPr>
        <w:t>20</w:t>
      </w:r>
      <w:r w:rsidRPr="00664D3E">
        <w:rPr>
          <w:rFonts w:eastAsia="Calibri" w:cs="Arial"/>
          <w:color w:val="000000" w:themeColor="text1"/>
        </w:rPr>
        <w:t>-25)</w:t>
      </w:r>
    </w:p>
    <w:p w14:paraId="5C2BD942" w14:textId="77777777" w:rsidR="00664D3E" w:rsidRDefault="00664D3E" w:rsidP="00D43545">
      <w:pPr>
        <w:spacing w:before="30"/>
        <w:rPr>
          <w:rFonts w:eastAsia="Calibri" w:cs="Arial"/>
          <w:b/>
          <w:bCs/>
          <w:color w:val="000000" w:themeColor="text1"/>
        </w:rPr>
      </w:pPr>
    </w:p>
    <w:p w14:paraId="5F5EBA10" w14:textId="2DB0369C" w:rsidR="00D43545" w:rsidRPr="00664D3E" w:rsidRDefault="00D43545" w:rsidP="00D43545">
      <w:pPr>
        <w:spacing w:before="30"/>
        <w:rPr>
          <w:rFonts w:eastAsia="Calibri" w:cs="Arial"/>
          <w:color w:val="000000" w:themeColor="text1"/>
        </w:rPr>
      </w:pPr>
      <w:r w:rsidRPr="00664D3E">
        <w:rPr>
          <w:rFonts w:eastAsia="Calibri" w:cs="Arial"/>
          <w:b/>
          <w:bCs/>
          <w:color w:val="000000" w:themeColor="text1"/>
        </w:rPr>
        <w:t xml:space="preserve">Chapter Five- </w:t>
      </w:r>
      <w:r w:rsidR="00664D3E" w:rsidRPr="00664D3E">
        <w:rPr>
          <w:rFonts w:eastAsia="Calibri" w:cs="Arial"/>
          <w:b/>
          <w:bCs/>
          <w:color w:val="000000" w:themeColor="text1"/>
        </w:rPr>
        <w:t>Findings</w:t>
      </w:r>
      <w:r w:rsidRPr="00664D3E">
        <w:rPr>
          <w:rFonts w:eastAsia="Calibri" w:cs="Arial"/>
          <w:b/>
          <w:bCs/>
          <w:color w:val="000000" w:themeColor="text1"/>
        </w:rPr>
        <w:t xml:space="preserve"> and Recommendations </w:t>
      </w:r>
      <w:r w:rsidRPr="00664D3E">
        <w:rPr>
          <w:rFonts w:eastAsia="Calibri" w:cs="Arial"/>
          <w:color w:val="000000" w:themeColor="text1"/>
        </w:rPr>
        <w:t>(Pages 26</w:t>
      </w:r>
      <w:r w:rsidR="00664D3E" w:rsidRPr="00664D3E">
        <w:rPr>
          <w:rFonts w:eastAsia="Calibri" w:cs="Arial"/>
          <w:color w:val="000000" w:themeColor="text1"/>
        </w:rPr>
        <w:t>-28</w:t>
      </w:r>
      <w:r w:rsidRPr="00664D3E">
        <w:rPr>
          <w:rFonts w:eastAsia="Calibri" w:cs="Arial"/>
          <w:color w:val="000000" w:themeColor="text1"/>
        </w:rPr>
        <w:t>)</w:t>
      </w:r>
    </w:p>
    <w:p w14:paraId="13AD8824" w14:textId="2C742F99" w:rsidR="00664D3E" w:rsidRPr="00664D3E" w:rsidRDefault="00664D3E" w:rsidP="00D43545">
      <w:pPr>
        <w:spacing w:before="30"/>
        <w:rPr>
          <w:rFonts w:eastAsia="Calibri" w:cs="Arial"/>
          <w:color w:val="000000" w:themeColor="text1"/>
        </w:rPr>
      </w:pPr>
      <w:r w:rsidRPr="00664D3E">
        <w:rPr>
          <w:rFonts w:eastAsia="Calibri" w:cs="Arial"/>
          <w:color w:val="000000" w:themeColor="text1"/>
        </w:rPr>
        <w:t>Section 5.1 – Findings</w:t>
      </w:r>
      <w:r w:rsidR="00405C7F">
        <w:rPr>
          <w:rFonts w:eastAsia="Calibri" w:cs="Arial"/>
          <w:color w:val="000000" w:themeColor="text1"/>
        </w:rPr>
        <w:t xml:space="preserve"> (Page 26-27)</w:t>
      </w:r>
    </w:p>
    <w:p w14:paraId="66F2285E" w14:textId="3CA7AB36" w:rsidR="00664D3E" w:rsidRPr="00664D3E" w:rsidRDefault="00664D3E" w:rsidP="00D43545">
      <w:pPr>
        <w:spacing w:before="30"/>
        <w:rPr>
          <w:rFonts w:eastAsia="Calibri" w:cs="Arial"/>
          <w:b/>
          <w:bCs/>
          <w:color w:val="000000" w:themeColor="text1"/>
        </w:rPr>
      </w:pPr>
      <w:r w:rsidRPr="00664D3E">
        <w:rPr>
          <w:rFonts w:eastAsia="Calibri" w:cs="Arial"/>
          <w:color w:val="000000" w:themeColor="text1"/>
        </w:rPr>
        <w:t xml:space="preserve">Section 5.2 </w:t>
      </w:r>
      <w:r w:rsidR="00405C7F">
        <w:rPr>
          <w:rFonts w:eastAsia="Calibri" w:cs="Arial"/>
          <w:color w:val="000000" w:themeColor="text1"/>
        </w:rPr>
        <w:t>–</w:t>
      </w:r>
      <w:r w:rsidRPr="00664D3E">
        <w:rPr>
          <w:rFonts w:eastAsia="Calibri" w:cs="Arial"/>
          <w:color w:val="000000" w:themeColor="text1"/>
        </w:rPr>
        <w:t xml:space="preserve"> Recommendations</w:t>
      </w:r>
      <w:r w:rsidR="00405C7F">
        <w:rPr>
          <w:rFonts w:eastAsia="Calibri" w:cs="Arial"/>
          <w:color w:val="000000" w:themeColor="text1"/>
        </w:rPr>
        <w:t xml:space="preserve"> (Page 28)</w:t>
      </w:r>
    </w:p>
    <w:p w14:paraId="7A9765A2" w14:textId="77777777" w:rsidR="00664D3E" w:rsidRDefault="00664D3E" w:rsidP="00D43545">
      <w:pPr>
        <w:spacing w:before="30"/>
        <w:rPr>
          <w:rFonts w:eastAsia="Calibri" w:cs="Arial"/>
          <w:b/>
          <w:bCs/>
          <w:color w:val="000000" w:themeColor="text1"/>
        </w:rPr>
      </w:pPr>
    </w:p>
    <w:p w14:paraId="4B81F0E8" w14:textId="193AA9F9" w:rsidR="00D43545" w:rsidRPr="00664D3E" w:rsidRDefault="00664D3E" w:rsidP="00D43545">
      <w:pPr>
        <w:spacing w:before="30"/>
        <w:rPr>
          <w:rFonts w:eastAsia="Calibri" w:cs="Arial"/>
          <w:color w:val="000000" w:themeColor="text1"/>
        </w:rPr>
      </w:pPr>
      <w:r w:rsidRPr="00664D3E">
        <w:rPr>
          <w:rFonts w:eastAsia="Calibri" w:cs="Arial"/>
          <w:b/>
          <w:bCs/>
          <w:color w:val="000000" w:themeColor="text1"/>
        </w:rPr>
        <w:t>Bibliography</w:t>
      </w:r>
      <w:r w:rsidR="00D43545" w:rsidRPr="00664D3E">
        <w:rPr>
          <w:rFonts w:eastAsia="Calibri" w:cs="Arial"/>
          <w:b/>
          <w:bCs/>
          <w:color w:val="000000" w:themeColor="text1"/>
        </w:rPr>
        <w:t xml:space="preserve"> </w:t>
      </w:r>
      <w:r w:rsidR="00D43545" w:rsidRPr="00664D3E">
        <w:rPr>
          <w:rFonts w:eastAsia="Calibri" w:cs="Arial"/>
          <w:color w:val="000000" w:themeColor="text1"/>
        </w:rPr>
        <w:t>(Pages 2</w:t>
      </w:r>
      <w:r w:rsidRPr="00664D3E">
        <w:rPr>
          <w:rFonts w:eastAsia="Calibri" w:cs="Arial"/>
          <w:color w:val="000000" w:themeColor="text1"/>
        </w:rPr>
        <w:t>9</w:t>
      </w:r>
      <w:r w:rsidR="00D43545" w:rsidRPr="00664D3E">
        <w:rPr>
          <w:rFonts w:eastAsia="Calibri" w:cs="Arial"/>
          <w:color w:val="000000" w:themeColor="text1"/>
        </w:rPr>
        <w:t>-3</w:t>
      </w:r>
      <w:r w:rsidRPr="00664D3E">
        <w:rPr>
          <w:rFonts w:eastAsia="Calibri" w:cs="Arial"/>
          <w:color w:val="000000" w:themeColor="text1"/>
        </w:rPr>
        <w:t>9</w:t>
      </w:r>
      <w:r w:rsidR="00D43545" w:rsidRPr="00664D3E">
        <w:rPr>
          <w:rFonts w:eastAsia="Calibri" w:cs="Arial"/>
          <w:color w:val="000000" w:themeColor="text1"/>
        </w:rPr>
        <w:t>)</w:t>
      </w:r>
    </w:p>
    <w:p w14:paraId="24F28129" w14:textId="77777777" w:rsidR="00DE4A05" w:rsidRPr="00664D3E" w:rsidRDefault="00DE4A05">
      <w:pPr>
        <w:rPr>
          <w:rFonts w:cs="Arial"/>
        </w:rPr>
      </w:pPr>
      <w:r w:rsidRPr="00664D3E">
        <w:rPr>
          <w:rFonts w:cs="Arial"/>
        </w:rPr>
        <w:br w:type="page"/>
      </w:r>
    </w:p>
    <w:p w14:paraId="349B5E8D" w14:textId="5770F25D" w:rsidR="00DE4A05" w:rsidRPr="00D43545" w:rsidRDefault="00DB394D" w:rsidP="00D43545">
      <w:pPr>
        <w:rPr>
          <w:b/>
          <w:bCs/>
          <w:u w:val="single"/>
        </w:rPr>
      </w:pPr>
      <w:r w:rsidRPr="00D43545">
        <w:rPr>
          <w:b/>
          <w:bCs/>
          <w:u w:val="single"/>
        </w:rPr>
        <w:lastRenderedPageBreak/>
        <w:t xml:space="preserve">Chapter </w:t>
      </w:r>
      <w:r w:rsidR="00664D3E">
        <w:rPr>
          <w:b/>
          <w:bCs/>
          <w:u w:val="single"/>
        </w:rPr>
        <w:t>one</w:t>
      </w:r>
      <w:r w:rsidRPr="00D43545">
        <w:rPr>
          <w:b/>
          <w:bCs/>
          <w:u w:val="single"/>
        </w:rPr>
        <w:t xml:space="preserve"> </w:t>
      </w:r>
      <w:r w:rsidR="00D43545" w:rsidRPr="00D43545">
        <w:rPr>
          <w:b/>
          <w:bCs/>
          <w:u w:val="single"/>
        </w:rPr>
        <w:t>–</w:t>
      </w:r>
      <w:r w:rsidRPr="00D43545">
        <w:rPr>
          <w:b/>
          <w:bCs/>
          <w:u w:val="single"/>
        </w:rPr>
        <w:t xml:space="preserve"> </w:t>
      </w:r>
      <w:r w:rsidR="00DE4A05" w:rsidRPr="00D43545">
        <w:rPr>
          <w:b/>
          <w:bCs/>
          <w:u w:val="single"/>
        </w:rPr>
        <w:t>Introduction</w:t>
      </w:r>
    </w:p>
    <w:p w14:paraId="7F9DE45C" w14:textId="77777777" w:rsidR="00D43545" w:rsidRPr="0020260E" w:rsidRDefault="00D43545" w:rsidP="00C36C8A"/>
    <w:p w14:paraId="1D9FE2DD" w14:textId="3794DCAB" w:rsidR="003003E5" w:rsidRDefault="003003E5" w:rsidP="00C36C8A">
      <w:r w:rsidRPr="0020260E">
        <w:t xml:space="preserve">County line exploitation is a rising concern in organised crime, in which criminal networks utilise mobile phone lines to market illegal drugs in both urban and rural locations. </w:t>
      </w:r>
      <w:r w:rsidRPr="0020260E">
        <w:rPr>
          <w:rFonts w:eastAsia="Times New Roman"/>
          <w:kern w:val="0"/>
          <w:lang w:eastAsia="en-GB"/>
          <w14:ligatures w14:val="none"/>
        </w:rPr>
        <w:t xml:space="preserve">Major cities such as London, Birmingham, and Manchester often serve as the hubs for these operations, with drugs being transported to smaller towns and rural areas. </w:t>
      </w:r>
      <w:r w:rsidRPr="0020260E">
        <w:t xml:space="preserve">To reduce risk and maximise earnings, these networks rely on the exploitation of young people and vulnerable </w:t>
      </w:r>
      <w:r w:rsidR="00DF39A9">
        <w:t>individuals</w:t>
      </w:r>
      <w:r w:rsidRPr="0020260E">
        <w:t xml:space="preserve">, many of whom are as young as </w:t>
      </w:r>
      <w:r w:rsidR="00DF39A9">
        <w:t>twelve</w:t>
      </w:r>
      <w:r w:rsidRPr="0020260E">
        <w:t xml:space="preserve">. These youngsters are </w:t>
      </w:r>
      <w:r w:rsidR="00D23C7C" w:rsidRPr="0020260E">
        <w:t>groomed</w:t>
      </w:r>
      <w:r w:rsidR="00D23C7C">
        <w:t xml:space="preserve">, </w:t>
      </w:r>
      <w:r w:rsidR="00D23C7C" w:rsidRPr="0020260E">
        <w:t>with</w:t>
      </w:r>
      <w:r w:rsidRPr="0020260E">
        <w:t xml:space="preserve"> promises of money, safety, or belonging, which perpetuates a cycle of crime and cruelty. Parental awareness is crucial in protecting children from county lines exploitation, but research indicates a gap in knowledge and detection of indications of exploitation. Parents sometimes misinterpret indicators of exploitation as normal teenage behaviour, leaving their children exposed to further abuse. </w:t>
      </w:r>
      <w:r w:rsidRPr="0020260E">
        <w:rPr>
          <w:rFonts w:eastAsia="Times New Roman"/>
          <w:kern w:val="0"/>
          <w:lang w:eastAsia="en-GB"/>
          <w14:ligatures w14:val="none"/>
        </w:rPr>
        <w:t xml:space="preserve">Many parents may not be aware that their children are at risk or are already involved in county lines activities. Without adequate knowledge and resources, parents are ill-equipped to intervene effectively, leaving their children vulnerable to ongoing </w:t>
      </w:r>
      <w:r w:rsidRPr="008C6F92">
        <w:t>exploitation</w:t>
      </w:r>
      <w:r w:rsidR="008C6F92" w:rsidRPr="008C6F92">
        <w:t xml:space="preserve"> </w:t>
      </w:r>
      <w:r w:rsidR="008C6F92" w:rsidRPr="008C6F92">
        <w:rPr>
          <w:lang w:eastAsia="en-GB"/>
        </w:rPr>
        <w:t>(Dando, Ormerod and Atkinson-Sheppard, 2022)</w:t>
      </w:r>
      <w:r w:rsidRPr="008C6F92">
        <w:t xml:space="preserve">. Education is </w:t>
      </w:r>
      <w:r w:rsidR="00DF39A9">
        <w:t>vital</w:t>
      </w:r>
      <w:r w:rsidRPr="008C6F92">
        <w:t xml:space="preserve"> in reduci</w:t>
      </w:r>
      <w:r w:rsidRPr="0020260E">
        <w:t xml:space="preserve">ng county line exploitation. Schools, community groups, and government agencies </w:t>
      </w:r>
      <w:r w:rsidRPr="0020260E">
        <w:rPr>
          <w:rFonts w:eastAsia="Times New Roman"/>
          <w:kern w:val="0"/>
          <w:lang w:eastAsia="en-GB"/>
          <w14:ligatures w14:val="none"/>
        </w:rPr>
        <w:t xml:space="preserve">recognise the need to implement comprehensive educational programs aimed at both children and parents however funding and resourcing has </w:t>
      </w:r>
      <w:r w:rsidR="00D23C7C" w:rsidRPr="0020260E">
        <w:rPr>
          <w:rFonts w:eastAsia="Times New Roman"/>
          <w:kern w:val="0"/>
          <w:lang w:eastAsia="en-GB"/>
          <w14:ligatures w14:val="none"/>
        </w:rPr>
        <w:t>an enormous impact</w:t>
      </w:r>
      <w:r w:rsidRPr="0020260E">
        <w:rPr>
          <w:rFonts w:eastAsia="Times New Roman"/>
          <w:kern w:val="0"/>
          <w:lang w:eastAsia="en-GB"/>
          <w14:ligatures w14:val="none"/>
        </w:rPr>
        <w:t xml:space="preserve"> on how much focus can be given to the education. Additionally, schools often serve as a bridge between families and law enforcement, facilitating reporting and intervention when necessary. As awareness rises and educational measures expand, there is hope that the trend will turn against child exploitation in county-line activities.</w:t>
      </w:r>
      <w:r w:rsidR="002F58BC" w:rsidRPr="0020260E">
        <w:rPr>
          <w:rFonts w:eastAsia="Times New Roman"/>
          <w:kern w:val="0"/>
          <w:lang w:eastAsia="en-GB"/>
          <w14:ligatures w14:val="none"/>
        </w:rPr>
        <w:t xml:space="preserve"> Equally, </w:t>
      </w:r>
      <w:r w:rsidR="005A7788" w:rsidRPr="0020260E">
        <w:rPr>
          <w:rFonts w:eastAsia="Times New Roman"/>
          <w:kern w:val="0"/>
          <w:lang w:eastAsia="en-GB"/>
          <w14:ligatures w14:val="none"/>
        </w:rPr>
        <w:t>frontline police workers have a crucial role in educating and detecting persons at risk, especially during everyday interactions with the public and as first responders to crisis situations</w:t>
      </w:r>
      <w:r w:rsidR="002F58BC" w:rsidRPr="0020260E">
        <w:rPr>
          <w:rFonts w:eastAsia="Times New Roman"/>
          <w:kern w:val="0"/>
          <w:lang w:eastAsia="en-GB"/>
          <w14:ligatures w14:val="none"/>
        </w:rPr>
        <w:t xml:space="preserve"> </w:t>
      </w:r>
      <w:r w:rsidR="002F58BC" w:rsidRPr="0020260E">
        <w:t>(Longstaff et al, 2015).</w:t>
      </w:r>
    </w:p>
    <w:p w14:paraId="3D950B30" w14:textId="77777777" w:rsidR="002056D4" w:rsidRPr="008C6F92" w:rsidRDefault="002056D4" w:rsidP="00C36C8A">
      <w:pPr>
        <w:rPr>
          <w:rFonts w:ascii="Times New Roman" w:eastAsia="Times New Roman" w:hAnsi="Times New Roman" w:cs="Times New Roman"/>
          <w:kern w:val="0"/>
          <w:szCs w:val="24"/>
          <w:lang w:eastAsia="en-GB"/>
          <w14:ligatures w14:val="none"/>
        </w:rPr>
      </w:pPr>
    </w:p>
    <w:p w14:paraId="599BA0B3" w14:textId="675F86C8" w:rsidR="0020260E" w:rsidRPr="00C36C8A" w:rsidRDefault="00137E18" w:rsidP="00DF39A9">
      <w:pPr>
        <w:rPr>
          <w:rFonts w:ascii="Times New Roman" w:eastAsia="Times New Roman" w:hAnsi="Times New Roman" w:cs="Times New Roman"/>
          <w:kern w:val="0"/>
          <w:szCs w:val="24"/>
          <w:lang w:eastAsia="en-GB"/>
          <w14:ligatures w14:val="none"/>
        </w:rPr>
      </w:pPr>
      <w:r w:rsidRPr="0020260E">
        <w:rPr>
          <w:lang w:eastAsia="en-GB"/>
        </w:rPr>
        <w:t>This study and title seek to determine the level of knowledge there is amongst parents</w:t>
      </w:r>
      <w:r w:rsidR="00267CB9">
        <w:rPr>
          <w:lang w:eastAsia="en-GB"/>
        </w:rPr>
        <w:t xml:space="preserve"> and those responsible for educating and influencing children</w:t>
      </w:r>
      <w:r w:rsidRPr="0020260E">
        <w:rPr>
          <w:lang w:eastAsia="en-GB"/>
        </w:rPr>
        <w:t xml:space="preserve"> on </w:t>
      </w:r>
      <w:r w:rsidR="00267CB9">
        <w:rPr>
          <w:lang w:eastAsia="en-GB"/>
        </w:rPr>
        <w:t>c</w:t>
      </w:r>
      <w:r w:rsidRPr="0020260E">
        <w:rPr>
          <w:lang w:eastAsia="en-GB"/>
        </w:rPr>
        <w:t xml:space="preserve">ounty </w:t>
      </w:r>
      <w:r w:rsidR="00267CB9">
        <w:rPr>
          <w:lang w:eastAsia="en-GB"/>
        </w:rPr>
        <w:t>l</w:t>
      </w:r>
      <w:r w:rsidRPr="0020260E">
        <w:rPr>
          <w:lang w:eastAsia="en-GB"/>
        </w:rPr>
        <w:t>ines</w:t>
      </w:r>
      <w:r w:rsidR="00267CB9">
        <w:rPr>
          <w:lang w:eastAsia="en-GB"/>
        </w:rPr>
        <w:t>,</w:t>
      </w:r>
      <w:r w:rsidRPr="0020260E">
        <w:rPr>
          <w:lang w:eastAsia="en-GB"/>
        </w:rPr>
        <w:t xml:space="preserve"> and the volume of education, if any, there is </w:t>
      </w:r>
      <w:r w:rsidR="00267CB9">
        <w:rPr>
          <w:lang w:eastAsia="en-GB"/>
        </w:rPr>
        <w:t>o</w:t>
      </w:r>
      <w:r w:rsidRPr="0020260E">
        <w:rPr>
          <w:lang w:eastAsia="en-GB"/>
        </w:rPr>
        <w:t xml:space="preserve">n the subject. The research will target certain objectives. </w:t>
      </w:r>
      <w:r w:rsidR="00267CB9">
        <w:rPr>
          <w:lang w:eastAsia="en-GB"/>
        </w:rPr>
        <w:t>This study</w:t>
      </w:r>
      <w:r w:rsidRPr="0020260E">
        <w:rPr>
          <w:lang w:eastAsia="en-GB"/>
        </w:rPr>
        <w:t xml:space="preserve"> will </w:t>
      </w:r>
      <w:r w:rsidR="00267CB9">
        <w:rPr>
          <w:lang w:eastAsia="en-GB"/>
        </w:rPr>
        <w:t>analyse</w:t>
      </w:r>
      <w:r w:rsidR="00005044" w:rsidRPr="0020260E">
        <w:rPr>
          <w:lang w:eastAsia="en-GB"/>
        </w:rPr>
        <w:t xml:space="preserve"> if</w:t>
      </w:r>
      <w:r w:rsidR="00005044" w:rsidRPr="0020260E">
        <w:t xml:space="preserve"> there enough education on </w:t>
      </w:r>
      <w:r w:rsidR="00267CB9">
        <w:t>c</w:t>
      </w:r>
      <w:r w:rsidR="00005044" w:rsidRPr="0020260E">
        <w:t xml:space="preserve">ounty </w:t>
      </w:r>
      <w:r w:rsidR="00267CB9">
        <w:t>l</w:t>
      </w:r>
      <w:r w:rsidR="00005044" w:rsidRPr="0020260E">
        <w:t>ines for children and i</w:t>
      </w:r>
      <w:r w:rsidR="00267CB9">
        <w:t>f</w:t>
      </w:r>
      <w:r w:rsidR="00005044" w:rsidRPr="0020260E">
        <w:t xml:space="preserve"> there enough awareness for parents and vulnerable people to </w:t>
      </w:r>
      <w:r w:rsidR="00005044" w:rsidRPr="0020260E">
        <w:lastRenderedPageBreak/>
        <w:t>prevent exploitation. These objectives will contribute to answering the overall question of the project.</w:t>
      </w:r>
      <w:r w:rsidR="0020260E" w:rsidRPr="0020260E">
        <w:t xml:space="preserve"> </w:t>
      </w:r>
      <w:r w:rsidR="00005044" w:rsidRPr="0020260E">
        <w:t xml:space="preserve">The subject of this research is essential in the upbringing of children in society to protect them from the gangs that operate </w:t>
      </w:r>
      <w:r w:rsidR="00D55AB3" w:rsidRPr="0020260E">
        <w:t>to exploit them. Exploitation of these youths is abuse and n</w:t>
      </w:r>
      <w:r w:rsidR="00D55AB3" w:rsidRPr="0020260E">
        <w:rPr>
          <w:lang w:eastAsia="en-GB"/>
        </w:rPr>
        <w:t xml:space="preserve">eglect which has a significant impact on children's development and welfare, with long-term consequences including emotional, behavioural, and interpersonal difficulties, mental health disorders, learning difficulties, academic achievement, juvenile delinquency, criminal activities, and violence in </w:t>
      </w:r>
      <w:r w:rsidR="00D55AB3" w:rsidRPr="00C36C8A">
        <w:t>adulthood</w:t>
      </w:r>
      <w:r w:rsidR="00C36C8A" w:rsidRPr="00C36C8A">
        <w:t xml:space="preserve"> </w:t>
      </w:r>
      <w:r w:rsidR="00C36C8A" w:rsidRPr="00C36C8A">
        <w:rPr>
          <w:lang w:eastAsia="en-GB"/>
        </w:rPr>
        <w:t>(Edinburgh et al., 2015)</w:t>
      </w:r>
      <w:r w:rsidR="00D55AB3" w:rsidRPr="00C36C8A">
        <w:t>. Parents</w:t>
      </w:r>
      <w:r w:rsidR="00D55AB3" w:rsidRPr="0020260E">
        <w:rPr>
          <w:lang w:eastAsia="en-GB"/>
        </w:rPr>
        <w:t xml:space="preserve"> of neglected children are frequently neglected themselves, implying generational transfer of parenting methods (Avdibegovi and Brki, 2020).</w:t>
      </w:r>
      <w:r w:rsidR="0020260E" w:rsidRPr="0020260E">
        <w:rPr>
          <w:lang w:eastAsia="en-GB"/>
        </w:rPr>
        <w:t xml:space="preserve"> </w:t>
      </w:r>
      <w:r w:rsidR="0020260E" w:rsidRPr="0020260E">
        <w:rPr>
          <w:rFonts w:eastAsia="Times New Roman"/>
          <w:kern w:val="0"/>
          <w:lang w:eastAsia="en-GB"/>
          <w14:ligatures w14:val="none"/>
        </w:rPr>
        <w:t xml:space="preserve">This study will be undertaken by utilising multiple online resources, checking for creditability, including, journals, books, statistical data, thesis databases, and encyclopaedias. A survey will be prepared with a multiple-choice format. The questions will </w:t>
      </w:r>
      <w:r w:rsidR="00D23C7C" w:rsidRPr="0020260E">
        <w:rPr>
          <w:rFonts w:eastAsia="Times New Roman"/>
          <w:kern w:val="0"/>
          <w:lang w:eastAsia="en-GB"/>
          <w14:ligatures w14:val="none"/>
        </w:rPr>
        <w:t>be designed</w:t>
      </w:r>
      <w:r w:rsidR="0020260E" w:rsidRPr="0020260E">
        <w:rPr>
          <w:rFonts w:eastAsia="Times New Roman"/>
          <w:kern w:val="0"/>
          <w:lang w:eastAsia="en-GB"/>
          <w14:ligatures w14:val="none"/>
        </w:rPr>
        <w:t xml:space="preserve"> to gather information relevant to the aims and overall conclusion of the question. </w:t>
      </w:r>
    </w:p>
    <w:p w14:paraId="6DC8DDBE" w14:textId="4270E6F1" w:rsidR="00D55AB3" w:rsidRDefault="00D55AB3" w:rsidP="00D43545">
      <w:pPr>
        <w:rPr>
          <w:lang w:eastAsia="en-GB"/>
        </w:rPr>
      </w:pPr>
    </w:p>
    <w:p w14:paraId="352958BD" w14:textId="72E68DF5" w:rsidR="00D55AB3" w:rsidRPr="00D55AB3" w:rsidRDefault="00D55AB3" w:rsidP="00D43545">
      <w:pPr>
        <w:rPr>
          <w:rFonts w:eastAsia="Times New Roman"/>
          <w:kern w:val="0"/>
          <w:lang w:eastAsia="en-GB"/>
          <w14:ligatures w14:val="none"/>
        </w:rPr>
      </w:pPr>
    </w:p>
    <w:p w14:paraId="038666E2" w14:textId="0E3E2C38" w:rsidR="002F58BC" w:rsidRDefault="002F58BC" w:rsidP="00D43545">
      <w:r>
        <w:br w:type="page"/>
      </w:r>
    </w:p>
    <w:p w14:paraId="567BFBCA" w14:textId="2930D474" w:rsidR="00DB394D" w:rsidRPr="00D43545" w:rsidRDefault="00DB394D" w:rsidP="00D43545">
      <w:pPr>
        <w:rPr>
          <w:b/>
          <w:bCs/>
          <w:u w:val="single"/>
        </w:rPr>
      </w:pPr>
      <w:r w:rsidRPr="00D43545">
        <w:rPr>
          <w:b/>
          <w:bCs/>
          <w:u w:val="single"/>
        </w:rPr>
        <w:lastRenderedPageBreak/>
        <w:t xml:space="preserve">Chapter </w:t>
      </w:r>
      <w:r w:rsidR="00664D3E">
        <w:rPr>
          <w:b/>
          <w:bCs/>
          <w:u w:val="single"/>
        </w:rPr>
        <w:t>two</w:t>
      </w:r>
      <w:r w:rsidRPr="00D43545">
        <w:rPr>
          <w:b/>
          <w:bCs/>
          <w:u w:val="single"/>
        </w:rPr>
        <w:t xml:space="preserve"> – Literature Review</w:t>
      </w:r>
    </w:p>
    <w:p w14:paraId="35A2EBCB" w14:textId="77777777" w:rsidR="00D43545" w:rsidRDefault="00D43545" w:rsidP="00D43545"/>
    <w:p w14:paraId="787A3A24" w14:textId="77777777" w:rsidR="00DB394D" w:rsidRPr="00D43545" w:rsidRDefault="00DB394D" w:rsidP="00D43545">
      <w:pPr>
        <w:rPr>
          <w:rFonts w:cs="Arial"/>
          <w:b/>
          <w:bCs/>
          <w:u w:val="single"/>
        </w:rPr>
      </w:pPr>
      <w:r w:rsidRPr="00D43545">
        <w:rPr>
          <w:rFonts w:cs="Arial"/>
          <w:b/>
          <w:bCs/>
          <w:u w:val="single"/>
        </w:rPr>
        <w:t>2.1 Introduction to county lines</w:t>
      </w:r>
    </w:p>
    <w:p w14:paraId="1BFF28A5" w14:textId="77777777" w:rsidR="00D43545" w:rsidRPr="00621FB1" w:rsidRDefault="00D43545" w:rsidP="00D43545">
      <w:pPr>
        <w:rPr>
          <w:rFonts w:cs="Arial"/>
        </w:rPr>
      </w:pPr>
    </w:p>
    <w:p w14:paraId="041563BA" w14:textId="7B4587FF" w:rsidR="00DB394D" w:rsidRPr="00621FB1" w:rsidRDefault="00DB394D" w:rsidP="00D43545">
      <w:pPr>
        <w:rPr>
          <w:rFonts w:eastAsia="Times New Roman" w:cs="Arial"/>
          <w:kern w:val="0"/>
          <w:lang w:eastAsia="en-GB"/>
          <w14:ligatures w14:val="none"/>
        </w:rPr>
      </w:pPr>
      <w:r w:rsidRPr="007975D1">
        <w:rPr>
          <w:rFonts w:eastAsia="Times New Roman" w:cs="Arial"/>
          <w:kern w:val="0"/>
          <w:lang w:eastAsia="en-GB"/>
          <w14:ligatures w14:val="none"/>
        </w:rPr>
        <w:t xml:space="preserve">This literature review </w:t>
      </w:r>
      <w:r w:rsidRPr="00621FB1">
        <w:rPr>
          <w:rFonts w:eastAsia="Times New Roman" w:cs="Arial"/>
          <w:kern w:val="0"/>
          <w:lang w:eastAsia="en-GB"/>
          <w14:ligatures w14:val="none"/>
        </w:rPr>
        <w:t>analyses</w:t>
      </w:r>
      <w:r w:rsidRPr="007975D1">
        <w:rPr>
          <w:rFonts w:eastAsia="Times New Roman" w:cs="Arial"/>
          <w:kern w:val="0"/>
          <w:lang w:eastAsia="en-GB"/>
          <w14:ligatures w14:val="none"/>
        </w:rPr>
        <w:t xml:space="preserve"> the education and interventions for children in preventing child criminal exploitation in county lines. It discusses the characteristics of victims and defines criminal exploitation and human trafficking. Children are vulnerable groups and easy targets for criminals, making it crucial to educate them to protect themselves. The aim is to explore if there is enough knowledge and education for children and their parents to prevent exploitation by gangs. The Home Office (2017) uses</w:t>
      </w:r>
      <w:r w:rsidR="00267CB9">
        <w:rPr>
          <w:rFonts w:eastAsia="Times New Roman" w:cs="Arial"/>
          <w:kern w:val="0"/>
          <w:lang w:eastAsia="en-GB"/>
          <w14:ligatures w14:val="none"/>
        </w:rPr>
        <w:t xml:space="preserve"> the term</w:t>
      </w:r>
      <w:r w:rsidRPr="007975D1">
        <w:rPr>
          <w:rFonts w:eastAsia="Times New Roman" w:cs="Arial"/>
          <w:kern w:val="0"/>
          <w:lang w:eastAsia="en-GB"/>
          <w14:ligatures w14:val="none"/>
        </w:rPr>
        <w:t xml:space="preserve"> county lines to describe organi</w:t>
      </w:r>
      <w:r w:rsidRPr="00621FB1">
        <w:rPr>
          <w:rFonts w:eastAsia="Times New Roman" w:cs="Arial"/>
          <w:kern w:val="0"/>
          <w:lang w:eastAsia="en-GB"/>
          <w14:ligatures w14:val="none"/>
        </w:rPr>
        <w:t>s</w:t>
      </w:r>
      <w:r w:rsidRPr="007975D1">
        <w:rPr>
          <w:rFonts w:eastAsia="Times New Roman" w:cs="Arial"/>
          <w:kern w:val="0"/>
          <w:lang w:eastAsia="en-GB"/>
          <w14:ligatures w14:val="none"/>
        </w:rPr>
        <w:t xml:space="preserve">ed criminal networks involved in exporting illegal drugs, often using violence, intimidation, and assault to maintain control. The distribution of heroin and cocaine through county lines has significant impacts on individuals, communities, and social systems, increasing violence, property crime, drug addiction, and mental health issues. Gangs exploit vulnerable groups, such as teenagers and drug users, </w:t>
      </w:r>
      <w:r w:rsidR="00267CB9">
        <w:rPr>
          <w:rFonts w:eastAsia="Times New Roman" w:cs="Arial"/>
          <w:kern w:val="0"/>
          <w:lang w:eastAsia="en-GB"/>
          <w14:ligatures w14:val="none"/>
        </w:rPr>
        <w:t>to</w:t>
      </w:r>
      <w:r w:rsidRPr="007975D1">
        <w:rPr>
          <w:rFonts w:eastAsia="Times New Roman" w:cs="Arial"/>
          <w:kern w:val="0"/>
          <w:lang w:eastAsia="en-GB"/>
          <w14:ligatures w14:val="none"/>
        </w:rPr>
        <w:t xml:space="preserve"> transport and sell illicit substances, interfering with their education and development, and maintaining a cycle of dependency and criminality. Gangs operate in </w:t>
      </w:r>
      <w:r w:rsidR="00D23C7C" w:rsidRPr="007975D1">
        <w:rPr>
          <w:rFonts w:eastAsia="Times New Roman" w:cs="Arial"/>
          <w:kern w:val="0"/>
          <w:lang w:eastAsia="en-GB"/>
          <w14:ligatures w14:val="none"/>
        </w:rPr>
        <w:t>every</w:t>
      </w:r>
      <w:r w:rsidRPr="007975D1">
        <w:rPr>
          <w:rFonts w:eastAsia="Times New Roman" w:cs="Arial"/>
          <w:kern w:val="0"/>
          <w:lang w:eastAsia="en-GB"/>
          <w14:ligatures w14:val="none"/>
        </w:rPr>
        <w:t xml:space="preserve"> town and city in England and Wales, with major cities like Birmingham, Leeds, Liverpool, London, Manchester, Nottingham, and Sheffield serving as primary sources of these illicit drugs (Robinson, et al 2018). </w:t>
      </w:r>
    </w:p>
    <w:p w14:paraId="439F98BB" w14:textId="77777777" w:rsidR="00DB394D" w:rsidRPr="007975D1" w:rsidRDefault="00DB394D" w:rsidP="00D43545">
      <w:pPr>
        <w:rPr>
          <w:rFonts w:eastAsia="Times New Roman" w:cs="Arial"/>
          <w:kern w:val="0"/>
          <w:lang w:eastAsia="en-GB"/>
          <w14:ligatures w14:val="none"/>
        </w:rPr>
      </w:pPr>
    </w:p>
    <w:p w14:paraId="5CB326AF" w14:textId="587BBB5D" w:rsidR="00DB394D" w:rsidRPr="00621FB1" w:rsidRDefault="00DB394D" w:rsidP="00D43545">
      <w:pPr>
        <w:rPr>
          <w:rFonts w:eastAsia="Times New Roman" w:cs="Arial"/>
          <w:kern w:val="0"/>
          <w:lang w:eastAsia="en-GB"/>
          <w14:ligatures w14:val="none"/>
        </w:rPr>
      </w:pPr>
      <w:r w:rsidRPr="00621FB1">
        <w:rPr>
          <w:rFonts w:eastAsia="Calibri" w:cs="Arial"/>
        </w:rPr>
        <w:t xml:space="preserve">The National Crime Agency (2023) estimates approximately </w:t>
      </w:r>
      <w:r w:rsidR="00D23C7C" w:rsidRPr="00621FB1">
        <w:rPr>
          <w:rFonts w:eastAsia="Calibri" w:cs="Arial"/>
        </w:rPr>
        <w:t>six hundred</w:t>
      </w:r>
      <w:r w:rsidRPr="00621FB1">
        <w:rPr>
          <w:rFonts w:eastAsia="Calibri" w:cs="Arial"/>
        </w:rPr>
        <w:t xml:space="preserve"> active lines are currently connected to county lines drug supply networks. S</w:t>
      </w:r>
      <w:r w:rsidRPr="00621FB1">
        <w:rPr>
          <w:rFonts w:cs="Arial"/>
          <w:lang w:eastAsia="en-GB"/>
        </w:rPr>
        <w:t xml:space="preserve">ince the launch of The County Lines Programme in 2019, 5627 lines have been dismantled,16,536 individuals </w:t>
      </w:r>
      <w:r w:rsidR="00A53D40" w:rsidRPr="00621FB1">
        <w:rPr>
          <w:rFonts w:cs="Arial"/>
          <w:lang w:eastAsia="en-GB"/>
        </w:rPr>
        <w:t>arrested,</w:t>
      </w:r>
      <w:r w:rsidRPr="00621FB1">
        <w:rPr>
          <w:rFonts w:cs="Arial"/>
          <w:lang w:eastAsia="en-GB"/>
        </w:rPr>
        <w:t xml:space="preserve"> and 8817 individuals received safeguarding (Home Office, 2024). </w:t>
      </w:r>
      <w:r w:rsidRPr="00621FB1">
        <w:rPr>
          <w:rFonts w:eastAsia="Calibri" w:cs="Arial"/>
        </w:rPr>
        <w:t>Organised Crime Groups (OCGs) frequently exploit adolescents and vulnerable individuals to transport and store drugs and money. This exploitation is often a result of market saturation in urban centres, prompting OCGs to extend their operations across county and police borders to maintain profitability and evade policing scrutiny.</w:t>
      </w:r>
      <w:r w:rsidRPr="00621FB1">
        <w:rPr>
          <w:rFonts w:eastAsia="Calibri" w:cs="Arial"/>
          <w:color w:val="000000" w:themeColor="text1"/>
        </w:rPr>
        <w:t xml:space="preserve"> </w:t>
      </w:r>
      <w:r w:rsidRPr="00621FB1">
        <w:rPr>
          <w:rFonts w:eastAsia="Times New Roman" w:cs="Arial"/>
          <w:kern w:val="0"/>
          <w:lang w:eastAsia="en-GB"/>
          <w14:ligatures w14:val="none"/>
        </w:rPr>
        <w:t xml:space="preserve">Financial constraints and legal barriers in prosecuting gang members further exacerbate the problem. The illegal income generated through drug trafficking can be reinvested in criminal operations, threatening legitimate firms and the local economy. The active involvement of youths in drug trafficking creates </w:t>
      </w:r>
      <w:r w:rsidRPr="00621FB1">
        <w:rPr>
          <w:rFonts w:eastAsia="Times New Roman" w:cs="Arial"/>
          <w:kern w:val="0"/>
          <w:lang w:eastAsia="en-GB"/>
          <w14:ligatures w14:val="none"/>
        </w:rPr>
        <w:lastRenderedPageBreak/>
        <w:t>cycles of poverty and criminality. County line gangs have a significant and far-reaching influence on society. To alleviate the negative impacts and offer help for people affected by these criminal networks, authorities, social services, healthcare professionals, and community organisations must work together in partnership.</w:t>
      </w:r>
    </w:p>
    <w:p w14:paraId="5FDFDEDD" w14:textId="3D432A43" w:rsidR="00DB394D" w:rsidRPr="00621FB1" w:rsidRDefault="00DB394D" w:rsidP="00D43545">
      <w:pPr>
        <w:rPr>
          <w:rFonts w:cs="Arial"/>
        </w:rPr>
      </w:pPr>
      <w:r w:rsidRPr="00621FB1">
        <w:rPr>
          <w:rFonts w:cs="Arial"/>
        </w:rPr>
        <w:t>County lines exploitation is evolving, and new, trendy methods of exploitation are being used. St Giles Trust (2023) are reporting the new trend is to offer children vapes as a way of luring them</w:t>
      </w:r>
      <w:r w:rsidR="00267CB9">
        <w:rPr>
          <w:rFonts w:cs="Arial"/>
        </w:rPr>
        <w:t>,</w:t>
      </w:r>
      <w:r w:rsidRPr="00621FB1">
        <w:rPr>
          <w:rFonts w:cs="Arial"/>
        </w:rPr>
        <w:t xml:space="preserve"> rather than the traditional methods of clothes and trainers. There appears to be research in the cities such as Birmingham (Stone, 2018), Glasgow and Liverpool (Robinson, McLean and Densley, 2018). Wales has less research into the urban </w:t>
      </w:r>
      <w:r w:rsidR="00A53D40" w:rsidRPr="00621FB1">
        <w:rPr>
          <w:rFonts w:cs="Arial"/>
        </w:rPr>
        <w:t>areas,</w:t>
      </w:r>
      <w:r w:rsidRPr="00621FB1">
        <w:rPr>
          <w:rFonts w:cs="Arial"/>
        </w:rPr>
        <w:t xml:space="preserve"> so this is potentially a gap in the research area. Research has been conducted as to why exploitation happens</w:t>
      </w:r>
      <w:r w:rsidR="00267CB9">
        <w:rPr>
          <w:rFonts w:cs="Arial"/>
        </w:rPr>
        <w:t>, but it is limited.</w:t>
      </w:r>
      <w:r w:rsidRPr="00621FB1">
        <w:rPr>
          <w:rFonts w:cs="Arial"/>
        </w:rPr>
        <w:t xml:space="preserve"> (Maxwell and Wallace, 2021)</w:t>
      </w:r>
      <w:r w:rsidR="00D23C7C" w:rsidRPr="00621FB1">
        <w:rPr>
          <w:rFonts w:cs="Arial"/>
        </w:rPr>
        <w:t xml:space="preserve">. </w:t>
      </w:r>
    </w:p>
    <w:p w14:paraId="2A75B594" w14:textId="77777777" w:rsidR="00DB394D" w:rsidRPr="00621FB1" w:rsidRDefault="00DB394D" w:rsidP="00D43545">
      <w:pPr>
        <w:rPr>
          <w:rFonts w:eastAsia="Calibri" w:cs="Arial"/>
          <w:color w:val="FF0000"/>
        </w:rPr>
      </w:pPr>
    </w:p>
    <w:p w14:paraId="00C3BAD2" w14:textId="77777777" w:rsidR="00DB394D" w:rsidRPr="00621FB1" w:rsidRDefault="00DB394D" w:rsidP="00267CB9">
      <w:pPr>
        <w:jc w:val="center"/>
        <w:rPr>
          <w:rFonts w:eastAsia="Calibri" w:cs="Arial"/>
          <w:color w:val="000000" w:themeColor="text1"/>
        </w:rPr>
      </w:pPr>
      <w:r w:rsidRPr="00621FB1">
        <w:rPr>
          <w:rFonts w:cs="Arial"/>
          <w:noProof/>
        </w:rPr>
        <w:drawing>
          <wp:inline distT="0" distB="0" distL="0" distR="0" wp14:anchorId="3B2BB2EC" wp14:editId="167BDE81">
            <wp:extent cx="2126255" cy="2842446"/>
            <wp:effectExtent l="0" t="0" r="7620" b="0"/>
            <wp:docPr id="2027659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5982" name="Picture 1" descr="A screenshot of a computer&#10;&#10;Description automatically generated"/>
                    <pic:cNvPicPr/>
                  </pic:nvPicPr>
                  <pic:blipFill rotWithShape="1">
                    <a:blip r:embed="rId8"/>
                    <a:srcRect l="55756" t="22554" r="18500" b="16263"/>
                    <a:stretch/>
                  </pic:blipFill>
                  <pic:spPr bwMode="auto">
                    <a:xfrm>
                      <a:off x="0" y="0"/>
                      <a:ext cx="2139879" cy="2860659"/>
                    </a:xfrm>
                    <a:prstGeom prst="rect">
                      <a:avLst/>
                    </a:prstGeom>
                    <a:ln>
                      <a:noFill/>
                    </a:ln>
                    <a:extLst>
                      <a:ext uri="{53640926-AAD7-44D8-BBD7-CCE9431645EC}">
                        <a14:shadowObscured xmlns:a14="http://schemas.microsoft.com/office/drawing/2010/main"/>
                      </a:ext>
                    </a:extLst>
                  </pic:spPr>
                </pic:pic>
              </a:graphicData>
            </a:graphic>
          </wp:inline>
        </w:drawing>
      </w:r>
    </w:p>
    <w:p w14:paraId="6FE2CBC6" w14:textId="77777777" w:rsidR="00DB394D" w:rsidRPr="00621FB1" w:rsidRDefault="00DB394D" w:rsidP="00D43545">
      <w:pPr>
        <w:rPr>
          <w:rFonts w:eastAsia="Calibri" w:cs="Arial"/>
          <w:color w:val="000000" w:themeColor="text1"/>
        </w:rPr>
      </w:pPr>
      <w:r w:rsidRPr="00621FB1">
        <w:rPr>
          <w:rFonts w:eastAsia="Calibri" w:cs="Arial"/>
          <w:color w:val="000000" w:themeColor="text1"/>
        </w:rPr>
        <w:t>The map above,</w:t>
      </w:r>
      <w:r w:rsidRPr="00621FB1">
        <w:rPr>
          <w:rFonts w:cs="Arial"/>
        </w:rPr>
        <w:t xml:space="preserve"> commissioned by Dame Carol Black (2020) as part of her Review of Drugs, shows the supply routes of drug trafficking. </w:t>
      </w:r>
    </w:p>
    <w:p w14:paraId="6AB061B1" w14:textId="77777777" w:rsidR="00DB394D" w:rsidRPr="00621FB1" w:rsidRDefault="00DB394D" w:rsidP="00D43545">
      <w:pPr>
        <w:rPr>
          <w:rFonts w:eastAsia="Calibri" w:cs="Arial"/>
          <w:color w:val="000000" w:themeColor="text1"/>
        </w:rPr>
      </w:pPr>
    </w:p>
    <w:p w14:paraId="0BA0A4F0" w14:textId="7B9D0741" w:rsidR="00DB394D" w:rsidRPr="00D43545" w:rsidRDefault="00DB394D" w:rsidP="00D43545">
      <w:pPr>
        <w:rPr>
          <w:rFonts w:cs="Arial"/>
          <w:b/>
          <w:bCs/>
          <w:u w:val="single"/>
        </w:rPr>
      </w:pPr>
      <w:r w:rsidRPr="00D43545">
        <w:rPr>
          <w:rFonts w:eastAsia="Calibri" w:cs="Arial"/>
          <w:b/>
          <w:bCs/>
          <w:color w:val="000000" w:themeColor="text1"/>
          <w:u w:val="single"/>
        </w:rPr>
        <w:t xml:space="preserve">2.2 Human trafficking </w:t>
      </w:r>
      <w:r w:rsidRPr="00D43545">
        <w:rPr>
          <w:rFonts w:cs="Arial"/>
          <w:b/>
          <w:bCs/>
          <w:u w:val="single"/>
        </w:rPr>
        <w:t xml:space="preserve">and </w:t>
      </w:r>
      <w:r w:rsidR="00A53D40">
        <w:rPr>
          <w:rFonts w:cs="Arial"/>
          <w:b/>
          <w:bCs/>
          <w:u w:val="single"/>
        </w:rPr>
        <w:t>m</w:t>
      </w:r>
      <w:r w:rsidR="00A53D40" w:rsidRPr="00D43545">
        <w:rPr>
          <w:rFonts w:cs="Arial"/>
          <w:b/>
          <w:bCs/>
          <w:u w:val="single"/>
        </w:rPr>
        <w:t>odern-day</w:t>
      </w:r>
      <w:r w:rsidRPr="00D43545">
        <w:rPr>
          <w:rFonts w:cs="Arial"/>
          <w:b/>
          <w:bCs/>
          <w:u w:val="single"/>
        </w:rPr>
        <w:t xml:space="preserve"> slavery</w:t>
      </w:r>
    </w:p>
    <w:p w14:paraId="3D459310" w14:textId="77777777" w:rsidR="00D43545" w:rsidRPr="00621FB1" w:rsidRDefault="00D43545" w:rsidP="00D43545">
      <w:pPr>
        <w:rPr>
          <w:rFonts w:cs="Arial"/>
        </w:rPr>
      </w:pPr>
    </w:p>
    <w:p w14:paraId="2CE4324D" w14:textId="7D40C789" w:rsidR="00DB394D" w:rsidRPr="00621FB1" w:rsidRDefault="00DB394D" w:rsidP="00D43545">
      <w:pPr>
        <w:rPr>
          <w:rFonts w:eastAsia="Times New Roman" w:cs="Arial"/>
          <w:kern w:val="0"/>
          <w:lang w:eastAsia="en-GB"/>
          <w14:ligatures w14:val="none"/>
        </w:rPr>
      </w:pPr>
      <w:r w:rsidRPr="00621FB1">
        <w:rPr>
          <w:rFonts w:eastAsia="Calibri" w:cs="Arial"/>
          <w:color w:val="000000" w:themeColor="text1"/>
        </w:rPr>
        <w:t>The research is limited on county lines however, human trafficking and county lines both involve the exploitation and movement of vulnerable people (</w:t>
      </w:r>
      <w:r w:rsidRPr="00621FB1">
        <w:rPr>
          <w:rFonts w:eastAsia="Times New Roman" w:cs="Arial"/>
          <w:color w:val="3A3A3A"/>
          <w:kern w:val="0"/>
          <w:lang w:eastAsia="en-GB"/>
          <w14:ligatures w14:val="none"/>
        </w:rPr>
        <w:t>Windle et al. 2020)</w:t>
      </w:r>
      <w:r w:rsidRPr="00621FB1">
        <w:rPr>
          <w:rFonts w:eastAsia="Calibri" w:cs="Arial"/>
          <w:color w:val="000000" w:themeColor="text1"/>
        </w:rPr>
        <w:t>. The term "human trafficking for criminal exploitation" describes the kind of trafficking whe</w:t>
      </w:r>
      <w:r w:rsidR="00267CB9">
        <w:rPr>
          <w:rFonts w:eastAsia="Calibri" w:cs="Arial"/>
          <w:color w:val="000000" w:themeColor="text1"/>
        </w:rPr>
        <w:t>re</w:t>
      </w:r>
      <w:r w:rsidRPr="00621FB1">
        <w:rPr>
          <w:rFonts w:eastAsia="Calibri" w:cs="Arial"/>
          <w:color w:val="000000" w:themeColor="text1"/>
        </w:rPr>
        <w:t xml:space="preserve"> victims are coerced into engaging in illegal and criminal acts</w:t>
      </w:r>
      <w:r w:rsidRPr="00621FB1">
        <w:rPr>
          <w:rFonts w:cs="Arial"/>
          <w:color w:val="000000"/>
          <w:shd w:val="clear" w:color="auto" w:fill="FFFFFF"/>
        </w:rPr>
        <w:t xml:space="preserve"> </w:t>
      </w:r>
      <w:r w:rsidRPr="00621FB1">
        <w:rPr>
          <w:rFonts w:cs="Arial"/>
          <w:color w:val="000000"/>
          <w:shd w:val="clear" w:color="auto" w:fill="FFFFFF"/>
        </w:rPr>
        <w:lastRenderedPageBreak/>
        <w:t>(Villacampa, Torres 2017)</w:t>
      </w:r>
      <w:r w:rsidRPr="00621FB1">
        <w:rPr>
          <w:rFonts w:eastAsia="Calibri" w:cs="Arial"/>
          <w:color w:val="000000" w:themeColor="text1"/>
        </w:rPr>
        <w:t xml:space="preserve">. </w:t>
      </w:r>
      <w:r w:rsidRPr="00621FB1">
        <w:rPr>
          <w:rFonts w:eastAsia="Times New Roman" w:cs="Arial"/>
          <w:kern w:val="0"/>
          <w:lang w:eastAsia="en-GB"/>
          <w14:ligatures w14:val="none"/>
        </w:rPr>
        <w:t>The common portrayal of county lines victims is a vulnerable child or struggling adolescent selling drugs for a drug gang.</w:t>
      </w:r>
      <w:r w:rsidRPr="00621FB1">
        <w:rPr>
          <w:rFonts w:cs="Arial"/>
        </w:rPr>
        <w:t xml:space="preserve"> </w:t>
      </w:r>
      <w:r w:rsidRPr="00621FB1">
        <w:rPr>
          <w:rFonts w:eastAsia="Calibri" w:cs="Arial"/>
          <w:color w:val="000000" w:themeColor="text1"/>
        </w:rPr>
        <w:t xml:space="preserve">Studies show identifying victims of child trafficking is challenging (Warria et al. 2015). This could stem from lack of knowledge by agencies, children and care givers, victims not being stereotypical or individuals not seeing themselves as victims. </w:t>
      </w:r>
      <w:r w:rsidRPr="00621FB1">
        <w:rPr>
          <w:rFonts w:cs="Arial"/>
        </w:rPr>
        <w:t xml:space="preserve">Whilst being exploited, the young person knows the gang in some form and a trust relationship built (Mclean et al. 2020, p70). Research has found criminal gangs identify easy, vulnerable targets for exploitation and these young people are attracted to the lifestyle and aspire to be like gang members. Young people, who believe they have no prospects, see the gangs making fast money (Densley, 2018). </w:t>
      </w:r>
      <w:r w:rsidRPr="00621FB1">
        <w:rPr>
          <w:rFonts w:eastAsia="Times New Roman" w:cs="Arial"/>
          <w:kern w:val="0"/>
          <w:lang w:eastAsia="en-GB"/>
          <w14:ligatures w14:val="none"/>
        </w:rPr>
        <w:t xml:space="preserve">The </w:t>
      </w:r>
      <w:r w:rsidR="00A53D40" w:rsidRPr="00621FB1">
        <w:rPr>
          <w:rFonts w:eastAsia="Times New Roman" w:cs="Arial"/>
          <w:kern w:val="0"/>
          <w:lang w:eastAsia="en-GB"/>
          <w14:ligatures w14:val="none"/>
        </w:rPr>
        <w:t>Modern-Day</w:t>
      </w:r>
      <w:r w:rsidRPr="00621FB1">
        <w:rPr>
          <w:rFonts w:eastAsia="Times New Roman" w:cs="Arial"/>
          <w:kern w:val="0"/>
          <w:lang w:eastAsia="en-GB"/>
          <w14:ligatures w14:val="none"/>
        </w:rPr>
        <w:t xml:space="preserve"> Slavery Act (2015) has led to an increase in </w:t>
      </w:r>
      <w:r w:rsidR="00267CB9">
        <w:rPr>
          <w:rFonts w:eastAsia="Times New Roman" w:cs="Arial"/>
          <w:kern w:val="0"/>
          <w:lang w:eastAsia="en-GB"/>
          <w14:ligatures w14:val="none"/>
        </w:rPr>
        <w:t>prosecutions in cases</w:t>
      </w:r>
      <w:r w:rsidRPr="00621FB1">
        <w:rPr>
          <w:rFonts w:eastAsia="Times New Roman" w:cs="Arial"/>
          <w:kern w:val="0"/>
          <w:lang w:eastAsia="en-GB"/>
          <w14:ligatures w14:val="none"/>
        </w:rPr>
        <w:t xml:space="preserve"> of human trafficking, even when victims do not participate in investigations, providing more hope for victims</w:t>
      </w:r>
      <w:r w:rsidRPr="00621FB1">
        <w:rPr>
          <w:rFonts w:cs="Arial"/>
        </w:rPr>
        <w:t xml:space="preserve">. </w:t>
      </w:r>
      <w:r w:rsidRPr="00621FB1">
        <w:rPr>
          <w:rFonts w:eastAsia="Times New Roman" w:cs="Arial"/>
          <w:kern w:val="0"/>
          <w:lang w:eastAsia="en-GB"/>
          <w14:ligatures w14:val="none"/>
        </w:rPr>
        <w:t xml:space="preserve">The </w:t>
      </w:r>
      <w:r w:rsidR="00A53D40" w:rsidRPr="00621FB1">
        <w:rPr>
          <w:rFonts w:eastAsia="Times New Roman" w:cs="Arial"/>
          <w:kern w:val="0"/>
          <w:lang w:eastAsia="en-GB"/>
          <w14:ligatures w14:val="none"/>
        </w:rPr>
        <w:t>Modern-Day</w:t>
      </w:r>
      <w:r w:rsidRPr="00621FB1">
        <w:rPr>
          <w:rFonts w:eastAsia="Times New Roman" w:cs="Arial"/>
          <w:kern w:val="0"/>
          <w:lang w:eastAsia="en-GB"/>
          <w14:ligatures w14:val="none"/>
        </w:rPr>
        <w:t xml:space="preserve"> Slavery Act overcomes the barrier of victims' trust in the gang. </w:t>
      </w:r>
      <w:r w:rsidRPr="00621FB1">
        <w:rPr>
          <w:rFonts w:cs="Arial"/>
        </w:rPr>
        <w:t>(Hill, 2019).</w:t>
      </w:r>
    </w:p>
    <w:p w14:paraId="496A86C5" w14:textId="77777777" w:rsidR="00DB394D" w:rsidRPr="00621FB1" w:rsidRDefault="00DB394D" w:rsidP="00D43545">
      <w:pPr>
        <w:rPr>
          <w:rFonts w:cs="Arial"/>
        </w:rPr>
      </w:pPr>
    </w:p>
    <w:p w14:paraId="16C10265" w14:textId="77777777" w:rsidR="00DB394D" w:rsidRPr="00D43545" w:rsidRDefault="00DB394D" w:rsidP="00D43545">
      <w:pPr>
        <w:rPr>
          <w:rFonts w:cs="Arial"/>
          <w:b/>
          <w:bCs/>
          <w:u w:val="single"/>
        </w:rPr>
      </w:pPr>
      <w:r w:rsidRPr="00D43545">
        <w:rPr>
          <w:rFonts w:cs="Arial"/>
          <w:b/>
          <w:bCs/>
          <w:u w:val="single"/>
        </w:rPr>
        <w:t>2.3 Gangs and their victims</w:t>
      </w:r>
    </w:p>
    <w:p w14:paraId="5B4AAE28" w14:textId="77777777" w:rsidR="00D43545" w:rsidRPr="00621FB1" w:rsidRDefault="00D43545" w:rsidP="00D43545">
      <w:pPr>
        <w:rPr>
          <w:rFonts w:cs="Arial"/>
        </w:rPr>
      </w:pPr>
    </w:p>
    <w:p w14:paraId="05859378" w14:textId="0A09E2FC" w:rsidR="00DB394D" w:rsidRPr="00621FB1" w:rsidRDefault="00DB394D" w:rsidP="00D43545">
      <w:pPr>
        <w:rPr>
          <w:rFonts w:eastAsia="Times New Roman" w:cs="Arial"/>
          <w:kern w:val="0"/>
          <w:lang w:eastAsia="en-GB"/>
          <w14:ligatures w14:val="none"/>
        </w:rPr>
      </w:pPr>
      <w:r w:rsidRPr="00D865FF">
        <w:rPr>
          <w:rFonts w:eastAsia="Times New Roman" w:cs="Arial"/>
          <w:kern w:val="0"/>
          <w:lang w:eastAsia="en-GB"/>
          <w14:ligatures w14:val="none"/>
        </w:rPr>
        <w:t xml:space="preserve">A gang is a group of individuals who gather for </w:t>
      </w:r>
      <w:r w:rsidR="00D23C7C" w:rsidRPr="00D865FF">
        <w:rPr>
          <w:rFonts w:eastAsia="Times New Roman" w:cs="Arial"/>
          <w:kern w:val="0"/>
          <w:lang w:eastAsia="en-GB"/>
          <w14:ligatures w14:val="none"/>
        </w:rPr>
        <w:t>distinct reasons</w:t>
      </w:r>
      <w:r w:rsidRPr="00D865FF">
        <w:rPr>
          <w:rFonts w:eastAsia="Times New Roman" w:cs="Arial"/>
          <w:kern w:val="0"/>
          <w:lang w:eastAsia="en-GB"/>
          <w14:ligatures w14:val="none"/>
        </w:rPr>
        <w:t xml:space="preserve"> and frequently engage in violence, crime, and territorial domination</w:t>
      </w:r>
      <w:r w:rsidRPr="00621FB1">
        <w:rPr>
          <w:rFonts w:eastAsia="Calibri" w:cs="Arial"/>
          <w:color w:val="000000" w:themeColor="text1"/>
        </w:rPr>
        <w:t xml:space="preserve">. These gangs have a hierarchical structure in which senior members or leaders rule over junior members </w:t>
      </w:r>
      <w:r w:rsidRPr="00621FB1">
        <w:rPr>
          <w:rFonts w:cs="Arial"/>
          <w:lang w:eastAsia="en-GB"/>
        </w:rPr>
        <w:t>(Brantingham, Yuan and Herz, 2020, Vigil, 2003)</w:t>
      </w:r>
      <w:r w:rsidRPr="00621FB1">
        <w:rPr>
          <w:rFonts w:eastAsia="Calibri" w:cs="Arial"/>
          <w:color w:val="000000" w:themeColor="text1"/>
        </w:rPr>
        <w:t xml:space="preserve">. </w:t>
      </w:r>
      <w:r w:rsidRPr="00621FB1">
        <w:rPr>
          <w:rFonts w:eastAsia="Times New Roman" w:cs="Arial"/>
          <w:kern w:val="0"/>
          <w:lang w:eastAsia="en-GB"/>
          <w14:ligatures w14:val="none"/>
        </w:rPr>
        <w:t xml:space="preserve">Gangs typically operate within specific groups or neighbourhoods, establishing their own rituals, norms, and ranks. </w:t>
      </w:r>
      <w:r w:rsidRPr="00621FB1">
        <w:rPr>
          <w:rFonts w:eastAsia="Calibri" w:cs="Arial"/>
          <w:color w:val="000000" w:themeColor="text1"/>
        </w:rPr>
        <w:t xml:space="preserve">These gangs frequently target vulnerable children and teenagers, employing a variety of exploitative techniques to recruit them into illegal activity (O'Brien et al., 2013). Gangs add to the county lines business model by being utilised for drugs, cash, weapons, acquisitive crime, recruiting, and sexual exploitation (Heys et al, 2022). Taking this into consideration, gangs are increasingly turning to those who will not raise suspicions. So-called 'clean skins': primary-age youngsters, and well-groomed children from middle-class families with no police record. </w:t>
      </w:r>
      <w:r w:rsidRPr="00621FB1">
        <w:rPr>
          <w:rFonts w:cs="Arial"/>
          <w:color w:val="000000"/>
          <w:shd w:val="clear" w:color="auto" w:fill="FFFFFF"/>
        </w:rPr>
        <w:t xml:space="preserve">(Fisher 2023). </w:t>
      </w:r>
      <w:r w:rsidRPr="00621FB1">
        <w:rPr>
          <w:rFonts w:cs="Arial"/>
          <w:lang w:eastAsia="en-GB"/>
        </w:rPr>
        <w:t xml:space="preserve">Youngsters between the ages of </w:t>
      </w:r>
      <w:r w:rsidR="00267CB9">
        <w:rPr>
          <w:rFonts w:cs="Arial"/>
          <w:lang w:eastAsia="en-GB"/>
        </w:rPr>
        <w:t>eleven</w:t>
      </w:r>
      <w:r w:rsidRPr="00621FB1">
        <w:rPr>
          <w:rFonts w:cs="Arial"/>
          <w:lang w:eastAsia="en-GB"/>
        </w:rPr>
        <w:t xml:space="preserve"> and </w:t>
      </w:r>
      <w:r w:rsidR="00A53D40">
        <w:rPr>
          <w:rFonts w:cs="Arial"/>
          <w:lang w:eastAsia="en-GB"/>
        </w:rPr>
        <w:t>twenty-four</w:t>
      </w:r>
      <w:r w:rsidRPr="00621FB1">
        <w:rPr>
          <w:rFonts w:cs="Arial"/>
          <w:lang w:eastAsia="en-GB"/>
        </w:rPr>
        <w:t xml:space="preserve"> are the target demographic for drug users. This suggests drugs can be a threat to our children at any moment</w:t>
      </w:r>
      <w:r w:rsidR="00267CB9">
        <w:rPr>
          <w:rFonts w:cs="Arial"/>
          <w:lang w:eastAsia="en-GB"/>
        </w:rPr>
        <w:t>, regardless of their upbringing</w:t>
      </w:r>
      <w:r w:rsidRPr="00621FB1">
        <w:rPr>
          <w:rFonts w:cs="Arial"/>
          <w:lang w:eastAsia="en-GB"/>
        </w:rPr>
        <w:t xml:space="preserve"> </w:t>
      </w:r>
      <w:bookmarkStart w:id="0" w:name="_Hlk165806946"/>
      <w:r w:rsidRPr="00621FB1">
        <w:rPr>
          <w:rFonts w:cs="Arial"/>
          <w:lang w:eastAsia="en-GB"/>
        </w:rPr>
        <w:t xml:space="preserve">(Ramli et al., 2021). </w:t>
      </w:r>
      <w:bookmarkEnd w:id="0"/>
      <w:r w:rsidRPr="00621FB1">
        <w:rPr>
          <w:rFonts w:eastAsia="Times New Roman" w:cs="Arial"/>
          <w:kern w:val="0"/>
          <w:lang w:eastAsia="en-GB"/>
          <w14:ligatures w14:val="none"/>
        </w:rPr>
        <w:t xml:space="preserve">Street gangs are evolving, leading to increased violence and crime and </w:t>
      </w:r>
      <w:r w:rsidRPr="00621FB1">
        <w:rPr>
          <w:rFonts w:cs="Arial"/>
          <w:lang w:eastAsia="en-GB"/>
        </w:rPr>
        <w:t>brin</w:t>
      </w:r>
      <w:r w:rsidR="00267CB9">
        <w:rPr>
          <w:rFonts w:cs="Arial"/>
          <w:lang w:eastAsia="en-GB"/>
        </w:rPr>
        <w:t>in</w:t>
      </w:r>
      <w:r w:rsidRPr="00621FB1">
        <w:rPr>
          <w:rFonts w:cs="Arial"/>
          <w:lang w:eastAsia="en-GB"/>
        </w:rPr>
        <w:t>g insecurity in the community. Furthermore, gangs e</w:t>
      </w:r>
      <w:r w:rsidRPr="00621FB1">
        <w:rPr>
          <w:rFonts w:cs="Arial"/>
        </w:rPr>
        <w:t>mploy youngsters by exploitation, in the form of grooming</w:t>
      </w:r>
      <w:r w:rsidR="00F74A35">
        <w:rPr>
          <w:rFonts w:cs="Arial"/>
        </w:rPr>
        <w:t xml:space="preserve">, </w:t>
      </w:r>
      <w:r w:rsidR="00F74A35">
        <w:rPr>
          <w:rFonts w:cs="Arial"/>
        </w:rPr>
        <w:lastRenderedPageBreak/>
        <w:t>which</w:t>
      </w:r>
      <w:r w:rsidRPr="00621FB1">
        <w:rPr>
          <w:rFonts w:cs="Arial"/>
        </w:rPr>
        <w:t xml:space="preserve"> can happen on the internet and via social media, t</w:t>
      </w:r>
      <w:r w:rsidRPr="00621FB1">
        <w:rPr>
          <w:rFonts w:cs="Arial"/>
          <w:color w:val="333333"/>
        </w:rPr>
        <w:t xml:space="preserve">he presence of street gangs on these </w:t>
      </w:r>
      <w:r w:rsidR="00F74A35">
        <w:rPr>
          <w:rFonts w:cs="Arial"/>
          <w:color w:val="333333"/>
        </w:rPr>
        <w:t>i</w:t>
      </w:r>
      <w:r w:rsidRPr="00621FB1">
        <w:rPr>
          <w:rFonts w:cs="Arial"/>
          <w:color w:val="333333"/>
        </w:rPr>
        <w:t>nternet sites is referred to as cyberbanging.</w:t>
      </w:r>
      <w:r w:rsidRPr="00621FB1">
        <w:rPr>
          <w:rFonts w:cs="Arial"/>
        </w:rPr>
        <w:t xml:space="preserve"> </w:t>
      </w:r>
      <w:r w:rsidRPr="00621FB1">
        <w:rPr>
          <w:rFonts w:cs="Arial"/>
          <w:color w:val="000000"/>
          <w:shd w:val="clear" w:color="auto" w:fill="FFFFFF"/>
        </w:rPr>
        <w:t xml:space="preserve">(Storrod, Densley 2017; </w:t>
      </w:r>
      <w:r w:rsidRPr="00621FB1">
        <w:rPr>
          <w:rFonts w:cs="Arial"/>
        </w:rPr>
        <w:t>Morselli and Décary-Hétu, 2013</w:t>
      </w:r>
      <w:r w:rsidRPr="00621FB1">
        <w:rPr>
          <w:rFonts w:cs="Arial"/>
          <w:color w:val="000000"/>
          <w:shd w:val="clear" w:color="auto" w:fill="FFFFFF"/>
        </w:rPr>
        <w:t>)</w:t>
      </w:r>
      <w:r w:rsidRPr="00621FB1">
        <w:rPr>
          <w:rFonts w:cs="Arial"/>
        </w:rPr>
        <w:t xml:space="preserve">. The offender will build a relationship of trust with the young person, who can then be sexually assaulted, </w:t>
      </w:r>
      <w:r w:rsidR="00D23C7C" w:rsidRPr="00621FB1">
        <w:rPr>
          <w:rFonts w:cs="Arial"/>
        </w:rPr>
        <w:t>exploited,</w:t>
      </w:r>
      <w:r w:rsidRPr="00621FB1">
        <w:rPr>
          <w:rFonts w:cs="Arial"/>
        </w:rPr>
        <w:t xml:space="preserve"> or trafficked. Furthermore, according to Elshenraki (2020) the most efficient approaches to preventing child sexual exploitation should focus on prevention, and the most effective intervention programmes are those that incorporate school-based parental participation programmes for children. </w:t>
      </w:r>
    </w:p>
    <w:p w14:paraId="70770D9A" w14:textId="77777777" w:rsidR="00DB394D" w:rsidRPr="00621FB1" w:rsidRDefault="00DB394D" w:rsidP="00D43545">
      <w:pPr>
        <w:rPr>
          <w:rFonts w:cs="Arial"/>
        </w:rPr>
      </w:pPr>
    </w:p>
    <w:p w14:paraId="2251B0D4" w14:textId="7E92317D" w:rsidR="00DB394D" w:rsidRPr="00621FB1" w:rsidRDefault="00DB394D" w:rsidP="00D43545">
      <w:pPr>
        <w:rPr>
          <w:rFonts w:cs="Arial"/>
        </w:rPr>
      </w:pPr>
      <w:r w:rsidRPr="00621FB1">
        <w:rPr>
          <w:rFonts w:cs="Arial"/>
        </w:rPr>
        <w:t xml:space="preserve">Exploitation of children is not a new concept; the digital world has amplified the issue and enhanced the vulnerability of youngsters, early intervention is important to safeguard victims </w:t>
      </w:r>
      <w:r w:rsidRPr="00621FB1">
        <w:rPr>
          <w:rFonts w:cs="Arial"/>
          <w:color w:val="000000"/>
          <w:shd w:val="clear" w:color="auto" w:fill="FFFFFF"/>
        </w:rPr>
        <w:t xml:space="preserve">(Raby, Jones 2016). Online grooming crimes have risen by 84% since 2017. </w:t>
      </w:r>
      <w:r w:rsidRPr="00621FB1">
        <w:rPr>
          <w:rFonts w:cs="Arial"/>
          <w:lang w:eastAsia="en-GB"/>
        </w:rPr>
        <w:t xml:space="preserve">Offenders groom youngsters by exploiting social media and gaming sites to coerce them into criminality. Meta-owned sites are utilised in 38% of crimes, with Snapchat being the </w:t>
      </w:r>
      <w:r w:rsidR="00D23C7C" w:rsidRPr="00621FB1">
        <w:rPr>
          <w:rFonts w:cs="Arial"/>
          <w:lang w:eastAsia="en-GB"/>
        </w:rPr>
        <w:t>most used</w:t>
      </w:r>
      <w:r w:rsidRPr="00621FB1">
        <w:rPr>
          <w:rFonts w:cs="Arial"/>
          <w:lang w:eastAsia="en-GB"/>
        </w:rPr>
        <w:t>. Grooming is become a cross-platform concern (NSPCC, 2022).</w:t>
      </w:r>
      <w:r w:rsidRPr="00621FB1">
        <w:rPr>
          <w:rFonts w:cs="Arial"/>
          <w:color w:val="000000"/>
          <w:shd w:val="clear" w:color="auto" w:fill="FFFFFF"/>
        </w:rPr>
        <w:t xml:space="preserve"> To combat these online criminals, </w:t>
      </w:r>
      <w:r w:rsidRPr="00621FB1">
        <w:rPr>
          <w:rFonts w:cs="Arial"/>
          <w:lang w:eastAsia="en-GB"/>
        </w:rPr>
        <w:t xml:space="preserve">the Online Safety Act (2023) is a new set of laws designed to safeguard both children and adults online. It imposes several additional responsibilities on social media businesses and search engines, making them more accountable for their users' safety on their platforms. </w:t>
      </w:r>
      <w:r w:rsidRPr="00621FB1">
        <w:rPr>
          <w:rFonts w:cs="Arial"/>
          <w:color w:val="000000"/>
          <w:shd w:val="clear" w:color="auto" w:fill="FFFFFF"/>
        </w:rPr>
        <w:t xml:space="preserve">According to </w:t>
      </w:r>
      <w:r w:rsidRPr="00621FB1">
        <w:rPr>
          <w:rFonts w:cs="Arial"/>
        </w:rPr>
        <w:t xml:space="preserve">Fisher, </w:t>
      </w:r>
      <w:r w:rsidR="00D23C7C" w:rsidRPr="00621FB1">
        <w:rPr>
          <w:rFonts w:cs="Arial"/>
        </w:rPr>
        <w:t>Montgomery,</w:t>
      </w:r>
      <w:r w:rsidRPr="00621FB1">
        <w:rPr>
          <w:rFonts w:cs="Arial"/>
        </w:rPr>
        <w:t xml:space="preserve"> and Gardner (2008), </w:t>
      </w:r>
      <w:r w:rsidRPr="00621FB1">
        <w:rPr>
          <w:rFonts w:cs="Arial"/>
          <w:color w:val="000000"/>
          <w:shd w:val="clear" w:color="auto" w:fill="FFFFFF"/>
        </w:rPr>
        <w:t>children who join gangs are more likely to engage in criminal behaviour, particularly serious and violent offences, than non-gang children and non-gang delinquent youth. At the same time, studies (Shaw, 2023) show children are not always exploited by gangs or strangers. Children are also frequently exposed to county lines networks through friends, family, or other links whom they fear or want to protect</w:t>
      </w:r>
      <w:r w:rsidR="00F74A35">
        <w:rPr>
          <w:rFonts w:cs="Arial"/>
          <w:color w:val="000000"/>
          <w:shd w:val="clear" w:color="auto" w:fill="FFFFFF"/>
        </w:rPr>
        <w:t>.</w:t>
      </w:r>
      <w:r w:rsidRPr="00621FB1">
        <w:rPr>
          <w:rFonts w:cs="Arial"/>
          <w:color w:val="000000"/>
          <w:shd w:val="clear" w:color="auto" w:fill="FFFFFF"/>
        </w:rPr>
        <w:t xml:space="preserve"> </w:t>
      </w:r>
      <w:r w:rsidR="00F74A35">
        <w:rPr>
          <w:rFonts w:cs="Arial"/>
          <w:color w:val="000000"/>
          <w:shd w:val="clear" w:color="auto" w:fill="FFFFFF"/>
        </w:rPr>
        <w:t>A</w:t>
      </w:r>
      <w:r w:rsidRPr="00621FB1">
        <w:rPr>
          <w:rFonts w:cs="Arial"/>
          <w:color w:val="000000"/>
          <w:shd w:val="clear" w:color="auto" w:fill="FFFFFF"/>
        </w:rPr>
        <w:t xml:space="preserve">s a result, child victims worry about being held accountable for criminal activity because of their unwillingness to assist police. </w:t>
      </w:r>
      <w:r w:rsidRPr="00621FB1">
        <w:rPr>
          <w:rFonts w:cs="Arial"/>
        </w:rPr>
        <w:t xml:space="preserve">Brownfield, </w:t>
      </w:r>
      <w:r w:rsidR="00D23C7C" w:rsidRPr="00621FB1">
        <w:rPr>
          <w:rFonts w:cs="Arial"/>
        </w:rPr>
        <w:t>Thompson,</w:t>
      </w:r>
      <w:r w:rsidRPr="00621FB1">
        <w:rPr>
          <w:rFonts w:cs="Arial"/>
        </w:rPr>
        <w:t xml:space="preserve"> and Sorenson (1997), argue parental aspects, such as how effectively a child interacts with, respects, and identifies with his or her parents, have no bearing on gang affiliation.</w:t>
      </w:r>
      <w:r w:rsidRPr="00621FB1">
        <w:rPr>
          <w:rFonts w:cs="Arial"/>
          <w:color w:val="000000"/>
          <w:shd w:val="clear" w:color="auto" w:fill="FFFFFF"/>
        </w:rPr>
        <w:t xml:space="preserve"> Furthermore, c</w:t>
      </w:r>
      <w:r w:rsidRPr="00621FB1">
        <w:rPr>
          <w:rFonts w:cs="Arial"/>
        </w:rPr>
        <w:t>hild exploitation continues to be an underreported crime worldwide (Alaggia et al., 2019). Further research conducted on gang members (Wood and Alleyne, 2010) raises several concerns as it examines how studies relate to the understanding of teenage gang membership. It highlights the shortcomings of existing methods as well as challenges in the field of research.</w:t>
      </w:r>
    </w:p>
    <w:p w14:paraId="32F96D70" w14:textId="77777777" w:rsidR="00DB394D" w:rsidRPr="00621FB1" w:rsidRDefault="00DB394D" w:rsidP="00D43545">
      <w:pPr>
        <w:rPr>
          <w:rFonts w:cs="Arial"/>
        </w:rPr>
      </w:pPr>
    </w:p>
    <w:p w14:paraId="5E898AC7" w14:textId="77777777" w:rsidR="00D43545" w:rsidRDefault="00D43545" w:rsidP="00D43545">
      <w:pPr>
        <w:rPr>
          <w:rFonts w:cs="Arial"/>
        </w:rPr>
      </w:pPr>
    </w:p>
    <w:p w14:paraId="25E832E9" w14:textId="5B080A8C" w:rsidR="00DB394D" w:rsidRPr="00D43545" w:rsidRDefault="00DB394D" w:rsidP="00D43545">
      <w:pPr>
        <w:rPr>
          <w:rFonts w:cs="Arial"/>
          <w:b/>
          <w:bCs/>
          <w:u w:val="single"/>
        </w:rPr>
      </w:pPr>
      <w:r w:rsidRPr="00D43545">
        <w:rPr>
          <w:rFonts w:cs="Arial"/>
          <w:b/>
          <w:bCs/>
          <w:u w:val="single"/>
        </w:rPr>
        <w:t>2.4 Public knowledge and the role of education</w:t>
      </w:r>
    </w:p>
    <w:p w14:paraId="0CA8C11E" w14:textId="77777777" w:rsidR="00D43545" w:rsidRPr="00621FB1" w:rsidRDefault="00D43545" w:rsidP="00D43545">
      <w:pPr>
        <w:rPr>
          <w:rFonts w:cs="Arial"/>
        </w:rPr>
      </w:pPr>
    </w:p>
    <w:p w14:paraId="57F5EA96" w14:textId="45C9036E" w:rsidR="00DB394D" w:rsidRDefault="00DB394D" w:rsidP="00D43545">
      <w:pPr>
        <w:rPr>
          <w:rFonts w:cs="Arial"/>
          <w:shd w:val="clear" w:color="auto" w:fill="FFFFFF"/>
        </w:rPr>
      </w:pPr>
      <w:r w:rsidRPr="00621FB1">
        <w:rPr>
          <w:rFonts w:cs="Arial"/>
        </w:rPr>
        <w:t xml:space="preserve">Parents and the public have </w:t>
      </w:r>
      <w:r w:rsidR="00D23C7C" w:rsidRPr="00621FB1">
        <w:rPr>
          <w:rFonts w:cs="Arial"/>
        </w:rPr>
        <w:t>diverse levels</w:t>
      </w:r>
      <w:r w:rsidRPr="00621FB1">
        <w:rPr>
          <w:rFonts w:cs="Arial"/>
        </w:rPr>
        <w:t xml:space="preserve"> of understanding regarding county lines and child exploitation. </w:t>
      </w:r>
      <w:r w:rsidR="00F74A35">
        <w:rPr>
          <w:rFonts w:cs="Arial"/>
        </w:rPr>
        <w:t>Individuals</w:t>
      </w:r>
      <w:r w:rsidRPr="00621FB1">
        <w:rPr>
          <w:rFonts w:cs="Arial"/>
        </w:rPr>
        <w:t xml:space="preserve"> may be familiar with the term county lines due to increased media attention and awareness initiatives, however, their knowledge of the scope and complexities of child exploitation inside county lines activities may be limited or even associated with developmental behaviour which means adults are less likely to recognise exploitation and problematic (</w:t>
      </w:r>
      <w:r w:rsidRPr="00621FB1">
        <w:rPr>
          <w:rFonts w:cs="Arial"/>
          <w:shd w:val="clear" w:color="auto" w:fill="FFFFFF"/>
        </w:rPr>
        <w:t>Maxwell, 202</w:t>
      </w:r>
      <w:r w:rsidR="00D23C7C">
        <w:rPr>
          <w:rFonts w:cs="Arial"/>
          <w:shd w:val="clear" w:color="auto" w:fill="FFFFFF"/>
        </w:rPr>
        <w:t>2</w:t>
      </w:r>
      <w:r w:rsidRPr="00621FB1">
        <w:rPr>
          <w:rFonts w:cs="Arial"/>
          <w:shd w:val="clear" w:color="auto" w:fill="FFFFFF"/>
        </w:rPr>
        <w:t xml:space="preserve">). </w:t>
      </w:r>
      <w:r w:rsidRPr="00621FB1">
        <w:rPr>
          <w:rFonts w:cs="Arial"/>
        </w:rPr>
        <w:t xml:space="preserve">It is imperative parents are involved to give early first line of defence in safeguarding children. </w:t>
      </w:r>
      <w:r w:rsidRPr="00621FB1">
        <w:rPr>
          <w:rFonts w:cs="Arial"/>
          <w:shd w:val="clear" w:color="auto" w:fill="FFFFFF"/>
        </w:rPr>
        <w:t xml:space="preserve">In addition to this, </w:t>
      </w:r>
      <w:r w:rsidRPr="00621FB1">
        <w:rPr>
          <w:rFonts w:cs="Arial"/>
        </w:rPr>
        <w:t xml:space="preserve">a study by </w:t>
      </w:r>
      <w:r w:rsidRPr="00621FB1">
        <w:rPr>
          <w:rFonts w:cs="Arial"/>
          <w:shd w:val="clear" w:color="auto" w:fill="FFFFFF"/>
        </w:rPr>
        <w:t xml:space="preserve">Baidawi, Sheehan et al. (2020) </w:t>
      </w:r>
      <w:r w:rsidRPr="00621FB1">
        <w:rPr>
          <w:rFonts w:cs="Arial"/>
        </w:rPr>
        <w:t xml:space="preserve">shows there is a need to identify, interrupt, and react to child criminal exploitation, whether it happens inside the family, school, or larger social networks. </w:t>
      </w:r>
      <w:r w:rsidRPr="00621FB1">
        <w:rPr>
          <w:rFonts w:cs="Arial"/>
          <w:shd w:val="clear" w:color="auto" w:fill="FFFFFF"/>
        </w:rPr>
        <w:t xml:space="preserve">What is lacking in the current literature is examination of parent knowledge of county lines and children who are being criminally exploited. </w:t>
      </w:r>
    </w:p>
    <w:p w14:paraId="68E03925" w14:textId="77777777" w:rsidR="00405C7F" w:rsidRPr="00621FB1" w:rsidRDefault="00405C7F" w:rsidP="00D43545">
      <w:pPr>
        <w:rPr>
          <w:rFonts w:cs="Arial"/>
          <w:color w:val="333333"/>
          <w:shd w:val="clear" w:color="auto" w:fill="FFFFFF"/>
        </w:rPr>
      </w:pPr>
    </w:p>
    <w:p w14:paraId="10356372" w14:textId="5C3D19B5" w:rsidR="00DB394D" w:rsidRPr="00621FB1" w:rsidRDefault="00DB394D" w:rsidP="00D43545">
      <w:pPr>
        <w:rPr>
          <w:rFonts w:cs="Arial"/>
        </w:rPr>
      </w:pPr>
      <w:r w:rsidRPr="00621FB1">
        <w:rPr>
          <w:rFonts w:cs="Arial"/>
        </w:rPr>
        <w:t xml:space="preserve">The literature on gang interventions is scarce, with most research focused on children who have already been involved in gang activity. This lack of awareness impedes the investigation of risk and resilience variables. Long-term studies looking at risk and resilience variables prior to gang initiation are needed. Although there is a lack of research on school-based gang prevention, it is imperative to refocus attention on student involvement and school climate to achieve long-term benefits on the development of at-risk adolescents </w:t>
      </w:r>
      <w:r w:rsidRPr="00621FB1">
        <w:rPr>
          <w:rFonts w:cs="Arial"/>
          <w:color w:val="000000"/>
          <w:shd w:val="clear" w:color="auto" w:fill="FFFFFF"/>
        </w:rPr>
        <w:t>(Sharkey, Shekhtmeyster et al. 2011)</w:t>
      </w:r>
      <w:r w:rsidRPr="00621FB1">
        <w:rPr>
          <w:rFonts w:cs="Arial"/>
        </w:rPr>
        <w:t xml:space="preserve">. Wales </w:t>
      </w:r>
      <w:r w:rsidR="00F74A35">
        <w:rPr>
          <w:rFonts w:cs="Arial"/>
        </w:rPr>
        <w:t>p</w:t>
      </w:r>
      <w:r w:rsidRPr="00621FB1">
        <w:rPr>
          <w:rFonts w:cs="Arial"/>
        </w:rPr>
        <w:t xml:space="preserve">olice schools programme (School beat, n.d.) was set up as a collaboration between the </w:t>
      </w:r>
      <w:r w:rsidR="00F74A35">
        <w:rPr>
          <w:rFonts w:cs="Arial"/>
        </w:rPr>
        <w:t>four</w:t>
      </w:r>
      <w:r w:rsidRPr="00621FB1">
        <w:rPr>
          <w:rFonts w:cs="Arial"/>
        </w:rPr>
        <w:t xml:space="preserve"> Welsh forces and the Welsh </w:t>
      </w:r>
      <w:r w:rsidR="00F74A35">
        <w:rPr>
          <w:rFonts w:cs="Arial"/>
        </w:rPr>
        <w:t>G</w:t>
      </w:r>
      <w:r w:rsidRPr="00621FB1">
        <w:rPr>
          <w:rFonts w:cs="Arial"/>
        </w:rPr>
        <w:t xml:space="preserve">overnment. The intention of the </w:t>
      </w:r>
      <w:r w:rsidR="00F74A35">
        <w:rPr>
          <w:rFonts w:cs="Arial"/>
        </w:rPr>
        <w:t>p</w:t>
      </w:r>
      <w:r w:rsidRPr="00621FB1">
        <w:rPr>
          <w:rFonts w:cs="Arial"/>
        </w:rPr>
        <w:t xml:space="preserve">rogramme is to </w:t>
      </w:r>
      <w:r w:rsidR="00D23C7C" w:rsidRPr="00621FB1">
        <w:rPr>
          <w:rFonts w:cs="Arial"/>
        </w:rPr>
        <w:t>collaborate</w:t>
      </w:r>
      <w:r w:rsidRPr="00621FB1">
        <w:rPr>
          <w:rFonts w:cs="Arial"/>
        </w:rPr>
        <w:t xml:space="preserve"> with schools to educate children by providing them with current information about the dangers associated with issues such as substanc</w:t>
      </w:r>
      <w:r w:rsidR="00F74A35">
        <w:rPr>
          <w:rFonts w:cs="Arial"/>
        </w:rPr>
        <w:t>e</w:t>
      </w:r>
      <w:r w:rsidRPr="00621FB1">
        <w:rPr>
          <w:rFonts w:cs="Arial"/>
        </w:rPr>
        <w:t xml:space="preserve">, county lines, domestic abuse, exploitation, bullying, anti-social behaviour, internet safety, weapons, </w:t>
      </w:r>
      <w:r w:rsidR="00D23C7C" w:rsidRPr="00621FB1">
        <w:rPr>
          <w:rFonts w:cs="Arial"/>
        </w:rPr>
        <w:t>radicalisation,</w:t>
      </w:r>
      <w:r w:rsidRPr="00621FB1">
        <w:rPr>
          <w:rFonts w:cs="Arial"/>
        </w:rPr>
        <w:t xml:space="preserve"> and community cohesion. There is a resource available on county lines exploitation called “TRICKED AND TRAPPED” where </w:t>
      </w:r>
      <w:r w:rsidR="00F74A35">
        <w:rPr>
          <w:rFonts w:cs="Arial"/>
        </w:rPr>
        <w:t>p</w:t>
      </w:r>
      <w:r w:rsidRPr="00621FB1">
        <w:rPr>
          <w:rFonts w:cs="Arial"/>
        </w:rPr>
        <w:t xml:space="preserve">upils learn about child exploitation, the signs of criminal exploitation, and the impact on the child. It is pertinent to question whether these programmes should be embedded into the curriculum rather than an optional resource because it would be beneficial to build police relationships and educate children from being exploited by criminals. In fact, research </w:t>
      </w:r>
      <w:r w:rsidRPr="00621FB1">
        <w:rPr>
          <w:rFonts w:cs="Arial"/>
          <w:color w:val="333333"/>
        </w:rPr>
        <w:t>(Lamont, Macleod, and Wilkin, 2011)</w:t>
      </w:r>
      <w:r w:rsidRPr="00621FB1">
        <w:rPr>
          <w:rFonts w:cs="Arial"/>
        </w:rPr>
        <w:t xml:space="preserve"> shows </w:t>
      </w:r>
      <w:r w:rsidR="00A53D40" w:rsidRPr="00621FB1">
        <w:rPr>
          <w:rFonts w:cs="Arial"/>
        </w:rPr>
        <w:t>that</w:t>
      </w:r>
      <w:r w:rsidRPr="00621FB1">
        <w:rPr>
          <w:rFonts w:cs="Arial"/>
        </w:rPr>
        <w:t xml:space="preserve"> police officers working in </w:t>
      </w:r>
      <w:r w:rsidRPr="00621FB1">
        <w:rPr>
          <w:rFonts w:cs="Arial"/>
        </w:rPr>
        <w:lastRenderedPageBreak/>
        <w:t xml:space="preserve">schools improves relationships between pupils and police and reduces levels of offending behaviour and poor behaviour in school. However, there is a definitive gap in police training relating to this role and </w:t>
      </w:r>
      <w:r w:rsidR="00623F4B" w:rsidRPr="00621FB1">
        <w:rPr>
          <w:rFonts w:cs="Arial"/>
        </w:rPr>
        <w:t>extraordinarily little</w:t>
      </w:r>
      <w:r w:rsidRPr="00621FB1">
        <w:rPr>
          <w:rFonts w:cs="Arial"/>
        </w:rPr>
        <w:t xml:space="preserve"> research in what they do. According to Henshall (2017), the effectiveness of police on campuses is uncertain, with concerns about potential surveillance networks filtering out risky individuals and pushing them into neoliberal society's "disposable" areas. Furthermore, King &amp; Schindler, (2021) conclude the presence of police officers in schools reduces funding for preventative and support programmes and increases pupil involvement in the legal system. This causes negative emotions rather than creating a safe learning atmosphere. Removing the police and investing in mental health, therapy, and support services may reduce crime without negatively impacting the criminal justice system.</w:t>
      </w:r>
    </w:p>
    <w:p w14:paraId="6B34D5EB" w14:textId="77777777" w:rsidR="00DB394D" w:rsidRPr="00621FB1" w:rsidRDefault="00DB394D" w:rsidP="00D43545">
      <w:pPr>
        <w:rPr>
          <w:rFonts w:cs="Arial"/>
        </w:rPr>
      </w:pPr>
    </w:p>
    <w:p w14:paraId="64FF797A" w14:textId="77777777" w:rsidR="00DB394D" w:rsidRPr="00D43545" w:rsidRDefault="00DB394D" w:rsidP="00D43545">
      <w:pPr>
        <w:rPr>
          <w:rFonts w:cs="Arial"/>
          <w:b/>
          <w:bCs/>
          <w:u w:val="single"/>
        </w:rPr>
      </w:pPr>
      <w:r w:rsidRPr="00D43545">
        <w:rPr>
          <w:rFonts w:cs="Arial"/>
          <w:b/>
          <w:bCs/>
          <w:u w:val="single"/>
        </w:rPr>
        <w:t>2.5 Education and interventions</w:t>
      </w:r>
    </w:p>
    <w:p w14:paraId="0591B2BB" w14:textId="77777777" w:rsidR="00D43545" w:rsidRPr="00621FB1" w:rsidRDefault="00D43545" w:rsidP="00D43545">
      <w:pPr>
        <w:rPr>
          <w:rFonts w:cs="Arial"/>
        </w:rPr>
      </w:pPr>
    </w:p>
    <w:p w14:paraId="37E426BF" w14:textId="747DD2E8" w:rsidR="00DB394D" w:rsidRDefault="00DB394D" w:rsidP="00D43545">
      <w:pPr>
        <w:rPr>
          <w:rFonts w:cs="Arial"/>
        </w:rPr>
      </w:pPr>
      <w:r w:rsidRPr="00621FB1">
        <w:rPr>
          <w:rFonts w:cs="Arial"/>
        </w:rPr>
        <w:t xml:space="preserve">Education plays a </w:t>
      </w:r>
      <w:r w:rsidR="00F74A35">
        <w:rPr>
          <w:rFonts w:cs="Arial"/>
        </w:rPr>
        <w:t>significant</w:t>
      </w:r>
      <w:r w:rsidR="00F74A35" w:rsidRPr="00621FB1">
        <w:rPr>
          <w:rFonts w:cs="Arial"/>
        </w:rPr>
        <w:t xml:space="preserve"> </w:t>
      </w:r>
      <w:r w:rsidRPr="00621FB1">
        <w:rPr>
          <w:rFonts w:cs="Arial"/>
        </w:rPr>
        <w:t xml:space="preserve">role in reducing county lines crime and addressing the problem of criminal exploitation among young people. It raises awareness and equips individuals with the information and skills needed to recognise signs of exploitation and make informed decisions. However, the implementation of educational initiatives faces significant challenges, including inadequate resources and training for educators, limited awareness and understanding among professionals, and difficulties in identifying and reaching out to vulnerable youth. In fact, Carol Black (Black, 2021) made a recommendation in her findings of investment in age-appropriate evidence-based programs that build resilience among young people and identify those at risk of being drawn into illegal drug use or supply. Additionally, The Welsh Government (n.d) offers advice to parents on various issues, however, these efforts often consist of helplines aimed at children and parents, rather than comprehensive preventative strategies. The Wales Safeguarding Procedures (2024) provide valuable safeguarding advice and guidelines to help practitioners apply relevant legislation, but gaps remain in </w:t>
      </w:r>
      <w:r w:rsidR="00D23C7C" w:rsidRPr="00621FB1">
        <w:rPr>
          <w:rFonts w:cs="Arial"/>
        </w:rPr>
        <w:t>initiative-taking</w:t>
      </w:r>
      <w:r w:rsidRPr="00621FB1">
        <w:rPr>
          <w:rFonts w:cs="Arial"/>
        </w:rPr>
        <w:t xml:space="preserve"> intervention strategies. Maxwell and Wallace (2021) highlight the urgent need for comprehensive plans, strategies, and interventions that address both the factors pushing and pulling children into criminal exploitation. Their research emphasizes the importance of prevention efforts across multiple levels</w:t>
      </w:r>
      <w:r w:rsidR="00F74A35">
        <w:rPr>
          <w:rFonts w:cs="Arial"/>
        </w:rPr>
        <w:t xml:space="preserve"> including</w:t>
      </w:r>
      <w:r w:rsidRPr="00621FB1">
        <w:rPr>
          <w:rFonts w:cs="Arial"/>
        </w:rPr>
        <w:t xml:space="preserve"> child, family, system, and </w:t>
      </w:r>
      <w:r w:rsidRPr="00621FB1">
        <w:rPr>
          <w:rFonts w:cs="Arial"/>
        </w:rPr>
        <w:lastRenderedPageBreak/>
        <w:t xml:space="preserve">community. They also reveal some children are criminally exploited by their parents, underscoring the </w:t>
      </w:r>
      <w:r w:rsidR="00F74A35">
        <w:rPr>
          <w:rFonts w:cs="Arial"/>
        </w:rPr>
        <w:t>essential</w:t>
      </w:r>
      <w:r w:rsidR="00F74A35" w:rsidRPr="00621FB1">
        <w:rPr>
          <w:rFonts w:cs="Arial"/>
        </w:rPr>
        <w:t xml:space="preserve"> </w:t>
      </w:r>
      <w:r w:rsidRPr="00621FB1">
        <w:rPr>
          <w:rFonts w:cs="Arial"/>
        </w:rPr>
        <w:t>need for external agencies to intervene effectively. Overall, while educational initiatives are essential, they must be part of a broader, multi-faceted approach to effectively combat the complex issue of county lines crime and the exploitation of young people.</w:t>
      </w:r>
    </w:p>
    <w:p w14:paraId="17221418" w14:textId="77777777" w:rsidR="00405C7F" w:rsidRPr="00621FB1" w:rsidRDefault="00405C7F" w:rsidP="00D43545">
      <w:pPr>
        <w:rPr>
          <w:rFonts w:cs="Arial"/>
        </w:rPr>
      </w:pPr>
    </w:p>
    <w:p w14:paraId="46AF36AB" w14:textId="4E5F3E66" w:rsidR="00DB394D" w:rsidRDefault="00DB394D" w:rsidP="00D43545">
      <w:pPr>
        <w:rPr>
          <w:rFonts w:cs="Arial"/>
        </w:rPr>
      </w:pPr>
      <w:r w:rsidRPr="00621FB1">
        <w:rPr>
          <w:rFonts w:cs="Arial"/>
        </w:rPr>
        <w:t xml:space="preserve">According to </w:t>
      </w:r>
      <w:r w:rsidRPr="00621FB1">
        <w:rPr>
          <w:rFonts w:cs="Arial"/>
          <w:color w:val="000000"/>
          <w:shd w:val="clear" w:color="auto" w:fill="FFFFFF"/>
        </w:rPr>
        <w:t xml:space="preserve">Dando, Ormerod et al. (2023 p. </w:t>
      </w:r>
      <w:r w:rsidR="00A53D40" w:rsidRPr="00621FB1">
        <w:rPr>
          <w:rFonts w:cs="Arial"/>
          <w:color w:val="000000"/>
          <w:shd w:val="clear" w:color="auto" w:fill="FFFFFF"/>
        </w:rPr>
        <w:t>352)</w:t>
      </w:r>
      <w:r w:rsidRPr="00621FB1">
        <w:rPr>
          <w:rFonts w:cs="Arial"/>
          <w:color w:val="000000"/>
          <w:shd w:val="clear" w:color="auto" w:fill="FFFFFF"/>
        </w:rPr>
        <w:t xml:space="preserve"> </w:t>
      </w:r>
      <w:r w:rsidRPr="00F74A35">
        <w:rPr>
          <w:rFonts w:cs="Arial"/>
          <w:i/>
          <w:iCs/>
          <w:color w:val="000000"/>
          <w:shd w:val="clear" w:color="auto" w:fill="FFFFFF"/>
        </w:rPr>
        <w:t>“</w:t>
      </w:r>
      <w:r w:rsidRPr="00F74A35">
        <w:rPr>
          <w:rFonts w:cs="Arial"/>
          <w:i/>
          <w:iCs/>
          <w:shd w:val="clear" w:color="auto" w:fill="FFFFFF"/>
        </w:rPr>
        <w:t>Improved education in recognising potential signs early may disrupt initiation and grooming processes before escalation and entrenchment”.</w:t>
      </w:r>
      <w:r w:rsidRPr="00621FB1">
        <w:rPr>
          <w:rFonts w:cs="Arial"/>
          <w:shd w:val="clear" w:color="auto" w:fill="FFFFFF"/>
        </w:rPr>
        <w:t xml:space="preserve"> </w:t>
      </w:r>
      <w:r w:rsidRPr="00621FB1">
        <w:rPr>
          <w:rFonts w:cs="Arial"/>
        </w:rPr>
        <w:t xml:space="preserve">Furthermore, research shows </w:t>
      </w:r>
      <w:bookmarkStart w:id="1" w:name="_Hlk165804529"/>
      <w:r w:rsidRPr="00621FB1">
        <w:rPr>
          <w:rFonts w:cs="Arial"/>
        </w:rPr>
        <w:t xml:space="preserve">(Creaney, 2018; Gough, 2017), </w:t>
      </w:r>
      <w:bookmarkEnd w:id="1"/>
      <w:r w:rsidRPr="00621FB1">
        <w:rPr>
          <w:rFonts w:cs="Arial"/>
        </w:rPr>
        <w:t xml:space="preserve">peer mentoring by ex-offenders can benefit young people and </w:t>
      </w:r>
      <w:r w:rsidR="00F74A35">
        <w:rPr>
          <w:rFonts w:cs="Arial"/>
        </w:rPr>
        <w:t xml:space="preserve">they </w:t>
      </w:r>
      <w:r w:rsidRPr="00621FB1">
        <w:rPr>
          <w:rFonts w:cs="Arial"/>
        </w:rPr>
        <w:t xml:space="preserve">become positive role models. The findings also show young people value the relationships and are more likely to engage with services. </w:t>
      </w:r>
      <w:r w:rsidRPr="00621FB1">
        <w:rPr>
          <w:rFonts w:cs="Arial"/>
          <w:shd w:val="clear" w:color="auto" w:fill="FFFFFF"/>
        </w:rPr>
        <w:t xml:space="preserve">Matz (2014) argues, </w:t>
      </w:r>
      <w:r w:rsidRPr="00621FB1">
        <w:rPr>
          <w:rFonts w:cs="Arial"/>
        </w:rPr>
        <w:t xml:space="preserve">Youth mentoring programs do not always work, and it depends on the desired outcome. Likewise, mentoring programmes are most effective when matches are long-term and organised, rather than when matches end abruptly or youths are placed with inexperienced mentors. It should be noted, drug education is frequently taught in secondary and primary schools, although it is rarely in line with evolving trends. Drug issues often take low priority due to other responsibilities and pressures. Schools often fail to develop accredited drug education programs </w:t>
      </w:r>
      <w:r w:rsidRPr="00621FB1">
        <w:rPr>
          <w:rFonts w:cs="Arial"/>
          <w:color w:val="000000"/>
          <w:shd w:val="clear" w:color="auto" w:fill="FFFFFF"/>
        </w:rPr>
        <w:t>(Wilkey, Lundgren et al. 2013)</w:t>
      </w:r>
      <w:r w:rsidRPr="00621FB1">
        <w:rPr>
          <w:rFonts w:cs="Arial"/>
        </w:rPr>
        <w:t xml:space="preserve">. These partner agencies often </w:t>
      </w:r>
      <w:r w:rsidR="00D23C7C" w:rsidRPr="00621FB1">
        <w:rPr>
          <w:rFonts w:cs="Arial"/>
        </w:rPr>
        <w:t>do not</w:t>
      </w:r>
      <w:r w:rsidRPr="00621FB1">
        <w:rPr>
          <w:rFonts w:cs="Arial"/>
        </w:rPr>
        <w:t xml:space="preserve"> prioritise, and </w:t>
      </w:r>
      <w:r w:rsidR="00F74A35">
        <w:rPr>
          <w:rFonts w:cs="Arial"/>
        </w:rPr>
        <w:t>d</w:t>
      </w:r>
      <w:r w:rsidRPr="00621FB1">
        <w:rPr>
          <w:rFonts w:cs="Arial"/>
        </w:rPr>
        <w:t xml:space="preserve">rug concerns might be given minimal attention </w:t>
      </w:r>
      <w:r w:rsidRPr="00621FB1">
        <w:rPr>
          <w:rFonts w:cs="Arial"/>
          <w:color w:val="000000"/>
          <w:shd w:val="clear" w:color="auto" w:fill="FFFFFF"/>
        </w:rPr>
        <w:t>(Lupton, Wilson et al. 2002)</w:t>
      </w:r>
      <w:r w:rsidRPr="00621FB1">
        <w:rPr>
          <w:rFonts w:cs="Arial"/>
        </w:rPr>
        <w:t xml:space="preserve">. Although multi-agency methods to crime prevention are gaining popularity, it is important to assess their advantages and disadvantages. To perform well in safeguarding environments, professionals in non-social work organisations require training and </w:t>
      </w:r>
      <w:r w:rsidRPr="00621FB1">
        <w:rPr>
          <w:rFonts w:cs="Arial"/>
          <w:shd w:val="clear" w:color="auto" w:fill="FFFFFF"/>
        </w:rPr>
        <w:t xml:space="preserve">measures put in place to raise awareness among front-line staff in health, education, children’s services, </w:t>
      </w:r>
      <w:r w:rsidR="00D23C7C" w:rsidRPr="00621FB1">
        <w:rPr>
          <w:rFonts w:cs="Arial"/>
          <w:shd w:val="clear" w:color="auto" w:fill="FFFFFF"/>
        </w:rPr>
        <w:t>housing,</w:t>
      </w:r>
      <w:r w:rsidRPr="00621FB1">
        <w:rPr>
          <w:rFonts w:cs="Arial"/>
          <w:shd w:val="clear" w:color="auto" w:fill="FFFFFF"/>
        </w:rPr>
        <w:t xml:space="preserve"> and job centres.</w:t>
      </w:r>
      <w:r w:rsidRPr="00621FB1">
        <w:rPr>
          <w:rFonts w:cs="Arial"/>
        </w:rPr>
        <w:t xml:space="preserve"> </w:t>
      </w:r>
      <w:r w:rsidRPr="00621FB1">
        <w:rPr>
          <w:rFonts w:cs="Arial"/>
          <w:shd w:val="clear" w:color="auto" w:fill="FFFFFF"/>
        </w:rPr>
        <w:t>(</w:t>
      </w:r>
      <w:r w:rsidRPr="00621FB1">
        <w:rPr>
          <w:rFonts w:cs="Arial"/>
          <w:color w:val="000000"/>
          <w:shd w:val="clear" w:color="auto" w:fill="FFFFFF"/>
        </w:rPr>
        <w:t>Mythen, Weston, 2023, Glover Williams, Finlay 2019)</w:t>
      </w:r>
      <w:r w:rsidRPr="00621FB1">
        <w:rPr>
          <w:rFonts w:cs="Arial"/>
        </w:rPr>
        <w:t>. The reliance on schools to address these issues is problematic given their resource</w:t>
      </w:r>
      <w:r w:rsidR="00F74A35">
        <w:rPr>
          <w:rFonts w:cs="Arial"/>
        </w:rPr>
        <w:t xml:space="preserve"> and funding</w:t>
      </w:r>
      <w:r w:rsidRPr="00621FB1">
        <w:rPr>
          <w:rFonts w:cs="Arial"/>
        </w:rPr>
        <w:t xml:space="preserve"> constraints and the need for a more integrated community-based approach.</w:t>
      </w:r>
    </w:p>
    <w:p w14:paraId="1D54373B" w14:textId="77777777" w:rsidR="00405C7F" w:rsidRPr="00621FB1" w:rsidRDefault="00405C7F" w:rsidP="00D43545">
      <w:pPr>
        <w:rPr>
          <w:rFonts w:cs="Arial"/>
        </w:rPr>
      </w:pPr>
    </w:p>
    <w:p w14:paraId="4AD10A53" w14:textId="7FC54E6D" w:rsidR="00DB394D" w:rsidRDefault="00DB394D" w:rsidP="00D43545">
      <w:pPr>
        <w:rPr>
          <w:rFonts w:cs="Arial"/>
          <w:shd w:val="clear" w:color="auto" w:fill="FFFFFF"/>
        </w:rPr>
      </w:pPr>
      <w:r w:rsidRPr="00621FB1">
        <w:rPr>
          <w:rFonts w:cs="Arial"/>
        </w:rPr>
        <w:t xml:space="preserve">The Home Office (2023) aim to enhance the response to the threat of </w:t>
      </w:r>
      <w:r w:rsidRPr="00621FB1">
        <w:rPr>
          <w:rFonts w:cs="Arial"/>
          <w:color w:val="0B0C0C"/>
          <w:shd w:val="clear" w:color="auto" w:fill="FFFFFF"/>
        </w:rPr>
        <w:t xml:space="preserve">targeting the county lines gangs who are exploiting children and impacting on communities. The Home Office have pledged to target OCG’s and disrupt the network, even support victims. There is no mention however of education and prevention. </w:t>
      </w:r>
      <w:r w:rsidRPr="00621FB1">
        <w:rPr>
          <w:rFonts w:cs="Arial"/>
        </w:rPr>
        <w:t xml:space="preserve">Learning the effects of drugs is compulsory part of science in the National Curriculum this could be expanded to </w:t>
      </w:r>
      <w:r w:rsidR="00F74A35">
        <w:rPr>
          <w:rFonts w:cs="Arial"/>
        </w:rPr>
        <w:t xml:space="preserve">include </w:t>
      </w:r>
      <w:r w:rsidRPr="00621FB1">
        <w:rPr>
          <w:rFonts w:cs="Arial"/>
        </w:rPr>
        <w:t xml:space="preserve">prevention of </w:t>
      </w:r>
      <w:r w:rsidR="002C00D3">
        <w:rPr>
          <w:rFonts w:cs="Arial"/>
        </w:rPr>
        <w:t xml:space="preserve">exploitation and </w:t>
      </w:r>
      <w:r w:rsidRPr="00621FB1">
        <w:rPr>
          <w:rFonts w:cs="Arial"/>
        </w:rPr>
        <w:t>involvement. (Department for Education, 2010). The National crime agency have developed an e</w:t>
      </w:r>
      <w:r w:rsidRPr="00621FB1">
        <w:rPr>
          <w:rFonts w:cs="Arial"/>
          <w:shd w:val="clear" w:color="auto" w:fill="FFFFFF"/>
        </w:rPr>
        <w:t xml:space="preserve">ducation </w:t>
      </w:r>
      <w:r w:rsidRPr="00621FB1">
        <w:rPr>
          <w:rFonts w:cs="Arial"/>
          <w:shd w:val="clear" w:color="auto" w:fill="FFFFFF"/>
        </w:rPr>
        <w:lastRenderedPageBreak/>
        <w:t xml:space="preserve">programme which aims to help protect children and young people from the threat of online child sexual abuse and exploitation which raises awareness for children aged </w:t>
      </w:r>
      <w:r w:rsidR="002C00D3">
        <w:rPr>
          <w:rFonts w:cs="Arial"/>
          <w:shd w:val="clear" w:color="auto" w:fill="FFFFFF"/>
        </w:rPr>
        <w:t>four to eighteen</w:t>
      </w:r>
      <w:r w:rsidRPr="00621FB1">
        <w:rPr>
          <w:rFonts w:cs="Arial"/>
          <w:shd w:val="clear" w:color="auto" w:fill="FFFFFF"/>
        </w:rPr>
        <w:t xml:space="preserve">, parents and professionals </w:t>
      </w:r>
      <w:r w:rsidRPr="00621FB1">
        <w:rPr>
          <w:rFonts w:cs="Arial"/>
        </w:rPr>
        <w:t>(CEOP, 2019)</w:t>
      </w:r>
      <w:r w:rsidR="002C00D3">
        <w:rPr>
          <w:rFonts w:cs="Arial"/>
        </w:rPr>
        <w:t>.</w:t>
      </w:r>
      <w:r w:rsidRPr="00621FB1">
        <w:rPr>
          <w:rFonts w:cs="Arial"/>
          <w:shd w:val="clear" w:color="auto" w:fill="FFFFFF"/>
        </w:rPr>
        <w:t xml:space="preserve"> </w:t>
      </w:r>
      <w:r w:rsidR="002C00D3" w:rsidRPr="00621FB1">
        <w:rPr>
          <w:rFonts w:cs="Arial"/>
          <w:shd w:val="clear" w:color="auto" w:fill="FFFFFF"/>
        </w:rPr>
        <w:t>This,</w:t>
      </w:r>
      <w:r w:rsidRPr="00621FB1">
        <w:rPr>
          <w:rFonts w:cs="Arial"/>
          <w:shd w:val="clear" w:color="auto" w:fill="FFFFFF"/>
        </w:rPr>
        <w:t xml:space="preserve"> however, is aimed solely at sexual abuse and exploitation. </w:t>
      </w:r>
      <w:r w:rsidR="00D23C7C" w:rsidRPr="00621FB1">
        <w:rPr>
          <w:rFonts w:cs="Arial"/>
          <w:shd w:val="clear" w:color="auto" w:fill="FFFFFF"/>
        </w:rPr>
        <w:t>More</w:t>
      </w:r>
      <w:r w:rsidRPr="00621FB1">
        <w:rPr>
          <w:rFonts w:cs="Arial"/>
        </w:rPr>
        <w:t xml:space="preserve"> education across organisations is needed to address the issues impacting young people's lifestyles and choices, leading to more effective and consistent approaches to prevention of exploitation through county lines (</w:t>
      </w:r>
      <w:r w:rsidRPr="00621FB1">
        <w:rPr>
          <w:rFonts w:cs="Arial"/>
          <w:color w:val="222222"/>
          <w:shd w:val="clear" w:color="auto" w:fill="FFFFFF"/>
        </w:rPr>
        <w:t xml:space="preserve">Anderson and Dyson, 1996; </w:t>
      </w:r>
      <w:r w:rsidRPr="00621FB1">
        <w:rPr>
          <w:rFonts w:cs="Arial"/>
        </w:rPr>
        <w:t xml:space="preserve">Mills and Unwin, 2020). </w:t>
      </w:r>
      <w:r w:rsidRPr="00621FB1">
        <w:rPr>
          <w:rFonts w:cs="Arial"/>
          <w:shd w:val="clear" w:color="auto" w:fill="FFFFFF"/>
        </w:rPr>
        <w:t xml:space="preserve">There is a gap in any literature relating to this, </w:t>
      </w:r>
      <w:r w:rsidRPr="00621FB1">
        <w:rPr>
          <w:rFonts w:cs="Arial"/>
          <w:i/>
          <w:iCs/>
          <w:shd w:val="clear" w:color="auto" w:fill="FFFFFF"/>
        </w:rPr>
        <w:t>“Despite growing awareness of child criminal exploitation, there is a lack of evidence relating to parent views and experiences”</w:t>
      </w:r>
      <w:r w:rsidRPr="00621FB1">
        <w:rPr>
          <w:rFonts w:cs="Arial"/>
          <w:shd w:val="clear" w:color="auto" w:fill="FFFFFF"/>
        </w:rPr>
        <w:t xml:space="preserve"> </w:t>
      </w:r>
      <w:r w:rsidRPr="00621FB1">
        <w:rPr>
          <w:rFonts w:eastAsia="Times New Roman" w:cs="Arial"/>
          <w:kern w:val="0"/>
          <w:lang w:eastAsia="en-GB"/>
          <w14:ligatures w14:val="none"/>
        </w:rPr>
        <w:t>(Maxwell, 2022)</w:t>
      </w:r>
      <w:r w:rsidRPr="00621FB1">
        <w:rPr>
          <w:rFonts w:cs="Arial"/>
          <w:shd w:val="clear" w:color="auto" w:fill="FFFFFF"/>
        </w:rPr>
        <w:t xml:space="preserve">. </w:t>
      </w:r>
    </w:p>
    <w:p w14:paraId="62B47C3E" w14:textId="77777777" w:rsidR="00405C7F" w:rsidRDefault="00405C7F" w:rsidP="00D43545">
      <w:pPr>
        <w:rPr>
          <w:rFonts w:cs="Arial"/>
        </w:rPr>
      </w:pPr>
    </w:p>
    <w:p w14:paraId="20254963" w14:textId="2227F336" w:rsidR="00405C7F" w:rsidRPr="00405C7F" w:rsidRDefault="00405C7F" w:rsidP="00D43545">
      <w:pPr>
        <w:rPr>
          <w:rFonts w:cs="Arial"/>
          <w:b/>
          <w:bCs/>
          <w:u w:val="single"/>
        </w:rPr>
      </w:pPr>
      <w:r w:rsidRPr="00405C7F">
        <w:rPr>
          <w:rFonts w:cs="Arial"/>
          <w:b/>
          <w:bCs/>
          <w:u w:val="single"/>
        </w:rPr>
        <w:t>2.6 Conclusion</w:t>
      </w:r>
    </w:p>
    <w:p w14:paraId="286A6784" w14:textId="77777777" w:rsidR="00405C7F" w:rsidRPr="00621FB1" w:rsidRDefault="00405C7F" w:rsidP="00D43545">
      <w:pPr>
        <w:rPr>
          <w:rFonts w:cs="Arial"/>
        </w:rPr>
      </w:pPr>
    </w:p>
    <w:p w14:paraId="5085E193" w14:textId="36EBF808" w:rsidR="00DB394D" w:rsidRPr="00621FB1" w:rsidRDefault="00DB394D" w:rsidP="00D43545">
      <w:pPr>
        <w:rPr>
          <w:rFonts w:cs="Arial"/>
        </w:rPr>
      </w:pPr>
      <w:r w:rsidRPr="00621FB1">
        <w:rPr>
          <w:rFonts w:cs="Arial"/>
        </w:rPr>
        <w:t xml:space="preserve">To conclude, according to the arguments in this review, more needs to be done in relation to preventing children from being groomed and exploited into drug trafficking and current strategies need to ensure they are updated with an evolving culture of recreational drug use (Nahar et al, 2023) which includes updated information and using school curriculum, social  media and extra-curricular settings to educate because of course, crime prevention is better than cure. </w:t>
      </w:r>
      <w:r w:rsidRPr="00621FB1">
        <w:rPr>
          <w:rStyle w:val="Emphasis"/>
          <w:rFonts w:cs="Arial"/>
          <w:i w:val="0"/>
          <w:iCs w:val="0"/>
          <w:szCs w:val="24"/>
          <w:bdr w:val="none" w:sz="0" w:space="0" w:color="auto" w:frame="1"/>
          <w:shd w:val="clear" w:color="auto" w:fill="FFFFFF"/>
        </w:rPr>
        <w:t xml:space="preserve">Despite extensive research on county lines, </w:t>
      </w:r>
      <w:r w:rsidR="00D23C7C" w:rsidRPr="00621FB1">
        <w:rPr>
          <w:rStyle w:val="Emphasis"/>
          <w:rFonts w:cs="Arial"/>
          <w:i w:val="0"/>
          <w:iCs w:val="0"/>
          <w:szCs w:val="24"/>
          <w:bdr w:val="none" w:sz="0" w:space="0" w:color="auto" w:frame="1"/>
          <w:shd w:val="clear" w:color="auto" w:fill="FFFFFF"/>
        </w:rPr>
        <w:t>there is</w:t>
      </w:r>
      <w:r w:rsidRPr="00621FB1">
        <w:rPr>
          <w:rStyle w:val="Emphasis"/>
          <w:rFonts w:cs="Arial"/>
          <w:i w:val="0"/>
          <w:iCs w:val="0"/>
          <w:szCs w:val="24"/>
          <w:bdr w:val="none" w:sz="0" w:space="0" w:color="auto" w:frame="1"/>
          <w:shd w:val="clear" w:color="auto" w:fill="FFFFFF"/>
        </w:rPr>
        <w:t xml:space="preserve"> a research gap in terms of understanding the effectiveness of educating children to prevent exploitation. While empirical research surrounding exploitation has grown over the past five years, there remains a lack of comprehensive studies regarding the effectiveness of educating children on how to safeguard themselves.</w:t>
      </w:r>
      <w:r w:rsidRPr="00621FB1">
        <w:rPr>
          <w:rStyle w:val="Emphasis"/>
          <w:rFonts w:cs="Arial"/>
          <w:szCs w:val="24"/>
          <w:bdr w:val="none" w:sz="0" w:space="0" w:color="auto" w:frame="1"/>
          <w:shd w:val="clear" w:color="auto" w:fill="FFFFFF"/>
        </w:rPr>
        <w:t> </w:t>
      </w:r>
      <w:r w:rsidRPr="00621FB1">
        <w:rPr>
          <w:rStyle w:val="Emphasis"/>
          <w:rFonts w:cs="Arial"/>
          <w:i w:val="0"/>
          <w:iCs w:val="0"/>
          <w:szCs w:val="24"/>
          <w:bdr w:val="none" w:sz="0" w:space="0" w:color="auto" w:frame="1"/>
          <w:shd w:val="clear" w:color="auto" w:fill="FFFFFF"/>
        </w:rPr>
        <w:t xml:space="preserve">The research literature on county lines exploitation indicates we know exploitation is a big issue, we know children are targeted due to being an easy, replaceable resource but we do not know if these individuals are educated in how to safeguard themselves and the dangers in society. </w:t>
      </w:r>
    </w:p>
    <w:p w14:paraId="0C0DA57B" w14:textId="7F793CB0" w:rsidR="00DB394D" w:rsidRPr="001D77E2" w:rsidRDefault="00DB394D" w:rsidP="00D43545">
      <w:pPr>
        <w:rPr>
          <w:rFonts w:cs="Arial"/>
          <w:b/>
          <w:bCs/>
          <w:u w:val="single"/>
        </w:rPr>
      </w:pPr>
      <w:r>
        <w:br w:type="page"/>
      </w:r>
      <w:r w:rsidRPr="001D77E2">
        <w:rPr>
          <w:rFonts w:cs="Arial"/>
          <w:b/>
          <w:bCs/>
          <w:u w:val="single"/>
        </w:rPr>
        <w:lastRenderedPageBreak/>
        <w:t>Cha</w:t>
      </w:r>
      <w:r w:rsidR="005D2EC8" w:rsidRPr="001D77E2">
        <w:rPr>
          <w:rFonts w:cs="Arial"/>
          <w:b/>
          <w:bCs/>
          <w:u w:val="single"/>
        </w:rPr>
        <w:t xml:space="preserve">pter </w:t>
      </w:r>
      <w:r w:rsidR="00664D3E">
        <w:rPr>
          <w:rFonts w:cs="Arial"/>
          <w:b/>
          <w:bCs/>
          <w:u w:val="single"/>
        </w:rPr>
        <w:t>three</w:t>
      </w:r>
      <w:r w:rsidR="005D2EC8" w:rsidRPr="001D77E2">
        <w:rPr>
          <w:rFonts w:cs="Arial"/>
          <w:b/>
          <w:bCs/>
          <w:u w:val="single"/>
        </w:rPr>
        <w:t xml:space="preserve"> – </w:t>
      </w:r>
      <w:r w:rsidR="001D77E2" w:rsidRPr="001D77E2">
        <w:rPr>
          <w:rFonts w:cs="Arial"/>
          <w:b/>
          <w:bCs/>
          <w:u w:val="single"/>
        </w:rPr>
        <w:t>Research m</w:t>
      </w:r>
      <w:r w:rsidR="005D2EC8" w:rsidRPr="001D77E2">
        <w:rPr>
          <w:rFonts w:cs="Arial"/>
          <w:b/>
          <w:bCs/>
          <w:u w:val="single"/>
        </w:rPr>
        <w:t>ethodology</w:t>
      </w:r>
    </w:p>
    <w:p w14:paraId="2A377EF2" w14:textId="77777777" w:rsidR="001D77E2" w:rsidRPr="001D77E2" w:rsidRDefault="001D77E2" w:rsidP="00D43545">
      <w:pPr>
        <w:rPr>
          <w:rFonts w:cs="Arial"/>
          <w:b/>
          <w:bCs/>
          <w:u w:val="single"/>
        </w:rPr>
      </w:pPr>
    </w:p>
    <w:p w14:paraId="64466789" w14:textId="0169B959" w:rsidR="001D77E2" w:rsidRPr="001D77E2" w:rsidRDefault="001D77E2" w:rsidP="001D77E2">
      <w:pPr>
        <w:rPr>
          <w:rFonts w:cs="Arial"/>
          <w:b/>
          <w:bCs/>
          <w:u w:val="single"/>
        </w:rPr>
      </w:pPr>
      <w:r>
        <w:rPr>
          <w:rFonts w:cs="Arial"/>
          <w:b/>
          <w:bCs/>
          <w:u w:val="single"/>
        </w:rPr>
        <w:t xml:space="preserve">3.1 </w:t>
      </w:r>
      <w:r w:rsidR="005D2EC8" w:rsidRPr="001D77E2">
        <w:rPr>
          <w:rFonts w:cs="Arial"/>
          <w:b/>
          <w:bCs/>
          <w:u w:val="single"/>
        </w:rPr>
        <w:t>Introduction</w:t>
      </w:r>
    </w:p>
    <w:p w14:paraId="31DE9559" w14:textId="77777777" w:rsidR="001D77E2" w:rsidRPr="001D77E2" w:rsidRDefault="001D77E2" w:rsidP="001D77E2">
      <w:pPr>
        <w:rPr>
          <w:rFonts w:cs="Arial"/>
        </w:rPr>
      </w:pPr>
    </w:p>
    <w:p w14:paraId="0D5E42FC" w14:textId="77777777" w:rsidR="005D2EC8" w:rsidRPr="005D2EC8" w:rsidRDefault="005D2EC8" w:rsidP="00D43545">
      <w:pPr>
        <w:rPr>
          <w:rFonts w:cs="Arial"/>
        </w:rPr>
      </w:pPr>
      <w:r w:rsidRPr="005D2EC8">
        <w:rPr>
          <w:rFonts w:cs="Arial"/>
        </w:rPr>
        <w:t>Further research is necessary to comprehensively understand public awareness regarding the exploitation of children involved in county lines. The aims and objectives of this research project will form the foundation for its methodology. To protect children from exploitation and human trafficking, new laws are being introduced, such the Online Safety Act (2023), which gives children a better level of protection than adults. The specific objectives of the research are to assess the adequacy of education on the issue, to evaluate the level of awareness among parents and vulnerable individuals regarding county lines and whether this awareness is sufficient to prevent exploitation, and to conduct primary research through online questionnaires to gauge public perception of county lines exploitation.</w:t>
      </w:r>
    </w:p>
    <w:p w14:paraId="743C8613" w14:textId="77777777" w:rsidR="005D2EC8" w:rsidRPr="005D2EC8" w:rsidRDefault="005D2EC8" w:rsidP="00D43545">
      <w:pPr>
        <w:rPr>
          <w:rFonts w:cs="Arial"/>
        </w:rPr>
      </w:pPr>
    </w:p>
    <w:p w14:paraId="50F08083" w14:textId="77777777" w:rsidR="005D2EC8" w:rsidRPr="001D77E2" w:rsidRDefault="005D2EC8" w:rsidP="00D43545">
      <w:pPr>
        <w:rPr>
          <w:rFonts w:cs="Arial"/>
          <w:b/>
          <w:bCs/>
          <w:u w:val="single"/>
        </w:rPr>
      </w:pPr>
      <w:r w:rsidRPr="001D77E2">
        <w:rPr>
          <w:rFonts w:cs="Arial"/>
          <w:b/>
          <w:bCs/>
          <w:u w:val="single"/>
        </w:rPr>
        <w:t>3.2 Data collection</w:t>
      </w:r>
    </w:p>
    <w:p w14:paraId="0140C05E" w14:textId="77777777" w:rsidR="001D77E2" w:rsidRPr="005D2EC8" w:rsidRDefault="001D77E2" w:rsidP="00D43545">
      <w:pPr>
        <w:rPr>
          <w:rFonts w:cs="Arial"/>
        </w:rPr>
      </w:pPr>
    </w:p>
    <w:p w14:paraId="62610990" w14:textId="13869EEC" w:rsidR="005D2EC8" w:rsidRPr="005D2EC8" w:rsidRDefault="005D2EC8" w:rsidP="00D43545">
      <w:pPr>
        <w:rPr>
          <w:rFonts w:cs="Arial"/>
        </w:rPr>
      </w:pPr>
      <w:r w:rsidRPr="005D2EC8">
        <w:rPr>
          <w:rFonts w:cs="Arial"/>
        </w:rPr>
        <w:t xml:space="preserve">There are two forms of data collection: primary and secondary. Given the nature of the topic, the focus will be primary data collection namely, first hand research collected specifically for the project. Hyman et al. (1954) documented ways that interviewers could influence the answers they obtained. Strategies would need to be used to ask questions in an unbiased way. A questionnaire is a collection of questions distributed to respondents, to obtain information from people who are dispersed and difficult to meet in person. </w:t>
      </w:r>
      <w:r w:rsidR="002C00D3">
        <w:rPr>
          <w:rFonts w:cs="Arial"/>
        </w:rPr>
        <w:t>The questionnaire</w:t>
      </w:r>
      <w:r w:rsidRPr="005D2EC8">
        <w:rPr>
          <w:rFonts w:cs="Arial"/>
        </w:rPr>
        <w:t xml:space="preserve"> should include an overview of the study whil</w:t>
      </w:r>
      <w:r w:rsidR="002C00D3">
        <w:rPr>
          <w:rFonts w:cs="Arial"/>
        </w:rPr>
        <w:t>st</w:t>
      </w:r>
      <w:r w:rsidRPr="005D2EC8">
        <w:rPr>
          <w:rFonts w:cs="Arial"/>
        </w:rPr>
        <w:t xml:space="preserve"> adhering to ethical and moral guidelines (Mazhar et al., 2021). The researcher determined that using a questionnaire would be the effective way to gather data for this study after weighing the pros and drawbacks of data collecting techniques. This is attributed, in part, to its time and cost effectiveness, which enables successful attainment of the target sample size. In addition, the primary method of data collection provides participant anonymity. Inadequate methods for maintaining participant identity and confidentiality can negatively impact study results. Credible research must adhere to these guidelines to uphold ethical norms, safeguard privacy, foster trust, and maintain the integrity of the research. (</w:t>
      </w:r>
      <w:r w:rsidRPr="005D2EC8">
        <w:rPr>
          <w:rFonts w:cs="Arial"/>
          <w:shd w:val="clear" w:color="auto" w:fill="FFFFFF"/>
        </w:rPr>
        <w:t>Kang and Hwang, 2023)</w:t>
      </w:r>
      <w:r w:rsidRPr="005D2EC8">
        <w:rPr>
          <w:rFonts w:cs="Arial"/>
        </w:rPr>
        <w:t>.</w:t>
      </w:r>
    </w:p>
    <w:p w14:paraId="4214B49A" w14:textId="02BFAA60" w:rsidR="005D2EC8" w:rsidRDefault="005D2EC8" w:rsidP="00D43545">
      <w:pPr>
        <w:rPr>
          <w:rFonts w:cs="Arial"/>
        </w:rPr>
      </w:pPr>
      <w:r w:rsidRPr="005D2EC8">
        <w:rPr>
          <w:rFonts w:cs="Arial"/>
        </w:rPr>
        <w:lastRenderedPageBreak/>
        <w:t xml:space="preserve">The survey will be disseminated to parents of children aged </w:t>
      </w:r>
      <w:r w:rsidR="002C00D3">
        <w:rPr>
          <w:rFonts w:cs="Arial"/>
        </w:rPr>
        <w:t>eleven</w:t>
      </w:r>
      <w:r w:rsidRPr="005D2EC8">
        <w:rPr>
          <w:rFonts w:cs="Arial"/>
        </w:rPr>
        <w:t xml:space="preserve"> to </w:t>
      </w:r>
      <w:r w:rsidR="002C00D3">
        <w:rPr>
          <w:rFonts w:cs="Arial"/>
        </w:rPr>
        <w:t>seventeen</w:t>
      </w:r>
      <w:r w:rsidRPr="005D2EC8">
        <w:rPr>
          <w:rFonts w:cs="Arial"/>
        </w:rPr>
        <w:t>,</w:t>
      </w:r>
      <w:r w:rsidR="002C00D3">
        <w:rPr>
          <w:rFonts w:cs="Arial"/>
        </w:rPr>
        <w:t xml:space="preserve"> who are</w:t>
      </w:r>
      <w:r w:rsidRPr="005D2EC8">
        <w:rPr>
          <w:rFonts w:cs="Arial"/>
        </w:rPr>
        <w:t xml:space="preserve"> the target participant for the research. The survey will consist of open and closed questions. According to Schuman and Presser (1979), open questions uncover spontaneous replies whilst avoiding bias. O’Cathain and Thomas (2004) suggest when strategically incorporated into structured surveys, open questions can maximise data quality, minimise ethical issues, and encourage a moral approach to data analysis. </w:t>
      </w:r>
      <w:r w:rsidRPr="005D2EC8">
        <w:rPr>
          <w:rFonts w:cs="Arial"/>
          <w:color w:val="222222"/>
          <w:shd w:val="clear" w:color="auto" w:fill="FFFFFF"/>
        </w:rPr>
        <w:t xml:space="preserve">Dohrenwend (1965) argues </w:t>
      </w:r>
      <w:r w:rsidRPr="005D2EC8">
        <w:rPr>
          <w:rFonts w:cs="Arial"/>
        </w:rPr>
        <w:t>there is no evidence that closed questions are more likely to generate incorrect objective or subjective responses compared to open ones. However, research suggests participants do not enjoy open questions which could affect the data by selective drop out (Connor Desai and Reimers, 2019). Compared to open-ended questions, closed questions allow for comparisons between individuals or groups of respondents, take less time to complete, and are simple to write and execute meaning you are more likely to get a response (</w:t>
      </w:r>
      <w:r w:rsidRPr="005D2EC8">
        <w:rPr>
          <w:rFonts w:cs="Arial"/>
          <w:color w:val="222222"/>
          <w:shd w:val="clear" w:color="auto" w:fill="FFFFFF"/>
        </w:rPr>
        <w:t>Meadows, 2003)</w:t>
      </w:r>
      <w:r w:rsidRPr="005D2EC8">
        <w:rPr>
          <w:rFonts w:cs="Arial"/>
        </w:rPr>
        <w:t>.</w:t>
      </w:r>
    </w:p>
    <w:p w14:paraId="75BE42B0" w14:textId="77777777" w:rsidR="002C00D3" w:rsidRPr="005D2EC8" w:rsidRDefault="002C00D3" w:rsidP="00D43545">
      <w:pPr>
        <w:rPr>
          <w:rFonts w:cs="Arial"/>
        </w:rPr>
      </w:pPr>
    </w:p>
    <w:p w14:paraId="458DE68B" w14:textId="1EF0F3C2" w:rsidR="005D2EC8" w:rsidRPr="005D2EC8" w:rsidRDefault="005D2EC8" w:rsidP="00D43545">
      <w:pPr>
        <w:rPr>
          <w:rFonts w:cs="Arial"/>
        </w:rPr>
      </w:pPr>
      <w:r w:rsidRPr="005D2EC8">
        <w:rPr>
          <w:rFonts w:cs="Arial"/>
        </w:rPr>
        <w:t xml:space="preserve">The survey will be conducted on Google forms, according to </w:t>
      </w:r>
      <w:r w:rsidRPr="005D2EC8">
        <w:rPr>
          <w:rFonts w:cs="Arial"/>
          <w:color w:val="222222"/>
          <w:shd w:val="clear" w:color="auto" w:fill="FFFFFF"/>
        </w:rPr>
        <w:t xml:space="preserve">Raju and Harinarayana, (2016, p13.), </w:t>
      </w:r>
      <w:r w:rsidRPr="005D2EC8">
        <w:rPr>
          <w:rFonts w:cs="Arial"/>
        </w:rPr>
        <w:t>“</w:t>
      </w:r>
      <w:r w:rsidRPr="002C00D3">
        <w:rPr>
          <w:rFonts w:cs="Arial"/>
          <w:i/>
          <w:iCs/>
        </w:rPr>
        <w:t>the free availability of the tool and automatic recording of user response in its spreadsheet have made data collection and analysis simple.”</w:t>
      </w:r>
      <w:r w:rsidRPr="005D2EC8">
        <w:rPr>
          <w:rFonts w:cs="Arial"/>
        </w:rPr>
        <w:t xml:space="preserve">  The survey will be shared through messaging groups and social media. There will be questions to include gender and age to compare maternal and paternal parents and whether older and younger parents differ. This will also show any patterns. There will be </w:t>
      </w:r>
      <w:r w:rsidR="002C00D3">
        <w:rPr>
          <w:rFonts w:cs="Arial"/>
        </w:rPr>
        <w:t>ten</w:t>
      </w:r>
      <w:r w:rsidRPr="005D2EC8">
        <w:rPr>
          <w:rFonts w:cs="Arial"/>
        </w:rPr>
        <w:t xml:space="preserve"> to </w:t>
      </w:r>
      <w:r w:rsidR="002C00D3">
        <w:rPr>
          <w:rFonts w:cs="Arial"/>
        </w:rPr>
        <w:t>fifteen</w:t>
      </w:r>
      <w:r w:rsidRPr="005D2EC8">
        <w:rPr>
          <w:rFonts w:cs="Arial"/>
        </w:rPr>
        <w:t xml:space="preserve"> questions about county lines and understanding of the issue, which will show how aware parents are and if they comprehend the intricacy of the exploitation of children. In addition, sampling will be required for the validity of the questionnaire. According to </w:t>
      </w:r>
      <w:r w:rsidRPr="005D2EC8">
        <w:rPr>
          <w:rFonts w:cs="Arial"/>
          <w:color w:val="222222"/>
          <w:shd w:val="clear" w:color="auto" w:fill="FFFFFF"/>
        </w:rPr>
        <w:t xml:space="preserve">Singh and Masuku, (2013) </w:t>
      </w:r>
      <w:r w:rsidRPr="005D2EC8">
        <w:rPr>
          <w:rFonts w:cs="Arial"/>
        </w:rPr>
        <w:t xml:space="preserve">even a well-conducted study may not find significant effects or relationships or may estimate those impacts or connections too loosely if the sample size is too small. In a similar vein, an excessively high sample size would make the study more complicated and may provide inaccurate results. There are two types of sampling, random sampling and non-random. For this research, random sampling will be conducted, enabling the researcher to draw statistical conclusions about the entire group in addition to reducing the possibility of bias in selection. According to Bekele and Ago (2022), determining a defined sample size is challenging, there is no universal rule for maximum or minimum interviews. However, Subedi (2021) suggests, larger sample </w:t>
      </w:r>
      <w:r w:rsidRPr="005D2EC8">
        <w:rPr>
          <w:rFonts w:cs="Arial"/>
        </w:rPr>
        <w:lastRenderedPageBreak/>
        <w:t xml:space="preserve">sizes are employed in qualitative research and, depending on the objectives of the study and the amount of data that must be collected, the number of participants may vary from </w:t>
      </w:r>
      <w:r w:rsidR="002C00D3">
        <w:rPr>
          <w:rFonts w:cs="Arial"/>
        </w:rPr>
        <w:t>ten</w:t>
      </w:r>
      <w:r w:rsidRPr="005D2EC8">
        <w:rPr>
          <w:rFonts w:cs="Arial"/>
        </w:rPr>
        <w:t xml:space="preserve"> to </w:t>
      </w:r>
      <w:r w:rsidR="002C00D3">
        <w:rPr>
          <w:rFonts w:cs="Arial"/>
        </w:rPr>
        <w:t>fifty</w:t>
      </w:r>
      <w:r w:rsidRPr="005D2EC8">
        <w:rPr>
          <w:rFonts w:cs="Arial"/>
        </w:rPr>
        <w:t xml:space="preserve"> plus. </w:t>
      </w:r>
    </w:p>
    <w:p w14:paraId="6DDA4BAD" w14:textId="77777777" w:rsidR="005D2EC8" w:rsidRDefault="005D2EC8" w:rsidP="00D43545">
      <w:pPr>
        <w:rPr>
          <w:rFonts w:cs="Arial"/>
        </w:rPr>
      </w:pPr>
    </w:p>
    <w:p w14:paraId="0EC689ED" w14:textId="435D5031" w:rsidR="005D2EC8" w:rsidRPr="001D77E2" w:rsidRDefault="005D2EC8" w:rsidP="00D43545">
      <w:pPr>
        <w:rPr>
          <w:rFonts w:cs="Arial"/>
          <w:b/>
          <w:bCs/>
          <w:u w:val="single"/>
        </w:rPr>
      </w:pPr>
      <w:r w:rsidRPr="001D77E2">
        <w:rPr>
          <w:rFonts w:cs="Arial"/>
          <w:b/>
          <w:bCs/>
          <w:u w:val="single"/>
        </w:rPr>
        <w:t>3.3 Data analysis</w:t>
      </w:r>
    </w:p>
    <w:p w14:paraId="78608461" w14:textId="77777777" w:rsidR="001D77E2" w:rsidRPr="005D2EC8" w:rsidRDefault="001D77E2" w:rsidP="00D43545">
      <w:pPr>
        <w:rPr>
          <w:rFonts w:cs="Arial"/>
        </w:rPr>
      </w:pPr>
    </w:p>
    <w:p w14:paraId="05FFFA4A" w14:textId="3E209DEE" w:rsidR="005D2EC8" w:rsidRDefault="005D2EC8" w:rsidP="00D43545">
      <w:pPr>
        <w:rPr>
          <w:rFonts w:cs="Arial"/>
        </w:rPr>
      </w:pPr>
      <w:r w:rsidRPr="005D2EC8">
        <w:rPr>
          <w:rFonts w:cs="Arial"/>
        </w:rPr>
        <w:t>The research can be qualitative or quantitative</w:t>
      </w:r>
      <w:r w:rsidR="00D23C7C" w:rsidRPr="005D2EC8">
        <w:rPr>
          <w:rFonts w:cs="Arial"/>
        </w:rPr>
        <w:t xml:space="preserve">. </w:t>
      </w:r>
      <w:r w:rsidRPr="005D2EC8">
        <w:rPr>
          <w:rFonts w:cs="Arial"/>
        </w:rPr>
        <w:t xml:space="preserve">Qualitative data is descriptive, non-numerical information that cannot be measured and often includes opinions. The process of collecting and evaluating non-numerical data to comprehend people's attitudes, beliefs, motivations, and social realities is known as qualitative research. </w:t>
      </w:r>
      <w:r w:rsidR="00A53D40" w:rsidRPr="005D2EC8">
        <w:rPr>
          <w:rFonts w:cs="Arial"/>
          <w:color w:val="222222"/>
          <w:shd w:val="clear" w:color="auto" w:fill="FFFFFF"/>
        </w:rPr>
        <w:t>Ahmad (2019)</w:t>
      </w:r>
      <w:r w:rsidRPr="005D2EC8">
        <w:rPr>
          <w:rFonts w:cs="Arial"/>
          <w:color w:val="222222"/>
          <w:shd w:val="clear" w:color="auto" w:fill="FFFFFF"/>
        </w:rPr>
        <w:t xml:space="preserve"> describes q</w:t>
      </w:r>
      <w:r w:rsidRPr="005D2EC8">
        <w:rPr>
          <w:rFonts w:cs="Arial"/>
        </w:rPr>
        <w:t>ualitative research focuses on the "why" rather than the "what" whereas quantitative research gathers a range of numeric data. To obtain context and understanding into intricate events, experiences, and underlying causes for behaviour, it frequently entails in-depth interviews, focus groups, or observations. In contrast, the goal of quantitative research is to quantify the process of gathering and analysing data. According to Goertzen (2017) methods of quantitative research gather numerical data for statistical analysis. Their goal is to provide precise metrics for scenario comprehension. These techniques provide precise, measurable answers to questions. Focusing on trends across research groups, they identify patterns and behaviours but do not explain why people behave in particular ways. A questionnaire is a crucial tool for collecting quantitative primary data, ensuring consistency and coherence for analysis (Roopa and Rani, 2012).</w:t>
      </w:r>
    </w:p>
    <w:p w14:paraId="4B8C3B74" w14:textId="77777777" w:rsidR="001D77E2" w:rsidRPr="005D2EC8" w:rsidRDefault="001D77E2" w:rsidP="00D43545">
      <w:pPr>
        <w:rPr>
          <w:rFonts w:cs="Arial"/>
        </w:rPr>
      </w:pPr>
    </w:p>
    <w:p w14:paraId="72D982F9" w14:textId="77777777" w:rsidR="005D2EC8" w:rsidRPr="001D77E2" w:rsidRDefault="005D2EC8" w:rsidP="00D43545">
      <w:pPr>
        <w:rPr>
          <w:rFonts w:cs="Arial"/>
          <w:b/>
          <w:bCs/>
          <w:u w:val="single"/>
        </w:rPr>
      </w:pPr>
      <w:r w:rsidRPr="001D77E2">
        <w:rPr>
          <w:rFonts w:cs="Arial"/>
          <w:b/>
          <w:bCs/>
          <w:u w:val="single"/>
        </w:rPr>
        <w:t>3.4 Limitations and potential problems</w:t>
      </w:r>
    </w:p>
    <w:p w14:paraId="4D51AB1C" w14:textId="511E2325" w:rsidR="001D77E2" w:rsidRPr="005D2EC8" w:rsidRDefault="001D77E2" w:rsidP="001D77E2">
      <w:pPr>
        <w:tabs>
          <w:tab w:val="left" w:pos="1749"/>
        </w:tabs>
        <w:rPr>
          <w:rFonts w:cs="Arial"/>
        </w:rPr>
      </w:pPr>
      <w:r>
        <w:rPr>
          <w:rFonts w:cs="Arial"/>
        </w:rPr>
        <w:tab/>
      </w:r>
    </w:p>
    <w:p w14:paraId="3295B802" w14:textId="6B739305" w:rsidR="005D2EC8" w:rsidRPr="005D2EC8" w:rsidRDefault="005D2EC8" w:rsidP="00D43545">
      <w:pPr>
        <w:rPr>
          <w:rFonts w:cs="Arial"/>
        </w:rPr>
      </w:pPr>
      <w:r w:rsidRPr="005D2EC8">
        <w:rPr>
          <w:rFonts w:cs="Arial"/>
        </w:rPr>
        <w:t xml:space="preserve">The research could face potential problems such as participant participation. Boynton (2004, p1372) suggests </w:t>
      </w:r>
      <w:r w:rsidRPr="002C00D3">
        <w:rPr>
          <w:rFonts w:cs="Arial"/>
          <w:i/>
          <w:iCs/>
        </w:rPr>
        <w:t>“q</w:t>
      </w:r>
      <w:r w:rsidRPr="002C00D3">
        <w:rPr>
          <w:rFonts w:cs="Arial"/>
          <w:i/>
          <w:iCs/>
          <w:color w:val="333333"/>
          <w:shd w:val="clear" w:color="auto" w:fill="FFFFFF"/>
        </w:rPr>
        <w:t>uestionnaires tend to fail because participants don't understand them, can't complete them, get bored or offended by them, or dislike how they look.</w:t>
      </w:r>
      <w:r w:rsidRPr="005D2EC8">
        <w:rPr>
          <w:rFonts w:cs="Arial"/>
          <w:color w:val="333333"/>
          <w:shd w:val="clear" w:color="auto" w:fill="FFFFFF"/>
        </w:rPr>
        <w:t xml:space="preserve">” Therefore, it is important the questions are simple and easy to understand. Time constraints could bring issues, the survey will be open for 28 days and the desired number of </w:t>
      </w:r>
      <w:r w:rsidR="002C00D3">
        <w:rPr>
          <w:rFonts w:cs="Arial"/>
          <w:color w:val="333333"/>
          <w:shd w:val="clear" w:color="auto" w:fill="FFFFFF"/>
        </w:rPr>
        <w:t xml:space="preserve">fifty </w:t>
      </w:r>
      <w:r w:rsidRPr="005D2EC8">
        <w:rPr>
          <w:rFonts w:cs="Arial"/>
          <w:color w:val="333333"/>
          <w:shd w:val="clear" w:color="auto" w:fill="FFFFFF"/>
        </w:rPr>
        <w:t xml:space="preserve">participants may not be reached. The ideal participant would be the child direct however this brings ethical </w:t>
      </w:r>
      <w:r w:rsidR="00A53D40" w:rsidRPr="005D2EC8">
        <w:rPr>
          <w:rFonts w:cs="Arial"/>
          <w:color w:val="333333"/>
          <w:shd w:val="clear" w:color="auto" w:fill="FFFFFF"/>
        </w:rPr>
        <w:t>issues,</w:t>
      </w:r>
      <w:r w:rsidRPr="005D2EC8">
        <w:rPr>
          <w:rFonts w:cs="Arial"/>
          <w:color w:val="333333"/>
          <w:shd w:val="clear" w:color="auto" w:fill="FFFFFF"/>
        </w:rPr>
        <w:t xml:space="preserve"> so the parents are more suited. </w:t>
      </w:r>
    </w:p>
    <w:p w14:paraId="267E9462" w14:textId="77777777" w:rsidR="00405C7F" w:rsidRDefault="00405C7F" w:rsidP="00D43545">
      <w:pPr>
        <w:rPr>
          <w:rFonts w:cs="Arial"/>
        </w:rPr>
      </w:pPr>
    </w:p>
    <w:p w14:paraId="1F8B82B9" w14:textId="77777777" w:rsidR="00405C7F" w:rsidRDefault="00405C7F" w:rsidP="00D43545">
      <w:pPr>
        <w:rPr>
          <w:rFonts w:cs="Arial"/>
        </w:rPr>
      </w:pPr>
    </w:p>
    <w:p w14:paraId="4622A842" w14:textId="4C24B055" w:rsidR="00405C7F" w:rsidRPr="001D77E2" w:rsidRDefault="00405C7F" w:rsidP="00405C7F">
      <w:pPr>
        <w:rPr>
          <w:rFonts w:cs="Arial"/>
          <w:b/>
          <w:bCs/>
          <w:u w:val="single"/>
        </w:rPr>
      </w:pPr>
      <w:r w:rsidRPr="001D77E2">
        <w:rPr>
          <w:rFonts w:cs="Arial"/>
          <w:b/>
          <w:bCs/>
          <w:u w:val="single"/>
        </w:rPr>
        <w:t>3.</w:t>
      </w:r>
      <w:r>
        <w:rPr>
          <w:rFonts w:cs="Arial"/>
          <w:b/>
          <w:bCs/>
          <w:u w:val="single"/>
        </w:rPr>
        <w:t>5</w:t>
      </w:r>
      <w:r w:rsidRPr="001D77E2">
        <w:rPr>
          <w:rFonts w:cs="Arial"/>
          <w:b/>
          <w:bCs/>
          <w:u w:val="single"/>
        </w:rPr>
        <w:t xml:space="preserve"> </w:t>
      </w:r>
      <w:r>
        <w:rPr>
          <w:rFonts w:cs="Arial"/>
          <w:b/>
          <w:bCs/>
          <w:u w:val="single"/>
        </w:rPr>
        <w:t>Conclusion</w:t>
      </w:r>
    </w:p>
    <w:p w14:paraId="4F704EFB" w14:textId="77777777" w:rsidR="00405C7F" w:rsidRDefault="00405C7F" w:rsidP="00D43545">
      <w:pPr>
        <w:rPr>
          <w:rFonts w:cs="Arial"/>
        </w:rPr>
      </w:pPr>
    </w:p>
    <w:p w14:paraId="6B4BEE56" w14:textId="3A9DB688" w:rsidR="005D2EC8" w:rsidRPr="005D2EC8" w:rsidRDefault="005D2EC8" w:rsidP="00D43545">
      <w:pPr>
        <w:rPr>
          <w:rFonts w:cs="Arial"/>
        </w:rPr>
      </w:pPr>
      <w:r w:rsidRPr="005D2EC8">
        <w:rPr>
          <w:rFonts w:cs="Arial"/>
        </w:rPr>
        <w:t>In summary, the research will employ quantitative data collection methods, utilizing a survey distributed through groups and online forums. While the exact demographics of the survey recipients are not predetermined due to the dissemination method, demographic questions will be included in the survey to gather this information. This approach is deemed the most effective for the researcher to collect comprehensive data for subsequent analysis.</w:t>
      </w:r>
    </w:p>
    <w:p w14:paraId="4E9D6504" w14:textId="2CA99066" w:rsidR="005D2EC8" w:rsidRDefault="005D2EC8" w:rsidP="00D43545">
      <w:pPr>
        <w:rPr>
          <w:rFonts w:cs="Arial"/>
        </w:rPr>
      </w:pPr>
      <w:r>
        <w:rPr>
          <w:rFonts w:cs="Arial"/>
        </w:rPr>
        <w:br w:type="page"/>
      </w:r>
    </w:p>
    <w:p w14:paraId="00156CFB" w14:textId="324192D4" w:rsidR="005D2EC8" w:rsidRPr="0016295D" w:rsidRDefault="005D2EC8" w:rsidP="00D43545">
      <w:pPr>
        <w:rPr>
          <w:rFonts w:cs="Arial"/>
          <w:b/>
          <w:bCs/>
          <w:u w:val="single"/>
        </w:rPr>
      </w:pPr>
      <w:r w:rsidRPr="0016295D">
        <w:rPr>
          <w:rFonts w:cs="Arial"/>
          <w:b/>
          <w:bCs/>
          <w:u w:val="single"/>
        </w:rPr>
        <w:lastRenderedPageBreak/>
        <w:t xml:space="preserve">Chapter </w:t>
      </w:r>
      <w:r w:rsidR="00152ED5">
        <w:rPr>
          <w:rFonts w:cs="Arial"/>
          <w:b/>
          <w:bCs/>
          <w:u w:val="single"/>
        </w:rPr>
        <w:t>four</w:t>
      </w:r>
      <w:r w:rsidRPr="0016295D">
        <w:rPr>
          <w:rFonts w:cs="Arial"/>
          <w:b/>
          <w:bCs/>
          <w:u w:val="single"/>
        </w:rPr>
        <w:t xml:space="preserve"> – Results</w:t>
      </w:r>
      <w:r w:rsidR="0016295D" w:rsidRPr="0016295D">
        <w:rPr>
          <w:rFonts w:cs="Arial"/>
          <w:b/>
          <w:bCs/>
          <w:u w:val="single"/>
        </w:rPr>
        <w:t xml:space="preserve"> </w:t>
      </w:r>
    </w:p>
    <w:p w14:paraId="37A11AB6" w14:textId="77777777" w:rsidR="001D77E2" w:rsidRDefault="001D77E2" w:rsidP="00D43545">
      <w:pPr>
        <w:rPr>
          <w:rFonts w:cs="Arial"/>
        </w:rPr>
      </w:pPr>
    </w:p>
    <w:p w14:paraId="613D358A" w14:textId="568FCB0C" w:rsidR="005D2EC8" w:rsidRDefault="005D2EC8" w:rsidP="00D43545">
      <w:pPr>
        <w:rPr>
          <w:rFonts w:eastAsia="Times New Roman" w:cstheme="minorHAnsi"/>
          <w:kern w:val="0"/>
          <w:lang w:eastAsia="en-GB"/>
          <w14:ligatures w14:val="none"/>
        </w:rPr>
      </w:pPr>
      <w:r w:rsidRPr="00F93448">
        <w:rPr>
          <w:rFonts w:eastAsia="Times New Roman" w:cstheme="minorHAnsi"/>
          <w:kern w:val="0"/>
          <w:lang w:eastAsia="en-GB"/>
          <w14:ligatures w14:val="none"/>
        </w:rPr>
        <w:t xml:space="preserve">The results chapter provides a comprehensive analysis of the findings from the administered questionnaire, focusing on various aspects related to parents' knowledge and understanding of county lines exploitation and their views on how education on this topic should be approached. </w:t>
      </w:r>
      <w:r w:rsidRPr="0078600A">
        <w:rPr>
          <w:rFonts w:eastAsia="Times New Roman" w:cstheme="minorHAnsi"/>
          <w:kern w:val="0"/>
          <w:lang w:eastAsia="en-GB"/>
          <w14:ligatures w14:val="none"/>
        </w:rPr>
        <w:t>This research project's findings and discussion’s part will give the researcher the opportunity to evaluate and contrast the collected data from the administered questionnaire. The researcher has chosen specific questions</w:t>
      </w:r>
      <w:r w:rsidR="002C00D3">
        <w:rPr>
          <w:rFonts w:eastAsia="Times New Roman" w:cstheme="minorHAnsi"/>
          <w:kern w:val="0"/>
          <w:lang w:eastAsia="en-GB"/>
          <w14:ligatures w14:val="none"/>
        </w:rPr>
        <w:t xml:space="preserve"> from the survey</w:t>
      </w:r>
      <w:r w:rsidRPr="0078600A">
        <w:rPr>
          <w:rFonts w:eastAsia="Times New Roman" w:cstheme="minorHAnsi"/>
          <w:kern w:val="0"/>
          <w:lang w:eastAsia="en-GB"/>
          <w14:ligatures w14:val="none"/>
        </w:rPr>
        <w:t> to cover in this research project</w:t>
      </w:r>
      <w:r>
        <w:rPr>
          <w:rFonts w:eastAsia="Times New Roman" w:cstheme="minorHAnsi"/>
          <w:kern w:val="0"/>
          <w:lang w:eastAsia="en-GB"/>
          <w14:ligatures w14:val="none"/>
        </w:rPr>
        <w:t xml:space="preserve">. The survey consisted of </w:t>
      </w:r>
      <w:r w:rsidR="002C00D3">
        <w:rPr>
          <w:rFonts w:eastAsia="Times New Roman" w:cstheme="minorHAnsi"/>
          <w:kern w:val="0"/>
          <w:lang w:eastAsia="en-GB"/>
          <w14:ligatures w14:val="none"/>
        </w:rPr>
        <w:t>thirteen</w:t>
      </w:r>
      <w:r>
        <w:rPr>
          <w:rFonts w:eastAsia="Times New Roman" w:cstheme="minorHAnsi"/>
          <w:kern w:val="0"/>
          <w:lang w:eastAsia="en-GB"/>
          <w14:ligatures w14:val="none"/>
        </w:rPr>
        <w:t xml:space="preserve"> questions and was distributed amongst the researchers’ WhatsApp groups that were made up of parents</w:t>
      </w:r>
      <w:r w:rsidR="002C00D3">
        <w:rPr>
          <w:rFonts w:eastAsia="Times New Roman" w:cstheme="minorHAnsi"/>
          <w:kern w:val="0"/>
          <w:lang w:eastAsia="en-GB"/>
          <w14:ligatures w14:val="none"/>
        </w:rPr>
        <w:t>, guardians, and adults responsible for extra-curricular activities like scouts</w:t>
      </w:r>
      <w:r>
        <w:rPr>
          <w:rFonts w:eastAsia="Times New Roman" w:cstheme="minorHAnsi"/>
          <w:kern w:val="0"/>
          <w:lang w:eastAsia="en-GB"/>
          <w14:ligatures w14:val="none"/>
        </w:rPr>
        <w:t xml:space="preserve">. The survey was completed by </w:t>
      </w:r>
      <w:r w:rsidR="00A53D40">
        <w:rPr>
          <w:rFonts w:eastAsia="Times New Roman" w:cstheme="minorHAnsi"/>
          <w:kern w:val="0"/>
          <w:lang w:eastAsia="en-GB"/>
          <w14:ligatures w14:val="none"/>
        </w:rPr>
        <w:t>fifty-one</w:t>
      </w:r>
      <w:r>
        <w:rPr>
          <w:rFonts w:eastAsia="Times New Roman" w:cstheme="minorHAnsi"/>
          <w:kern w:val="0"/>
          <w:lang w:eastAsia="en-GB"/>
          <w14:ligatures w14:val="none"/>
        </w:rPr>
        <w:t xml:space="preserve"> responders in </w:t>
      </w:r>
      <w:r w:rsidR="002C00D3">
        <w:rPr>
          <w:rFonts w:eastAsia="Times New Roman" w:cstheme="minorHAnsi"/>
          <w:kern w:val="0"/>
          <w:lang w:eastAsia="en-GB"/>
          <w14:ligatures w14:val="none"/>
        </w:rPr>
        <w:t>one</w:t>
      </w:r>
      <w:r>
        <w:rPr>
          <w:rFonts w:eastAsia="Times New Roman" w:cstheme="minorHAnsi"/>
          <w:kern w:val="0"/>
          <w:lang w:eastAsia="en-GB"/>
          <w14:ligatures w14:val="none"/>
        </w:rPr>
        <w:t xml:space="preserve"> </w:t>
      </w:r>
      <w:r w:rsidR="00717BBF">
        <w:rPr>
          <w:rFonts w:eastAsia="Times New Roman" w:cstheme="minorHAnsi"/>
          <w:kern w:val="0"/>
          <w:lang w:eastAsia="en-GB"/>
          <w14:ligatures w14:val="none"/>
        </w:rPr>
        <w:t>day,</w:t>
      </w:r>
      <w:r>
        <w:rPr>
          <w:rFonts w:eastAsia="Times New Roman" w:cstheme="minorHAnsi"/>
          <w:kern w:val="0"/>
          <w:lang w:eastAsia="en-GB"/>
          <w14:ligatures w14:val="none"/>
        </w:rPr>
        <w:t xml:space="preserve"> so it was closed early as this was the optimum number required. The survey was anonymous however it did pose personal questions such as age and gender. </w:t>
      </w:r>
    </w:p>
    <w:p w14:paraId="043BD69D" w14:textId="77777777" w:rsidR="005D2EC8" w:rsidRDefault="005D2EC8" w:rsidP="00D43545">
      <w:pPr>
        <w:rPr>
          <w:rFonts w:eastAsia="Times New Roman" w:cstheme="minorHAnsi"/>
          <w:kern w:val="0"/>
          <w:lang w:eastAsia="en-GB"/>
          <w14:ligatures w14:val="none"/>
        </w:rPr>
      </w:pPr>
    </w:p>
    <w:p w14:paraId="06A4F298" w14:textId="77777777" w:rsidR="005D2EC8" w:rsidRPr="0078600A" w:rsidRDefault="005D2EC8" w:rsidP="00D43545">
      <w:pPr>
        <w:rPr>
          <w:rFonts w:eastAsia="Times New Roman" w:cstheme="minorHAnsi"/>
          <w:kern w:val="0"/>
          <w:lang w:eastAsia="en-GB"/>
          <w14:ligatures w14:val="none"/>
        </w:rPr>
      </w:pPr>
    </w:p>
    <w:p w14:paraId="00FB757C" w14:textId="77777777" w:rsidR="005D2EC8" w:rsidRPr="009F65EE" w:rsidRDefault="005D2EC8" w:rsidP="00D43545">
      <w:pPr>
        <w:rPr>
          <w:rFonts w:cstheme="minorHAnsi"/>
          <w:b/>
          <w:bCs/>
          <w:u w:val="single"/>
        </w:rPr>
      </w:pPr>
      <w:r w:rsidRPr="009F65EE">
        <w:rPr>
          <w:rFonts w:cstheme="minorHAnsi"/>
          <w:b/>
          <w:bCs/>
          <w:u w:val="single"/>
        </w:rPr>
        <w:t>Question 1-4</w:t>
      </w:r>
    </w:p>
    <w:p w14:paraId="49D6B55E" w14:textId="77777777" w:rsidR="005D2EC8" w:rsidRPr="009F65EE" w:rsidRDefault="005D2EC8" w:rsidP="00D43545">
      <w:pPr>
        <w:rPr>
          <w:rFonts w:cstheme="minorHAnsi"/>
          <w:b/>
          <w:bCs/>
        </w:rPr>
      </w:pPr>
    </w:p>
    <w:p w14:paraId="4CF8AE24" w14:textId="77777777" w:rsidR="005D2EC8" w:rsidRPr="009F65EE" w:rsidRDefault="005D2EC8" w:rsidP="00D43545">
      <w:pPr>
        <w:rPr>
          <w:rFonts w:cstheme="minorHAnsi"/>
          <w:b/>
          <w:bCs/>
        </w:rPr>
      </w:pPr>
      <w:r w:rsidRPr="009F65EE">
        <w:rPr>
          <w:rFonts w:cstheme="minorHAnsi"/>
          <w:b/>
          <w:bCs/>
        </w:rPr>
        <w:t>Question 1</w:t>
      </w:r>
    </w:p>
    <w:p w14:paraId="0D084F19" w14:textId="77777777" w:rsidR="002C00D3" w:rsidRDefault="005D2EC8" w:rsidP="00D43545">
      <w:pPr>
        <w:rPr>
          <w:rFonts w:cstheme="minorHAnsi"/>
        </w:rPr>
      </w:pPr>
      <w:r>
        <w:rPr>
          <w:noProof/>
        </w:rPr>
        <w:drawing>
          <wp:inline distT="0" distB="0" distL="0" distR="0" wp14:anchorId="15442712" wp14:editId="729B9D60">
            <wp:extent cx="3934460" cy="1653380"/>
            <wp:effectExtent l="0" t="0" r="0" b="4445"/>
            <wp:docPr id="2003309583" name="Picture 1" descr="Forms response chart. Question title: Are you a parent or guardian of a 10-16 year old.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parent or guardian of a 10-16 year old. Number of responses: 51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57621" cy="1663113"/>
                    </a:xfrm>
                    <a:prstGeom prst="rect">
                      <a:avLst/>
                    </a:prstGeom>
                    <a:noFill/>
                    <a:ln>
                      <a:noFill/>
                    </a:ln>
                  </pic:spPr>
                </pic:pic>
              </a:graphicData>
            </a:graphic>
          </wp:inline>
        </w:drawing>
      </w:r>
    </w:p>
    <w:p w14:paraId="00C960E4" w14:textId="3154608A" w:rsidR="005D2EC8" w:rsidRPr="002C00D3" w:rsidRDefault="005D2EC8" w:rsidP="00D43545">
      <w:pPr>
        <w:rPr>
          <w:rFonts w:cstheme="minorHAnsi"/>
        </w:rPr>
      </w:pPr>
      <w:r w:rsidRPr="009F65EE">
        <w:rPr>
          <w:rFonts w:cstheme="minorHAnsi"/>
          <w:b/>
          <w:bCs/>
        </w:rPr>
        <w:t xml:space="preserve">Question 2 </w:t>
      </w:r>
    </w:p>
    <w:p w14:paraId="4896BA1C" w14:textId="77777777" w:rsidR="005D2EC8" w:rsidRDefault="005D2EC8" w:rsidP="00D43545">
      <w:pPr>
        <w:rPr>
          <w:rFonts w:cstheme="minorHAnsi"/>
        </w:rPr>
      </w:pPr>
      <w:r>
        <w:rPr>
          <w:noProof/>
        </w:rPr>
        <w:drawing>
          <wp:inline distT="0" distB="0" distL="0" distR="0" wp14:anchorId="56F162C9" wp14:editId="62EF4B69">
            <wp:extent cx="3712354" cy="1560044"/>
            <wp:effectExtent l="0" t="0" r="2540" b="2540"/>
            <wp:docPr id="1832297419" name="Picture 2" descr="Forms response chart. Question title: Please select your gender.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Please select your gender. Number of responses: 51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50202" cy="1575949"/>
                    </a:xfrm>
                    <a:prstGeom prst="rect">
                      <a:avLst/>
                    </a:prstGeom>
                    <a:noFill/>
                    <a:ln>
                      <a:noFill/>
                    </a:ln>
                  </pic:spPr>
                </pic:pic>
              </a:graphicData>
            </a:graphic>
          </wp:inline>
        </w:drawing>
      </w:r>
    </w:p>
    <w:p w14:paraId="596E8F40" w14:textId="419DD4D6" w:rsidR="005D2EC8" w:rsidRPr="009F65EE" w:rsidRDefault="005D2EC8" w:rsidP="00D43545">
      <w:pPr>
        <w:rPr>
          <w:rFonts w:cstheme="minorHAnsi"/>
          <w:b/>
          <w:bCs/>
        </w:rPr>
      </w:pPr>
      <w:r w:rsidRPr="009F65EE">
        <w:rPr>
          <w:rFonts w:cstheme="minorHAnsi"/>
          <w:b/>
          <w:bCs/>
        </w:rPr>
        <w:lastRenderedPageBreak/>
        <w:t>Question 3</w:t>
      </w:r>
    </w:p>
    <w:p w14:paraId="017A6FB5" w14:textId="77777777" w:rsidR="005D2EC8" w:rsidRDefault="005D2EC8" w:rsidP="00D43545">
      <w:pPr>
        <w:rPr>
          <w:rFonts w:cstheme="minorHAnsi"/>
        </w:rPr>
      </w:pPr>
      <w:r>
        <w:rPr>
          <w:noProof/>
        </w:rPr>
        <w:drawing>
          <wp:inline distT="0" distB="0" distL="0" distR="0" wp14:anchorId="7300C201" wp14:editId="7F1F88BC">
            <wp:extent cx="4438650" cy="1865255"/>
            <wp:effectExtent l="0" t="0" r="0" b="1905"/>
            <wp:docPr id="1397612722" name="Picture 3" descr="Forms response chart. Question title: What is your age?.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age?. Number of responses: 5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12382" cy="1896239"/>
                    </a:xfrm>
                    <a:prstGeom prst="rect">
                      <a:avLst/>
                    </a:prstGeom>
                    <a:noFill/>
                    <a:ln>
                      <a:noFill/>
                    </a:ln>
                  </pic:spPr>
                </pic:pic>
              </a:graphicData>
            </a:graphic>
          </wp:inline>
        </w:drawing>
      </w:r>
    </w:p>
    <w:p w14:paraId="511C23FB" w14:textId="77777777" w:rsidR="005D2EC8" w:rsidRPr="009F65EE" w:rsidRDefault="005D2EC8" w:rsidP="00D43545">
      <w:pPr>
        <w:rPr>
          <w:rFonts w:cstheme="minorHAnsi"/>
          <w:b/>
          <w:bCs/>
        </w:rPr>
      </w:pPr>
      <w:r w:rsidRPr="009F65EE">
        <w:rPr>
          <w:rFonts w:cstheme="minorHAnsi"/>
          <w:b/>
          <w:bCs/>
        </w:rPr>
        <w:t>Question 4</w:t>
      </w:r>
    </w:p>
    <w:p w14:paraId="3F9D3AFD" w14:textId="77777777" w:rsidR="005D2EC8" w:rsidRDefault="005D2EC8" w:rsidP="00D43545">
      <w:pPr>
        <w:rPr>
          <w:rFonts w:cstheme="minorHAnsi"/>
        </w:rPr>
      </w:pPr>
      <w:r>
        <w:rPr>
          <w:noProof/>
        </w:rPr>
        <w:drawing>
          <wp:inline distT="0" distB="0" distL="0" distR="0" wp14:anchorId="77CD958C" wp14:editId="24EF0270">
            <wp:extent cx="3209432" cy="1524000"/>
            <wp:effectExtent l="0" t="0" r="0" b="0"/>
            <wp:docPr id="938287147" name="Picture 4" descr="Forms response chart. Question title: How old is your child? (Please select all that apply if you have more than one child).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ld is your child? (Please select all that apply if you have more than one child). Number of responses: 51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7656" cy="1527905"/>
                    </a:xfrm>
                    <a:prstGeom prst="rect">
                      <a:avLst/>
                    </a:prstGeom>
                    <a:noFill/>
                    <a:ln>
                      <a:noFill/>
                    </a:ln>
                  </pic:spPr>
                </pic:pic>
              </a:graphicData>
            </a:graphic>
          </wp:inline>
        </w:drawing>
      </w:r>
    </w:p>
    <w:p w14:paraId="2D31A555" w14:textId="77777777" w:rsidR="009F65EE" w:rsidRDefault="009F65EE" w:rsidP="00D43545"/>
    <w:p w14:paraId="0DECC2F2" w14:textId="65F2CAAB" w:rsidR="005D2EC8" w:rsidRDefault="005D2EC8" w:rsidP="00D43545">
      <w:pPr>
        <w:rPr>
          <w:rFonts w:eastAsia="Times New Roman"/>
          <w:kern w:val="0"/>
          <w:lang w:eastAsia="en-GB"/>
          <w14:ligatures w14:val="none"/>
        </w:rPr>
      </w:pPr>
      <w:r w:rsidRPr="00164773">
        <w:t xml:space="preserve">The researcher collected a total of </w:t>
      </w:r>
      <w:r w:rsidR="00A53D40">
        <w:t>fifty-one</w:t>
      </w:r>
      <w:r w:rsidRPr="00164773">
        <w:t xml:space="preserve"> responses which resulted in there being one more response than originally anticipated</w:t>
      </w:r>
      <w:r>
        <w:t xml:space="preserve">, 88.2% of which are a parent or guardian of the target age. </w:t>
      </w:r>
      <w:r w:rsidRPr="001B62BC">
        <w:rPr>
          <w:rFonts w:eastAsia="Times New Roman"/>
          <w:kern w:val="0"/>
          <w:lang w:eastAsia="en-GB"/>
          <w14:ligatures w14:val="none"/>
        </w:rPr>
        <w:t xml:space="preserve">To begin, the replies given by the participants were representative of a decent sample, since they included responses from both male and female participants of varying ages. Question </w:t>
      </w:r>
      <w:r w:rsidR="002C00D3">
        <w:rPr>
          <w:rFonts w:eastAsia="Times New Roman"/>
          <w:kern w:val="0"/>
          <w:lang w:eastAsia="en-GB"/>
          <w14:ligatures w14:val="none"/>
        </w:rPr>
        <w:t>one</w:t>
      </w:r>
      <w:r w:rsidRPr="001B62BC">
        <w:rPr>
          <w:rFonts w:eastAsia="Times New Roman"/>
          <w:kern w:val="0"/>
          <w:lang w:eastAsia="en-GB"/>
          <w14:ligatures w14:val="none"/>
        </w:rPr>
        <w:t xml:space="preserve"> </w:t>
      </w:r>
      <w:r>
        <w:rPr>
          <w:rFonts w:eastAsia="Times New Roman"/>
          <w:kern w:val="0"/>
          <w:lang w:eastAsia="en-GB"/>
          <w14:ligatures w14:val="none"/>
        </w:rPr>
        <w:t>shows that the survey includes 11.8%</w:t>
      </w:r>
      <w:r w:rsidR="00A53D40">
        <w:rPr>
          <w:rFonts w:eastAsia="Times New Roman"/>
          <w:kern w:val="0"/>
          <w:lang w:eastAsia="en-GB"/>
          <w14:ligatures w14:val="none"/>
        </w:rPr>
        <w:t>,</w:t>
      </w:r>
      <w:r>
        <w:rPr>
          <w:rFonts w:eastAsia="Times New Roman"/>
          <w:kern w:val="0"/>
          <w:lang w:eastAsia="en-GB"/>
          <w14:ligatures w14:val="none"/>
        </w:rPr>
        <w:t xml:space="preserve"> who are not a parent or guardian of a child</w:t>
      </w:r>
      <w:r w:rsidR="002C00D3">
        <w:rPr>
          <w:rFonts w:eastAsia="Times New Roman"/>
          <w:kern w:val="0"/>
          <w:lang w:eastAsia="en-GB"/>
          <w14:ligatures w14:val="none"/>
        </w:rPr>
        <w:t>,</w:t>
      </w:r>
      <w:r>
        <w:rPr>
          <w:rFonts w:eastAsia="Times New Roman"/>
          <w:kern w:val="0"/>
          <w:lang w:eastAsia="en-GB"/>
          <w14:ligatures w14:val="none"/>
        </w:rPr>
        <w:t xml:space="preserve"> in the age range, and question </w:t>
      </w:r>
      <w:r w:rsidR="002C00D3">
        <w:rPr>
          <w:rFonts w:eastAsia="Times New Roman"/>
          <w:kern w:val="0"/>
          <w:lang w:eastAsia="en-GB"/>
          <w14:ligatures w14:val="none"/>
        </w:rPr>
        <w:t>two</w:t>
      </w:r>
      <w:r>
        <w:rPr>
          <w:rFonts w:eastAsia="Times New Roman"/>
          <w:kern w:val="0"/>
          <w:lang w:eastAsia="en-GB"/>
          <w14:ligatures w14:val="none"/>
        </w:rPr>
        <w:t xml:space="preserve"> </w:t>
      </w:r>
      <w:r w:rsidRPr="001B62BC">
        <w:rPr>
          <w:rFonts w:eastAsia="Times New Roman"/>
          <w:kern w:val="0"/>
          <w:lang w:eastAsia="en-GB"/>
          <w14:ligatures w14:val="none"/>
        </w:rPr>
        <w:t xml:space="preserve">revealed that </w:t>
      </w:r>
      <w:r>
        <w:rPr>
          <w:rFonts w:eastAsia="Times New Roman"/>
          <w:kern w:val="0"/>
          <w:lang w:eastAsia="en-GB"/>
          <w14:ligatures w14:val="none"/>
        </w:rPr>
        <w:t>47.1</w:t>
      </w:r>
      <w:r w:rsidRPr="001B62BC">
        <w:rPr>
          <w:rFonts w:eastAsia="Times New Roman"/>
          <w:kern w:val="0"/>
          <w:lang w:eastAsia="en-GB"/>
          <w14:ligatures w14:val="none"/>
        </w:rPr>
        <w:t xml:space="preserve">% of respondents identified as female and </w:t>
      </w:r>
      <w:r>
        <w:rPr>
          <w:rFonts w:eastAsia="Times New Roman"/>
          <w:kern w:val="0"/>
          <w:lang w:eastAsia="en-GB"/>
          <w14:ligatures w14:val="none"/>
        </w:rPr>
        <w:t>52.9</w:t>
      </w:r>
      <w:r w:rsidRPr="001B62BC">
        <w:rPr>
          <w:rFonts w:eastAsia="Times New Roman"/>
          <w:kern w:val="0"/>
          <w:lang w:eastAsia="en-GB"/>
          <w14:ligatures w14:val="none"/>
        </w:rPr>
        <w:t>% as male</w:t>
      </w:r>
      <w:r>
        <w:rPr>
          <w:rFonts w:eastAsia="Times New Roman"/>
          <w:kern w:val="0"/>
          <w:lang w:eastAsia="en-GB"/>
          <w14:ligatures w14:val="none"/>
        </w:rPr>
        <w:t xml:space="preserve"> which is a good balance of gender ratios</w:t>
      </w:r>
      <w:r w:rsidRPr="001B62BC">
        <w:rPr>
          <w:rFonts w:eastAsia="Times New Roman"/>
          <w:kern w:val="0"/>
          <w:lang w:eastAsia="en-GB"/>
          <w14:ligatures w14:val="none"/>
        </w:rPr>
        <w:t xml:space="preserve">. The </w:t>
      </w:r>
      <w:r>
        <w:rPr>
          <w:rFonts w:eastAsia="Times New Roman"/>
          <w:kern w:val="0"/>
          <w:lang w:eastAsia="en-GB"/>
          <w14:ligatures w14:val="none"/>
        </w:rPr>
        <w:t>third</w:t>
      </w:r>
      <w:r w:rsidRPr="001B62BC">
        <w:rPr>
          <w:rFonts w:eastAsia="Times New Roman"/>
          <w:kern w:val="0"/>
          <w:lang w:eastAsia="en-GB"/>
          <w14:ligatures w14:val="none"/>
        </w:rPr>
        <w:t xml:space="preserve"> question concerned the participants' ages, which ranged from </w:t>
      </w:r>
      <w:r w:rsidR="002C00D3">
        <w:rPr>
          <w:rFonts w:eastAsia="Times New Roman"/>
          <w:kern w:val="0"/>
          <w:lang w:eastAsia="en-GB"/>
          <w14:ligatures w14:val="none"/>
        </w:rPr>
        <w:t>eighteen</w:t>
      </w:r>
      <w:r w:rsidRPr="001B62BC">
        <w:rPr>
          <w:rFonts w:eastAsia="Times New Roman"/>
          <w:kern w:val="0"/>
          <w:lang w:eastAsia="en-GB"/>
          <w14:ligatures w14:val="none"/>
        </w:rPr>
        <w:t xml:space="preserve"> to over </w:t>
      </w:r>
      <w:r w:rsidR="002C00D3">
        <w:rPr>
          <w:rFonts w:eastAsia="Times New Roman"/>
          <w:kern w:val="0"/>
          <w:lang w:eastAsia="en-GB"/>
          <w14:ligatures w14:val="none"/>
        </w:rPr>
        <w:t>fifty</w:t>
      </w:r>
      <w:r w:rsidRPr="001B62BC">
        <w:rPr>
          <w:rFonts w:eastAsia="Times New Roman"/>
          <w:kern w:val="0"/>
          <w:lang w:eastAsia="en-GB"/>
          <w14:ligatures w14:val="none"/>
        </w:rPr>
        <w:t xml:space="preserve">. </w:t>
      </w:r>
      <w:r>
        <w:rPr>
          <w:rFonts w:eastAsia="Times New Roman"/>
          <w:kern w:val="0"/>
          <w:lang w:eastAsia="en-GB"/>
          <w14:ligatures w14:val="none"/>
        </w:rPr>
        <w:t xml:space="preserve">The researcher was keen to look at parents of children between </w:t>
      </w:r>
      <w:r w:rsidR="002C00D3">
        <w:rPr>
          <w:rFonts w:eastAsia="Times New Roman"/>
          <w:kern w:val="0"/>
          <w:lang w:eastAsia="en-GB"/>
          <w14:ligatures w14:val="none"/>
        </w:rPr>
        <w:t>ten</w:t>
      </w:r>
      <w:r>
        <w:rPr>
          <w:rFonts w:eastAsia="Times New Roman"/>
          <w:kern w:val="0"/>
          <w:lang w:eastAsia="en-GB"/>
          <w14:ligatures w14:val="none"/>
        </w:rPr>
        <w:t xml:space="preserve"> and </w:t>
      </w:r>
      <w:r w:rsidR="002C00D3">
        <w:rPr>
          <w:rFonts w:eastAsia="Times New Roman"/>
          <w:kern w:val="0"/>
          <w:lang w:eastAsia="en-GB"/>
          <w14:ligatures w14:val="none"/>
        </w:rPr>
        <w:t>sixteen</w:t>
      </w:r>
      <w:r>
        <w:rPr>
          <w:rFonts w:eastAsia="Times New Roman"/>
          <w:kern w:val="0"/>
          <w:lang w:eastAsia="en-GB"/>
          <w14:ligatures w14:val="none"/>
        </w:rPr>
        <w:t xml:space="preserve"> years old as this is the age range most vulnerable of being exploited by gangs and question </w:t>
      </w:r>
      <w:r w:rsidR="002C00D3">
        <w:rPr>
          <w:rFonts w:eastAsia="Times New Roman"/>
          <w:kern w:val="0"/>
          <w:lang w:eastAsia="en-GB"/>
          <w14:ligatures w14:val="none"/>
        </w:rPr>
        <w:t>four</w:t>
      </w:r>
      <w:r>
        <w:rPr>
          <w:rFonts w:eastAsia="Times New Roman"/>
          <w:kern w:val="0"/>
          <w:lang w:eastAsia="en-GB"/>
          <w14:ligatures w14:val="none"/>
        </w:rPr>
        <w:t xml:space="preserve"> shows a good, varied child age range. </w:t>
      </w:r>
      <w:r w:rsidRPr="00F1222E">
        <w:rPr>
          <w:rFonts w:eastAsia="Times New Roman"/>
          <w:kern w:val="0"/>
          <w:lang w:eastAsia="en-GB"/>
          <w14:ligatures w14:val="none"/>
        </w:rPr>
        <w:t xml:space="preserve">Although the predominant age range for the criminal exploitation of children is fourteen to seventeen, </w:t>
      </w:r>
      <w:r>
        <w:rPr>
          <w:rFonts w:eastAsia="Times New Roman"/>
          <w:kern w:val="0"/>
          <w:lang w:eastAsia="en-GB"/>
          <w14:ligatures w14:val="none"/>
        </w:rPr>
        <w:t>T</w:t>
      </w:r>
      <w:r w:rsidRPr="00F1222E">
        <w:rPr>
          <w:rFonts w:eastAsia="Times New Roman"/>
          <w:kern w:val="0"/>
          <w:lang w:eastAsia="en-GB"/>
          <w14:ligatures w14:val="none"/>
        </w:rPr>
        <w:t>he Children's Society</w:t>
      </w:r>
      <w:r>
        <w:rPr>
          <w:rFonts w:eastAsia="Times New Roman"/>
          <w:kern w:val="0"/>
          <w:lang w:eastAsia="en-GB"/>
          <w14:ligatures w14:val="none"/>
        </w:rPr>
        <w:t xml:space="preserve"> (2019)</w:t>
      </w:r>
      <w:r w:rsidRPr="00F1222E">
        <w:rPr>
          <w:rFonts w:eastAsia="Times New Roman"/>
          <w:kern w:val="0"/>
          <w:lang w:eastAsia="en-GB"/>
          <w14:ligatures w14:val="none"/>
        </w:rPr>
        <w:t xml:space="preserve"> warns that younger children are increasingly being groomed, with primary school-age </w:t>
      </w:r>
      <w:r>
        <w:rPr>
          <w:rFonts w:eastAsia="Times New Roman"/>
          <w:kern w:val="0"/>
          <w:lang w:eastAsia="en-GB"/>
          <w14:ligatures w14:val="none"/>
        </w:rPr>
        <w:t>children</w:t>
      </w:r>
      <w:r w:rsidRPr="00F1222E">
        <w:rPr>
          <w:rFonts w:eastAsia="Times New Roman"/>
          <w:kern w:val="0"/>
          <w:lang w:eastAsia="en-GB"/>
          <w14:ligatures w14:val="none"/>
        </w:rPr>
        <w:t xml:space="preserve"> being targeted</w:t>
      </w:r>
      <w:r>
        <w:rPr>
          <w:rFonts w:eastAsia="Times New Roman"/>
          <w:kern w:val="0"/>
          <w:lang w:eastAsia="en-GB"/>
          <w14:ligatures w14:val="none"/>
        </w:rPr>
        <w:t xml:space="preserve">. The age range of participants skewed towards people in their </w:t>
      </w:r>
      <w:r w:rsidR="002C00D3">
        <w:rPr>
          <w:rFonts w:eastAsia="Times New Roman"/>
          <w:kern w:val="0"/>
          <w:lang w:eastAsia="en-GB"/>
          <w14:ligatures w14:val="none"/>
        </w:rPr>
        <w:t>forties</w:t>
      </w:r>
      <w:r>
        <w:rPr>
          <w:rFonts w:eastAsia="Times New Roman"/>
          <w:kern w:val="0"/>
          <w:lang w:eastAsia="en-GB"/>
          <w14:ligatures w14:val="none"/>
        </w:rPr>
        <w:t xml:space="preserve"> which could be reflective of the average person who has a </w:t>
      </w:r>
      <w:r w:rsidR="00A53D40">
        <w:rPr>
          <w:rFonts w:eastAsia="Times New Roman"/>
          <w:kern w:val="0"/>
          <w:lang w:eastAsia="en-GB"/>
          <w14:ligatures w14:val="none"/>
        </w:rPr>
        <w:t>ten- to sixteen-year-old</w:t>
      </w:r>
      <w:r>
        <w:rPr>
          <w:rFonts w:eastAsia="Times New Roman"/>
          <w:kern w:val="0"/>
          <w:lang w:eastAsia="en-GB"/>
          <w14:ligatures w14:val="none"/>
        </w:rPr>
        <w:t xml:space="preserve"> as the methods used covered a wide range of ages of participants, being parents of children in extracurricular activities.</w:t>
      </w:r>
    </w:p>
    <w:p w14:paraId="4EFF78E2" w14:textId="77777777" w:rsidR="005D2EC8" w:rsidRDefault="005D2EC8" w:rsidP="00D43545">
      <w:pPr>
        <w:rPr>
          <w:rFonts w:eastAsia="Times New Roman"/>
          <w:kern w:val="0"/>
          <w:lang w:eastAsia="en-GB"/>
          <w14:ligatures w14:val="none"/>
        </w:rPr>
      </w:pPr>
    </w:p>
    <w:p w14:paraId="39CD4E11" w14:textId="77777777" w:rsidR="005D2EC8" w:rsidRPr="009F65EE" w:rsidRDefault="005D2EC8" w:rsidP="00D43545">
      <w:pPr>
        <w:rPr>
          <w:rFonts w:eastAsia="Times New Roman"/>
          <w:b/>
          <w:bCs/>
          <w:kern w:val="0"/>
          <w:u w:val="single"/>
          <w:lang w:eastAsia="en-GB"/>
          <w14:ligatures w14:val="none"/>
        </w:rPr>
      </w:pPr>
      <w:r w:rsidRPr="009F65EE">
        <w:rPr>
          <w:rFonts w:eastAsia="Times New Roman"/>
          <w:b/>
          <w:bCs/>
          <w:kern w:val="0"/>
          <w:u w:val="single"/>
          <w:lang w:eastAsia="en-GB"/>
          <w14:ligatures w14:val="none"/>
        </w:rPr>
        <w:t>Question 5</w:t>
      </w:r>
    </w:p>
    <w:p w14:paraId="1438C575" w14:textId="77777777" w:rsidR="005D2EC8" w:rsidRPr="00717BBF" w:rsidRDefault="005D2EC8" w:rsidP="00D43545">
      <w:pPr>
        <w:rPr>
          <w:rFonts w:eastAsia="Times New Roman" w:cs="Arial"/>
          <w:kern w:val="0"/>
          <w:lang w:eastAsia="en-GB"/>
          <w14:ligatures w14:val="none"/>
        </w:rPr>
      </w:pPr>
      <w:r w:rsidRPr="00717BBF">
        <w:rPr>
          <w:rFonts w:cs="Arial"/>
          <w:noProof/>
        </w:rPr>
        <w:drawing>
          <wp:inline distT="0" distB="0" distL="0" distR="0" wp14:anchorId="003D4FCB" wp14:editId="4B2ACEB3">
            <wp:extent cx="4124333" cy="1735455"/>
            <wp:effectExtent l="0" t="0" r="9525" b="0"/>
            <wp:docPr id="2110661461" name="Picture 2" descr="Forms response chart. Question title: How familiar are you with the term &quot;COUNTY LINES&quot;.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familiar are you with the term &quot;COUNTY LINES&quot;. Number of responses: 5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28127" cy="1737051"/>
                    </a:xfrm>
                    <a:prstGeom prst="rect">
                      <a:avLst/>
                    </a:prstGeom>
                    <a:noFill/>
                    <a:ln>
                      <a:noFill/>
                    </a:ln>
                  </pic:spPr>
                </pic:pic>
              </a:graphicData>
            </a:graphic>
          </wp:inline>
        </w:drawing>
      </w:r>
    </w:p>
    <w:p w14:paraId="60FBE6D4" w14:textId="64220286" w:rsidR="005D2EC8" w:rsidRDefault="005D2EC8" w:rsidP="00D43545">
      <w:pPr>
        <w:rPr>
          <w:rFonts w:ascii="Calibri" w:eastAsia="Calibri" w:hAnsi="Calibri" w:cs="Calibri"/>
          <w:color w:val="000000" w:themeColor="text1"/>
        </w:rPr>
      </w:pPr>
      <w:r w:rsidRPr="00717BBF">
        <w:rPr>
          <w:rFonts w:eastAsia="Times New Roman" w:cs="Arial"/>
          <w:kern w:val="0"/>
          <w:lang w:eastAsia="en-GB"/>
          <w14:ligatures w14:val="none"/>
        </w:rPr>
        <w:t>This question</w:t>
      </w:r>
      <w:r w:rsidRPr="00717BBF">
        <w:rPr>
          <w:rFonts w:eastAsia="Calibri" w:cs="Arial"/>
          <w:color w:val="000000" w:themeColor="text1"/>
        </w:rPr>
        <w:t xml:space="preserve"> revealed that there was 66.7% of participants had some understanding of what county lines is where 23.5% had heard the term but had no understanding. The other 9.8% of participants claimed to have never heard the term before. </w:t>
      </w:r>
      <w:r w:rsidR="002C00D3">
        <w:rPr>
          <w:rFonts w:eastAsia="Calibri" w:cs="Arial"/>
          <w:color w:val="000000" w:themeColor="text1"/>
        </w:rPr>
        <w:t>T</w:t>
      </w:r>
      <w:r w:rsidRPr="00717BBF">
        <w:rPr>
          <w:rFonts w:eastAsia="Calibri" w:cs="Arial"/>
          <w:color w:val="000000" w:themeColor="text1"/>
        </w:rPr>
        <w:t>his suggest</w:t>
      </w:r>
      <w:r w:rsidR="002C00D3">
        <w:rPr>
          <w:rFonts w:eastAsia="Calibri" w:cs="Arial"/>
          <w:color w:val="000000" w:themeColor="text1"/>
        </w:rPr>
        <w:t>s</w:t>
      </w:r>
      <w:r w:rsidRPr="00717BBF">
        <w:rPr>
          <w:rFonts w:eastAsia="Calibri" w:cs="Arial"/>
          <w:color w:val="000000" w:themeColor="text1"/>
        </w:rPr>
        <w:t xml:space="preserve"> that many participants have taken the time to educate themselves in some capacity on the </w:t>
      </w:r>
      <w:r w:rsidR="002C00D3">
        <w:rPr>
          <w:rFonts w:eastAsia="Calibri" w:cs="Arial"/>
          <w:color w:val="000000" w:themeColor="text1"/>
        </w:rPr>
        <w:t>issues</w:t>
      </w:r>
      <w:r w:rsidRPr="00717BBF">
        <w:rPr>
          <w:rFonts w:eastAsia="Calibri" w:cs="Arial"/>
          <w:color w:val="000000" w:themeColor="text1"/>
        </w:rPr>
        <w:t xml:space="preserve"> of county lines. There is also a suggestion that 34.3% of participants would benefit from some guidance in safeguarding children from county lines exploitation. This supports the findings of Maxwell (202</w:t>
      </w:r>
      <w:r w:rsidR="00D23C7C">
        <w:rPr>
          <w:rFonts w:eastAsia="Calibri" w:cs="Arial"/>
          <w:color w:val="000000" w:themeColor="text1"/>
        </w:rPr>
        <w:t>2</w:t>
      </w:r>
      <w:r w:rsidRPr="00717BBF">
        <w:rPr>
          <w:rFonts w:eastAsia="Calibri" w:cs="Arial"/>
          <w:color w:val="000000" w:themeColor="text1"/>
        </w:rPr>
        <w:t>) of parents having limited knowledge in the subject</w:t>
      </w:r>
      <w:r>
        <w:rPr>
          <w:rFonts w:ascii="Calibri" w:eastAsia="Calibri" w:hAnsi="Calibri" w:cs="Calibri"/>
          <w:color w:val="000000" w:themeColor="text1"/>
        </w:rPr>
        <w:t>.</w:t>
      </w:r>
    </w:p>
    <w:p w14:paraId="3AD33E3D" w14:textId="77777777" w:rsidR="005D2EC8" w:rsidRPr="001B62BC" w:rsidRDefault="005D2EC8" w:rsidP="00D43545">
      <w:pPr>
        <w:rPr>
          <w:rFonts w:eastAsia="Times New Roman"/>
          <w:kern w:val="0"/>
          <w:lang w:eastAsia="en-GB"/>
          <w14:ligatures w14:val="none"/>
        </w:rPr>
      </w:pPr>
    </w:p>
    <w:p w14:paraId="5507813A" w14:textId="77777777" w:rsidR="005D2EC8" w:rsidRPr="009F65EE" w:rsidRDefault="005D2EC8" w:rsidP="00D43545">
      <w:pPr>
        <w:rPr>
          <w:b/>
          <w:bCs/>
          <w:u w:val="single"/>
        </w:rPr>
      </w:pPr>
      <w:r w:rsidRPr="009F65EE">
        <w:rPr>
          <w:b/>
          <w:bCs/>
          <w:u w:val="single"/>
        </w:rPr>
        <w:t>Questions 6-8</w:t>
      </w:r>
    </w:p>
    <w:p w14:paraId="13975DF2" w14:textId="77777777" w:rsidR="0016295D" w:rsidRPr="009F65EE" w:rsidRDefault="0016295D" w:rsidP="00D43545">
      <w:pPr>
        <w:rPr>
          <w:b/>
          <w:bCs/>
        </w:rPr>
      </w:pPr>
    </w:p>
    <w:p w14:paraId="1BF56A76" w14:textId="77777777" w:rsidR="005D2EC8" w:rsidRPr="009F65EE" w:rsidRDefault="005D2EC8" w:rsidP="00D43545">
      <w:pPr>
        <w:rPr>
          <w:rFonts w:cstheme="minorHAnsi"/>
          <w:b/>
          <w:bCs/>
        </w:rPr>
      </w:pPr>
      <w:r w:rsidRPr="009F65EE">
        <w:rPr>
          <w:rFonts w:cstheme="minorHAnsi"/>
          <w:b/>
          <w:bCs/>
        </w:rPr>
        <w:t>Question 6</w:t>
      </w:r>
    </w:p>
    <w:p w14:paraId="3101E2EC" w14:textId="77777777" w:rsidR="005D2EC8" w:rsidRDefault="005D2EC8" w:rsidP="00D43545">
      <w:r>
        <w:rPr>
          <w:noProof/>
        </w:rPr>
        <w:drawing>
          <wp:inline distT="0" distB="0" distL="0" distR="0" wp14:anchorId="44488C75" wp14:editId="2E414E27">
            <wp:extent cx="5238750" cy="2343150"/>
            <wp:effectExtent l="0" t="0" r="0" b="0"/>
            <wp:docPr id="198335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2343150"/>
                    </a:xfrm>
                    <a:prstGeom prst="rect">
                      <a:avLst/>
                    </a:prstGeom>
                    <a:noFill/>
                    <a:ln>
                      <a:noFill/>
                    </a:ln>
                  </pic:spPr>
                </pic:pic>
              </a:graphicData>
            </a:graphic>
          </wp:inline>
        </w:drawing>
      </w:r>
    </w:p>
    <w:p w14:paraId="5E9D5E32" w14:textId="77777777" w:rsidR="0016295D" w:rsidRDefault="0016295D" w:rsidP="00D43545">
      <w:pPr>
        <w:rPr>
          <w:rFonts w:cstheme="minorHAnsi"/>
        </w:rPr>
      </w:pPr>
    </w:p>
    <w:p w14:paraId="306B3819" w14:textId="7CCE0E67" w:rsidR="005D2EC8" w:rsidRPr="009F65EE" w:rsidRDefault="005D2EC8" w:rsidP="00D43545">
      <w:pPr>
        <w:rPr>
          <w:rFonts w:cstheme="minorHAnsi"/>
          <w:b/>
          <w:bCs/>
        </w:rPr>
      </w:pPr>
      <w:r w:rsidRPr="009F65EE">
        <w:rPr>
          <w:rFonts w:cstheme="minorHAnsi"/>
          <w:b/>
          <w:bCs/>
        </w:rPr>
        <w:lastRenderedPageBreak/>
        <w:t>Question 7</w:t>
      </w:r>
    </w:p>
    <w:p w14:paraId="5B797D77" w14:textId="77777777" w:rsidR="005D2EC8" w:rsidRPr="005E49D2" w:rsidRDefault="005D2EC8" w:rsidP="00D43545">
      <w:pPr>
        <w:rPr>
          <w:rFonts w:cstheme="minorHAnsi"/>
        </w:rPr>
      </w:pPr>
      <w:r>
        <w:rPr>
          <w:noProof/>
        </w:rPr>
        <w:drawing>
          <wp:inline distT="0" distB="0" distL="0" distR="0" wp14:anchorId="1A600C5B" wp14:editId="71C6BEE5">
            <wp:extent cx="4367174" cy="1572768"/>
            <wp:effectExtent l="0" t="0" r="0" b="8890"/>
            <wp:docPr id="1819640715" name="Picture 4" descr="Forms response chart. Question title: Who do you think are most effective in educating children about county lines exploitation? (Select all that apply)&#10;.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o do you think are most effective in educating children about county lines exploitation? (Select all that apply)&#10;. Number of responses: 51 response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 r="-1219" b="28271"/>
                    <a:stretch/>
                  </pic:blipFill>
                  <pic:spPr bwMode="auto">
                    <a:xfrm>
                      <a:off x="0" y="0"/>
                      <a:ext cx="4374974" cy="1575577"/>
                    </a:xfrm>
                    <a:prstGeom prst="rect">
                      <a:avLst/>
                    </a:prstGeom>
                    <a:noFill/>
                    <a:ln>
                      <a:noFill/>
                    </a:ln>
                    <a:extLst>
                      <a:ext uri="{53640926-AAD7-44D8-BBD7-CCE9431645EC}">
                        <a14:shadowObscured xmlns:a14="http://schemas.microsoft.com/office/drawing/2010/main"/>
                      </a:ext>
                    </a:extLst>
                  </pic:spPr>
                </pic:pic>
              </a:graphicData>
            </a:graphic>
          </wp:inline>
        </w:drawing>
      </w:r>
    </w:p>
    <w:p w14:paraId="185FAB98" w14:textId="77777777" w:rsidR="0016295D" w:rsidRDefault="0016295D" w:rsidP="00D43545">
      <w:pPr>
        <w:rPr>
          <w:noProof/>
        </w:rPr>
      </w:pPr>
    </w:p>
    <w:p w14:paraId="5ECF2687" w14:textId="3E81E5F5" w:rsidR="005D2EC8" w:rsidRPr="009F65EE" w:rsidRDefault="005D2EC8" w:rsidP="00D43545">
      <w:pPr>
        <w:rPr>
          <w:rFonts w:eastAsia="Times New Roman"/>
          <w:b/>
          <w:bCs/>
          <w:kern w:val="0"/>
          <w:lang w:eastAsia="en-GB"/>
          <w14:ligatures w14:val="none"/>
        </w:rPr>
      </w:pPr>
      <w:r w:rsidRPr="009F65EE">
        <w:rPr>
          <w:b/>
          <w:bCs/>
          <w:noProof/>
        </w:rPr>
        <w:t>Question 8</w:t>
      </w:r>
    </w:p>
    <w:p w14:paraId="4C060340" w14:textId="77777777" w:rsidR="005D2EC8" w:rsidRDefault="005D2EC8" w:rsidP="00D43545">
      <w:pPr>
        <w:rPr>
          <w:rFonts w:cstheme="minorHAnsi"/>
        </w:rPr>
      </w:pPr>
      <w:r>
        <w:rPr>
          <w:rFonts w:cstheme="minorHAnsi"/>
          <w:noProof/>
        </w:rPr>
        <w:drawing>
          <wp:inline distT="0" distB="0" distL="0" distR="0" wp14:anchorId="70964E1A" wp14:editId="513F1F79">
            <wp:extent cx="4286885" cy="1777365"/>
            <wp:effectExtent l="0" t="0" r="0" b="0"/>
            <wp:docPr id="9292722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6885" cy="1777365"/>
                    </a:xfrm>
                    <a:prstGeom prst="rect">
                      <a:avLst/>
                    </a:prstGeom>
                    <a:noFill/>
                    <a:ln>
                      <a:noFill/>
                    </a:ln>
                  </pic:spPr>
                </pic:pic>
              </a:graphicData>
            </a:graphic>
          </wp:inline>
        </w:drawing>
      </w:r>
    </w:p>
    <w:p w14:paraId="1DB791E8" w14:textId="77777777" w:rsidR="005D2EC8" w:rsidRDefault="005D2EC8" w:rsidP="00D43545">
      <w:pPr>
        <w:rPr>
          <w:rFonts w:cstheme="minorHAnsi"/>
        </w:rPr>
      </w:pPr>
    </w:p>
    <w:p w14:paraId="26653B16" w14:textId="071D0649" w:rsidR="005D2EC8" w:rsidRPr="00785A3F" w:rsidRDefault="005D2EC8" w:rsidP="00D43545">
      <w:pPr>
        <w:rPr>
          <w:rFonts w:cs="Arial"/>
        </w:rPr>
      </w:pPr>
      <w:r w:rsidRPr="00785A3F">
        <w:rPr>
          <w:rFonts w:cs="Arial"/>
        </w:rPr>
        <w:t xml:space="preserve">Questions </w:t>
      </w:r>
      <w:r w:rsidR="00432747">
        <w:rPr>
          <w:rFonts w:cs="Arial"/>
        </w:rPr>
        <w:t>six</w:t>
      </w:r>
      <w:r w:rsidRPr="00785A3F">
        <w:rPr>
          <w:rFonts w:cs="Arial"/>
        </w:rPr>
        <w:t xml:space="preserve"> to </w:t>
      </w:r>
      <w:r w:rsidR="00432747">
        <w:rPr>
          <w:rFonts w:cs="Arial"/>
        </w:rPr>
        <w:t>ten</w:t>
      </w:r>
      <w:r w:rsidRPr="00785A3F">
        <w:rPr>
          <w:rFonts w:cs="Arial"/>
        </w:rPr>
        <w:t xml:space="preserve"> were designed by the researcher to generate data around the knowledge of parents on the education children receive in relation to county lines exploitation. Question </w:t>
      </w:r>
      <w:r w:rsidR="00432747">
        <w:rPr>
          <w:rFonts w:cs="Arial"/>
        </w:rPr>
        <w:t>six</w:t>
      </w:r>
      <w:r w:rsidRPr="00785A3F">
        <w:rPr>
          <w:rFonts w:cs="Arial"/>
        </w:rPr>
        <w:t xml:space="preserve"> shows that 74.5% of respondents believe that their children are being adequately taught about county lines exploitation with school and parents being the participants idea of most effective educators. </w:t>
      </w:r>
      <w:r w:rsidR="00717BBF" w:rsidRPr="00785A3F">
        <w:rPr>
          <w:rFonts w:cs="Arial"/>
        </w:rPr>
        <w:t>If</w:t>
      </w:r>
      <w:r w:rsidRPr="00785A3F">
        <w:rPr>
          <w:rFonts w:cs="Arial"/>
        </w:rPr>
        <w:t xml:space="preserve"> 34.3% of participants do not know what county lines it, this will have the opposite effect and be the most ineffective preventative measure. Education by police and youth organisations </w:t>
      </w:r>
      <w:r w:rsidR="00432747">
        <w:rPr>
          <w:rFonts w:cs="Arial"/>
        </w:rPr>
        <w:t>accounted for</w:t>
      </w:r>
      <w:r w:rsidRPr="00785A3F">
        <w:rPr>
          <w:rFonts w:cs="Arial"/>
        </w:rPr>
        <w:t xml:space="preserve"> 41.2% each</w:t>
      </w:r>
      <w:r w:rsidR="00432747">
        <w:rPr>
          <w:rFonts w:cs="Arial"/>
        </w:rPr>
        <w:t>,</w:t>
      </w:r>
      <w:r w:rsidRPr="00785A3F">
        <w:rPr>
          <w:rFonts w:cs="Arial"/>
        </w:rPr>
        <w:t xml:space="preserve"> meaning less than half of respondents </w:t>
      </w:r>
      <w:r w:rsidR="00432747">
        <w:rPr>
          <w:rFonts w:cs="Arial"/>
        </w:rPr>
        <w:t>believe</w:t>
      </w:r>
      <w:r w:rsidRPr="00785A3F">
        <w:rPr>
          <w:rFonts w:cs="Arial"/>
        </w:rPr>
        <w:t xml:space="preserve"> a police input would be effective, even though they are the most knowledgeable about the subject. Following on from this, participants were asked when they believe exploitation education should begin with almost half (49%) agreeing it should be </w:t>
      </w:r>
      <w:r w:rsidR="00432747">
        <w:rPr>
          <w:rFonts w:cs="Arial"/>
        </w:rPr>
        <w:t>eleven to twelve</w:t>
      </w:r>
      <w:r w:rsidRPr="00785A3F">
        <w:rPr>
          <w:rFonts w:cs="Arial"/>
        </w:rPr>
        <w:t xml:space="preserve"> years old this is in line with </w:t>
      </w:r>
      <w:r w:rsidRPr="00785A3F">
        <w:rPr>
          <w:rFonts w:cs="Arial"/>
          <w:lang w:eastAsia="en-GB"/>
        </w:rPr>
        <w:t>R</w:t>
      </w:r>
      <w:r w:rsidRPr="00785A3F">
        <w:rPr>
          <w:rFonts w:cs="Arial"/>
        </w:rPr>
        <w:t>amli</w:t>
      </w:r>
      <w:r w:rsidRPr="00785A3F">
        <w:rPr>
          <w:rFonts w:cs="Arial"/>
          <w:lang w:eastAsia="en-GB"/>
        </w:rPr>
        <w:t xml:space="preserve"> et al., </w:t>
      </w:r>
      <w:r w:rsidRPr="00785A3F">
        <w:rPr>
          <w:rFonts w:cs="Arial"/>
        </w:rPr>
        <w:t>(</w:t>
      </w:r>
      <w:r w:rsidRPr="00785A3F">
        <w:rPr>
          <w:rFonts w:cs="Arial"/>
          <w:lang w:eastAsia="en-GB"/>
        </w:rPr>
        <w:t xml:space="preserve">2021) who suggests youngsters are targeted between </w:t>
      </w:r>
      <w:r w:rsidR="00432747">
        <w:rPr>
          <w:rFonts w:cs="Arial"/>
          <w:lang w:eastAsia="en-GB"/>
        </w:rPr>
        <w:t>eleven to twenty-four</w:t>
      </w:r>
      <w:r w:rsidRPr="00785A3F">
        <w:rPr>
          <w:rFonts w:cs="Arial"/>
          <w:lang w:eastAsia="en-GB"/>
        </w:rPr>
        <w:t xml:space="preserve"> years old</w:t>
      </w:r>
      <w:r w:rsidRPr="00785A3F">
        <w:rPr>
          <w:rFonts w:cs="Arial"/>
        </w:rPr>
        <w:t xml:space="preserve">. Surprisingly, the responses were suggested at the younger age groups and predominantly primary school children. This is consistent with </w:t>
      </w:r>
      <w:r>
        <w:rPr>
          <w:rFonts w:cs="Arial"/>
        </w:rPr>
        <w:t>a study, which shows</w:t>
      </w:r>
      <w:r w:rsidRPr="00785A3F">
        <w:rPr>
          <w:rFonts w:cs="Arial"/>
        </w:rPr>
        <w:t xml:space="preserve"> that there is a need to </w:t>
      </w:r>
      <w:r w:rsidRPr="00785A3F">
        <w:rPr>
          <w:rFonts w:cs="Arial"/>
        </w:rPr>
        <w:lastRenderedPageBreak/>
        <w:t>address the exploitation issue and is the responsibility of more than school education</w:t>
      </w:r>
      <w:r>
        <w:rPr>
          <w:rFonts w:cs="Arial"/>
        </w:rPr>
        <w:t xml:space="preserve"> </w:t>
      </w:r>
      <w:r w:rsidRPr="00785A3F">
        <w:rPr>
          <w:rFonts w:cs="Arial"/>
        </w:rPr>
        <w:t xml:space="preserve">(Baidawi, Sheehan et al. 2020). </w:t>
      </w:r>
    </w:p>
    <w:p w14:paraId="1498919D" w14:textId="77777777" w:rsidR="005D2EC8" w:rsidRDefault="005D2EC8" w:rsidP="00D43545">
      <w:pPr>
        <w:rPr>
          <w:rFonts w:cstheme="minorHAnsi"/>
        </w:rPr>
      </w:pPr>
    </w:p>
    <w:p w14:paraId="3C16E69D" w14:textId="77777777" w:rsidR="005D2EC8" w:rsidRPr="009F65EE" w:rsidRDefault="005D2EC8" w:rsidP="00D43545">
      <w:pPr>
        <w:rPr>
          <w:rFonts w:cstheme="minorHAnsi"/>
          <w:b/>
          <w:bCs/>
          <w:u w:val="single"/>
        </w:rPr>
      </w:pPr>
      <w:r w:rsidRPr="009F65EE">
        <w:rPr>
          <w:rFonts w:cstheme="minorHAnsi"/>
          <w:b/>
          <w:bCs/>
          <w:u w:val="single"/>
        </w:rPr>
        <w:t>Question 9</w:t>
      </w:r>
    </w:p>
    <w:p w14:paraId="5599DFD0" w14:textId="77777777" w:rsidR="005D2EC8" w:rsidRDefault="005D2EC8" w:rsidP="00D43545">
      <w:pPr>
        <w:rPr>
          <w:rFonts w:cstheme="minorHAnsi"/>
        </w:rPr>
      </w:pPr>
      <w:r>
        <w:rPr>
          <w:noProof/>
        </w:rPr>
        <w:drawing>
          <wp:inline distT="0" distB="0" distL="0" distR="0" wp14:anchorId="7DA751AD" wp14:editId="66E9516B">
            <wp:extent cx="3493337" cy="1773760"/>
            <wp:effectExtent l="0" t="0" r="0" b="0"/>
            <wp:docPr id="200972194" name="Picture 7" descr="Forms response chart. Question title: On a sale of 1-5 - (1 - Not very confident to 5 Very) confident&#10;&#10;How confident are you that children know how to recognize signs of exploitation?.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On a sale of 1-5 - (1 - Not very confident to 5 Very) confident&#10;&#10;How confident are you that children know how to recognize signs of exploitation?. Number of responses: 51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05374" cy="1779872"/>
                    </a:xfrm>
                    <a:prstGeom prst="rect">
                      <a:avLst/>
                    </a:prstGeom>
                    <a:noFill/>
                    <a:ln>
                      <a:noFill/>
                    </a:ln>
                  </pic:spPr>
                </pic:pic>
              </a:graphicData>
            </a:graphic>
          </wp:inline>
        </w:drawing>
      </w:r>
    </w:p>
    <w:p w14:paraId="0B2C130B" w14:textId="394ECA35" w:rsidR="005D2EC8" w:rsidRDefault="005D2EC8" w:rsidP="00D43545">
      <w:pPr>
        <w:rPr>
          <w:rFonts w:cstheme="minorHAnsi"/>
        </w:rPr>
      </w:pPr>
      <w:r w:rsidRPr="00E17AA2">
        <w:rPr>
          <w:rFonts w:cstheme="minorHAnsi"/>
        </w:rPr>
        <w:t xml:space="preserve">The researcher </w:t>
      </w:r>
      <w:r>
        <w:rPr>
          <w:rFonts w:cstheme="minorHAnsi"/>
        </w:rPr>
        <w:t xml:space="preserve">was interested to know the knowledge of parents with these </w:t>
      </w:r>
      <w:r w:rsidR="00717BBF">
        <w:rPr>
          <w:rFonts w:cstheme="minorHAnsi"/>
        </w:rPr>
        <w:t>questions,</w:t>
      </w:r>
      <w:r>
        <w:rPr>
          <w:rFonts w:cstheme="minorHAnsi"/>
        </w:rPr>
        <w:t xml:space="preserve"> and they suggest that parents lack confidence with educating their children around drugs and exploitation. This could be due to lack of understanding in the subject, as question </w:t>
      </w:r>
      <w:r w:rsidR="00432747">
        <w:rPr>
          <w:rFonts w:cstheme="minorHAnsi"/>
        </w:rPr>
        <w:t>five</w:t>
      </w:r>
      <w:r>
        <w:rPr>
          <w:rFonts w:cstheme="minorHAnsi"/>
        </w:rPr>
        <w:t xml:space="preserve"> showed and supports the research of Maxwell (2022).</w:t>
      </w:r>
    </w:p>
    <w:p w14:paraId="34E356BA" w14:textId="77777777" w:rsidR="005D2EC8" w:rsidRDefault="005D2EC8" w:rsidP="00D43545">
      <w:pPr>
        <w:rPr>
          <w:rFonts w:cstheme="minorHAnsi"/>
        </w:rPr>
      </w:pPr>
    </w:p>
    <w:p w14:paraId="1082ED39" w14:textId="77777777" w:rsidR="005D2EC8" w:rsidRPr="009F65EE" w:rsidRDefault="005D2EC8" w:rsidP="00D43545">
      <w:pPr>
        <w:rPr>
          <w:rFonts w:cs="Arial"/>
          <w:b/>
          <w:bCs/>
          <w:u w:val="single"/>
        </w:rPr>
      </w:pPr>
      <w:r w:rsidRPr="009F65EE">
        <w:rPr>
          <w:rFonts w:cs="Arial"/>
          <w:b/>
          <w:bCs/>
          <w:u w:val="single"/>
        </w:rPr>
        <w:t>Question 11</w:t>
      </w:r>
    </w:p>
    <w:p w14:paraId="790B62FC" w14:textId="77777777" w:rsidR="009F65EE" w:rsidRPr="009F65EE" w:rsidRDefault="009F65EE" w:rsidP="00D43545">
      <w:pPr>
        <w:rPr>
          <w:rFonts w:cs="Arial"/>
          <w:b/>
          <w:bCs/>
        </w:rPr>
      </w:pPr>
    </w:p>
    <w:p w14:paraId="09D35A69" w14:textId="0A914501" w:rsidR="005D2EC8" w:rsidRPr="00785A3F" w:rsidRDefault="005D2EC8" w:rsidP="00D43545">
      <w:pPr>
        <w:rPr>
          <w:rFonts w:cs="Arial"/>
        </w:rPr>
      </w:pPr>
      <w:r w:rsidRPr="00785A3F">
        <w:rPr>
          <w:rFonts w:cs="Arial"/>
        </w:rPr>
        <w:t xml:space="preserve">The researcher employed an open-ended question to inquire, "How do you think schools can improve education on county lines exploitation?" Notably, several respondents suggested incorporating specific lessons on the subject. One respondent recommended designated lessons during form time, </w:t>
      </w:r>
      <w:r w:rsidR="00432747">
        <w:rPr>
          <w:rFonts w:cs="Arial"/>
        </w:rPr>
        <w:t xml:space="preserve">in </w:t>
      </w:r>
      <w:r w:rsidR="00623F4B">
        <w:rPr>
          <w:rFonts w:cs="Arial"/>
        </w:rPr>
        <w:t xml:space="preserve">a </w:t>
      </w:r>
      <w:r w:rsidR="00623F4B" w:rsidRPr="00785A3F">
        <w:rPr>
          <w:rFonts w:cs="Arial"/>
        </w:rPr>
        <w:t>comparable way</w:t>
      </w:r>
      <w:r w:rsidRPr="00785A3F">
        <w:rPr>
          <w:rFonts w:cs="Arial"/>
        </w:rPr>
        <w:t xml:space="preserve"> to sex education, while another proposed integrating the topic into the curriculum, </w:t>
      </w:r>
      <w:r w:rsidR="00623F4B" w:rsidRPr="00785A3F">
        <w:rPr>
          <w:rFonts w:cs="Arial"/>
        </w:rPr>
        <w:t>within</w:t>
      </w:r>
      <w:r w:rsidRPr="00785A3F">
        <w:rPr>
          <w:rFonts w:cs="Arial"/>
        </w:rPr>
        <w:t xml:space="preserve"> social or humanities lessons. Additionally, multiple respondents advocated for the involvement of partner agencies or third-party organizations, emphasizing that life skills education could encompass this topic. They noted that children most at risk of exploitation might not attend school regularly, suggesting a community-led initiative for education. Some responses highlighted the effectiveness of sessions built into the school curriculum using real-life examples and presentations by young people who were former victims. This aligns with research by Creaney (2018) and Gough (2017), which suggests that engaging ex-offenders in educational roles can be beneficial. The researcher also found particular interest in responses where parents admitted their limited knowledge and expressed reliance </w:t>
      </w:r>
      <w:r w:rsidRPr="00785A3F">
        <w:rPr>
          <w:rFonts w:cs="Arial"/>
        </w:rPr>
        <w:lastRenderedPageBreak/>
        <w:t>on schools to educate their children in this area. Some respondents echoed this sentiment, calling for increased awareness among both parents and children, with one parent noting that they had never heard of the term county lines and doubted their child had either, emphasizing the need for more discussion on the topic.</w:t>
      </w:r>
    </w:p>
    <w:p w14:paraId="0C401230" w14:textId="77777777" w:rsidR="005D2EC8" w:rsidRPr="00785A3F" w:rsidRDefault="005D2EC8" w:rsidP="00717BBF">
      <w:pPr>
        <w:rPr>
          <w:rStyle w:val="myxfac"/>
          <w:rFonts w:ascii="Roboto" w:hAnsi="Roboto"/>
          <w:color w:val="202124"/>
          <w:spacing w:val="3"/>
          <w:shd w:val="clear" w:color="auto" w:fill="FFFFFF"/>
        </w:rPr>
      </w:pPr>
    </w:p>
    <w:p w14:paraId="11067D14" w14:textId="77777777" w:rsidR="005D2EC8" w:rsidRPr="009F65EE" w:rsidRDefault="005D2EC8" w:rsidP="00717BBF">
      <w:pPr>
        <w:rPr>
          <w:rStyle w:val="myxfac"/>
          <w:rFonts w:ascii="Roboto" w:hAnsi="Roboto"/>
          <w:b/>
          <w:bCs/>
          <w:color w:val="202124"/>
          <w:spacing w:val="3"/>
          <w:u w:val="single"/>
          <w:shd w:val="clear" w:color="auto" w:fill="FFFFFF"/>
        </w:rPr>
      </w:pPr>
      <w:r w:rsidRPr="009F65EE">
        <w:rPr>
          <w:rStyle w:val="myxfac"/>
          <w:rFonts w:ascii="Roboto" w:hAnsi="Roboto"/>
          <w:b/>
          <w:bCs/>
          <w:color w:val="202124"/>
          <w:spacing w:val="3"/>
          <w:u w:val="single"/>
          <w:shd w:val="clear" w:color="auto" w:fill="FFFFFF"/>
        </w:rPr>
        <w:t>Questions 12 and 13</w:t>
      </w:r>
    </w:p>
    <w:p w14:paraId="40F9203D" w14:textId="77777777" w:rsidR="005D2EC8" w:rsidRPr="009F65EE" w:rsidRDefault="005D2EC8" w:rsidP="00717BBF">
      <w:pPr>
        <w:rPr>
          <w:rStyle w:val="myxfac"/>
          <w:rFonts w:cs="Arial"/>
          <w:b/>
          <w:bCs/>
          <w:color w:val="202124"/>
          <w:spacing w:val="3"/>
          <w:shd w:val="clear" w:color="auto" w:fill="FFFFFF"/>
        </w:rPr>
      </w:pPr>
      <w:r w:rsidRPr="009F65EE">
        <w:rPr>
          <w:rStyle w:val="myxfac"/>
          <w:rFonts w:cs="Arial"/>
          <w:b/>
          <w:bCs/>
          <w:color w:val="202124"/>
          <w:spacing w:val="3"/>
          <w:shd w:val="clear" w:color="auto" w:fill="FFFFFF"/>
        </w:rPr>
        <w:t>Question 12</w:t>
      </w:r>
    </w:p>
    <w:p w14:paraId="305691F0" w14:textId="77777777" w:rsidR="005D2EC8" w:rsidRDefault="005D2EC8" w:rsidP="00D43545">
      <w:pPr>
        <w:rPr>
          <w:rFonts w:cstheme="minorHAnsi"/>
        </w:rPr>
      </w:pPr>
      <w:r>
        <w:rPr>
          <w:noProof/>
        </w:rPr>
        <w:drawing>
          <wp:inline distT="0" distB="0" distL="0" distR="0" wp14:anchorId="5B05B3A4" wp14:editId="04C9886D">
            <wp:extent cx="4190619" cy="1761490"/>
            <wp:effectExtent l="0" t="0" r="635" b="0"/>
            <wp:docPr id="1217055023" name="Picture 9" descr="Forms response chart. Question title: Are you aware the Welsh Government has withdrawn funding of police delivering lessons in school?. Number of responses: 5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Are you aware the Welsh Government has withdrawn funding of police delivering lessons in school?. Number of responses: 51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95857" cy="1763692"/>
                    </a:xfrm>
                    <a:prstGeom prst="rect">
                      <a:avLst/>
                    </a:prstGeom>
                    <a:noFill/>
                    <a:ln>
                      <a:noFill/>
                    </a:ln>
                  </pic:spPr>
                </pic:pic>
              </a:graphicData>
            </a:graphic>
          </wp:inline>
        </w:drawing>
      </w:r>
    </w:p>
    <w:p w14:paraId="04296C7F" w14:textId="77777777" w:rsidR="005D2EC8" w:rsidRPr="009F65EE" w:rsidRDefault="005D2EC8" w:rsidP="00D43545">
      <w:pPr>
        <w:rPr>
          <w:rFonts w:cstheme="minorHAnsi"/>
          <w:b/>
          <w:bCs/>
        </w:rPr>
      </w:pPr>
      <w:r w:rsidRPr="009F65EE">
        <w:rPr>
          <w:rFonts w:cstheme="minorHAnsi"/>
          <w:b/>
          <w:bCs/>
        </w:rPr>
        <w:t>Question 13</w:t>
      </w:r>
    </w:p>
    <w:p w14:paraId="4434027A" w14:textId="77777777" w:rsidR="005D2EC8" w:rsidRDefault="005D2EC8" w:rsidP="00D43545">
      <w:pPr>
        <w:rPr>
          <w:rFonts w:cstheme="minorHAnsi"/>
        </w:rPr>
      </w:pPr>
      <w:r>
        <w:rPr>
          <w:noProof/>
        </w:rPr>
        <w:drawing>
          <wp:inline distT="0" distB="0" distL="0" distR="0" wp14:anchorId="42837C03" wp14:editId="6C5124F0">
            <wp:extent cx="4785543" cy="1771383"/>
            <wp:effectExtent l="0" t="0" r="0" b="635"/>
            <wp:docPr id="1628482861" name="Picture 1" descr="A pie chart with numbers and a few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482861" name="Picture 1" descr="A pie chart with numbers and a few colored circl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22781" cy="1785167"/>
                    </a:xfrm>
                    <a:prstGeom prst="rect">
                      <a:avLst/>
                    </a:prstGeom>
                  </pic:spPr>
                </pic:pic>
              </a:graphicData>
            </a:graphic>
          </wp:inline>
        </w:drawing>
      </w:r>
    </w:p>
    <w:p w14:paraId="1A4FE0F5" w14:textId="289CC85E" w:rsidR="005D2EC8" w:rsidRPr="00EF760D" w:rsidRDefault="005D2EC8" w:rsidP="00D43545">
      <w:pPr>
        <w:rPr>
          <w:rFonts w:cs="Arial"/>
          <w:color w:val="202124"/>
          <w:spacing w:val="3"/>
          <w:shd w:val="clear" w:color="auto" w:fill="FFFFFF"/>
        </w:rPr>
      </w:pPr>
      <w:r w:rsidRPr="006D7F5B">
        <w:rPr>
          <w:rFonts w:cs="Arial"/>
          <w:color w:val="202124"/>
          <w:spacing w:val="3"/>
          <w:shd w:val="clear" w:color="auto" w:fill="FFFFFF"/>
        </w:rPr>
        <w:t>The research shows that 82.4% of respondents are not aware that funding is being withdrawn</w:t>
      </w:r>
      <w:r>
        <w:rPr>
          <w:rFonts w:cs="Arial"/>
          <w:color w:val="202124"/>
          <w:spacing w:val="3"/>
          <w:shd w:val="clear" w:color="auto" w:fill="FFFFFF"/>
        </w:rPr>
        <w:t xml:space="preserve"> by The Welsh </w:t>
      </w:r>
      <w:r w:rsidR="00432747">
        <w:rPr>
          <w:rFonts w:cs="Arial"/>
          <w:color w:val="202124"/>
          <w:spacing w:val="3"/>
          <w:shd w:val="clear" w:color="auto" w:fill="FFFFFF"/>
        </w:rPr>
        <w:t>Government,</w:t>
      </w:r>
      <w:r w:rsidRPr="006D7F5B">
        <w:rPr>
          <w:rFonts w:cs="Arial"/>
          <w:color w:val="202124"/>
          <w:spacing w:val="3"/>
          <w:shd w:val="clear" w:color="auto" w:fill="FFFFFF"/>
        </w:rPr>
        <w:t xml:space="preserve"> for police to attend schools to engage and educate children in criminality and </w:t>
      </w:r>
      <w:r w:rsidR="00432747">
        <w:rPr>
          <w:rFonts w:cs="Arial"/>
          <w:color w:val="202124"/>
          <w:spacing w:val="3"/>
          <w:shd w:val="clear" w:color="auto" w:fill="FFFFFF"/>
        </w:rPr>
        <w:t>provide safeguarding advice</w:t>
      </w:r>
      <w:r w:rsidRPr="006D7F5B">
        <w:rPr>
          <w:rFonts w:cs="Arial"/>
          <w:color w:val="202124"/>
          <w:spacing w:val="3"/>
          <w:shd w:val="clear" w:color="auto" w:fill="FFFFFF"/>
        </w:rPr>
        <w:t xml:space="preserve">. </w:t>
      </w:r>
      <w:r>
        <w:rPr>
          <w:rFonts w:cs="Arial"/>
          <w:color w:val="202124"/>
          <w:spacing w:val="3"/>
          <w:shd w:val="clear" w:color="auto" w:fill="FFFFFF"/>
        </w:rPr>
        <w:t xml:space="preserve">School Beat Cymru was funded by the Welsh Government up to </w:t>
      </w:r>
      <w:r>
        <w:rPr>
          <w:rFonts w:cs="Arial"/>
        </w:rPr>
        <w:t xml:space="preserve">February 2024 when the Government cut the funds to save £2 million </w:t>
      </w:r>
      <w:r w:rsidRPr="00EF760D">
        <w:rPr>
          <w:rFonts w:eastAsia="Times New Roman"/>
          <w:kern w:val="0"/>
          <w:lang w:eastAsia="en-GB"/>
          <w14:ligatures w14:val="none"/>
        </w:rPr>
        <w:t>(Thomas, Iwan and McCarthy, 2024)</w:t>
      </w:r>
      <w:r>
        <w:rPr>
          <w:rFonts w:cs="Arial"/>
        </w:rPr>
        <w:t xml:space="preserve">. </w:t>
      </w:r>
      <w:r w:rsidRPr="006D7F5B">
        <w:rPr>
          <w:rFonts w:cs="Arial"/>
        </w:rPr>
        <w:t xml:space="preserve">86.3% </w:t>
      </w:r>
      <w:r w:rsidR="00432747">
        <w:rPr>
          <w:rFonts w:cs="Arial"/>
        </w:rPr>
        <w:t xml:space="preserve">of participants </w:t>
      </w:r>
      <w:r w:rsidRPr="006D7F5B">
        <w:rPr>
          <w:rFonts w:cs="Arial"/>
        </w:rPr>
        <w:t>believe this will have a negative impact and that more children are likely to be exploited. There is not enough literature to evaluate the impact this will have on exploitation and so further research on this is recommended</w:t>
      </w:r>
      <w:r>
        <w:rPr>
          <w:rFonts w:cs="Arial"/>
        </w:rPr>
        <w:t xml:space="preserve">. </w:t>
      </w:r>
    </w:p>
    <w:p w14:paraId="2BBC5DC3" w14:textId="44E153DC" w:rsidR="005D2EC8" w:rsidRDefault="005D2EC8" w:rsidP="00D43545">
      <w:pPr>
        <w:rPr>
          <w:rFonts w:cs="Arial"/>
        </w:rPr>
      </w:pPr>
      <w:r w:rsidRPr="006D7F5B">
        <w:rPr>
          <w:rFonts w:cs="Arial"/>
        </w:rPr>
        <w:t>In concluding the survey some respondents gave further opinions all of which included ensuring this type of exploitation is taught, potentially not just by schools but partner agencies too, evidencing that further research should be recommended.</w:t>
      </w:r>
    </w:p>
    <w:p w14:paraId="7E0A0D83" w14:textId="7C7206AE" w:rsidR="005D2EC8" w:rsidRPr="00664D3E" w:rsidRDefault="005D2EC8" w:rsidP="00D43545">
      <w:pPr>
        <w:rPr>
          <w:rFonts w:cs="Arial"/>
          <w:b/>
          <w:bCs/>
          <w:u w:val="single"/>
        </w:rPr>
      </w:pPr>
      <w:r w:rsidRPr="00664D3E">
        <w:rPr>
          <w:rFonts w:cs="Arial"/>
          <w:b/>
          <w:bCs/>
          <w:u w:val="single"/>
        </w:rPr>
        <w:lastRenderedPageBreak/>
        <w:t xml:space="preserve">Chapter </w:t>
      </w:r>
      <w:r w:rsidR="00152ED5">
        <w:rPr>
          <w:rFonts w:cs="Arial"/>
          <w:b/>
          <w:bCs/>
          <w:u w:val="single"/>
        </w:rPr>
        <w:t>five</w:t>
      </w:r>
      <w:r w:rsidRPr="00664D3E">
        <w:rPr>
          <w:rFonts w:cs="Arial"/>
          <w:b/>
          <w:bCs/>
          <w:u w:val="single"/>
        </w:rPr>
        <w:t xml:space="preserve"> – Finding and </w:t>
      </w:r>
      <w:r w:rsidR="00152ED5">
        <w:rPr>
          <w:rFonts w:cs="Arial"/>
          <w:b/>
          <w:bCs/>
          <w:u w:val="single"/>
        </w:rPr>
        <w:t>recommendations</w:t>
      </w:r>
      <w:r w:rsidRPr="00664D3E">
        <w:rPr>
          <w:rFonts w:cs="Arial"/>
          <w:b/>
          <w:bCs/>
          <w:u w:val="single"/>
        </w:rPr>
        <w:t>.</w:t>
      </w:r>
    </w:p>
    <w:p w14:paraId="1D5EC745" w14:textId="77777777" w:rsidR="00664D3E" w:rsidRDefault="00664D3E" w:rsidP="00D43545">
      <w:pPr>
        <w:rPr>
          <w:rFonts w:cs="Arial"/>
        </w:rPr>
      </w:pPr>
    </w:p>
    <w:p w14:paraId="1764AF68" w14:textId="3ADF236C" w:rsidR="005D2EC8" w:rsidRPr="00717BBF" w:rsidRDefault="005D2EC8" w:rsidP="00D43545">
      <w:pPr>
        <w:rPr>
          <w:rFonts w:cs="Arial"/>
          <w:b/>
          <w:bCs/>
          <w:u w:val="single"/>
        </w:rPr>
      </w:pPr>
      <w:r w:rsidRPr="00717BBF">
        <w:rPr>
          <w:rFonts w:cs="Arial"/>
          <w:b/>
          <w:bCs/>
          <w:u w:val="single"/>
        </w:rPr>
        <w:t xml:space="preserve">5.1 Findings </w:t>
      </w:r>
    </w:p>
    <w:p w14:paraId="2150FBF8" w14:textId="580F5E28" w:rsidR="00664D3E" w:rsidRPr="009667E3" w:rsidRDefault="00664D3E" w:rsidP="00664D3E">
      <w:pPr>
        <w:tabs>
          <w:tab w:val="left" w:pos="2225"/>
        </w:tabs>
        <w:rPr>
          <w:rFonts w:cs="Arial"/>
        </w:rPr>
      </w:pPr>
      <w:r>
        <w:rPr>
          <w:rFonts w:cs="Arial"/>
        </w:rPr>
        <w:tab/>
      </w:r>
    </w:p>
    <w:p w14:paraId="0CA9E76D" w14:textId="66A8B08E" w:rsidR="005D2EC8" w:rsidRDefault="005D2EC8" w:rsidP="00D43545">
      <w:pPr>
        <w:rPr>
          <w:rFonts w:cs="Arial"/>
          <w:lang w:eastAsia="en-GB"/>
        </w:rPr>
      </w:pPr>
      <w:bookmarkStart w:id="2" w:name="_Hlk168909333"/>
      <w:r w:rsidRPr="009667E3">
        <w:rPr>
          <w:rFonts w:cs="Arial"/>
        </w:rPr>
        <w:t>While several respondents indicated some level of understanding of county lines, there remains a notable percentage who are either unfamiliar with the term or lack a comprehensive understanding. This highlights the importance of ongoing education and awareness efforts within communities with parents as well as children. Parents perceive schools and themselves as effective educators on county lines exploitation, but there are differing opinions on the effectiveness of education provided by police and youth organizations. Additionally, there is variation in views regarding the appropriate age to begin exploitation education, suggesting a need for clearer guidance and consistency in curriculum planning. The survey also revealed a potential lack of confidence among</w:t>
      </w:r>
      <w:r w:rsidR="00233938">
        <w:rPr>
          <w:rFonts w:cs="Arial"/>
        </w:rPr>
        <w:t>st</w:t>
      </w:r>
      <w:r w:rsidRPr="009667E3">
        <w:rPr>
          <w:rFonts w:cs="Arial"/>
        </w:rPr>
        <w:t xml:space="preserve"> parents in educating their children about drugs and exploitation, indicating a need for increased support and resources for parents in this area. Suggestions from respondents regarding improving education on county lines exploitation, including incorporating it into the curriculum and providing specific lessons, offer valuable insights for policymakers and educators. There are, however, limitations in this research, according to </w:t>
      </w:r>
      <w:r w:rsidRPr="009667E3">
        <w:rPr>
          <w:rFonts w:cs="Arial"/>
          <w:lang w:eastAsia="en-GB"/>
        </w:rPr>
        <w:t xml:space="preserve">Theofanidis and Fountouki (2018), limitations of a study often stem from issues outside the researcher's control, such as the research design, audience, and other reasons. To preserve the integrity of their studies, researchers must be aware of these limitations and note them in their publications (Price and Murnan, 2004). </w:t>
      </w:r>
    </w:p>
    <w:p w14:paraId="234037BA" w14:textId="77777777" w:rsidR="00A959FD" w:rsidRPr="009667E3" w:rsidRDefault="00A959FD" w:rsidP="00D43545">
      <w:pPr>
        <w:rPr>
          <w:rFonts w:cs="Arial"/>
          <w:lang w:eastAsia="en-GB"/>
        </w:rPr>
      </w:pPr>
    </w:p>
    <w:p w14:paraId="6D1FEE60" w14:textId="53E28CBF" w:rsidR="005D2EC8" w:rsidRDefault="005D2EC8" w:rsidP="00D43545">
      <w:pPr>
        <w:rPr>
          <w:rFonts w:eastAsia="Calibri" w:cs="Arial"/>
        </w:rPr>
      </w:pPr>
      <w:r w:rsidRPr="009667E3">
        <w:rPr>
          <w:rFonts w:cs="Arial"/>
          <w:lang w:eastAsia="en-GB"/>
        </w:rPr>
        <w:t>The researcher acknowledges that the most predominant limitation, is the sample size which could be non-representative of the population and not diverse enough to provide accurate results. The researcher understands that the estimated population of children in 2023 was</w:t>
      </w:r>
      <w:r w:rsidR="00233938">
        <w:rPr>
          <w:rFonts w:cs="Arial"/>
        </w:rPr>
        <w:t xml:space="preserve"> over </w:t>
      </w:r>
      <w:r w:rsidR="00D23C7C" w:rsidRPr="009667E3">
        <w:rPr>
          <w:rFonts w:cs="Arial"/>
          <w:lang w:eastAsia="en-GB"/>
        </w:rPr>
        <w:t>fourteen</w:t>
      </w:r>
      <w:r w:rsidR="00233938">
        <w:rPr>
          <w:rFonts w:cs="Arial"/>
          <w:lang w:eastAsia="en-GB"/>
        </w:rPr>
        <w:t xml:space="preserve"> million</w:t>
      </w:r>
      <w:r w:rsidRPr="009667E3">
        <w:rPr>
          <w:rFonts w:cs="Arial"/>
          <w:lang w:eastAsia="en-GB"/>
        </w:rPr>
        <w:t>, according to UNICEF (2022)</w:t>
      </w:r>
      <w:r w:rsidR="00A959FD">
        <w:rPr>
          <w:rFonts w:cs="Arial"/>
          <w:lang w:eastAsia="en-GB"/>
        </w:rPr>
        <w:t>,</w:t>
      </w:r>
      <w:r w:rsidRPr="009667E3">
        <w:rPr>
          <w:rFonts w:cs="Arial"/>
          <w:lang w:eastAsia="en-GB"/>
        </w:rPr>
        <w:t xml:space="preserve"> therefore a more extensive sample would have produced a more unbiased result. </w:t>
      </w:r>
      <w:r w:rsidRPr="009667E3">
        <w:rPr>
          <w:rFonts w:cs="Arial"/>
        </w:rPr>
        <w:t xml:space="preserve">Although the sampling size suggested that parents believe children have education in county lines exploitation, it draws back the gaps in the research identified in the literature review </w:t>
      </w:r>
      <w:r w:rsidRPr="009667E3">
        <w:rPr>
          <w:rFonts w:eastAsia="Times New Roman" w:cs="Arial"/>
          <w:kern w:val="0"/>
          <w:lang w:eastAsia="en-GB"/>
          <w14:ligatures w14:val="none"/>
        </w:rPr>
        <w:t>(Maxwell, 2022)</w:t>
      </w:r>
      <w:r w:rsidRPr="009667E3">
        <w:rPr>
          <w:rFonts w:cs="Arial"/>
        </w:rPr>
        <w:t xml:space="preserve">. One of the considered issues was the lack of literature relating to educating children around the UK. This relates to the researchers question where </w:t>
      </w:r>
      <w:r w:rsidRPr="009667E3">
        <w:rPr>
          <w:rFonts w:eastAsia="Calibri" w:cs="Arial"/>
        </w:rPr>
        <w:lastRenderedPageBreak/>
        <w:t>34.3% of participants would benefit from some guidance in safeguarding children from county lines exploitation due to parents having limited knowledge in the subject.</w:t>
      </w:r>
    </w:p>
    <w:p w14:paraId="1FBDBBD9" w14:textId="77777777" w:rsidR="00A959FD" w:rsidRPr="009667E3" w:rsidRDefault="00A959FD" w:rsidP="00D43545">
      <w:pPr>
        <w:rPr>
          <w:rFonts w:eastAsia="Times New Roman" w:cs="Arial"/>
          <w:kern w:val="0"/>
          <w:lang w:eastAsia="en-GB"/>
          <w14:ligatures w14:val="none"/>
        </w:rPr>
      </w:pPr>
    </w:p>
    <w:p w14:paraId="7D08D866" w14:textId="2F3EC45A" w:rsidR="005D2EC8" w:rsidRDefault="005D2EC8" w:rsidP="00D43545">
      <w:pPr>
        <w:rPr>
          <w:rFonts w:eastAsia="Calibri" w:cs="Arial"/>
        </w:rPr>
      </w:pPr>
      <w:r w:rsidRPr="009667E3">
        <w:rPr>
          <w:rFonts w:cs="Arial"/>
        </w:rPr>
        <w:t xml:space="preserve">Overall, the findings underscore the importance of collaborative efforts between schools, parents, partner agencies, and community organisations in addressing county lines exploitation and ensuring the safety and well-being of children and young people. Continued research and initiative-taking measures are essential to further enhance awareness, knowledge, and prevention strategies in this </w:t>
      </w:r>
      <w:r w:rsidR="00A959FD">
        <w:rPr>
          <w:rFonts w:cs="Arial"/>
        </w:rPr>
        <w:t>perilous</w:t>
      </w:r>
      <w:r w:rsidR="00A959FD" w:rsidRPr="009667E3">
        <w:rPr>
          <w:rFonts w:cs="Arial"/>
        </w:rPr>
        <w:t xml:space="preserve"> </w:t>
      </w:r>
      <w:r w:rsidRPr="009667E3">
        <w:rPr>
          <w:rFonts w:cs="Arial"/>
        </w:rPr>
        <w:t>area. T</w:t>
      </w:r>
      <w:r w:rsidRPr="009667E3">
        <w:rPr>
          <w:rFonts w:eastAsia="Calibri" w:cs="Arial"/>
        </w:rPr>
        <w:t xml:space="preserve">his research paper set out to critically analyse if schools educate children on county lines exploitation, whilst also researching if there is enough awareness for parents and vulnerable people in the subject. Whilst reviewing the current research, the literature review highlighted a lack of articles and journals into the subject. The questionnaire that was issued to the public revealed they felt schools should be responsible for dealing with </w:t>
      </w:r>
      <w:r w:rsidR="00A959FD">
        <w:rPr>
          <w:rFonts w:eastAsia="Calibri" w:cs="Arial"/>
        </w:rPr>
        <w:t>c</w:t>
      </w:r>
      <w:r w:rsidRPr="009667E3">
        <w:rPr>
          <w:rFonts w:eastAsia="Calibri" w:cs="Arial"/>
        </w:rPr>
        <w:t xml:space="preserve">ounty lines </w:t>
      </w:r>
      <w:r w:rsidR="00A959FD">
        <w:rPr>
          <w:rFonts w:eastAsia="Calibri" w:cs="Arial"/>
        </w:rPr>
        <w:t>e</w:t>
      </w:r>
      <w:r w:rsidRPr="009667E3">
        <w:rPr>
          <w:rFonts w:eastAsia="Calibri" w:cs="Arial"/>
        </w:rPr>
        <w:t xml:space="preserve">xploitation, but they also felt as though there should be another organisation put in place that collaborates with the police to work on </w:t>
      </w:r>
      <w:r w:rsidR="00A959FD">
        <w:rPr>
          <w:rFonts w:eastAsia="Calibri" w:cs="Arial"/>
        </w:rPr>
        <w:t>safeguarding</w:t>
      </w:r>
      <w:r w:rsidRPr="009667E3">
        <w:rPr>
          <w:rFonts w:eastAsia="Calibri" w:cs="Arial"/>
        </w:rPr>
        <w:t xml:space="preserve"> children and the vulnerable. A key aspect to protecting the public and ensuring that children and vulnerable people do not becomes victims of exploitation, is for the police to work with other agencies to ensure that there is a local, regional, and worldwide force in place to help prevent organised crime </w:t>
      </w:r>
      <w:r w:rsidR="00A959FD">
        <w:rPr>
          <w:rFonts w:eastAsia="Calibri" w:cs="Arial"/>
        </w:rPr>
        <w:t>gangs</w:t>
      </w:r>
      <w:r w:rsidRPr="009667E3">
        <w:rPr>
          <w:rFonts w:eastAsia="Calibri" w:cs="Arial"/>
        </w:rPr>
        <w:t xml:space="preserve"> targeting the vulnerable groups. Whilst this is already in place with the NCA, and specialised departments, it needs to be disseminated to all frontline staff and training needs to keep up with trends. This is something that could be implemented immediately with training days and continuous professional development through mandatory online distance learning, this would also eliminate time and budget pressures if it is built into a training programme that already exists</w:t>
      </w:r>
      <w:r w:rsidR="00D23C7C" w:rsidRPr="009667E3">
        <w:rPr>
          <w:rFonts w:eastAsia="Calibri" w:cs="Arial"/>
        </w:rPr>
        <w:t xml:space="preserve">. </w:t>
      </w:r>
      <w:r w:rsidRPr="009667E3">
        <w:rPr>
          <w:rFonts w:eastAsia="Calibri" w:cs="Arial"/>
        </w:rPr>
        <w:t xml:space="preserve">Having specific understanding of exploitation will take pressure of some departments in the police but more importantly build trust between the police and the public. </w:t>
      </w:r>
    </w:p>
    <w:p w14:paraId="664471E3" w14:textId="77777777" w:rsidR="00A959FD" w:rsidRPr="009667E3" w:rsidRDefault="00A959FD" w:rsidP="00D43545">
      <w:pPr>
        <w:rPr>
          <w:rFonts w:eastAsia="Calibri" w:cs="Arial"/>
        </w:rPr>
      </w:pPr>
    </w:p>
    <w:p w14:paraId="5762C740" w14:textId="737144BA" w:rsidR="005D2EC8" w:rsidRPr="009667E3" w:rsidRDefault="005D2EC8" w:rsidP="00D43545">
      <w:pPr>
        <w:rPr>
          <w:rFonts w:eastAsia="Calibri" w:cs="Arial"/>
        </w:rPr>
      </w:pPr>
      <w:r w:rsidRPr="009667E3">
        <w:rPr>
          <w:rFonts w:eastAsia="Calibri" w:cs="Arial"/>
        </w:rPr>
        <w:t xml:space="preserve">In summary, the research aimed to determine if education on </w:t>
      </w:r>
      <w:r w:rsidR="00A959FD">
        <w:rPr>
          <w:rFonts w:eastAsia="Calibri" w:cs="Arial"/>
        </w:rPr>
        <w:t>c</w:t>
      </w:r>
      <w:r w:rsidRPr="009667E3">
        <w:rPr>
          <w:rFonts w:eastAsia="Calibri" w:cs="Arial"/>
        </w:rPr>
        <w:t xml:space="preserve">ounty </w:t>
      </w:r>
      <w:r w:rsidR="00A959FD">
        <w:rPr>
          <w:rFonts w:eastAsia="Calibri" w:cs="Arial"/>
        </w:rPr>
        <w:t>l</w:t>
      </w:r>
      <w:r w:rsidRPr="009667E3">
        <w:rPr>
          <w:rFonts w:eastAsia="Calibri" w:cs="Arial"/>
        </w:rPr>
        <w:t xml:space="preserve">ines exploitation is adequate and assess awareness among parents and vulnerable people to prevent exploitation. Findings indicate that while several parents have some understanding of </w:t>
      </w:r>
      <w:r w:rsidR="00A959FD">
        <w:rPr>
          <w:rFonts w:eastAsia="Calibri" w:cs="Arial"/>
        </w:rPr>
        <w:t>c</w:t>
      </w:r>
      <w:r w:rsidRPr="009667E3">
        <w:rPr>
          <w:rFonts w:eastAsia="Calibri" w:cs="Arial"/>
        </w:rPr>
        <w:t xml:space="preserve">ounty </w:t>
      </w:r>
      <w:r w:rsidR="00A959FD">
        <w:rPr>
          <w:rFonts w:eastAsia="Calibri" w:cs="Arial"/>
        </w:rPr>
        <w:t>l</w:t>
      </w:r>
      <w:r w:rsidRPr="009667E3">
        <w:rPr>
          <w:rFonts w:eastAsia="Calibri" w:cs="Arial"/>
        </w:rPr>
        <w:t xml:space="preserve">ines, a significant percentage lack comprehensive knowledge. Parents view schools and themselves as effective educators, but opinions vary on the role and effectiveness of police and youth organizations. The </w:t>
      </w:r>
      <w:r w:rsidRPr="009667E3">
        <w:rPr>
          <w:rFonts w:eastAsia="Calibri" w:cs="Arial"/>
        </w:rPr>
        <w:lastRenderedPageBreak/>
        <w:t xml:space="preserve">survey revealed varied views on the appropriate age to begin exploitation education and highlighted a lack of parental confidence in discussing drugs and exploitation with their children, signalling a need for more support and resources. Respondents suggested incorporating </w:t>
      </w:r>
      <w:r w:rsidR="00A959FD">
        <w:rPr>
          <w:rFonts w:eastAsia="Calibri" w:cs="Arial"/>
        </w:rPr>
        <w:t>c</w:t>
      </w:r>
      <w:r w:rsidRPr="009667E3">
        <w:rPr>
          <w:rFonts w:eastAsia="Calibri" w:cs="Arial"/>
        </w:rPr>
        <w:t xml:space="preserve">ounty </w:t>
      </w:r>
      <w:r w:rsidR="00A959FD">
        <w:rPr>
          <w:rFonts w:eastAsia="Calibri" w:cs="Arial"/>
        </w:rPr>
        <w:t>l</w:t>
      </w:r>
      <w:r w:rsidRPr="009667E3">
        <w:rPr>
          <w:rFonts w:eastAsia="Calibri" w:cs="Arial"/>
        </w:rPr>
        <w:t xml:space="preserve">ines education into the school curriculum and having another organization collaborate with the police to safeguard children and vulnerable people. The study identified limitations, including a non-representative sample size and a lack of literature on educating children about </w:t>
      </w:r>
      <w:r w:rsidR="00A959FD">
        <w:rPr>
          <w:rFonts w:eastAsia="Calibri" w:cs="Arial"/>
        </w:rPr>
        <w:t>c</w:t>
      </w:r>
      <w:r w:rsidRPr="009667E3">
        <w:rPr>
          <w:rFonts w:eastAsia="Calibri" w:cs="Arial"/>
        </w:rPr>
        <w:t xml:space="preserve">ounty </w:t>
      </w:r>
      <w:r w:rsidR="00A959FD">
        <w:rPr>
          <w:rFonts w:eastAsia="Calibri" w:cs="Arial"/>
        </w:rPr>
        <w:t>l</w:t>
      </w:r>
      <w:r w:rsidRPr="009667E3">
        <w:rPr>
          <w:rFonts w:eastAsia="Calibri" w:cs="Arial"/>
        </w:rPr>
        <w:t xml:space="preserve">ines in the UK. Many believe schools should manage this education, supported by police involvement, but are concerned about the government's withdrawal of funding for School Beat, affecting police education programs in schools. </w:t>
      </w:r>
    </w:p>
    <w:bookmarkEnd w:id="2"/>
    <w:p w14:paraId="0382C862" w14:textId="77777777" w:rsidR="005D2EC8" w:rsidRPr="009667E3" w:rsidRDefault="005D2EC8" w:rsidP="00D43545">
      <w:pPr>
        <w:rPr>
          <w:rFonts w:cs="Arial"/>
        </w:rPr>
      </w:pPr>
    </w:p>
    <w:p w14:paraId="4B4DFAD1" w14:textId="77777777" w:rsidR="005D2EC8" w:rsidRPr="00664D3E" w:rsidRDefault="005D2EC8" w:rsidP="00D43545">
      <w:pPr>
        <w:rPr>
          <w:rFonts w:cs="Arial"/>
          <w:b/>
          <w:bCs/>
          <w:u w:val="single"/>
        </w:rPr>
      </w:pPr>
      <w:r w:rsidRPr="00664D3E">
        <w:rPr>
          <w:rFonts w:cs="Arial"/>
          <w:b/>
          <w:bCs/>
          <w:u w:val="single"/>
        </w:rPr>
        <w:t>5.2 Recommendations</w:t>
      </w:r>
    </w:p>
    <w:p w14:paraId="5F5CE76F" w14:textId="77777777" w:rsidR="00664D3E" w:rsidRPr="00D361D9" w:rsidRDefault="00664D3E" w:rsidP="00D43545">
      <w:pPr>
        <w:rPr>
          <w:rFonts w:cs="Arial"/>
        </w:rPr>
      </w:pPr>
    </w:p>
    <w:p w14:paraId="099C0C01" w14:textId="77777777" w:rsidR="005D2EC8" w:rsidRPr="009667E3" w:rsidRDefault="005D2EC8" w:rsidP="00D43545">
      <w:pPr>
        <w:rPr>
          <w:rFonts w:cs="Arial"/>
        </w:rPr>
      </w:pPr>
      <w:r w:rsidRPr="009667E3">
        <w:rPr>
          <w:rFonts w:cs="Arial"/>
        </w:rPr>
        <w:t xml:space="preserve">Based on the findings and insights from the research on parents' knowledge of county lines exploitation, </w:t>
      </w:r>
      <w:r>
        <w:rPr>
          <w:rFonts w:cs="Arial"/>
        </w:rPr>
        <w:t>five</w:t>
      </w:r>
      <w:r w:rsidRPr="009667E3">
        <w:rPr>
          <w:rFonts w:cs="Arial"/>
        </w:rPr>
        <w:t xml:space="preserve"> recommendations have been identified to enhance education and awareness efforts. Firstly, developing a comprehensive curriculum addressing county lines exploitation, starting at an appropriate age, and ensuring consistent application across schools is crucial for understanding and awareness among students. </w:t>
      </w:r>
      <w:r>
        <w:rPr>
          <w:rFonts w:cs="Arial"/>
        </w:rPr>
        <w:t>Secondly, e</w:t>
      </w:r>
      <w:r w:rsidRPr="009667E3">
        <w:rPr>
          <w:rFonts w:cs="Arial"/>
        </w:rPr>
        <w:t>nhancing ongoing training programs for police officers to stay updated on county lines gang tactics</w:t>
      </w:r>
      <w:r>
        <w:rPr>
          <w:rFonts w:cs="Arial"/>
        </w:rPr>
        <w:t xml:space="preserve"> and trends</w:t>
      </w:r>
      <w:r w:rsidRPr="009667E3">
        <w:rPr>
          <w:rFonts w:cs="Arial"/>
        </w:rPr>
        <w:t xml:space="preserve">, mandatory online distance learning modules for professional development, is equally important. </w:t>
      </w:r>
      <w:r>
        <w:rPr>
          <w:rFonts w:cs="Arial"/>
        </w:rPr>
        <w:t>Thirdly</w:t>
      </w:r>
      <w:r w:rsidRPr="009667E3">
        <w:rPr>
          <w:rFonts w:cs="Arial"/>
        </w:rPr>
        <w:t>, developing educational materials and workshops for parents on county lines exploitation, drug awareness, and safety methods, and encouraging schools and community organi</w:t>
      </w:r>
      <w:r>
        <w:rPr>
          <w:rFonts w:cs="Arial"/>
        </w:rPr>
        <w:t>s</w:t>
      </w:r>
      <w:r w:rsidRPr="009667E3">
        <w:rPr>
          <w:rFonts w:cs="Arial"/>
        </w:rPr>
        <w:t xml:space="preserve">ations to offer frequent resources and support sessions. </w:t>
      </w:r>
      <w:r>
        <w:rPr>
          <w:rFonts w:cs="Arial"/>
        </w:rPr>
        <w:t>Fourth, o</w:t>
      </w:r>
      <w:r w:rsidRPr="009667E3">
        <w:rPr>
          <w:rFonts w:cs="Arial"/>
        </w:rPr>
        <w:t>ffering free exploitation prevention lessons to all community age groups, using local media</w:t>
      </w:r>
      <w:r>
        <w:rPr>
          <w:rFonts w:cs="Arial"/>
        </w:rPr>
        <w:t xml:space="preserve"> and</w:t>
      </w:r>
      <w:r w:rsidRPr="009667E3">
        <w:rPr>
          <w:rFonts w:cs="Arial"/>
        </w:rPr>
        <w:t xml:space="preserve"> social platforms to raise awareness and reduce exploitation risk. </w:t>
      </w:r>
      <w:r>
        <w:rPr>
          <w:rFonts w:cs="Arial"/>
        </w:rPr>
        <w:t>Lastly</w:t>
      </w:r>
      <w:r w:rsidRPr="009667E3">
        <w:rPr>
          <w:rFonts w:cs="Arial"/>
        </w:rPr>
        <w:t xml:space="preserve">, </w:t>
      </w:r>
      <w:r>
        <w:rPr>
          <w:rFonts w:cs="Arial"/>
        </w:rPr>
        <w:t>further</w:t>
      </w:r>
      <w:r w:rsidRPr="009667E3">
        <w:rPr>
          <w:rFonts w:cs="Arial"/>
        </w:rPr>
        <w:t xml:space="preserve"> research is needed to understand the effectiveness of current educational activities and suggest improvements, while encouraging academic and governmental groups to explore educating youngsters about county lines exploitation. By implementing these recommendations, police can create a more robust and effective framework to combat county lines exploitation, ensuring the safety and well-being of children and young people, and reducing crime.</w:t>
      </w:r>
    </w:p>
    <w:p w14:paraId="75A35CB1" w14:textId="77777777" w:rsidR="005D2EC8" w:rsidRDefault="005D2EC8" w:rsidP="005D2EC8">
      <w:pPr>
        <w:rPr>
          <w:rFonts w:cs="Arial"/>
          <w:szCs w:val="24"/>
        </w:rPr>
      </w:pPr>
    </w:p>
    <w:p w14:paraId="25561F50" w14:textId="73FC049E" w:rsidR="00FE2C72" w:rsidRDefault="00FE2C72">
      <w:pPr>
        <w:rPr>
          <w:rFonts w:cs="Arial"/>
          <w:szCs w:val="24"/>
        </w:rPr>
      </w:pPr>
      <w:r>
        <w:rPr>
          <w:rFonts w:cs="Arial"/>
          <w:szCs w:val="24"/>
        </w:rPr>
        <w:br w:type="page"/>
      </w:r>
    </w:p>
    <w:p w14:paraId="264A2952" w14:textId="0A9C6425" w:rsidR="00FE2C72" w:rsidRPr="00664D3E" w:rsidRDefault="00FE2C72" w:rsidP="005D2EC8">
      <w:pPr>
        <w:rPr>
          <w:rFonts w:cs="Arial"/>
          <w:b/>
          <w:bCs/>
          <w:szCs w:val="24"/>
          <w:u w:val="single"/>
        </w:rPr>
      </w:pPr>
      <w:r w:rsidRPr="00664D3E">
        <w:rPr>
          <w:rFonts w:cs="Arial"/>
          <w:b/>
          <w:bCs/>
          <w:szCs w:val="24"/>
          <w:u w:val="single"/>
        </w:rPr>
        <w:lastRenderedPageBreak/>
        <w:t>Bibliography</w:t>
      </w:r>
    </w:p>
    <w:p w14:paraId="0F22C4F8" w14:textId="77777777" w:rsidR="00664D3E" w:rsidRDefault="00664D3E" w:rsidP="005D2EC8">
      <w:pPr>
        <w:rPr>
          <w:rFonts w:cs="Arial"/>
          <w:szCs w:val="24"/>
        </w:rPr>
      </w:pPr>
    </w:p>
    <w:p w14:paraId="1E04A2F3" w14:textId="55EB6725" w:rsidR="00246B12" w:rsidRPr="006D529E" w:rsidRDefault="00246B12" w:rsidP="00C36C8A">
      <w:pPr>
        <w:pStyle w:val="NormalWeb"/>
        <w:spacing w:before="0" w:beforeAutospacing="0" w:after="240" w:afterAutospacing="0" w:line="360" w:lineRule="auto"/>
        <w:rPr>
          <w:rFonts w:ascii="Arial" w:hAnsi="Arial" w:cs="Arial"/>
        </w:rPr>
      </w:pPr>
      <w:r w:rsidRPr="00C04BEB">
        <w:rPr>
          <w:rFonts w:ascii="Arial" w:hAnsi="Arial" w:cs="Arial"/>
          <w:shd w:val="clear" w:color="auto" w:fill="FFFFFF"/>
        </w:rPr>
        <w:t>Ahmad, S., Wasim, S., Irfan, S., Gogoi, S., Srivastava, A. and Farheen, Z., (2019). Qualitative v/s. quantitative research-a summarized review. </w:t>
      </w:r>
      <w:r w:rsidRPr="00C04BEB">
        <w:rPr>
          <w:rFonts w:ascii="Arial" w:hAnsi="Arial" w:cs="Arial"/>
          <w:i/>
          <w:iCs/>
          <w:shd w:val="clear" w:color="auto" w:fill="FFFFFF"/>
        </w:rPr>
        <w:t>population</w:t>
      </w:r>
      <w:r w:rsidRPr="00C04BEB">
        <w:rPr>
          <w:rFonts w:ascii="Arial" w:hAnsi="Arial" w:cs="Arial"/>
          <w:shd w:val="clear" w:color="auto" w:fill="FFFFFF"/>
        </w:rPr>
        <w:t>, </w:t>
      </w:r>
      <w:r w:rsidRPr="00C04BEB">
        <w:rPr>
          <w:rFonts w:ascii="Arial" w:hAnsi="Arial" w:cs="Arial"/>
          <w:i/>
          <w:iCs/>
          <w:shd w:val="clear" w:color="auto" w:fill="FFFFFF"/>
        </w:rPr>
        <w:t>1</w:t>
      </w:r>
      <w:r w:rsidRPr="00C04BEB">
        <w:rPr>
          <w:rFonts w:ascii="Arial" w:hAnsi="Arial" w:cs="Arial"/>
          <w:shd w:val="clear" w:color="auto" w:fill="FFFFFF"/>
        </w:rPr>
        <w:t>(2), pp.2828-2832.</w:t>
      </w:r>
      <w:r w:rsidRPr="00C04BEB">
        <w:rPr>
          <w:rFonts w:ascii="Arial" w:hAnsi="Arial" w:cs="Arial"/>
          <w:shd w:val="clear" w:color="auto" w:fill="FFFFFF"/>
        </w:rPr>
        <w:br/>
      </w:r>
      <w:r w:rsidRPr="00C04BEB">
        <w:rPr>
          <w:rFonts w:ascii="Arial" w:hAnsi="Arial" w:cs="Arial"/>
          <w:shd w:val="clear" w:color="auto" w:fill="FFFFFF"/>
        </w:rPr>
        <w:br/>
        <w:t>Anderson, E. and Dyson, L., (1996). Community strategies to neutralize gang proliferation. </w:t>
      </w:r>
      <w:r w:rsidRPr="00C04BEB">
        <w:rPr>
          <w:rFonts w:ascii="Arial" w:hAnsi="Arial" w:cs="Arial"/>
          <w:i/>
          <w:iCs/>
          <w:shd w:val="clear" w:color="auto" w:fill="FFFFFF"/>
        </w:rPr>
        <w:t>Journal of Gang Research</w:t>
      </w:r>
      <w:r w:rsidRPr="00C04BEB">
        <w:rPr>
          <w:rFonts w:ascii="Arial" w:hAnsi="Arial" w:cs="Arial"/>
          <w:shd w:val="clear" w:color="auto" w:fill="FFFFFF"/>
        </w:rPr>
        <w:t>, 3(2), pp.17-26.</w:t>
      </w:r>
      <w:r w:rsidRPr="00C04BEB">
        <w:rPr>
          <w:rFonts w:ascii="Arial" w:hAnsi="Arial" w:cs="Arial"/>
          <w:shd w:val="clear" w:color="auto" w:fill="FFFFFF"/>
        </w:rPr>
        <w:br/>
      </w:r>
      <w:r w:rsidRPr="00C04BEB">
        <w:rPr>
          <w:rFonts w:ascii="Arial" w:hAnsi="Arial" w:cs="Arial"/>
        </w:rPr>
        <w:br/>
        <w:t xml:space="preserve">Baidawi, S., Sheehan, R. and Flynn, C. (2020). Criminal Exploitation of Child protection-involved Youth. </w:t>
      </w:r>
      <w:r w:rsidRPr="00C04BEB">
        <w:rPr>
          <w:rFonts w:ascii="Arial" w:hAnsi="Arial" w:cs="Arial"/>
          <w:i/>
          <w:iCs/>
        </w:rPr>
        <w:t xml:space="preserve">Children and Youth Services </w:t>
      </w:r>
      <w:r w:rsidR="00E90832" w:rsidRPr="00C04BEB">
        <w:rPr>
          <w:rFonts w:ascii="Arial" w:hAnsi="Arial" w:cs="Arial"/>
          <w:i/>
          <w:iCs/>
        </w:rPr>
        <w:t>Review</w:t>
      </w:r>
      <w:r w:rsidR="00E90832" w:rsidRPr="00C04BEB">
        <w:rPr>
          <w:rFonts w:ascii="Arial" w:hAnsi="Arial" w:cs="Arial"/>
        </w:rPr>
        <w:t>, p</w:t>
      </w:r>
      <w:r w:rsidRPr="00C04BEB">
        <w:rPr>
          <w:rFonts w:ascii="Arial" w:hAnsi="Arial" w:cs="Arial"/>
        </w:rPr>
        <w:t xml:space="preserve">118. </w:t>
      </w:r>
      <w:r w:rsidR="00E90832">
        <w:rPr>
          <w:rFonts w:ascii="Arial" w:hAnsi="Arial" w:cs="Arial"/>
        </w:rPr>
        <w:t>DOI:</w:t>
      </w:r>
      <w:r w:rsidRPr="00C04BEB">
        <w:rPr>
          <w:rFonts w:ascii="Arial" w:hAnsi="Arial" w:cs="Arial"/>
        </w:rPr>
        <w:t>10.1016/j.childyouth.2020.105396. [Accessed 23 Jan. 2024].</w:t>
      </w:r>
      <w:r w:rsidRPr="00C04BEB">
        <w:rPr>
          <w:rFonts w:ascii="Arial" w:hAnsi="Arial" w:cs="Arial"/>
        </w:rPr>
        <w:br/>
      </w:r>
      <w:r w:rsidRPr="00C04BEB">
        <w:rPr>
          <w:rFonts w:ascii="Arial" w:hAnsi="Arial" w:cs="Arial"/>
        </w:rPr>
        <w:br/>
        <w:t xml:space="preserve">Black, C. (2020). Dame Carol Black Review of Drugs -evidence relating to drug use, </w:t>
      </w:r>
      <w:r w:rsidR="00D23C7C" w:rsidRPr="00C04BEB">
        <w:rPr>
          <w:rFonts w:ascii="Arial" w:hAnsi="Arial" w:cs="Arial"/>
        </w:rPr>
        <w:t>supply,</w:t>
      </w:r>
      <w:r w:rsidRPr="00C04BEB">
        <w:rPr>
          <w:rFonts w:ascii="Arial" w:hAnsi="Arial" w:cs="Arial"/>
        </w:rPr>
        <w:t xml:space="preserve"> and effects, including current trends and future risks</w:t>
      </w:r>
      <w:r w:rsidR="00D23C7C" w:rsidRPr="00C04BEB">
        <w:rPr>
          <w:rFonts w:ascii="Arial" w:hAnsi="Arial" w:cs="Arial"/>
        </w:rPr>
        <w:t xml:space="preserve">. </w:t>
      </w:r>
      <w:r w:rsidRPr="00C04BEB">
        <w:rPr>
          <w:rFonts w:ascii="Arial" w:hAnsi="Arial" w:cs="Arial"/>
        </w:rPr>
        <w:t>Available at: https://assets.publishing.service.gov.uk/government/uploads/system/uploads/attachment_data/file/882953/Review_of_Drugs_Evidence_Pack.pdf [Accessed 30 Jan. 2024].</w:t>
      </w:r>
      <w:r w:rsidRPr="00C04BEB">
        <w:rPr>
          <w:rFonts w:ascii="Arial" w:hAnsi="Arial" w:cs="Arial"/>
        </w:rPr>
        <w:br/>
      </w:r>
      <w:r w:rsidRPr="00C04BEB">
        <w:rPr>
          <w:rFonts w:ascii="Arial" w:hAnsi="Arial" w:cs="Arial"/>
        </w:rPr>
        <w:br/>
        <w:t xml:space="preserve">Avdibegovi, E. and Brki, M. (2020). Child Neglect - Causes and Consequences. Psychiatria </w:t>
      </w:r>
      <w:r w:rsidR="00A53D40" w:rsidRPr="00C04BEB">
        <w:rPr>
          <w:rFonts w:ascii="Arial" w:hAnsi="Arial" w:cs="Arial"/>
        </w:rPr>
        <w:t>Danubina, 32</w:t>
      </w:r>
      <w:r w:rsidRPr="00C04BEB">
        <w:rPr>
          <w:rFonts w:ascii="Arial" w:hAnsi="Arial" w:cs="Arial"/>
        </w:rPr>
        <w:t>(3), pp.337–342. Available at: https://hrcak.srce.hr/file/381812 [Accessed 24 Jun. 2024].</w:t>
      </w:r>
      <w:r w:rsidRPr="00C04BEB">
        <w:rPr>
          <w:rFonts w:ascii="Arial" w:hAnsi="Arial" w:cs="Arial"/>
        </w:rPr>
        <w:br/>
      </w:r>
      <w:r w:rsidRPr="00C04BEB">
        <w:rPr>
          <w:rFonts w:ascii="Arial" w:hAnsi="Arial" w:cs="Arial"/>
        </w:rPr>
        <w:br/>
        <w:t xml:space="preserve">Bekele, W.B. and Ago, F.Y. (2022). Sample Size for Interview in Qualitative Research in Social Sciences: </w:t>
      </w:r>
      <w:r w:rsidR="00A53D40" w:rsidRPr="00C04BEB">
        <w:rPr>
          <w:rFonts w:ascii="Arial" w:hAnsi="Arial" w:cs="Arial"/>
        </w:rPr>
        <w:t>A</w:t>
      </w:r>
      <w:r w:rsidRPr="00C04BEB">
        <w:rPr>
          <w:rFonts w:ascii="Arial" w:hAnsi="Arial" w:cs="Arial"/>
        </w:rPr>
        <w:t xml:space="preserve"> Guide to Novice Researchers. </w:t>
      </w:r>
      <w:r w:rsidRPr="00C04BEB">
        <w:rPr>
          <w:rFonts w:ascii="Arial" w:hAnsi="Arial" w:cs="Arial"/>
          <w:i/>
          <w:iCs/>
        </w:rPr>
        <w:t xml:space="preserve">Research in Educational Policy and </w:t>
      </w:r>
      <w:r w:rsidR="00A53D40" w:rsidRPr="00C04BEB">
        <w:rPr>
          <w:rFonts w:ascii="Arial" w:hAnsi="Arial" w:cs="Arial"/>
          <w:i/>
          <w:iCs/>
        </w:rPr>
        <w:t>Management</w:t>
      </w:r>
      <w:r w:rsidR="00A53D40" w:rsidRPr="00C04BEB">
        <w:rPr>
          <w:rFonts w:ascii="Arial" w:hAnsi="Arial" w:cs="Arial"/>
        </w:rPr>
        <w:t>, 4</w:t>
      </w:r>
      <w:r w:rsidRPr="00C04BEB">
        <w:rPr>
          <w:rFonts w:ascii="Arial" w:hAnsi="Arial" w:cs="Arial"/>
        </w:rPr>
        <w:t xml:space="preserve">(1), pp.42–50. </w:t>
      </w:r>
      <w:r w:rsidR="00E90832">
        <w:rPr>
          <w:rFonts w:ascii="Arial" w:hAnsi="Arial" w:cs="Arial"/>
        </w:rPr>
        <w:t>DOI:</w:t>
      </w:r>
      <w:r w:rsidRPr="00C04BEB">
        <w:rPr>
          <w:rFonts w:ascii="Arial" w:hAnsi="Arial" w:cs="Arial"/>
        </w:rPr>
        <w:t>10.46303/repam.2022.3.</w:t>
      </w:r>
      <w:r w:rsidR="00A959FD">
        <w:rPr>
          <w:rFonts w:ascii="Arial" w:hAnsi="Arial" w:cs="Arial"/>
        </w:rPr>
        <w:t xml:space="preserve"> </w:t>
      </w:r>
      <w:r w:rsidR="00A959FD" w:rsidRPr="00C04BEB">
        <w:rPr>
          <w:rFonts w:ascii="Arial" w:hAnsi="Arial" w:cs="Arial"/>
        </w:rPr>
        <w:t xml:space="preserve">[Accessed 24 </w:t>
      </w:r>
      <w:r w:rsidR="00A959FD">
        <w:rPr>
          <w:rFonts w:ascii="Arial" w:hAnsi="Arial" w:cs="Arial"/>
        </w:rPr>
        <w:t>Apr</w:t>
      </w:r>
      <w:r w:rsidR="00A959FD" w:rsidRPr="00C04BEB">
        <w:rPr>
          <w:rFonts w:ascii="Arial" w:hAnsi="Arial" w:cs="Arial"/>
        </w:rPr>
        <w:t>. 2024]</w:t>
      </w:r>
      <w:r w:rsidRPr="00C04BEB">
        <w:rPr>
          <w:rFonts w:ascii="Arial" w:hAnsi="Arial" w:cs="Arial"/>
        </w:rPr>
        <w:br/>
      </w:r>
      <w:r w:rsidRPr="00C04BEB">
        <w:rPr>
          <w:rFonts w:ascii="Arial" w:hAnsi="Arial" w:cs="Arial"/>
        </w:rPr>
        <w:br/>
        <w:t>Black, C. (2021). Review of drugs part two: prevention, treatment, and recovery</w:t>
      </w:r>
      <w:r w:rsidR="00D23C7C" w:rsidRPr="00C04BEB">
        <w:rPr>
          <w:rFonts w:ascii="Arial" w:hAnsi="Arial" w:cs="Arial"/>
        </w:rPr>
        <w:t xml:space="preserve">. </w:t>
      </w:r>
      <w:r w:rsidRPr="00C04BEB">
        <w:rPr>
          <w:rFonts w:ascii="Arial" w:hAnsi="Arial" w:cs="Arial"/>
        </w:rPr>
        <w:t>www.gov.uk. Department for Health and Social Care. Available at: https://www.gov.uk/government/publications/review-of-drugs-phase-two-report/review-of-drugs-part-two-prevention-treatment-and-recovery [Accessed 19 Jan. 2024].</w:t>
      </w:r>
      <w:r w:rsidRPr="00C04BEB">
        <w:rPr>
          <w:rFonts w:ascii="Arial" w:hAnsi="Arial" w:cs="Arial"/>
        </w:rPr>
        <w:br/>
      </w:r>
      <w:r w:rsidRPr="00C04BEB">
        <w:rPr>
          <w:rFonts w:ascii="Arial" w:hAnsi="Arial" w:cs="Arial"/>
        </w:rPr>
        <w:br/>
      </w:r>
      <w:r w:rsidRPr="00C04BEB">
        <w:rPr>
          <w:rFonts w:ascii="Arial" w:hAnsi="Arial" w:cs="Arial"/>
        </w:rPr>
        <w:lastRenderedPageBreak/>
        <w:t xml:space="preserve">Brantingham, P.J., Yuan, B. and Herz, D. (2020). Is Gang Violent Crime More Contagious than Non-Gang Violent Crime? </w:t>
      </w:r>
      <w:r w:rsidRPr="00C04BEB">
        <w:rPr>
          <w:rFonts w:ascii="Arial" w:hAnsi="Arial" w:cs="Arial"/>
          <w:i/>
          <w:iCs/>
        </w:rPr>
        <w:t xml:space="preserve">Journal of Quantitative </w:t>
      </w:r>
      <w:r w:rsidR="00A53D40" w:rsidRPr="00C04BEB">
        <w:rPr>
          <w:rFonts w:ascii="Arial" w:hAnsi="Arial" w:cs="Arial"/>
          <w:i/>
          <w:iCs/>
        </w:rPr>
        <w:t>Criminology</w:t>
      </w:r>
      <w:r w:rsidR="00A53D40" w:rsidRPr="00C04BEB">
        <w:rPr>
          <w:rFonts w:ascii="Arial" w:hAnsi="Arial" w:cs="Arial"/>
        </w:rPr>
        <w:t>, 37</w:t>
      </w:r>
      <w:r w:rsidRPr="00C04BEB">
        <w:rPr>
          <w:rFonts w:ascii="Arial" w:hAnsi="Arial" w:cs="Arial"/>
        </w:rPr>
        <w:t xml:space="preserve">(4). </w:t>
      </w:r>
      <w:r w:rsidR="00E90832">
        <w:rPr>
          <w:rFonts w:ascii="Arial" w:hAnsi="Arial" w:cs="Arial"/>
        </w:rPr>
        <w:t>DOI:</w:t>
      </w:r>
      <w:r w:rsidRPr="00C04BEB">
        <w:rPr>
          <w:rFonts w:ascii="Arial" w:hAnsi="Arial" w:cs="Arial"/>
        </w:rPr>
        <w:t>10.1007/s10940-020-09479-1.</w:t>
      </w:r>
      <w:r w:rsidR="00A959FD">
        <w:rPr>
          <w:rFonts w:ascii="Arial" w:hAnsi="Arial" w:cs="Arial"/>
        </w:rPr>
        <w:t xml:space="preserve"> </w:t>
      </w:r>
      <w:r w:rsidR="00A959FD" w:rsidRPr="00C04BEB">
        <w:rPr>
          <w:rFonts w:ascii="Arial" w:hAnsi="Arial" w:cs="Arial"/>
        </w:rPr>
        <w:t>[Accessed 2</w:t>
      </w:r>
      <w:r w:rsidR="00A959FD">
        <w:rPr>
          <w:rFonts w:ascii="Arial" w:hAnsi="Arial" w:cs="Arial"/>
        </w:rPr>
        <w:t>7</w:t>
      </w:r>
      <w:r w:rsidR="00A959FD" w:rsidRPr="00C04BEB">
        <w:rPr>
          <w:rFonts w:ascii="Arial" w:hAnsi="Arial" w:cs="Arial"/>
        </w:rPr>
        <w:t xml:space="preserve"> </w:t>
      </w:r>
      <w:r w:rsidR="00A959FD">
        <w:rPr>
          <w:rFonts w:ascii="Arial" w:hAnsi="Arial" w:cs="Arial"/>
        </w:rPr>
        <w:t>Apr</w:t>
      </w:r>
      <w:r w:rsidR="00A959FD" w:rsidRPr="00C04BEB">
        <w:rPr>
          <w:rFonts w:ascii="Arial" w:hAnsi="Arial" w:cs="Arial"/>
        </w:rPr>
        <w:t>. 2024]</w:t>
      </w:r>
      <w:r w:rsidRPr="00C04BEB">
        <w:rPr>
          <w:rFonts w:ascii="Arial" w:hAnsi="Arial" w:cs="Arial"/>
        </w:rPr>
        <w:br/>
      </w:r>
      <w:r w:rsidRPr="00C04BEB">
        <w:rPr>
          <w:rFonts w:ascii="Arial" w:hAnsi="Arial" w:cs="Arial"/>
        </w:rPr>
        <w:br/>
        <w:t xml:space="preserve">Boynton, P.M. (2004). Administering, analysing, and reporting your questionnaire. </w:t>
      </w:r>
      <w:r w:rsidRPr="00C04BEB">
        <w:rPr>
          <w:rFonts w:ascii="Arial" w:hAnsi="Arial" w:cs="Arial"/>
          <w:i/>
          <w:iCs/>
        </w:rPr>
        <w:t>BMJ</w:t>
      </w:r>
      <w:r w:rsidRPr="00C04BEB">
        <w:rPr>
          <w:rFonts w:ascii="Arial" w:hAnsi="Arial" w:cs="Arial"/>
        </w:rPr>
        <w:t>, 328(7452), pp.1372–1375.</w:t>
      </w:r>
      <w:r w:rsidR="00E90832">
        <w:rPr>
          <w:rFonts w:ascii="Arial" w:hAnsi="Arial" w:cs="Arial"/>
        </w:rPr>
        <w:t xml:space="preserve"> DOI:</w:t>
      </w:r>
      <w:r w:rsidRPr="00C04BEB">
        <w:rPr>
          <w:rFonts w:ascii="Arial" w:hAnsi="Arial" w:cs="Arial"/>
        </w:rPr>
        <w:t>10.1136/bmj.328.7452.1372.</w:t>
      </w:r>
      <w:r w:rsidR="00A959FD">
        <w:rPr>
          <w:rFonts w:ascii="Arial" w:hAnsi="Arial" w:cs="Arial"/>
        </w:rPr>
        <w:t xml:space="preserve"> </w:t>
      </w:r>
      <w:r w:rsidR="00A959FD" w:rsidRPr="00C04BEB">
        <w:rPr>
          <w:rFonts w:ascii="Arial" w:hAnsi="Arial" w:cs="Arial"/>
        </w:rPr>
        <w:t xml:space="preserve">[Accessed 24 </w:t>
      </w:r>
      <w:r w:rsidR="00A959FD">
        <w:rPr>
          <w:rFonts w:ascii="Arial" w:hAnsi="Arial" w:cs="Arial"/>
        </w:rPr>
        <w:t>Apr</w:t>
      </w:r>
      <w:r w:rsidR="00A959FD" w:rsidRPr="00C04BEB">
        <w:rPr>
          <w:rFonts w:ascii="Arial" w:hAnsi="Arial" w:cs="Arial"/>
        </w:rPr>
        <w:t>. 2024]</w:t>
      </w:r>
      <w:r w:rsidRPr="00C04BEB">
        <w:rPr>
          <w:rFonts w:ascii="Arial" w:hAnsi="Arial" w:cs="Arial"/>
        </w:rPr>
        <w:br/>
      </w:r>
      <w:r w:rsidRPr="00C04BEB">
        <w:rPr>
          <w:rFonts w:ascii="Arial" w:hAnsi="Arial" w:cs="Arial"/>
        </w:rPr>
        <w:br/>
        <w:t>CEOP (2019). Thinkuknow - home</w:t>
      </w:r>
      <w:r w:rsidR="00D23C7C" w:rsidRPr="00C04BEB">
        <w:rPr>
          <w:rFonts w:ascii="Arial" w:hAnsi="Arial" w:cs="Arial"/>
        </w:rPr>
        <w:t xml:space="preserve">. </w:t>
      </w:r>
      <w:r w:rsidRPr="00C04BEB">
        <w:rPr>
          <w:rFonts w:ascii="Arial" w:hAnsi="Arial" w:cs="Arial"/>
        </w:rPr>
        <w:t>Thinkuknow.co.uk. Available at: https://www.thinkuknow.co.uk/ [Accessed 29 Jan. 2024].</w:t>
      </w:r>
      <w:r w:rsidRPr="00C04BEB">
        <w:rPr>
          <w:rFonts w:ascii="Arial" w:hAnsi="Arial" w:cs="Arial"/>
        </w:rPr>
        <w:br/>
      </w:r>
      <w:r w:rsidRPr="00C04BEB">
        <w:rPr>
          <w:rFonts w:ascii="Arial" w:hAnsi="Arial" w:cs="Arial"/>
        </w:rPr>
        <w:br/>
        <w:t xml:space="preserve">Connor Desai, S. and Reimers, S. (2019). Comparing the use of open and closed questions for Web-based measures of the continued-influence effect. </w:t>
      </w:r>
      <w:r w:rsidRPr="00C04BEB">
        <w:rPr>
          <w:rFonts w:ascii="Arial" w:hAnsi="Arial" w:cs="Arial"/>
          <w:i/>
          <w:iCs/>
        </w:rPr>
        <w:t xml:space="preserve">Behavior Research </w:t>
      </w:r>
      <w:r w:rsidR="00A53D40" w:rsidRPr="00C04BEB">
        <w:rPr>
          <w:rFonts w:ascii="Arial" w:hAnsi="Arial" w:cs="Arial"/>
          <w:i/>
          <w:iCs/>
        </w:rPr>
        <w:t>Methods</w:t>
      </w:r>
      <w:r w:rsidR="00A53D40" w:rsidRPr="00C04BEB">
        <w:rPr>
          <w:rFonts w:ascii="Arial" w:hAnsi="Arial" w:cs="Arial"/>
        </w:rPr>
        <w:t>, 51</w:t>
      </w:r>
      <w:r w:rsidRPr="00C04BEB">
        <w:rPr>
          <w:rFonts w:ascii="Arial" w:hAnsi="Arial" w:cs="Arial"/>
        </w:rPr>
        <w:t xml:space="preserve">(1). </w:t>
      </w:r>
      <w:r w:rsidR="00E90832">
        <w:rPr>
          <w:rFonts w:ascii="Arial" w:hAnsi="Arial" w:cs="Arial"/>
        </w:rPr>
        <w:t>DOI</w:t>
      </w:r>
      <w:r w:rsidRPr="00C04BEB">
        <w:rPr>
          <w:rFonts w:ascii="Arial" w:hAnsi="Arial" w:cs="Arial"/>
        </w:rPr>
        <w:t>:10.3758/s13428-018-1066-z.</w:t>
      </w:r>
      <w:r w:rsidR="00A959FD">
        <w:rPr>
          <w:rFonts w:ascii="Arial" w:hAnsi="Arial" w:cs="Arial"/>
        </w:rPr>
        <w:t xml:space="preserve"> </w:t>
      </w:r>
      <w:r w:rsidR="00A959FD" w:rsidRPr="00C04BEB">
        <w:rPr>
          <w:rFonts w:ascii="Arial" w:hAnsi="Arial" w:cs="Arial"/>
        </w:rPr>
        <w:t xml:space="preserve">[Accessed 24 </w:t>
      </w:r>
      <w:r w:rsidR="00A959FD">
        <w:rPr>
          <w:rFonts w:ascii="Arial" w:hAnsi="Arial" w:cs="Arial"/>
        </w:rPr>
        <w:t>Apr</w:t>
      </w:r>
      <w:r w:rsidR="00A959FD" w:rsidRPr="00C04BEB">
        <w:rPr>
          <w:rFonts w:ascii="Arial" w:hAnsi="Arial" w:cs="Arial"/>
        </w:rPr>
        <w:t>. 2024]</w:t>
      </w:r>
      <w:r w:rsidRPr="00C04BEB">
        <w:rPr>
          <w:rFonts w:ascii="Arial" w:hAnsi="Arial" w:cs="Arial"/>
        </w:rPr>
        <w:br/>
      </w:r>
      <w:r w:rsidRPr="00C04BEB">
        <w:rPr>
          <w:rFonts w:ascii="Arial" w:hAnsi="Arial" w:cs="Arial"/>
        </w:rPr>
        <w:br/>
        <w:t xml:space="preserve">Creaney, S. (2018). Children’s Voices—are we Listening? Progressing Peer Mentoring in the Youth Justice System. </w:t>
      </w:r>
      <w:r w:rsidRPr="00C04BEB">
        <w:rPr>
          <w:rFonts w:ascii="Arial" w:hAnsi="Arial" w:cs="Arial"/>
          <w:i/>
          <w:iCs/>
        </w:rPr>
        <w:t xml:space="preserve">Child Care in </w:t>
      </w:r>
      <w:r w:rsidR="00A53D40" w:rsidRPr="00C04BEB">
        <w:rPr>
          <w:rFonts w:ascii="Arial" w:hAnsi="Arial" w:cs="Arial"/>
          <w:i/>
          <w:iCs/>
        </w:rPr>
        <w:t>Practice</w:t>
      </w:r>
      <w:r w:rsidR="00A53D40" w:rsidRPr="00C04BEB">
        <w:rPr>
          <w:rFonts w:ascii="Arial" w:hAnsi="Arial" w:cs="Arial"/>
        </w:rPr>
        <w:t>, 26</w:t>
      </w:r>
      <w:r w:rsidRPr="00C04BEB">
        <w:rPr>
          <w:rFonts w:ascii="Arial" w:hAnsi="Arial" w:cs="Arial"/>
        </w:rPr>
        <w:t xml:space="preserve">(1), pp.22–37. </w:t>
      </w:r>
      <w:r w:rsidR="00E90832">
        <w:rPr>
          <w:rFonts w:ascii="Arial" w:hAnsi="Arial" w:cs="Arial"/>
        </w:rPr>
        <w:t>DOI</w:t>
      </w:r>
      <w:r w:rsidRPr="00C04BEB">
        <w:rPr>
          <w:rFonts w:ascii="Arial" w:hAnsi="Arial" w:cs="Arial"/>
        </w:rPr>
        <w:t>:10.1080/13575279.2018.1521381. [Accessed 23 Jan. 2024].</w:t>
      </w:r>
      <w:r w:rsidRPr="00C04BEB">
        <w:rPr>
          <w:rFonts w:ascii="Arial" w:hAnsi="Arial" w:cs="Arial"/>
        </w:rPr>
        <w:br/>
      </w:r>
      <w:r w:rsidRPr="00C04BEB">
        <w:rPr>
          <w:rFonts w:ascii="Arial" w:hAnsi="Arial" w:cs="Arial"/>
          <w:color w:val="000000"/>
          <w:shd w:val="clear" w:color="auto" w:fill="FFFFFF"/>
        </w:rPr>
        <w:br/>
      </w:r>
      <w:r w:rsidRPr="00C04BEB">
        <w:rPr>
          <w:rFonts w:ascii="Arial" w:hAnsi="Arial" w:cs="Arial"/>
        </w:rPr>
        <w:t xml:space="preserve">Dando, C.J., Ormerod, T.C. and Atkinson-Sheppard, S. (2022). Parental experiences of the impact of grooming and criminal exploitation of children for county lines drug trafficking. </w:t>
      </w:r>
      <w:r w:rsidRPr="00C04BEB">
        <w:rPr>
          <w:rFonts w:ascii="Arial" w:hAnsi="Arial" w:cs="Arial"/>
          <w:i/>
          <w:iCs/>
        </w:rPr>
        <w:t>Journal of Public Health</w:t>
      </w:r>
      <w:r w:rsidRPr="00C04BEB">
        <w:rPr>
          <w:rFonts w:ascii="Arial" w:hAnsi="Arial" w:cs="Arial"/>
        </w:rPr>
        <w:t xml:space="preserve">, 45(2). </w:t>
      </w:r>
      <w:r w:rsidR="00E90832">
        <w:rPr>
          <w:rFonts w:ascii="Arial" w:hAnsi="Arial" w:cs="Arial"/>
        </w:rPr>
        <w:t>DOI:</w:t>
      </w:r>
      <w:r w:rsidRPr="00C04BEB">
        <w:rPr>
          <w:rFonts w:ascii="Arial" w:hAnsi="Arial" w:cs="Arial"/>
        </w:rPr>
        <w:t>10.1093/pubmed/fdac112. [Accessed 23 Jan. 2024].</w:t>
      </w:r>
      <w:r w:rsidRPr="00C04BEB">
        <w:rPr>
          <w:rFonts w:ascii="Arial" w:hAnsi="Arial" w:cs="Arial"/>
        </w:rPr>
        <w:br/>
      </w:r>
      <w:r w:rsidRPr="00C04BEB">
        <w:rPr>
          <w:rFonts w:ascii="Arial" w:hAnsi="Arial" w:cs="Arial"/>
        </w:rPr>
        <w:br/>
        <w:t xml:space="preserve">Densley, J.A. (2018). Gang Joining. Oxford Research </w:t>
      </w:r>
      <w:r w:rsidR="00A53D40" w:rsidRPr="00C04BEB">
        <w:rPr>
          <w:rFonts w:ascii="Arial" w:hAnsi="Arial" w:cs="Arial"/>
        </w:rPr>
        <w:t>Encyclopaedia</w:t>
      </w:r>
      <w:r w:rsidRPr="00C04BEB">
        <w:rPr>
          <w:rFonts w:ascii="Arial" w:hAnsi="Arial" w:cs="Arial"/>
        </w:rPr>
        <w:t xml:space="preserve"> of Criminology and Criminal Justice. </w:t>
      </w:r>
      <w:r w:rsidR="00E90832">
        <w:rPr>
          <w:rFonts w:ascii="Arial" w:hAnsi="Arial" w:cs="Arial"/>
        </w:rPr>
        <w:t>DOI</w:t>
      </w:r>
      <w:r w:rsidRPr="00C04BEB">
        <w:rPr>
          <w:rFonts w:ascii="Arial" w:hAnsi="Arial" w:cs="Arial"/>
        </w:rPr>
        <w:t>:10.1093/acrefore/9780190264079.013.437.</w:t>
      </w:r>
      <w:r w:rsidR="006D529E">
        <w:rPr>
          <w:rFonts w:ascii="Arial" w:hAnsi="Arial" w:cs="Arial"/>
        </w:rPr>
        <w:t xml:space="preserve"> </w:t>
      </w:r>
      <w:r w:rsidR="006D529E" w:rsidRPr="00C04BEB">
        <w:rPr>
          <w:rFonts w:ascii="Arial" w:hAnsi="Arial" w:cs="Arial"/>
        </w:rPr>
        <w:t>[Accessed 2</w:t>
      </w:r>
      <w:r w:rsidR="006D529E">
        <w:rPr>
          <w:rFonts w:ascii="Arial" w:hAnsi="Arial" w:cs="Arial"/>
        </w:rPr>
        <w:t>3</w:t>
      </w:r>
      <w:r w:rsidR="006D529E" w:rsidRPr="00C04BEB">
        <w:rPr>
          <w:rFonts w:ascii="Arial" w:hAnsi="Arial" w:cs="Arial"/>
        </w:rPr>
        <w:t xml:space="preserve">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t>Department for Education (2010). United Nations Convention on the Rights of the Child (UNCRC): how legislation underpins implementation in England</w:t>
      </w:r>
      <w:r w:rsidR="00D23C7C" w:rsidRPr="00C04BEB">
        <w:rPr>
          <w:rFonts w:ascii="Arial" w:hAnsi="Arial" w:cs="Arial"/>
        </w:rPr>
        <w:t xml:space="preserve">. </w:t>
      </w:r>
      <w:r w:rsidRPr="00C04BEB">
        <w:rPr>
          <w:rFonts w:ascii="Arial" w:hAnsi="Arial" w:cs="Arial"/>
        </w:rPr>
        <w:t>GOV.UK. Available at: https://www.gov.uk/government/publications/united-nations-convention-on-the-rights-of-the-child-uncrc-how-legislation-underpins-implementation-in-england [Accessed 29 Jan. 2024].</w:t>
      </w:r>
      <w:r w:rsidRPr="00C04BEB">
        <w:rPr>
          <w:rFonts w:ascii="Arial" w:hAnsi="Arial" w:cs="Arial"/>
        </w:rPr>
        <w:br/>
      </w:r>
      <w:r w:rsidRPr="00C04BEB">
        <w:rPr>
          <w:rFonts w:ascii="Arial" w:hAnsi="Arial" w:cs="Arial"/>
          <w:shd w:val="clear" w:color="auto" w:fill="FFFFFF"/>
        </w:rPr>
        <w:lastRenderedPageBreak/>
        <w:br/>
        <w:t>Dohrenwend, B., (1965). Some effects of open and closed questions on respondents' answers. </w:t>
      </w:r>
      <w:r w:rsidRPr="00C04BEB">
        <w:rPr>
          <w:rFonts w:ascii="Arial" w:hAnsi="Arial" w:cs="Arial"/>
          <w:i/>
          <w:iCs/>
          <w:shd w:val="clear" w:color="auto" w:fill="FFFFFF"/>
        </w:rPr>
        <w:t>Human organization</w:t>
      </w:r>
      <w:r w:rsidRPr="00C04BEB">
        <w:rPr>
          <w:rFonts w:ascii="Arial" w:hAnsi="Arial" w:cs="Arial"/>
          <w:shd w:val="clear" w:color="auto" w:fill="FFFFFF"/>
        </w:rPr>
        <w:t>, </w:t>
      </w:r>
      <w:r w:rsidRPr="00C04BEB">
        <w:rPr>
          <w:rFonts w:ascii="Arial" w:hAnsi="Arial" w:cs="Arial"/>
          <w:i/>
          <w:iCs/>
          <w:shd w:val="clear" w:color="auto" w:fill="FFFFFF"/>
        </w:rPr>
        <w:t>24</w:t>
      </w:r>
      <w:r w:rsidRPr="00C04BEB">
        <w:rPr>
          <w:rFonts w:ascii="Arial" w:hAnsi="Arial" w:cs="Arial"/>
          <w:shd w:val="clear" w:color="auto" w:fill="FFFFFF"/>
        </w:rPr>
        <w:t>(2), pp.175-184.</w:t>
      </w:r>
      <w:r w:rsidR="006D529E">
        <w:rPr>
          <w:rFonts w:ascii="Arial" w:hAnsi="Arial" w:cs="Arial"/>
          <w:shd w:val="clear" w:color="auto" w:fill="FFFFFF"/>
        </w:rPr>
        <w:br/>
      </w:r>
      <w:r w:rsidR="006D529E">
        <w:rPr>
          <w:rFonts w:ascii="Arial" w:hAnsi="Arial" w:cs="Arial"/>
          <w:shd w:val="clear" w:color="auto" w:fill="FFFFFF"/>
        </w:rPr>
        <w:br/>
      </w:r>
      <w:r w:rsidR="00C36C8A" w:rsidRPr="00C36C8A">
        <w:rPr>
          <w:rFonts w:ascii="Arial" w:hAnsi="Arial" w:cs="Arial"/>
        </w:rPr>
        <w:t xml:space="preserve">Edinburgh, L., Pape-Blabolil, J., Harpin, S.B. and Saewyc, E. (2015). Assessing exploitation experiences of girls and boys seen at a Child Advocacy Center. </w:t>
      </w:r>
      <w:r w:rsidR="00C36C8A" w:rsidRPr="00C36C8A">
        <w:rPr>
          <w:rFonts w:ascii="Arial" w:hAnsi="Arial" w:cs="Arial"/>
          <w:i/>
          <w:iCs/>
        </w:rPr>
        <w:t>Child Abuse &amp; Neglect</w:t>
      </w:r>
      <w:r w:rsidR="00C36C8A" w:rsidRPr="00C36C8A">
        <w:rPr>
          <w:rFonts w:ascii="Arial" w:hAnsi="Arial" w:cs="Arial"/>
        </w:rPr>
        <w:t xml:space="preserve">, 46, pp.47–59. </w:t>
      </w:r>
      <w:r w:rsidR="00E90832">
        <w:rPr>
          <w:rFonts w:ascii="Arial" w:hAnsi="Arial" w:cs="Arial"/>
        </w:rPr>
        <w:t>DOI</w:t>
      </w:r>
      <w:r w:rsidR="00C36C8A" w:rsidRPr="00C36C8A">
        <w:rPr>
          <w:rFonts w:ascii="Arial" w:hAnsi="Arial" w:cs="Arial"/>
        </w:rPr>
        <w:t>:10.1016/j.chiabu.2015.04.016.</w:t>
      </w:r>
      <w:r w:rsidR="006D529E">
        <w:rPr>
          <w:rFonts w:ascii="Arial" w:hAnsi="Arial" w:cs="Arial"/>
        </w:rPr>
        <w:t xml:space="preserve"> </w:t>
      </w:r>
      <w:r w:rsidR="006D529E" w:rsidRPr="00C04BEB">
        <w:rPr>
          <w:rFonts w:ascii="Arial" w:hAnsi="Arial" w:cs="Arial"/>
        </w:rPr>
        <w:t>[Accessed 24 Jun. 2024]</w:t>
      </w:r>
      <w:r w:rsidR="00C36C8A" w:rsidRPr="00C36C8A">
        <w:rPr>
          <w:rFonts w:ascii="Arial" w:hAnsi="Arial" w:cs="Arial"/>
        </w:rPr>
        <w:br/>
      </w:r>
      <w:r w:rsidRPr="00C04BEB">
        <w:rPr>
          <w:rFonts w:ascii="Arial" w:hAnsi="Arial" w:cs="Arial"/>
          <w:shd w:val="clear" w:color="auto" w:fill="FFFFFF"/>
        </w:rPr>
        <w:br/>
        <w:t xml:space="preserve">Elshenraki, H.N. ed., </w:t>
      </w:r>
      <w:r w:rsidR="00A959FD">
        <w:rPr>
          <w:rFonts w:ascii="Arial" w:hAnsi="Arial" w:cs="Arial"/>
          <w:shd w:val="clear" w:color="auto" w:fill="FFFFFF"/>
        </w:rPr>
        <w:t>(</w:t>
      </w:r>
      <w:r w:rsidRPr="00C04BEB">
        <w:rPr>
          <w:rFonts w:ascii="Arial" w:hAnsi="Arial" w:cs="Arial"/>
          <w:shd w:val="clear" w:color="auto" w:fill="FFFFFF"/>
        </w:rPr>
        <w:t>2020</w:t>
      </w:r>
      <w:r w:rsidR="00A959FD">
        <w:rPr>
          <w:rFonts w:ascii="Arial" w:hAnsi="Arial" w:cs="Arial"/>
          <w:shd w:val="clear" w:color="auto" w:fill="FFFFFF"/>
        </w:rPr>
        <w:t>)</w:t>
      </w:r>
      <w:r w:rsidRPr="00C04BEB">
        <w:rPr>
          <w:rFonts w:ascii="Arial" w:hAnsi="Arial" w:cs="Arial"/>
          <w:shd w:val="clear" w:color="auto" w:fill="FFFFFF"/>
        </w:rPr>
        <w:t xml:space="preserve">. Combating the Exploitation of Children in Cyberspace: Emerging Research and Opportunities: </w:t>
      </w:r>
      <w:r w:rsidRPr="00C36C8A">
        <w:rPr>
          <w:rFonts w:ascii="Arial" w:hAnsi="Arial" w:cs="Arial"/>
          <w:i/>
          <w:iCs/>
          <w:shd w:val="clear" w:color="auto" w:fill="FFFFFF"/>
        </w:rPr>
        <w:t xml:space="preserve">Emerging Research and </w:t>
      </w:r>
      <w:r w:rsidR="00A53D40" w:rsidRPr="00C36C8A">
        <w:rPr>
          <w:rFonts w:ascii="Arial" w:hAnsi="Arial" w:cs="Arial"/>
          <w:i/>
          <w:iCs/>
          <w:shd w:val="clear" w:color="auto" w:fill="FFFFFF"/>
        </w:rPr>
        <w:t>Opportunities</w:t>
      </w:r>
      <w:r w:rsidR="00A53D40" w:rsidRPr="00C04BEB">
        <w:rPr>
          <w:rFonts w:ascii="Arial" w:hAnsi="Arial" w:cs="Arial"/>
          <w:shd w:val="clear" w:color="auto" w:fill="FFFFFF"/>
        </w:rPr>
        <w:t>.</w:t>
      </w:r>
      <w:r w:rsidRPr="00C04BEB">
        <w:rPr>
          <w:rFonts w:ascii="Arial" w:hAnsi="Arial" w:cs="Arial"/>
        </w:rPr>
        <w:t xml:space="preserve"> P 24-36. </w:t>
      </w:r>
      <w:r w:rsidRPr="00C04BEB">
        <w:rPr>
          <w:rFonts w:ascii="Arial" w:hAnsi="Arial" w:cs="Arial"/>
          <w:shd w:val="clear" w:color="auto" w:fill="FFFFFF"/>
        </w:rPr>
        <w:t>IGI Global</w:t>
      </w:r>
      <w:r w:rsidRPr="00C04BEB">
        <w:rPr>
          <w:rFonts w:ascii="Arial" w:hAnsi="Arial" w:cs="Arial"/>
        </w:rPr>
        <w:t xml:space="preserve"> [Accessed 22 Jan. 2024].</w:t>
      </w:r>
      <w:r w:rsidRPr="00C04BEB">
        <w:rPr>
          <w:rFonts w:ascii="Arial" w:hAnsi="Arial" w:cs="Arial"/>
        </w:rPr>
        <w:br/>
      </w:r>
      <w:r w:rsidRPr="00C04BEB">
        <w:rPr>
          <w:rFonts w:ascii="Arial" w:hAnsi="Arial" w:cs="Arial"/>
        </w:rPr>
        <w:br/>
        <w:t>Fisher, H., Montgomery, P. and Gardner, F. (2008). Cognitive</w:t>
      </w:r>
      <w:r w:rsidRPr="00C04BEB">
        <w:rPr>
          <w:rFonts w:ascii="Cambria Math" w:hAnsi="Cambria Math" w:cs="Cambria Math"/>
        </w:rPr>
        <w:t>‐</w:t>
      </w:r>
      <w:r w:rsidRPr="00C04BEB">
        <w:rPr>
          <w:rFonts w:ascii="Arial" w:hAnsi="Arial" w:cs="Arial"/>
        </w:rPr>
        <w:t xml:space="preserve">Behavioural Interventions for Preventing </w:t>
      </w:r>
      <w:r w:rsidRPr="00C04BEB">
        <w:rPr>
          <w:rFonts w:ascii="Arial" w:hAnsi="Arial" w:cs="Arial"/>
          <w:i/>
          <w:iCs/>
        </w:rPr>
        <w:t>Youth Gang Involvement for Children and Young People</w:t>
      </w:r>
      <w:r w:rsidRPr="00C04BEB">
        <w:rPr>
          <w:rFonts w:ascii="Arial" w:hAnsi="Arial" w:cs="Arial"/>
        </w:rPr>
        <w:t xml:space="preserve"> (7</w:t>
      </w:r>
      <w:r w:rsidRPr="00C04BEB">
        <w:rPr>
          <w:rFonts w:ascii="Cambria Math" w:hAnsi="Cambria Math" w:cs="Cambria Math"/>
        </w:rPr>
        <w:t>‐</w:t>
      </w:r>
      <w:r w:rsidRPr="00C04BEB">
        <w:rPr>
          <w:rFonts w:ascii="Arial" w:hAnsi="Arial" w:cs="Arial"/>
        </w:rPr>
        <w:t xml:space="preserve">16). Campbell Systematic Reviews, 4(1), pp.1–35. </w:t>
      </w:r>
      <w:r w:rsidR="00E90832">
        <w:rPr>
          <w:rFonts w:ascii="Arial" w:hAnsi="Arial" w:cs="Arial"/>
        </w:rPr>
        <w:t>DOI</w:t>
      </w:r>
      <w:r w:rsidRPr="00C04BEB">
        <w:rPr>
          <w:rFonts w:ascii="Arial" w:hAnsi="Arial" w:cs="Arial"/>
        </w:rPr>
        <w:t>:10.4073/csr.2008.7.</w:t>
      </w:r>
      <w:r w:rsidR="006D529E">
        <w:rPr>
          <w:rFonts w:ascii="Arial" w:hAnsi="Arial" w:cs="Arial"/>
        </w:rPr>
        <w:t xml:space="preserve"> </w:t>
      </w:r>
      <w:r w:rsidR="006D529E" w:rsidRPr="00C04BEB">
        <w:rPr>
          <w:rFonts w:ascii="Arial" w:hAnsi="Arial" w:cs="Arial"/>
        </w:rPr>
        <w:t xml:space="preserve">[Accessed 24 </w:t>
      </w:r>
      <w:r w:rsidR="006D529E">
        <w:rPr>
          <w:rFonts w:ascii="Arial" w:hAnsi="Arial" w:cs="Arial"/>
        </w:rPr>
        <w:t>Mar</w:t>
      </w:r>
      <w:r w:rsidR="006D529E" w:rsidRPr="00C04BEB">
        <w:rPr>
          <w:rFonts w:ascii="Arial" w:hAnsi="Arial" w:cs="Arial"/>
        </w:rPr>
        <w:t>. 2024]</w:t>
      </w:r>
      <w:r w:rsidRPr="00C04BEB">
        <w:rPr>
          <w:rFonts w:ascii="Arial" w:hAnsi="Arial" w:cs="Arial"/>
        </w:rPr>
        <w:br/>
      </w:r>
      <w:r w:rsidRPr="00C04BEB">
        <w:rPr>
          <w:rFonts w:ascii="Arial" w:hAnsi="Arial" w:cs="Arial"/>
        </w:rPr>
        <w:br/>
        <w:t xml:space="preserve">Fisher, T. (2023). </w:t>
      </w:r>
      <w:r w:rsidRPr="00C04BEB">
        <w:rPr>
          <w:rFonts w:ascii="Arial" w:hAnsi="Arial" w:cs="Arial"/>
          <w:i/>
          <w:iCs/>
        </w:rPr>
        <w:t>Crossing the Line: The County Lines Pandemic</w:t>
      </w:r>
      <w:r w:rsidRPr="00C04BEB">
        <w:rPr>
          <w:rFonts w:ascii="Arial" w:hAnsi="Arial" w:cs="Arial"/>
        </w:rPr>
        <w:t>. The school librarian - ProQuest www.proquest.com. Available at: https://www.proquest.com/openview/08834c26f6baf44d21c604ede5f21631/1?pq-origsite=gscholar&amp;cbl=296199 [Accessed 25 Jan. 2024].</w:t>
      </w:r>
      <w:r w:rsidRPr="00C04BEB">
        <w:rPr>
          <w:rFonts w:ascii="Arial" w:hAnsi="Arial" w:cs="Arial"/>
        </w:rPr>
        <w:br/>
      </w:r>
      <w:r w:rsidRPr="00C04BEB">
        <w:rPr>
          <w:rFonts w:ascii="Arial" w:hAnsi="Arial" w:cs="Arial"/>
          <w:color w:val="000000"/>
          <w:shd w:val="clear" w:color="auto" w:fill="FFFFFF"/>
        </w:rPr>
        <w:br/>
        <w:t>Glover Williams, A. and Finlay, F., (2019). County lines: how gang crime is affecting our young people. </w:t>
      </w:r>
      <w:r w:rsidRPr="00C04BEB">
        <w:rPr>
          <w:rFonts w:ascii="Arial" w:hAnsi="Arial" w:cs="Arial"/>
          <w:i/>
          <w:iCs/>
          <w:color w:val="000000"/>
          <w:shd w:val="clear" w:color="auto" w:fill="FFFFFF"/>
        </w:rPr>
        <w:t>Archives of Disease in Childhood</w:t>
      </w:r>
      <w:r w:rsidRPr="00C04BEB">
        <w:rPr>
          <w:rFonts w:ascii="Arial" w:hAnsi="Arial" w:cs="Arial"/>
          <w:color w:val="000000"/>
          <w:shd w:val="clear" w:color="auto" w:fill="FFFFFF"/>
        </w:rPr>
        <w:t>, 104(8), pp. 730-732.</w:t>
      </w:r>
      <w:r w:rsidRPr="00C04BEB">
        <w:rPr>
          <w:rFonts w:ascii="Arial" w:hAnsi="Arial" w:cs="Arial"/>
          <w:color w:val="000000"/>
          <w:shd w:val="clear" w:color="auto" w:fill="FFFFFF"/>
        </w:rPr>
        <w:br/>
      </w:r>
      <w:r w:rsidRPr="00C04BEB">
        <w:rPr>
          <w:rFonts w:ascii="Arial" w:hAnsi="Arial" w:cs="Arial"/>
          <w:color w:val="000000"/>
          <w:shd w:val="clear" w:color="auto" w:fill="FFFFFF"/>
        </w:rPr>
        <w:br/>
      </w:r>
      <w:r w:rsidRPr="00C04BEB">
        <w:rPr>
          <w:rFonts w:ascii="Arial" w:hAnsi="Arial" w:cs="Arial"/>
        </w:rPr>
        <w:t xml:space="preserve">Goertzen, M.J. (2017). Introduction to Quantitative Research and Data. </w:t>
      </w:r>
      <w:r w:rsidRPr="00C04BEB">
        <w:rPr>
          <w:rFonts w:ascii="Arial" w:hAnsi="Arial" w:cs="Arial"/>
          <w:i/>
          <w:iCs/>
        </w:rPr>
        <w:t xml:space="preserve">Library Technology </w:t>
      </w:r>
      <w:r w:rsidR="00A53D40" w:rsidRPr="00C04BEB">
        <w:rPr>
          <w:rFonts w:ascii="Arial" w:hAnsi="Arial" w:cs="Arial"/>
          <w:i/>
          <w:iCs/>
        </w:rPr>
        <w:t>Reports</w:t>
      </w:r>
      <w:r w:rsidR="00A53D40" w:rsidRPr="00C04BEB">
        <w:rPr>
          <w:rFonts w:ascii="Arial" w:hAnsi="Arial" w:cs="Arial"/>
        </w:rPr>
        <w:t>, 53</w:t>
      </w:r>
      <w:r w:rsidRPr="00C04BEB">
        <w:rPr>
          <w:rFonts w:ascii="Arial" w:hAnsi="Arial" w:cs="Arial"/>
        </w:rPr>
        <w:t>(4), pp.12–18. Available at: https://journals.ala.org/index.php/ltr/article/view/6325/8274 [Accessed 24 Mar. 2024].</w:t>
      </w:r>
      <w:r w:rsidRPr="00C04BEB">
        <w:rPr>
          <w:rFonts w:ascii="Arial" w:hAnsi="Arial" w:cs="Arial"/>
        </w:rPr>
        <w:br/>
      </w:r>
      <w:r w:rsidRPr="00C04BEB">
        <w:rPr>
          <w:rFonts w:ascii="Arial" w:hAnsi="Arial" w:cs="Arial"/>
        </w:rPr>
        <w:br/>
        <w:t>Gough, D. (2017). Voluntary sector actors in community justice: A case study of St Giles Trust and ex-offender peer mentoring. Available at: https://pure.port.ac.uk/ws/portalfiles/portal/11008708/phd_final_5.3.18_for_pdf.pdf [Accessed 30 Jan. 2024].</w:t>
      </w:r>
      <w:r w:rsidRPr="00C04BEB">
        <w:rPr>
          <w:rFonts w:ascii="Arial" w:hAnsi="Arial" w:cs="Arial"/>
        </w:rPr>
        <w:br/>
      </w:r>
      <w:r w:rsidRPr="00C04BEB">
        <w:rPr>
          <w:rFonts w:ascii="Arial" w:hAnsi="Arial" w:cs="Arial"/>
        </w:rPr>
        <w:br/>
      </w:r>
      <w:r w:rsidRPr="00C04BEB">
        <w:rPr>
          <w:rFonts w:ascii="Arial" w:hAnsi="Arial" w:cs="Arial"/>
        </w:rPr>
        <w:lastRenderedPageBreak/>
        <w:t xml:space="preserve">Henshall, A. (2017). On the school beat: police officers based in English schools. </w:t>
      </w:r>
      <w:r w:rsidRPr="00C04BEB">
        <w:rPr>
          <w:rFonts w:ascii="Arial" w:hAnsi="Arial" w:cs="Arial"/>
          <w:i/>
          <w:iCs/>
        </w:rPr>
        <w:t>British Journal of Sociology of Education</w:t>
      </w:r>
      <w:r w:rsidRPr="00C04BEB">
        <w:rPr>
          <w:rFonts w:ascii="Arial" w:hAnsi="Arial" w:cs="Arial"/>
        </w:rPr>
        <w:t xml:space="preserve">, 39(5), pp.593–606. </w:t>
      </w:r>
      <w:r w:rsidR="00E90832">
        <w:rPr>
          <w:rFonts w:ascii="Arial" w:hAnsi="Arial" w:cs="Arial"/>
        </w:rPr>
        <w:t>DOI</w:t>
      </w:r>
      <w:r w:rsidRPr="00C04BEB">
        <w:rPr>
          <w:rFonts w:ascii="Arial" w:hAnsi="Arial" w:cs="Arial"/>
        </w:rPr>
        <w:t>:10.1080/01425692.2017.1375401.</w:t>
      </w:r>
      <w:r w:rsidR="006D529E">
        <w:rPr>
          <w:rFonts w:ascii="Arial" w:hAnsi="Arial" w:cs="Arial"/>
        </w:rPr>
        <w:t xml:space="preserve">Mar </w:t>
      </w:r>
      <w:r w:rsidR="006D529E" w:rsidRPr="00C04BEB">
        <w:rPr>
          <w:rFonts w:ascii="Arial" w:hAnsi="Arial" w:cs="Arial"/>
        </w:rPr>
        <w:t xml:space="preserve">[Accessed 24 </w:t>
      </w:r>
      <w:r w:rsidR="006D529E">
        <w:rPr>
          <w:rFonts w:ascii="Arial" w:hAnsi="Arial" w:cs="Arial"/>
        </w:rPr>
        <w:t>May</w:t>
      </w:r>
      <w:r w:rsidR="006D529E" w:rsidRPr="00C04BEB">
        <w:rPr>
          <w:rFonts w:ascii="Arial" w:hAnsi="Arial" w:cs="Arial"/>
        </w:rPr>
        <w:t>. 2024]</w:t>
      </w:r>
      <w:r w:rsidRPr="00C04BEB">
        <w:rPr>
          <w:rFonts w:ascii="Arial" w:hAnsi="Arial" w:cs="Arial"/>
        </w:rPr>
        <w:br/>
      </w:r>
      <w:r w:rsidRPr="00C04BEB">
        <w:rPr>
          <w:rFonts w:ascii="Arial" w:hAnsi="Arial" w:cs="Arial"/>
        </w:rPr>
        <w:br/>
        <w:t xml:space="preserve">Heys, A., Barlow, C., Murphy, C., &amp; McKee, A. (2022). A Review of Modern Slavery in Britain: Understanding the Unique Experience of British Victims and Why it Matters. </w:t>
      </w:r>
      <w:r w:rsidRPr="00C04BEB">
        <w:rPr>
          <w:rFonts w:ascii="Arial" w:hAnsi="Arial" w:cs="Arial"/>
          <w:i/>
          <w:iCs/>
        </w:rPr>
        <w:t>Journal of Victimology and Victim Justice</w:t>
      </w:r>
      <w:r w:rsidRPr="00C04BEB">
        <w:rPr>
          <w:rFonts w:ascii="Arial" w:hAnsi="Arial" w:cs="Arial"/>
        </w:rPr>
        <w:t xml:space="preserve">, 5(1), 54-70. </w:t>
      </w:r>
      <w:r w:rsidR="00E90832">
        <w:rPr>
          <w:rFonts w:ascii="Arial" w:hAnsi="Arial" w:cs="Arial"/>
        </w:rPr>
        <w:t>DOI:</w:t>
      </w:r>
      <w:r w:rsidRPr="00A959FD">
        <w:rPr>
          <w:rFonts w:ascii="Arial" w:hAnsi="Arial" w:cs="Arial"/>
        </w:rPr>
        <w:t>10.1177/25166069221117190</w:t>
      </w:r>
      <w:r w:rsidR="00A959FD">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t>Hill, M. (2019). Emerging Areas of Child Abuse and Exploitation | The Crown Prosecution Service</w:t>
      </w:r>
      <w:r w:rsidR="00D23C7C" w:rsidRPr="00C04BEB">
        <w:rPr>
          <w:rFonts w:ascii="Arial" w:hAnsi="Arial" w:cs="Arial"/>
        </w:rPr>
        <w:t xml:space="preserve">. </w:t>
      </w:r>
      <w:r w:rsidRPr="00C04BEB">
        <w:rPr>
          <w:rFonts w:ascii="Arial" w:hAnsi="Arial" w:cs="Arial"/>
        </w:rPr>
        <w:t>www.cps.gov.uk. Available at: https://www.cps.gov.uk/cps/news/emerging-areas-child-abuse-and-exploitation [Accessed 31 Jan. 2024].</w:t>
      </w:r>
      <w:r w:rsidRPr="00C04BEB">
        <w:rPr>
          <w:rFonts w:ascii="Arial" w:hAnsi="Arial" w:cs="Arial"/>
        </w:rPr>
        <w:br/>
      </w:r>
      <w:r w:rsidRPr="00C04BEB">
        <w:rPr>
          <w:rFonts w:ascii="Arial" w:hAnsi="Arial" w:cs="Arial"/>
        </w:rPr>
        <w:br/>
        <w:t xml:space="preserve">HMICFRS (2019). </w:t>
      </w:r>
      <w:r w:rsidRPr="00C04BEB">
        <w:rPr>
          <w:rFonts w:ascii="Arial" w:hAnsi="Arial" w:cs="Arial"/>
          <w:i/>
          <w:iCs/>
        </w:rPr>
        <w:t>Urban street gangs</w:t>
      </w:r>
      <w:r w:rsidR="00D23C7C" w:rsidRPr="00C04BEB">
        <w:rPr>
          <w:rFonts w:ascii="Arial" w:hAnsi="Arial" w:cs="Arial"/>
        </w:rPr>
        <w:t xml:space="preserve">. </w:t>
      </w:r>
      <w:r w:rsidRPr="00C04BEB">
        <w:rPr>
          <w:rFonts w:ascii="Arial" w:hAnsi="Arial" w:cs="Arial"/>
        </w:rPr>
        <w:t>His Majesty’s Inspectorate of Constabulary and Fire &amp; Rescue Services. Available at: https://hmicfrs.justiceinspectorates.gov.uk/glossary/urban-street-gangs/ [Accessed 26 Jun. 2024].</w:t>
      </w:r>
      <w:r w:rsidRPr="00C04BEB">
        <w:rPr>
          <w:rFonts w:ascii="Arial" w:hAnsi="Arial" w:cs="Arial"/>
        </w:rPr>
        <w:br/>
      </w:r>
      <w:r w:rsidRPr="00C04BEB">
        <w:rPr>
          <w:rFonts w:ascii="Arial" w:hAnsi="Arial" w:cs="Arial"/>
        </w:rPr>
        <w:br/>
        <w:t>Home Office (2017). “Criminal Exploitation of Children and Vulnerable Adults: County Lines.” GOV.UK, 11 July 2017, www.gov.uk/government/publications/criminal-exploitation-of-children-and-vulnerable-adults-county-lines. [Accessed 22 Jan. 2024].</w:t>
      </w:r>
      <w:r w:rsidRPr="00C04BEB">
        <w:rPr>
          <w:rFonts w:ascii="Arial" w:hAnsi="Arial" w:cs="Arial"/>
        </w:rPr>
        <w:br/>
      </w:r>
      <w:r w:rsidRPr="00C04BEB">
        <w:rPr>
          <w:rFonts w:ascii="Arial" w:hAnsi="Arial" w:cs="Arial"/>
        </w:rPr>
        <w:br/>
        <w:t>Home Office (2023). County Lines Programme Overview</w:t>
      </w:r>
      <w:r w:rsidR="00D23C7C" w:rsidRPr="00C04BEB">
        <w:rPr>
          <w:rFonts w:ascii="Arial" w:hAnsi="Arial" w:cs="Arial"/>
        </w:rPr>
        <w:t xml:space="preserve">. </w:t>
      </w:r>
      <w:r w:rsidRPr="00C04BEB">
        <w:rPr>
          <w:rFonts w:ascii="Arial" w:hAnsi="Arial" w:cs="Arial"/>
        </w:rPr>
        <w:t>GOV.UK. Available at: https://www.gov.uk/government/publications/county-lines-programme/county-lines-programme-overview [Accessed 29 Jan. 2024].</w:t>
      </w:r>
      <w:r w:rsidRPr="00C04BEB">
        <w:rPr>
          <w:rFonts w:ascii="Arial" w:hAnsi="Arial" w:cs="Arial"/>
        </w:rPr>
        <w:br/>
      </w:r>
      <w:r w:rsidRPr="00C04BEB">
        <w:rPr>
          <w:rFonts w:ascii="Arial" w:hAnsi="Arial" w:cs="Arial"/>
        </w:rPr>
        <w:br/>
        <w:t>Home Office (2024). County Lines Programme data</w:t>
      </w:r>
      <w:r w:rsidR="00D23C7C" w:rsidRPr="00C04BEB">
        <w:rPr>
          <w:rFonts w:ascii="Arial" w:hAnsi="Arial" w:cs="Arial"/>
        </w:rPr>
        <w:t xml:space="preserve">. </w:t>
      </w:r>
      <w:r w:rsidRPr="00C04BEB">
        <w:rPr>
          <w:rFonts w:ascii="Arial" w:hAnsi="Arial" w:cs="Arial"/>
        </w:rPr>
        <w:t>GOV.UK. Available at: https://www.gov.uk/government/publications/home-offices-county-lines-programme-data/county-lines-programme-data#Further%20Information%20on%20Reported%20Figures [Accessed 31 Jan. 2024].</w:t>
      </w:r>
      <w:r w:rsidRPr="00C04BEB">
        <w:rPr>
          <w:rFonts w:ascii="Arial" w:hAnsi="Arial" w:cs="Arial"/>
        </w:rPr>
        <w:br/>
      </w:r>
      <w:r w:rsidRPr="00C04BEB">
        <w:rPr>
          <w:rFonts w:ascii="Arial" w:hAnsi="Arial" w:cs="Arial"/>
        </w:rPr>
        <w:br/>
      </w:r>
      <w:r w:rsidRPr="00C04BEB">
        <w:rPr>
          <w:rFonts w:ascii="Arial" w:hAnsi="Arial" w:cs="Arial"/>
        </w:rPr>
        <w:lastRenderedPageBreak/>
        <w:t xml:space="preserve">Hyman, H.H., Cobb, W.J., Feldman, J., Hart, C.W. and Stember, C. (1954). </w:t>
      </w:r>
      <w:r w:rsidRPr="00C04BEB">
        <w:rPr>
          <w:rFonts w:ascii="Arial" w:hAnsi="Arial" w:cs="Arial"/>
          <w:i/>
          <w:iCs/>
        </w:rPr>
        <w:t>INTERVIEWING IN SOCIAL RESEARCH</w:t>
      </w:r>
      <w:r w:rsidRPr="00C04BEB">
        <w:rPr>
          <w:rFonts w:ascii="Arial" w:hAnsi="Arial" w:cs="Arial"/>
        </w:rPr>
        <w:t>.</w:t>
      </w:r>
      <w:r w:rsidRPr="00C04BEB">
        <w:rPr>
          <w:rFonts w:ascii="Arial" w:hAnsi="Arial" w:cs="Arial"/>
        </w:rPr>
        <w:br/>
      </w:r>
      <w:r w:rsidRPr="00C04BEB">
        <w:rPr>
          <w:rFonts w:ascii="Arial" w:hAnsi="Arial" w:cs="Arial"/>
        </w:rPr>
        <w:br/>
      </w:r>
      <w:r w:rsidRPr="00C04BEB">
        <w:rPr>
          <w:rFonts w:ascii="Arial" w:hAnsi="Arial" w:cs="Arial"/>
          <w:shd w:val="clear" w:color="auto" w:fill="FFFFFF"/>
        </w:rPr>
        <w:t>Kang, E. and Hwang, H.J., (2023). The importance of anonymity and confidentiality for conducting survey research. </w:t>
      </w:r>
      <w:r w:rsidRPr="00C04BEB">
        <w:rPr>
          <w:rFonts w:ascii="Arial" w:hAnsi="Arial" w:cs="Arial"/>
          <w:i/>
          <w:iCs/>
          <w:shd w:val="clear" w:color="auto" w:fill="FFFFFF"/>
        </w:rPr>
        <w:t>Journal of Research and Publication Ethics</w:t>
      </w:r>
      <w:r w:rsidRPr="00C04BEB">
        <w:rPr>
          <w:rFonts w:ascii="Arial" w:hAnsi="Arial" w:cs="Arial"/>
          <w:shd w:val="clear" w:color="auto" w:fill="FFFFFF"/>
        </w:rPr>
        <w:t>, </w:t>
      </w:r>
      <w:r w:rsidRPr="00C04BEB">
        <w:rPr>
          <w:rFonts w:ascii="Arial" w:hAnsi="Arial" w:cs="Arial"/>
          <w:i/>
          <w:iCs/>
          <w:shd w:val="clear" w:color="auto" w:fill="FFFFFF"/>
        </w:rPr>
        <w:t>4</w:t>
      </w:r>
      <w:r w:rsidRPr="00C04BEB">
        <w:rPr>
          <w:rFonts w:ascii="Arial" w:hAnsi="Arial" w:cs="Arial"/>
          <w:shd w:val="clear" w:color="auto" w:fill="FFFFFF"/>
        </w:rPr>
        <w:t>(1), pp.1-7.</w:t>
      </w:r>
      <w:r w:rsidRPr="00C04BEB">
        <w:rPr>
          <w:rFonts w:ascii="Arial" w:hAnsi="Arial" w:cs="Arial"/>
          <w:shd w:val="clear" w:color="auto" w:fill="FFFFFF"/>
        </w:rPr>
        <w:br/>
      </w:r>
      <w:r w:rsidRPr="00C04BEB">
        <w:rPr>
          <w:rFonts w:ascii="Arial" w:hAnsi="Arial" w:cs="Arial"/>
          <w:shd w:val="clear" w:color="auto" w:fill="FFFFFF"/>
        </w:rPr>
        <w:br/>
      </w:r>
      <w:r w:rsidRPr="00C04BEB">
        <w:rPr>
          <w:rFonts w:ascii="Arial" w:hAnsi="Arial" w:cs="Arial"/>
        </w:rPr>
        <w:t xml:space="preserve">King, R., and Schindler, M. (2021). Reconsidering Police in Schools. Contexts, 20(4), 28-33. </w:t>
      </w:r>
      <w:r w:rsidR="00E90832">
        <w:rPr>
          <w:rFonts w:ascii="Arial" w:hAnsi="Arial" w:cs="Arial"/>
        </w:rPr>
        <w:t>DOI</w:t>
      </w:r>
      <w:r w:rsidR="006D529E" w:rsidRPr="006D529E">
        <w:rPr>
          <w:rFonts w:ascii="Arial" w:hAnsi="Arial" w:cs="Arial"/>
        </w:rPr>
        <w:t>.10.1177/15365042211058122</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5</w:t>
      </w:r>
      <w:r w:rsidR="006D529E" w:rsidRPr="00C04BEB">
        <w:rPr>
          <w:rFonts w:ascii="Arial" w:hAnsi="Arial" w:cs="Arial"/>
        </w:rPr>
        <w:t xml:space="preserve"> </w:t>
      </w:r>
      <w:r w:rsidR="006D529E">
        <w:rPr>
          <w:rFonts w:ascii="Arial" w:hAnsi="Arial" w:cs="Arial"/>
        </w:rPr>
        <w:t>Feb</w:t>
      </w:r>
      <w:r w:rsidR="006D529E" w:rsidRPr="00C04BEB">
        <w:rPr>
          <w:rFonts w:ascii="Arial" w:hAnsi="Arial" w:cs="Arial"/>
        </w:rPr>
        <w:t>. 2024]</w:t>
      </w:r>
      <w:r w:rsidR="006D529E">
        <w:rPr>
          <w:rFonts w:ascii="Arial" w:hAnsi="Arial" w:cs="Arial"/>
        </w:rPr>
        <w:t xml:space="preserve"> </w:t>
      </w:r>
      <w:r w:rsidRPr="00C04BEB">
        <w:rPr>
          <w:rFonts w:ascii="Arial" w:hAnsi="Arial" w:cs="Arial"/>
        </w:rPr>
        <w:br/>
      </w:r>
      <w:r w:rsidRPr="00C04BEB">
        <w:rPr>
          <w:rFonts w:ascii="Arial" w:hAnsi="Arial" w:cs="Arial"/>
          <w:shd w:val="clear" w:color="auto" w:fill="FFFFFF"/>
        </w:rPr>
        <w:br/>
        <w:t>Lamont, E., Macleod, S. and Wilkin, A., (2011). Police Officers in Schools: A scoping study. NFER Report</w:t>
      </w:r>
      <w:r w:rsidR="00D23C7C" w:rsidRPr="00C04BEB">
        <w:rPr>
          <w:rFonts w:ascii="Arial" w:hAnsi="Arial" w:cs="Arial"/>
          <w:shd w:val="clear" w:color="auto" w:fill="FFFFFF"/>
        </w:rPr>
        <w:t xml:space="preserve">. </w:t>
      </w:r>
      <w:r w:rsidRPr="00C04BEB">
        <w:rPr>
          <w:rFonts w:ascii="Arial" w:hAnsi="Arial" w:cs="Arial"/>
          <w:shd w:val="clear" w:color="auto" w:fill="FFFFFF"/>
        </w:rPr>
        <w:t>Available at</w:t>
      </w:r>
      <w:r w:rsidR="00A53D40" w:rsidRPr="00C04BEB">
        <w:rPr>
          <w:rFonts w:ascii="Arial" w:hAnsi="Arial" w:cs="Arial"/>
          <w:shd w:val="clear" w:color="auto" w:fill="FFFFFF"/>
        </w:rPr>
        <w:t xml:space="preserve">: </w:t>
      </w:r>
      <w:r w:rsidR="00A53D40" w:rsidRPr="00C04BEB">
        <w:rPr>
          <w:rFonts w:ascii="Arial" w:hAnsi="Arial" w:cs="Arial"/>
        </w:rPr>
        <w:t>[</w:t>
      </w:r>
      <w:r w:rsidRPr="00C04BEB">
        <w:rPr>
          <w:rFonts w:ascii="Arial" w:hAnsi="Arial" w:cs="Arial"/>
        </w:rPr>
        <w:t>Accessed 05 Feb. 2024]</w:t>
      </w:r>
      <w:r w:rsidRPr="00C04BEB">
        <w:rPr>
          <w:rFonts w:ascii="Arial" w:hAnsi="Arial" w:cs="Arial"/>
        </w:rPr>
        <w:br/>
      </w:r>
      <w:r w:rsidRPr="00C04BEB">
        <w:rPr>
          <w:rFonts w:ascii="Arial" w:hAnsi="Arial" w:cs="Arial"/>
        </w:rPr>
        <w:br/>
        <w:t>Longstaff, A., Willer, J., Chapman, J., Czarnomski, S. and Graham, J. (2015) Neighbourhood policing: Past, present and future. A review of the literature. London: The Police Foundation.</w:t>
      </w:r>
      <w:r w:rsidRPr="00C04BEB">
        <w:rPr>
          <w:rFonts w:ascii="Arial" w:hAnsi="Arial" w:cs="Arial"/>
        </w:rPr>
        <w:br/>
      </w:r>
      <w:r w:rsidRPr="00C04BEB">
        <w:rPr>
          <w:rFonts w:ascii="Arial" w:hAnsi="Arial" w:cs="Arial"/>
          <w:color w:val="000000"/>
          <w:shd w:val="clear" w:color="auto" w:fill="FFFFFF"/>
        </w:rPr>
        <w:br/>
        <w:t xml:space="preserve">Lupton, R., Wilson, A., May, T., Warburton, </w:t>
      </w:r>
      <w:r w:rsidR="00D23C7C" w:rsidRPr="00C04BEB">
        <w:rPr>
          <w:rFonts w:ascii="Arial" w:hAnsi="Arial" w:cs="Arial"/>
          <w:color w:val="000000"/>
          <w:shd w:val="clear" w:color="auto" w:fill="FFFFFF"/>
        </w:rPr>
        <w:t>H.,</w:t>
      </w:r>
      <w:r w:rsidRPr="00C04BEB">
        <w:rPr>
          <w:rFonts w:ascii="Arial" w:hAnsi="Arial" w:cs="Arial"/>
          <w:color w:val="000000"/>
          <w:shd w:val="clear" w:color="auto" w:fill="FFFFFF"/>
        </w:rPr>
        <w:t xml:space="preserve"> and Turnbull, P.J., (2002). A rock and a hard place: drug markets in deprived neighbourhoods. Home Office Research, Development and Statistics Directorate,.</w:t>
      </w:r>
      <w:r w:rsidRPr="00C04BEB">
        <w:rPr>
          <w:rFonts w:ascii="Arial" w:hAnsi="Arial" w:cs="Arial"/>
          <w:color w:val="000000"/>
          <w:shd w:val="clear" w:color="auto" w:fill="FFFFFF"/>
        </w:rPr>
        <w:br/>
      </w:r>
      <w:r w:rsidRPr="00C04BEB">
        <w:rPr>
          <w:rFonts w:ascii="Arial" w:hAnsi="Arial" w:cs="Arial"/>
          <w:color w:val="000000"/>
          <w:shd w:val="clear" w:color="auto" w:fill="FFFFFF"/>
        </w:rPr>
        <w:br/>
      </w:r>
      <w:r w:rsidRPr="00C04BEB">
        <w:rPr>
          <w:rFonts w:ascii="Arial" w:hAnsi="Arial" w:cs="Arial"/>
          <w:shd w:val="clear" w:color="auto" w:fill="FFFFFF"/>
        </w:rPr>
        <w:t>MATZ, A.K., (2014). COMMENTARY: Do Youth Mentoring Programs Work? A Review of the Empirical Literature. </w:t>
      </w:r>
      <w:r w:rsidRPr="00C04BEB">
        <w:rPr>
          <w:rFonts w:ascii="Arial" w:hAnsi="Arial" w:cs="Arial"/>
          <w:i/>
          <w:iCs/>
          <w:shd w:val="clear" w:color="auto" w:fill="FFFFFF"/>
        </w:rPr>
        <w:t>Journal of Juvenile Justice</w:t>
      </w:r>
      <w:r w:rsidRPr="00C04BEB">
        <w:rPr>
          <w:rFonts w:ascii="Arial" w:hAnsi="Arial" w:cs="Arial"/>
          <w:shd w:val="clear" w:color="auto" w:fill="FFFFFF"/>
        </w:rPr>
        <w:t>, 3(2), pp. 83-101.</w:t>
      </w:r>
      <w:r w:rsidRPr="00C04BEB">
        <w:rPr>
          <w:rFonts w:ascii="Arial" w:hAnsi="Arial" w:cs="Arial"/>
          <w:shd w:val="clear" w:color="auto" w:fill="FFFFFF"/>
        </w:rPr>
        <w:br/>
      </w:r>
      <w:r w:rsidRPr="00C04BEB">
        <w:rPr>
          <w:rFonts w:ascii="Arial" w:hAnsi="Arial" w:cs="Arial"/>
        </w:rPr>
        <w:br/>
        <w:t xml:space="preserve">Maxwell, N. (2022). I’m Trying to Save My Family: Parent Experiences of Child Criminal Exploitation. </w:t>
      </w:r>
      <w:r w:rsidRPr="00C04BEB">
        <w:rPr>
          <w:rFonts w:ascii="Arial" w:hAnsi="Arial" w:cs="Arial"/>
          <w:i/>
          <w:iCs/>
        </w:rPr>
        <w:t xml:space="preserve">Youth </w:t>
      </w:r>
      <w:r w:rsidR="00A53D40" w:rsidRPr="00C04BEB">
        <w:rPr>
          <w:rFonts w:ascii="Arial" w:hAnsi="Arial" w:cs="Arial"/>
          <w:i/>
          <w:iCs/>
        </w:rPr>
        <w:t>Justice</w:t>
      </w:r>
      <w:r w:rsidR="00A53D40" w:rsidRPr="00C04BEB">
        <w:rPr>
          <w:rFonts w:ascii="Arial" w:hAnsi="Arial" w:cs="Arial"/>
        </w:rPr>
        <w:t>, 23</w:t>
      </w:r>
      <w:r w:rsidRPr="00C04BEB">
        <w:rPr>
          <w:rFonts w:ascii="Arial" w:hAnsi="Arial" w:cs="Arial"/>
        </w:rPr>
        <w:t xml:space="preserve">(2), p.147322542211225. </w:t>
      </w:r>
      <w:r w:rsidR="00E90832">
        <w:rPr>
          <w:rFonts w:ascii="Arial" w:hAnsi="Arial" w:cs="Arial"/>
        </w:rPr>
        <w:t>DOI</w:t>
      </w:r>
      <w:r w:rsidRPr="00C04BEB">
        <w:rPr>
          <w:rFonts w:ascii="Arial" w:hAnsi="Arial" w:cs="Arial"/>
        </w:rPr>
        <w:t>:10.1177/14732254221122559.</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0</w:t>
      </w:r>
      <w:r w:rsidR="006D529E" w:rsidRPr="00C04BEB">
        <w:rPr>
          <w:rFonts w:ascii="Arial" w:hAnsi="Arial" w:cs="Arial"/>
        </w:rPr>
        <w:t xml:space="preserve">4 </w:t>
      </w:r>
      <w:r w:rsidR="006D529E">
        <w:rPr>
          <w:rFonts w:ascii="Arial" w:hAnsi="Arial" w:cs="Arial"/>
        </w:rPr>
        <w:t>Mar</w:t>
      </w:r>
      <w:r w:rsidR="006D529E" w:rsidRPr="00C04BEB">
        <w:rPr>
          <w:rFonts w:ascii="Arial" w:hAnsi="Arial" w:cs="Arial"/>
        </w:rPr>
        <w:t>. 2024]</w:t>
      </w:r>
      <w:r w:rsidRPr="00C04BEB">
        <w:rPr>
          <w:rFonts w:ascii="Arial" w:hAnsi="Arial" w:cs="Arial"/>
        </w:rPr>
        <w:br/>
      </w:r>
      <w:r w:rsidRPr="00C04BEB">
        <w:rPr>
          <w:rFonts w:ascii="Arial" w:hAnsi="Arial" w:cs="Arial"/>
          <w:shd w:val="clear" w:color="auto" w:fill="FFFFFF"/>
        </w:rPr>
        <w:br/>
      </w:r>
      <w:r w:rsidRPr="00C04BEB">
        <w:rPr>
          <w:rFonts w:ascii="Arial" w:hAnsi="Arial" w:cs="Arial"/>
        </w:rPr>
        <w:t xml:space="preserve">Maxwell, N. and Wallace, C. (2021). </w:t>
      </w:r>
      <w:r w:rsidRPr="00C04BEB">
        <w:rPr>
          <w:rFonts w:ascii="Arial" w:hAnsi="Arial" w:cs="Arial"/>
          <w:i/>
          <w:iCs/>
        </w:rPr>
        <w:t>Child Criminal Exploitation in Wales Child Criminal Exploitation in Wales 2</w:t>
      </w:r>
      <w:r w:rsidR="00D23C7C" w:rsidRPr="00C04BEB">
        <w:rPr>
          <w:rFonts w:ascii="Arial" w:hAnsi="Arial" w:cs="Arial"/>
        </w:rPr>
        <w:t xml:space="preserve">. </w:t>
      </w:r>
      <w:r w:rsidRPr="00C04BEB">
        <w:rPr>
          <w:rFonts w:ascii="Arial" w:hAnsi="Arial" w:cs="Arial"/>
        </w:rPr>
        <w:t xml:space="preserve">Available at: </w:t>
      </w:r>
      <w:r w:rsidRPr="00C04BEB">
        <w:rPr>
          <w:rFonts w:ascii="Arial" w:hAnsi="Arial" w:cs="Arial"/>
        </w:rPr>
        <w:lastRenderedPageBreak/>
        <w:t>https://orca.cardiff.ac.uk/id/eprint/145780/1/CCE%20Interim%20report%20Final.pdf [Accessed 19 Mar. 2024].</w:t>
      </w:r>
      <w:r w:rsidRPr="00C04BEB">
        <w:rPr>
          <w:rFonts w:ascii="Arial" w:hAnsi="Arial" w:cs="Arial"/>
        </w:rPr>
        <w:br/>
      </w:r>
      <w:r w:rsidRPr="00C04BEB">
        <w:rPr>
          <w:rFonts w:ascii="Arial" w:hAnsi="Arial" w:cs="Arial"/>
        </w:rPr>
        <w:br/>
        <w:t xml:space="preserve">Mazhar, S.A., Anjum, R., Anwar, A.I. and Khan, A.A. (2021). Methods of Data Collection: A Fundamental Tool of Research. </w:t>
      </w:r>
      <w:r w:rsidRPr="00C04BEB">
        <w:rPr>
          <w:rFonts w:ascii="Arial" w:hAnsi="Arial" w:cs="Arial"/>
          <w:i/>
          <w:iCs/>
        </w:rPr>
        <w:t>Journal of Integrated Community Health (ISSN 2319-9113</w:t>
      </w:r>
      <w:r w:rsidR="00A53D40" w:rsidRPr="00C04BEB">
        <w:rPr>
          <w:rFonts w:ascii="Arial" w:hAnsi="Arial" w:cs="Arial"/>
          <w:i/>
          <w:iCs/>
        </w:rPr>
        <w:t>)</w:t>
      </w:r>
      <w:r w:rsidR="00A53D40" w:rsidRPr="00C04BEB">
        <w:rPr>
          <w:rFonts w:ascii="Arial" w:hAnsi="Arial" w:cs="Arial"/>
        </w:rPr>
        <w:t>, 10</w:t>
      </w:r>
      <w:r w:rsidRPr="00C04BEB">
        <w:rPr>
          <w:rFonts w:ascii="Arial" w:hAnsi="Arial" w:cs="Arial"/>
        </w:rPr>
        <w:t>(1), pp.6–10. Available at: http://medicaljournalshouse.com/index.php/ADR-CommunityHealth/article/view/631/496 [Accessed 20 Mar. 2024].</w:t>
      </w:r>
      <w:r w:rsidRPr="00C04BEB">
        <w:rPr>
          <w:rFonts w:ascii="Arial" w:hAnsi="Arial" w:cs="Arial"/>
        </w:rPr>
        <w:br/>
      </w:r>
      <w:r w:rsidRPr="00C04BEB">
        <w:rPr>
          <w:rFonts w:ascii="Arial" w:hAnsi="Arial" w:cs="Arial"/>
        </w:rPr>
        <w:br/>
        <w:t xml:space="preserve">Mclean, R., Robinson, G. and Densley, J.A. (2020). </w:t>
      </w:r>
      <w:r w:rsidRPr="00C04BEB">
        <w:rPr>
          <w:rFonts w:ascii="Arial" w:hAnsi="Arial" w:cs="Arial"/>
          <w:i/>
          <w:iCs/>
        </w:rPr>
        <w:t xml:space="preserve">COUNTY </w:t>
      </w:r>
      <w:r w:rsidR="00A53D40" w:rsidRPr="00C04BEB">
        <w:rPr>
          <w:rFonts w:ascii="Arial" w:hAnsi="Arial" w:cs="Arial"/>
          <w:i/>
          <w:iCs/>
        </w:rPr>
        <w:t>LINES:</w:t>
      </w:r>
      <w:r w:rsidRPr="00C04BEB">
        <w:rPr>
          <w:rFonts w:ascii="Arial" w:hAnsi="Arial" w:cs="Arial"/>
          <w:i/>
          <w:iCs/>
        </w:rPr>
        <w:t xml:space="preserve"> criminal networks and evolving drug markets in </w:t>
      </w:r>
      <w:r w:rsidR="00A53D40" w:rsidRPr="00C04BEB">
        <w:rPr>
          <w:rFonts w:ascii="Arial" w:hAnsi="Arial" w:cs="Arial"/>
          <w:i/>
          <w:iCs/>
        </w:rPr>
        <w:t>Britain</w:t>
      </w:r>
      <w:r w:rsidR="00D23C7C" w:rsidRPr="00C04BEB">
        <w:rPr>
          <w:rFonts w:ascii="Arial" w:hAnsi="Arial" w:cs="Arial"/>
          <w:i/>
          <w:iCs/>
        </w:rPr>
        <w:t>.</w:t>
      </w:r>
      <w:r w:rsidR="00D23C7C" w:rsidRPr="00C04BEB">
        <w:rPr>
          <w:rFonts w:ascii="Arial" w:hAnsi="Arial" w:cs="Arial"/>
        </w:rPr>
        <w:t xml:space="preserve"> </w:t>
      </w:r>
      <w:r w:rsidRPr="00C04BEB">
        <w:rPr>
          <w:rFonts w:ascii="Arial" w:hAnsi="Arial" w:cs="Arial"/>
        </w:rPr>
        <w:t>S.L.: Springer Nature, p.70. Available at: https://books.google.co.uk/books?hl=en&amp;lr=&amp;id=36O-DwAAQBAJ&amp;oi=fnd&amp;pg=PR5&amp;dq=County+Lines+Criminal+Networks+and+Evolving+Drug+Markets+in+Britain&amp;ots=uE5cwlFxtg&amp;sig=bo6ezdK_LsB-Mjbn8IXRd8UN49w#v=onepage&amp;q&amp;f=false [Accessed 23 Jan. 2024].</w:t>
      </w:r>
      <w:r w:rsidRPr="00C04BEB">
        <w:rPr>
          <w:rFonts w:ascii="Arial" w:hAnsi="Arial" w:cs="Arial"/>
        </w:rPr>
        <w:br/>
      </w:r>
      <w:r w:rsidRPr="00C04BEB">
        <w:rPr>
          <w:rFonts w:ascii="Arial" w:hAnsi="Arial" w:cs="Arial"/>
        </w:rPr>
        <w:br/>
      </w:r>
      <w:r w:rsidRPr="00C04BEB">
        <w:rPr>
          <w:rFonts w:ascii="Arial" w:hAnsi="Arial" w:cs="Arial"/>
          <w:shd w:val="clear" w:color="auto" w:fill="FFFFFF"/>
        </w:rPr>
        <w:t>Meadows, K.A., (2003). So you want to do research? 5: Questionnaire design. </w:t>
      </w:r>
      <w:r w:rsidRPr="00C04BEB">
        <w:rPr>
          <w:rFonts w:ascii="Arial" w:hAnsi="Arial" w:cs="Arial"/>
          <w:i/>
          <w:iCs/>
          <w:shd w:val="clear" w:color="auto" w:fill="FFFFFF"/>
        </w:rPr>
        <w:t>British journal of community nursing</w:t>
      </w:r>
      <w:r w:rsidRPr="00C04BEB">
        <w:rPr>
          <w:rFonts w:ascii="Arial" w:hAnsi="Arial" w:cs="Arial"/>
          <w:shd w:val="clear" w:color="auto" w:fill="FFFFFF"/>
        </w:rPr>
        <w:t>, </w:t>
      </w:r>
      <w:r w:rsidRPr="00C04BEB">
        <w:rPr>
          <w:rFonts w:ascii="Arial" w:hAnsi="Arial" w:cs="Arial"/>
          <w:i/>
          <w:iCs/>
          <w:shd w:val="clear" w:color="auto" w:fill="FFFFFF"/>
        </w:rPr>
        <w:t>8</w:t>
      </w:r>
      <w:r w:rsidRPr="00C04BEB">
        <w:rPr>
          <w:rFonts w:ascii="Arial" w:hAnsi="Arial" w:cs="Arial"/>
          <w:shd w:val="clear" w:color="auto" w:fill="FFFFFF"/>
        </w:rPr>
        <w:t>(12), pp.562-570.</w:t>
      </w:r>
      <w:r w:rsidRPr="00C04BEB">
        <w:rPr>
          <w:rFonts w:ascii="Arial" w:hAnsi="Arial" w:cs="Arial"/>
          <w:shd w:val="clear" w:color="auto" w:fill="FFFFFF"/>
        </w:rPr>
        <w:br/>
      </w:r>
      <w:r w:rsidRPr="00C04BEB">
        <w:rPr>
          <w:rFonts w:ascii="Arial" w:hAnsi="Arial" w:cs="Arial"/>
          <w:shd w:val="clear" w:color="auto" w:fill="FFFFFF"/>
        </w:rPr>
        <w:br/>
      </w:r>
      <w:r w:rsidRPr="00C04BEB">
        <w:rPr>
          <w:rFonts w:ascii="Arial" w:hAnsi="Arial" w:cs="Arial"/>
        </w:rPr>
        <w:t xml:space="preserve">Mills, S. and Unwin, P. (2020). Perspectives of volunteers and professionals working County Lines. </w:t>
      </w:r>
      <w:r w:rsidRPr="00C04BEB">
        <w:rPr>
          <w:rFonts w:ascii="Arial" w:hAnsi="Arial" w:cs="Arial"/>
          <w:i/>
          <w:iCs/>
        </w:rPr>
        <w:t>Youth &amp; Policy</w:t>
      </w:r>
      <w:r w:rsidR="00D23C7C" w:rsidRPr="00C04BEB">
        <w:rPr>
          <w:rFonts w:ascii="Arial" w:hAnsi="Arial" w:cs="Arial"/>
        </w:rPr>
        <w:t xml:space="preserve">. </w:t>
      </w:r>
      <w:r w:rsidRPr="00C04BEB">
        <w:rPr>
          <w:rFonts w:ascii="Arial" w:hAnsi="Arial" w:cs="Arial"/>
        </w:rPr>
        <w:t>Available at: https://eprints.worc.ac.uk/9293/ [Accessed 30 Jan. 2024].</w:t>
      </w:r>
      <w:r w:rsidRPr="00C04BEB">
        <w:rPr>
          <w:rFonts w:ascii="Arial" w:hAnsi="Arial" w:cs="Arial"/>
        </w:rPr>
        <w:br/>
      </w:r>
      <w:r w:rsidRPr="00C04BEB">
        <w:rPr>
          <w:rFonts w:ascii="Arial" w:hAnsi="Arial" w:cs="Arial"/>
        </w:rPr>
        <w:br/>
        <w:t xml:space="preserve">Modern Slavery Act </w:t>
      </w:r>
      <w:r w:rsidR="00A959FD">
        <w:rPr>
          <w:rFonts w:ascii="Arial" w:hAnsi="Arial" w:cs="Arial"/>
        </w:rPr>
        <w:t>(</w:t>
      </w:r>
      <w:r w:rsidRPr="00C04BEB">
        <w:rPr>
          <w:rFonts w:ascii="Arial" w:hAnsi="Arial" w:cs="Arial"/>
        </w:rPr>
        <w:t>2015</w:t>
      </w:r>
      <w:r w:rsidR="00A959FD">
        <w:rPr>
          <w:rFonts w:ascii="Arial" w:hAnsi="Arial" w:cs="Arial"/>
        </w:rPr>
        <w:t>)</w:t>
      </w:r>
      <w:r w:rsidR="00D23C7C" w:rsidRPr="00C04BEB">
        <w:rPr>
          <w:rFonts w:ascii="Arial" w:hAnsi="Arial" w:cs="Arial"/>
        </w:rPr>
        <w:t xml:space="preserve">. </w:t>
      </w:r>
      <w:r w:rsidRPr="00C04BEB">
        <w:rPr>
          <w:rFonts w:ascii="Arial" w:hAnsi="Arial" w:cs="Arial"/>
        </w:rPr>
        <w:t>www.legislation.gov.uk. Available at: https://www.legislation.gov.uk/ukpga/2015/30/contents/enacted. [Accessed 30 Jan. 2024].</w:t>
      </w:r>
      <w:r w:rsidRPr="00C04BEB">
        <w:rPr>
          <w:rFonts w:ascii="Arial" w:hAnsi="Arial" w:cs="Arial"/>
        </w:rPr>
        <w:br/>
      </w:r>
      <w:r w:rsidRPr="00C04BEB">
        <w:rPr>
          <w:rFonts w:ascii="Arial" w:hAnsi="Arial" w:cs="Arial"/>
        </w:rPr>
        <w:br/>
        <w:t xml:space="preserve">Morselli, C. and Décary-Hétu, D. (2013). Crime facilitation purposes of social networking sites: A review and analysis of the ‘cyberbanging’ phenomenon. </w:t>
      </w:r>
      <w:r w:rsidRPr="00C04BEB">
        <w:rPr>
          <w:rFonts w:ascii="Arial" w:hAnsi="Arial" w:cs="Arial"/>
          <w:i/>
          <w:iCs/>
        </w:rPr>
        <w:t xml:space="preserve">Small Wars &amp; </w:t>
      </w:r>
      <w:r w:rsidR="00A53D40" w:rsidRPr="00C04BEB">
        <w:rPr>
          <w:rFonts w:ascii="Arial" w:hAnsi="Arial" w:cs="Arial"/>
          <w:i/>
          <w:iCs/>
        </w:rPr>
        <w:t>Insurgencies</w:t>
      </w:r>
      <w:r w:rsidR="00A53D40" w:rsidRPr="00C04BEB">
        <w:rPr>
          <w:rFonts w:ascii="Arial" w:hAnsi="Arial" w:cs="Arial"/>
        </w:rPr>
        <w:t>, 24</w:t>
      </w:r>
      <w:r w:rsidRPr="00C04BEB">
        <w:rPr>
          <w:rFonts w:ascii="Arial" w:hAnsi="Arial" w:cs="Arial"/>
        </w:rPr>
        <w:t xml:space="preserve">(1), pp.152–170. </w:t>
      </w:r>
      <w:r w:rsidR="00E90832">
        <w:rPr>
          <w:rFonts w:ascii="Arial" w:hAnsi="Arial" w:cs="Arial"/>
        </w:rPr>
        <w:t>DOI</w:t>
      </w:r>
      <w:r w:rsidRPr="00C04BEB">
        <w:rPr>
          <w:rFonts w:ascii="Arial" w:hAnsi="Arial" w:cs="Arial"/>
        </w:rPr>
        <w:t>:10.1080/09592318.2013.740232. [Accessed 29 Jan. 2024].</w:t>
      </w:r>
      <w:r w:rsidRPr="00C04BEB">
        <w:rPr>
          <w:rFonts w:ascii="Arial" w:hAnsi="Arial" w:cs="Arial"/>
        </w:rPr>
        <w:br/>
      </w:r>
      <w:r w:rsidRPr="00C04BEB">
        <w:rPr>
          <w:rFonts w:ascii="Arial" w:hAnsi="Arial" w:cs="Arial"/>
          <w:color w:val="000000"/>
          <w:shd w:val="clear" w:color="auto" w:fill="FFFFFF"/>
        </w:rPr>
        <w:br/>
        <w:t xml:space="preserve">Mythen, G. and Weston, S., (2023). </w:t>
      </w:r>
      <w:r w:rsidRPr="00C04BEB">
        <w:rPr>
          <w:rFonts w:ascii="Arial" w:hAnsi="Arial" w:cs="Arial"/>
        </w:rPr>
        <w:t xml:space="preserve">Educating Young People about Vulnerability to Sexual Exploitation: Safeguarding Practitioners’ Standpoints at the Intersections of </w:t>
      </w:r>
      <w:r w:rsidRPr="00C04BEB">
        <w:rPr>
          <w:rFonts w:ascii="Arial" w:hAnsi="Arial" w:cs="Arial"/>
        </w:rPr>
        <w:lastRenderedPageBreak/>
        <w:t xml:space="preserve">Gender, Sexuality and Risk. </w:t>
      </w:r>
      <w:r w:rsidRPr="00C04BEB">
        <w:rPr>
          <w:rFonts w:ascii="Arial" w:hAnsi="Arial" w:cs="Arial"/>
          <w:i/>
          <w:iCs/>
        </w:rPr>
        <w:t>British Journal of Social Work</w:t>
      </w:r>
      <w:r w:rsidRPr="00C04BEB">
        <w:rPr>
          <w:rFonts w:ascii="Arial" w:hAnsi="Arial" w:cs="Arial"/>
        </w:rPr>
        <w:t xml:space="preserve">, 54(1). </w:t>
      </w:r>
      <w:r w:rsidR="00E90832">
        <w:rPr>
          <w:rFonts w:ascii="Arial" w:hAnsi="Arial" w:cs="Arial"/>
        </w:rPr>
        <w:t>DOI</w:t>
      </w:r>
      <w:r w:rsidRPr="00C04BEB">
        <w:rPr>
          <w:rFonts w:ascii="Arial" w:hAnsi="Arial" w:cs="Arial"/>
        </w:rPr>
        <w:t>:10.1093/bjsw/bcad201.</w:t>
      </w:r>
      <w:r w:rsidR="006D529E">
        <w:rPr>
          <w:rFonts w:ascii="Arial" w:hAnsi="Arial" w:cs="Arial"/>
        </w:rPr>
        <w:t xml:space="preserve"> </w:t>
      </w:r>
      <w:r w:rsidR="006D529E" w:rsidRPr="00C04BEB">
        <w:rPr>
          <w:rFonts w:ascii="Arial" w:hAnsi="Arial" w:cs="Arial"/>
        </w:rPr>
        <w:t>[Accessed 2</w:t>
      </w:r>
      <w:r w:rsidR="006D529E">
        <w:rPr>
          <w:rFonts w:ascii="Arial" w:hAnsi="Arial" w:cs="Arial"/>
        </w:rPr>
        <w:t>0</w:t>
      </w:r>
      <w:r w:rsidR="006D529E" w:rsidRPr="00C04BEB">
        <w:rPr>
          <w:rFonts w:ascii="Arial" w:hAnsi="Arial" w:cs="Arial"/>
        </w:rPr>
        <w:t xml:space="preserve"> </w:t>
      </w:r>
      <w:r w:rsidR="006D529E">
        <w:rPr>
          <w:rFonts w:ascii="Arial" w:hAnsi="Arial" w:cs="Arial"/>
        </w:rPr>
        <w:t>Mar</w:t>
      </w:r>
      <w:r w:rsidR="006D529E" w:rsidRPr="00C04BEB">
        <w:rPr>
          <w:rFonts w:ascii="Arial" w:hAnsi="Arial" w:cs="Arial"/>
        </w:rPr>
        <w:t>. 2024]</w:t>
      </w:r>
      <w:r w:rsidR="006D529E">
        <w:rPr>
          <w:rFonts w:ascii="Arial" w:hAnsi="Arial" w:cs="Arial"/>
        </w:rPr>
        <w:br/>
      </w:r>
      <w:r w:rsidR="006D529E">
        <w:rPr>
          <w:rFonts w:ascii="Arial" w:hAnsi="Arial" w:cs="Arial"/>
        </w:rPr>
        <w:br/>
      </w:r>
      <w:r w:rsidRPr="00C04BEB">
        <w:rPr>
          <w:rFonts w:ascii="Arial" w:hAnsi="Arial" w:cs="Arial"/>
        </w:rPr>
        <w:t xml:space="preserve">Nahar, L. K., Andrews, R. and Paterson, S. (2023). Evolving use of recreational drugs in UK—nitazenes and xylazine. </w:t>
      </w:r>
      <w:r w:rsidRPr="00C04BEB">
        <w:rPr>
          <w:rFonts w:ascii="Arial" w:hAnsi="Arial" w:cs="Arial"/>
          <w:i/>
          <w:iCs/>
        </w:rPr>
        <w:t>The BMJ</w:t>
      </w:r>
      <w:r w:rsidRPr="00C04BEB">
        <w:rPr>
          <w:rFonts w:ascii="Arial" w:hAnsi="Arial" w:cs="Arial"/>
        </w:rPr>
        <w:t xml:space="preserve">, 383, </w:t>
      </w:r>
      <w:r w:rsidR="00E90832" w:rsidRPr="00C04BEB">
        <w:rPr>
          <w:rFonts w:ascii="Arial" w:hAnsi="Arial" w:cs="Arial"/>
        </w:rPr>
        <w:t>pp. p</w:t>
      </w:r>
      <w:r w:rsidRPr="00C04BEB">
        <w:rPr>
          <w:rFonts w:ascii="Arial" w:hAnsi="Arial" w:cs="Arial"/>
        </w:rPr>
        <w:t xml:space="preserve">2604–p2604. </w:t>
      </w:r>
      <w:r w:rsidR="00E90832">
        <w:rPr>
          <w:rFonts w:ascii="Arial" w:hAnsi="Arial" w:cs="Arial"/>
        </w:rPr>
        <w:t>DOI</w:t>
      </w:r>
      <w:r w:rsidRPr="00C04BEB">
        <w:rPr>
          <w:rFonts w:ascii="Arial" w:hAnsi="Arial" w:cs="Arial"/>
        </w:rPr>
        <w:t>:10.1136/bmj.p2604.</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color w:val="000000"/>
          <w:shd w:val="clear" w:color="auto" w:fill="FFFFFF"/>
        </w:rPr>
        <w:br/>
      </w:r>
      <w:r w:rsidRPr="00C04BEB">
        <w:rPr>
          <w:rFonts w:ascii="Arial" w:hAnsi="Arial" w:cs="Arial"/>
        </w:rPr>
        <w:br/>
        <w:t>National Crime Agency (2023). National Strategic Assessment (NSA) Campaign 2023 - Drugs - National Crime Agency</w:t>
      </w:r>
      <w:r w:rsidR="00D23C7C" w:rsidRPr="00C04BEB">
        <w:rPr>
          <w:rFonts w:ascii="Arial" w:hAnsi="Arial" w:cs="Arial"/>
        </w:rPr>
        <w:t xml:space="preserve">. </w:t>
      </w:r>
      <w:r w:rsidRPr="00C04BEB">
        <w:rPr>
          <w:rFonts w:ascii="Arial" w:hAnsi="Arial" w:cs="Arial"/>
        </w:rPr>
        <w:t>nationalcrimeagency.gov.uk. Available at: https://nationalcrimeagency.gov.uk/nsa-drugs [Accessed 31 Jan. 2024].</w:t>
      </w:r>
      <w:r w:rsidRPr="00C04BEB">
        <w:rPr>
          <w:rFonts w:ascii="Arial" w:hAnsi="Arial" w:cs="Arial"/>
        </w:rPr>
        <w:br/>
      </w:r>
      <w:r w:rsidRPr="00C04BEB">
        <w:rPr>
          <w:rFonts w:ascii="Arial" w:hAnsi="Arial" w:cs="Arial"/>
        </w:rPr>
        <w:br/>
        <w:t xml:space="preserve">NSPCC (2022). </w:t>
      </w:r>
      <w:r w:rsidRPr="00C04BEB">
        <w:rPr>
          <w:rFonts w:ascii="Arial" w:hAnsi="Arial" w:cs="Arial"/>
          <w:i/>
          <w:iCs/>
        </w:rPr>
        <w:t>Online grooming crimes have risen by more than 80% in four years</w:t>
      </w:r>
      <w:r w:rsidR="00D23C7C" w:rsidRPr="00C04BEB">
        <w:rPr>
          <w:rFonts w:ascii="Arial" w:hAnsi="Arial" w:cs="Arial"/>
        </w:rPr>
        <w:t xml:space="preserve">. </w:t>
      </w:r>
      <w:r w:rsidRPr="00C04BEB">
        <w:rPr>
          <w:rFonts w:ascii="Arial" w:hAnsi="Arial" w:cs="Arial"/>
        </w:rPr>
        <w:t>NSPCC. Available at: https://www.nspcc.org.uk/about-us/news-opinion/2022/online-grooming-crimes-rise/ [Accessed 18 Feb. 2024].</w:t>
      </w:r>
      <w:r w:rsidRPr="00C04BEB">
        <w:rPr>
          <w:rFonts w:ascii="Arial" w:hAnsi="Arial" w:cs="Arial"/>
        </w:rPr>
        <w:br/>
      </w:r>
      <w:r w:rsidRPr="00C04BEB">
        <w:rPr>
          <w:rFonts w:ascii="Arial" w:hAnsi="Arial" w:cs="Arial"/>
        </w:rPr>
        <w:br/>
      </w:r>
      <w:r w:rsidRPr="00C04BEB">
        <w:rPr>
          <w:rFonts w:ascii="Arial" w:hAnsi="Arial" w:cs="Arial"/>
          <w:color w:val="000000"/>
          <w:shd w:val="clear" w:color="auto" w:fill="FFFFFF"/>
        </w:rPr>
        <w:t>O’Brien, K., Daffern, M., Chu, C.M. and Thomas, S.D.M., (2013). Youth gang affiliation, violence, and criminal activities: A review of motivational, risk, and protective factors. </w:t>
      </w:r>
      <w:r w:rsidRPr="00C04BEB">
        <w:rPr>
          <w:rFonts w:ascii="Arial" w:hAnsi="Arial" w:cs="Arial"/>
          <w:i/>
          <w:iCs/>
          <w:color w:val="000000"/>
          <w:shd w:val="clear" w:color="auto" w:fill="FFFFFF"/>
        </w:rPr>
        <w:t>Aggression and Violent Behavior, </w:t>
      </w:r>
      <w:r w:rsidRPr="00C04BEB">
        <w:rPr>
          <w:rFonts w:ascii="Arial" w:hAnsi="Arial" w:cs="Arial"/>
          <w:color w:val="000000"/>
          <w:shd w:val="clear" w:color="auto" w:fill="FFFFFF"/>
        </w:rPr>
        <w:t>18(4), pp. 417-425.</w:t>
      </w:r>
      <w:r w:rsidRPr="00C04BEB">
        <w:rPr>
          <w:rFonts w:ascii="Arial" w:hAnsi="Arial" w:cs="Arial"/>
          <w:color w:val="000000"/>
          <w:shd w:val="clear" w:color="auto" w:fill="FFFFFF"/>
        </w:rPr>
        <w:br/>
      </w:r>
      <w:r w:rsidRPr="00C04BEB">
        <w:rPr>
          <w:rFonts w:ascii="Arial" w:hAnsi="Arial" w:cs="Arial"/>
          <w:color w:val="000000"/>
          <w:shd w:val="clear" w:color="auto" w:fill="FFFFFF"/>
        </w:rPr>
        <w:br/>
      </w:r>
      <w:r w:rsidRPr="00C04BEB">
        <w:rPr>
          <w:rFonts w:ascii="Arial" w:hAnsi="Arial" w:cs="Arial"/>
        </w:rPr>
        <w:t xml:space="preserve">O’Cathain, A. and Thomas, K.J. (2004). ‘Any other comments?’ Open questions on questionnaires – a bane or a bonus to research?. </w:t>
      </w:r>
      <w:r w:rsidRPr="00C04BEB">
        <w:rPr>
          <w:rFonts w:ascii="Arial" w:hAnsi="Arial" w:cs="Arial"/>
          <w:i/>
          <w:iCs/>
        </w:rPr>
        <w:t xml:space="preserve">BMC Medical Research </w:t>
      </w:r>
      <w:r w:rsidR="00A53D40" w:rsidRPr="00C04BEB">
        <w:rPr>
          <w:rFonts w:ascii="Arial" w:hAnsi="Arial" w:cs="Arial"/>
          <w:i/>
          <w:iCs/>
        </w:rPr>
        <w:t>Methodology</w:t>
      </w:r>
      <w:r w:rsidR="00A53D40" w:rsidRPr="00C04BEB">
        <w:rPr>
          <w:rFonts w:ascii="Arial" w:hAnsi="Arial" w:cs="Arial"/>
        </w:rPr>
        <w:t>, 4</w:t>
      </w:r>
      <w:r w:rsidRPr="00C04BEB">
        <w:rPr>
          <w:rFonts w:ascii="Arial" w:hAnsi="Arial" w:cs="Arial"/>
        </w:rPr>
        <w:t xml:space="preserve">(1), pp.1–7. </w:t>
      </w:r>
      <w:r w:rsidR="00E90832">
        <w:rPr>
          <w:rFonts w:ascii="Arial" w:hAnsi="Arial" w:cs="Arial"/>
        </w:rPr>
        <w:t>DOI</w:t>
      </w:r>
      <w:r w:rsidRPr="00C04BEB">
        <w:rPr>
          <w:rFonts w:ascii="Arial" w:hAnsi="Arial" w:cs="Arial"/>
        </w:rPr>
        <w:t>:10.1186/1471-2288-4-25.</w:t>
      </w:r>
      <w:r w:rsidR="006D529E">
        <w:rPr>
          <w:rFonts w:ascii="Arial" w:hAnsi="Arial" w:cs="Arial"/>
        </w:rPr>
        <w:t xml:space="preserve"> </w:t>
      </w:r>
      <w:r w:rsidR="006D529E" w:rsidRPr="00C04BEB">
        <w:rPr>
          <w:rFonts w:ascii="Arial" w:hAnsi="Arial" w:cs="Arial"/>
        </w:rPr>
        <w:t>[Accessed 24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r>
      <w:r w:rsidRPr="00C04BEB">
        <w:rPr>
          <w:rFonts w:ascii="Arial" w:hAnsi="Arial" w:cs="Arial"/>
          <w:i/>
          <w:iCs/>
        </w:rPr>
        <w:t xml:space="preserve">Online Safety Act (2023). </w:t>
      </w:r>
      <w:r w:rsidRPr="00C04BEB">
        <w:rPr>
          <w:rFonts w:ascii="Arial" w:hAnsi="Arial" w:cs="Arial"/>
        </w:rPr>
        <w:t>c. 50</w:t>
      </w:r>
      <w:r w:rsidR="00D23C7C">
        <w:rPr>
          <w:rFonts w:ascii="Arial" w:hAnsi="Arial" w:cs="Arial"/>
        </w:rPr>
        <w:t>.</w:t>
      </w:r>
      <w:r w:rsidR="00D23C7C" w:rsidRPr="00C04BEB">
        <w:rPr>
          <w:rFonts w:ascii="Arial" w:hAnsi="Arial" w:cs="Arial"/>
        </w:rPr>
        <w:t xml:space="preserve"> </w:t>
      </w:r>
      <w:r w:rsidRPr="00C04BEB">
        <w:rPr>
          <w:rFonts w:ascii="Arial" w:hAnsi="Arial" w:cs="Arial"/>
        </w:rPr>
        <w:t>Available at: https://www.legislation.gov.uk/ukpga/2023/50/contents/enacted [Accessed 2</w:t>
      </w:r>
      <w:r w:rsidR="00A959FD">
        <w:rPr>
          <w:rFonts w:ascii="Arial" w:hAnsi="Arial" w:cs="Arial"/>
        </w:rPr>
        <w:t>0</w:t>
      </w:r>
      <w:r w:rsidRPr="00C04BEB">
        <w:rPr>
          <w:rFonts w:ascii="Arial" w:hAnsi="Arial" w:cs="Arial"/>
        </w:rPr>
        <w:t xml:space="preserve"> </w:t>
      </w:r>
      <w:r w:rsidR="00A959FD">
        <w:rPr>
          <w:rFonts w:ascii="Arial" w:hAnsi="Arial" w:cs="Arial"/>
        </w:rPr>
        <w:t>Mar</w:t>
      </w:r>
      <w:r w:rsidRPr="00C04BEB">
        <w:rPr>
          <w:rFonts w:ascii="Arial" w:hAnsi="Arial" w:cs="Arial"/>
        </w:rPr>
        <w:t>. 2024].</w:t>
      </w:r>
      <w:r w:rsidRPr="00C04BEB">
        <w:rPr>
          <w:rFonts w:ascii="Arial" w:hAnsi="Arial" w:cs="Arial"/>
        </w:rPr>
        <w:br/>
      </w:r>
      <w:r w:rsidRPr="00C04BEB">
        <w:rPr>
          <w:rFonts w:ascii="Arial" w:hAnsi="Arial" w:cs="Arial"/>
        </w:rPr>
        <w:br/>
        <w:t xml:space="preserve">Pepin S. (2018). County lines exploitation in London (Commons Debate Packs CDP-2018-0009). Retrieved from </w:t>
      </w:r>
      <w:r w:rsidR="006D529E" w:rsidRPr="006D529E">
        <w:rPr>
          <w:rFonts w:ascii="Arial" w:hAnsi="Arial" w:cs="Arial"/>
        </w:rPr>
        <w:t>https://researchbriefings.parliament.uk/ResearchBriefing/Summary/CDP-2018-0009</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t xml:space="preserve">Price, J.H. and Murnan, J. (2004). Research Limitations and the Necessity of Reporting Them. </w:t>
      </w:r>
      <w:r w:rsidRPr="00C04BEB">
        <w:rPr>
          <w:rFonts w:ascii="Arial" w:hAnsi="Arial" w:cs="Arial"/>
          <w:i/>
          <w:iCs/>
        </w:rPr>
        <w:t>American Journal of Health Education</w:t>
      </w:r>
      <w:r w:rsidRPr="00C04BEB">
        <w:rPr>
          <w:rFonts w:ascii="Arial" w:hAnsi="Arial" w:cs="Arial"/>
        </w:rPr>
        <w:t xml:space="preserve">, 35(2), pp.66–67. </w:t>
      </w:r>
      <w:r w:rsidR="00E90832">
        <w:rPr>
          <w:rFonts w:ascii="Arial" w:hAnsi="Arial" w:cs="Arial"/>
        </w:rPr>
        <w:t>DOI</w:t>
      </w:r>
      <w:r w:rsidRPr="00C04BEB">
        <w:rPr>
          <w:rFonts w:ascii="Arial" w:hAnsi="Arial" w:cs="Arial"/>
        </w:rPr>
        <w:t>:10.1080/19325037.2004.10603611.</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r>
      <w:r w:rsidRPr="00C04BEB">
        <w:rPr>
          <w:rFonts w:ascii="Arial" w:hAnsi="Arial" w:cs="Arial"/>
          <w:color w:val="000000"/>
          <w:shd w:val="clear" w:color="auto" w:fill="FFFFFF"/>
        </w:rPr>
        <w:lastRenderedPageBreak/>
        <w:t>Raby, C. and Jones, F., (2016). Identifying risks for male street gang affiliation: a systematic review and narrative synthesis. </w:t>
      </w:r>
      <w:r w:rsidRPr="00C04BEB">
        <w:rPr>
          <w:rFonts w:ascii="Arial" w:hAnsi="Arial" w:cs="Arial"/>
          <w:i/>
          <w:iCs/>
          <w:color w:val="000000"/>
          <w:shd w:val="clear" w:color="auto" w:fill="FFFFFF"/>
        </w:rPr>
        <w:t>The journal of forensic psychiatry &amp; psychology</w:t>
      </w:r>
      <w:r w:rsidRPr="00C04BEB">
        <w:rPr>
          <w:rFonts w:ascii="Arial" w:hAnsi="Arial" w:cs="Arial"/>
          <w:color w:val="000000"/>
          <w:shd w:val="clear" w:color="auto" w:fill="FFFFFF"/>
        </w:rPr>
        <w:t>, 27(5), pp. 601-644.</w:t>
      </w:r>
      <w:r w:rsidRPr="00C04BEB">
        <w:rPr>
          <w:rFonts w:ascii="Arial" w:hAnsi="Arial" w:cs="Arial"/>
          <w:color w:val="000000"/>
          <w:shd w:val="clear" w:color="auto" w:fill="FFFFFF"/>
        </w:rPr>
        <w:br/>
      </w:r>
      <w:r w:rsidRPr="00C04BEB">
        <w:rPr>
          <w:rFonts w:ascii="Arial" w:hAnsi="Arial" w:cs="Arial"/>
          <w:color w:val="000000"/>
          <w:shd w:val="clear" w:color="auto" w:fill="FFFFFF"/>
        </w:rPr>
        <w:br/>
      </w:r>
      <w:r w:rsidRPr="00C04BEB">
        <w:rPr>
          <w:rFonts w:ascii="Arial" w:hAnsi="Arial" w:cs="Arial"/>
          <w:shd w:val="clear" w:color="auto" w:fill="FFFFFF"/>
        </w:rPr>
        <w:t>Raju, N.N.S.H. and Harinarayana, N.S., (2016), January. Online survey tools: A case study of Google Forms. In </w:t>
      </w:r>
      <w:r w:rsidRPr="00C04BEB">
        <w:rPr>
          <w:rFonts w:ascii="Arial" w:hAnsi="Arial" w:cs="Arial"/>
          <w:i/>
          <w:iCs/>
          <w:shd w:val="clear" w:color="auto" w:fill="FFFFFF"/>
        </w:rPr>
        <w:t>National conference on scientific, computational &amp; information research trends in engineering, GSSS-IETW, Mysore</w:t>
      </w:r>
      <w:r w:rsidRPr="00C04BEB">
        <w:rPr>
          <w:rFonts w:ascii="Arial" w:hAnsi="Arial" w:cs="Arial"/>
          <w:shd w:val="clear" w:color="auto" w:fill="FFFFFF"/>
        </w:rPr>
        <w:t>.</w:t>
      </w:r>
      <w:r w:rsidRPr="00C04BEB">
        <w:rPr>
          <w:rFonts w:ascii="Arial" w:hAnsi="Arial" w:cs="Arial"/>
          <w:shd w:val="clear" w:color="auto" w:fill="FFFFFF"/>
        </w:rPr>
        <w:br/>
      </w:r>
      <w:r w:rsidRPr="00C04BEB">
        <w:rPr>
          <w:rFonts w:ascii="Arial" w:hAnsi="Arial" w:cs="Arial"/>
          <w:shd w:val="clear" w:color="auto" w:fill="FFFFFF"/>
        </w:rPr>
        <w:br/>
      </w:r>
      <w:r w:rsidRPr="00C04BEB">
        <w:rPr>
          <w:rFonts w:ascii="Arial" w:hAnsi="Arial" w:cs="Arial"/>
        </w:rPr>
        <w:t xml:space="preserve">Ramli, Y., Soelton, M., Arief, H., Saratian, E.T.P., Nugrahati, T., Rosadi, I., Anggraini, D. and Wahyono, T. (2021). </w:t>
      </w:r>
      <w:r w:rsidRPr="00C04BEB">
        <w:rPr>
          <w:rFonts w:ascii="Arial" w:hAnsi="Arial" w:cs="Arial"/>
          <w:i/>
          <w:iCs/>
        </w:rPr>
        <w:t>A way to save the nation’s with drug-free. Iccd</w:t>
      </w:r>
      <w:r w:rsidRPr="00C04BEB">
        <w:rPr>
          <w:rFonts w:ascii="Arial" w:hAnsi="Arial" w:cs="Arial"/>
        </w:rPr>
        <w:t xml:space="preserve">, 3(1), pp.232–235. </w:t>
      </w:r>
      <w:r w:rsidR="00E90832">
        <w:rPr>
          <w:rFonts w:ascii="Arial" w:hAnsi="Arial" w:cs="Arial"/>
        </w:rPr>
        <w:t>DOI</w:t>
      </w:r>
      <w:r w:rsidR="00A53D40">
        <w:rPr>
          <w:rFonts w:ascii="Arial" w:hAnsi="Arial" w:cs="Arial"/>
        </w:rPr>
        <w:t>:</w:t>
      </w:r>
      <w:r w:rsidRPr="00C04BEB">
        <w:rPr>
          <w:rFonts w:ascii="Arial" w:hAnsi="Arial" w:cs="Arial"/>
        </w:rPr>
        <w:t>10.33068/iccd.vol3.iss1.343.</w:t>
      </w:r>
      <w:r w:rsidR="006D529E">
        <w:rPr>
          <w:rFonts w:ascii="Arial" w:hAnsi="Arial" w:cs="Arial"/>
        </w:rPr>
        <w:t xml:space="preserve"> </w:t>
      </w:r>
      <w:r w:rsidR="006D529E" w:rsidRPr="00C04BEB">
        <w:rPr>
          <w:rFonts w:ascii="Arial" w:hAnsi="Arial" w:cs="Arial"/>
        </w:rPr>
        <w:t>[Accessed 24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t xml:space="preserve">Robinson, G., McLean, R. and Densley, J. (2018). Working County Lines: Child Criminal Exploitation and Illicit Drug Dealing in Glasgow and Merseyside. </w:t>
      </w:r>
      <w:r w:rsidRPr="00C04BEB">
        <w:rPr>
          <w:rFonts w:ascii="Arial" w:hAnsi="Arial" w:cs="Arial"/>
          <w:i/>
          <w:iCs/>
        </w:rPr>
        <w:t xml:space="preserve">International Journal of Offender Therapy and Comparative </w:t>
      </w:r>
      <w:r w:rsidR="00A53D40" w:rsidRPr="00C04BEB">
        <w:rPr>
          <w:rFonts w:ascii="Arial" w:hAnsi="Arial" w:cs="Arial"/>
          <w:i/>
          <w:iCs/>
        </w:rPr>
        <w:t>Criminology</w:t>
      </w:r>
      <w:r w:rsidR="00A53D40" w:rsidRPr="00C04BEB">
        <w:rPr>
          <w:rFonts w:ascii="Arial" w:hAnsi="Arial" w:cs="Arial"/>
        </w:rPr>
        <w:t>, 63</w:t>
      </w:r>
      <w:r w:rsidRPr="00C04BEB">
        <w:rPr>
          <w:rFonts w:ascii="Arial" w:hAnsi="Arial" w:cs="Arial"/>
        </w:rPr>
        <w:t xml:space="preserve">(5), pp.694–711. </w:t>
      </w:r>
      <w:r w:rsidR="00E90832">
        <w:rPr>
          <w:rFonts w:ascii="Arial" w:hAnsi="Arial" w:cs="Arial"/>
        </w:rPr>
        <w:t>DOI:</w:t>
      </w:r>
      <w:r w:rsidRPr="00C04BEB">
        <w:rPr>
          <w:rFonts w:ascii="Arial" w:hAnsi="Arial" w:cs="Arial"/>
        </w:rPr>
        <w:t>10.1177/0306624X18806742 [Accessed 19 Mar. 2024].</w:t>
      </w:r>
      <w:r w:rsidRPr="00C04BEB">
        <w:rPr>
          <w:rFonts w:ascii="Arial" w:hAnsi="Arial" w:cs="Arial"/>
        </w:rPr>
        <w:br/>
      </w:r>
      <w:r w:rsidRPr="00C04BEB">
        <w:rPr>
          <w:rFonts w:ascii="Arial" w:hAnsi="Arial" w:cs="Arial"/>
        </w:rPr>
        <w:br/>
        <w:t xml:space="preserve">Roopa, S. and Rani, M. (2012). Questionnaire Designing for a Survey. </w:t>
      </w:r>
      <w:r w:rsidRPr="00C04BEB">
        <w:rPr>
          <w:rFonts w:ascii="Arial" w:hAnsi="Arial" w:cs="Arial"/>
          <w:i/>
          <w:iCs/>
        </w:rPr>
        <w:t xml:space="preserve">The Journal of Indian Orthodontic </w:t>
      </w:r>
      <w:r w:rsidR="00A53D40" w:rsidRPr="00C04BEB">
        <w:rPr>
          <w:rFonts w:ascii="Arial" w:hAnsi="Arial" w:cs="Arial"/>
          <w:i/>
          <w:iCs/>
        </w:rPr>
        <w:t>Society</w:t>
      </w:r>
      <w:r w:rsidR="00A53D40" w:rsidRPr="00C04BEB">
        <w:rPr>
          <w:rFonts w:ascii="Arial" w:hAnsi="Arial" w:cs="Arial"/>
        </w:rPr>
        <w:t>, 46</w:t>
      </w:r>
      <w:r w:rsidRPr="00C04BEB">
        <w:rPr>
          <w:rFonts w:ascii="Arial" w:hAnsi="Arial" w:cs="Arial"/>
        </w:rPr>
        <w:t xml:space="preserve">(4), pp.273–277. </w:t>
      </w:r>
      <w:r w:rsidR="00E90832">
        <w:rPr>
          <w:rFonts w:ascii="Arial" w:hAnsi="Arial" w:cs="Arial"/>
        </w:rPr>
        <w:t>DOI</w:t>
      </w:r>
      <w:r w:rsidRPr="00C04BEB">
        <w:rPr>
          <w:rFonts w:ascii="Arial" w:hAnsi="Arial" w:cs="Arial"/>
        </w:rPr>
        <w:t>:10.5005/jp-journals-10021-1104.</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t xml:space="preserve">School beat (n.d.). </w:t>
      </w:r>
      <w:r w:rsidR="00A53D40" w:rsidRPr="00C04BEB">
        <w:rPr>
          <w:rFonts w:ascii="Arial" w:hAnsi="Arial" w:cs="Arial"/>
        </w:rPr>
        <w:t>SchoolBeat.cymru</w:t>
      </w:r>
      <w:r w:rsidR="00A53D40">
        <w:rPr>
          <w:rFonts w:ascii="Arial" w:hAnsi="Arial" w:cs="Arial"/>
        </w:rPr>
        <w:t>.</w:t>
      </w:r>
      <w:r w:rsidR="00A53D40" w:rsidRPr="00C04BEB">
        <w:rPr>
          <w:rFonts w:ascii="Arial" w:hAnsi="Arial" w:cs="Arial"/>
        </w:rPr>
        <w:t xml:space="preserve"> Available</w:t>
      </w:r>
      <w:r w:rsidRPr="00C04BEB">
        <w:rPr>
          <w:rFonts w:ascii="Arial" w:hAnsi="Arial" w:cs="Arial"/>
        </w:rPr>
        <w:t xml:space="preserve"> at: https://schoolbeat.cymru/croeso/en [Accessed 5 Feb. 2024].</w:t>
      </w:r>
      <w:r w:rsidRPr="00C04BEB">
        <w:rPr>
          <w:rFonts w:ascii="Arial" w:hAnsi="Arial" w:cs="Arial"/>
        </w:rPr>
        <w:br/>
      </w:r>
      <w:r w:rsidRPr="00C04BEB">
        <w:rPr>
          <w:rFonts w:ascii="Arial" w:hAnsi="Arial" w:cs="Arial"/>
        </w:rPr>
        <w:br/>
        <w:t xml:space="preserve">Schuman, H. and Presser, S. (1979). The Open and Closed Question. </w:t>
      </w:r>
      <w:r w:rsidRPr="00C04BEB">
        <w:rPr>
          <w:rFonts w:ascii="Arial" w:hAnsi="Arial" w:cs="Arial"/>
          <w:i/>
          <w:iCs/>
        </w:rPr>
        <w:t xml:space="preserve">American Sociological </w:t>
      </w:r>
      <w:r w:rsidR="00A53D40" w:rsidRPr="00C04BEB">
        <w:rPr>
          <w:rFonts w:ascii="Arial" w:hAnsi="Arial" w:cs="Arial"/>
          <w:i/>
          <w:iCs/>
        </w:rPr>
        <w:t>Review</w:t>
      </w:r>
      <w:r w:rsidR="00A53D40" w:rsidRPr="00C04BEB">
        <w:rPr>
          <w:rFonts w:ascii="Arial" w:hAnsi="Arial" w:cs="Arial"/>
        </w:rPr>
        <w:t>, 44</w:t>
      </w:r>
      <w:r w:rsidRPr="00C04BEB">
        <w:rPr>
          <w:rFonts w:ascii="Arial" w:hAnsi="Arial" w:cs="Arial"/>
        </w:rPr>
        <w:t xml:space="preserve">(5), p.692. </w:t>
      </w:r>
      <w:r w:rsidR="00E90832">
        <w:rPr>
          <w:rFonts w:ascii="Arial" w:hAnsi="Arial" w:cs="Arial"/>
        </w:rPr>
        <w:t>DOI</w:t>
      </w:r>
      <w:r w:rsidRPr="00C04BEB">
        <w:rPr>
          <w:rFonts w:ascii="Arial" w:hAnsi="Arial" w:cs="Arial"/>
        </w:rPr>
        <w:t>:10.2307/2094521.</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r>
      <w:r w:rsidRPr="00C04BEB">
        <w:rPr>
          <w:rFonts w:ascii="Arial" w:hAnsi="Arial" w:cs="Arial"/>
          <w:color w:val="000000"/>
          <w:shd w:val="clear" w:color="auto" w:fill="FFFFFF"/>
        </w:rPr>
        <w:t>Sharkey, J.D., Shekhtmeyster, Z., Chavez-Lopez, L., Norris, E. and Sass, L., (2011). The protective influence of gangs: Can schools compensate? </w:t>
      </w:r>
      <w:r w:rsidRPr="00C04BEB">
        <w:rPr>
          <w:rFonts w:ascii="Arial" w:hAnsi="Arial" w:cs="Arial"/>
          <w:i/>
          <w:iCs/>
          <w:color w:val="000000"/>
          <w:shd w:val="clear" w:color="auto" w:fill="FFFFFF"/>
        </w:rPr>
        <w:t>Aggression and Violent Behavior</w:t>
      </w:r>
      <w:r w:rsidRPr="00C04BEB">
        <w:rPr>
          <w:rFonts w:ascii="Arial" w:hAnsi="Arial" w:cs="Arial"/>
          <w:color w:val="000000"/>
          <w:shd w:val="clear" w:color="auto" w:fill="FFFFFF"/>
        </w:rPr>
        <w:t>, 16(1), pp. 45-54.</w:t>
      </w:r>
      <w:r w:rsidRPr="00C04BEB">
        <w:rPr>
          <w:rFonts w:ascii="Arial" w:hAnsi="Arial" w:cs="Arial"/>
          <w:color w:val="000000"/>
          <w:shd w:val="clear" w:color="auto" w:fill="FFFFFF"/>
        </w:rPr>
        <w:br/>
      </w:r>
      <w:r w:rsidRPr="00C04BEB">
        <w:rPr>
          <w:rFonts w:ascii="Arial" w:hAnsi="Arial" w:cs="Arial"/>
          <w:color w:val="000000"/>
          <w:shd w:val="clear" w:color="auto" w:fill="FFFFFF"/>
        </w:rPr>
        <w:br/>
      </w:r>
      <w:r w:rsidRPr="00C04BEB">
        <w:rPr>
          <w:rFonts w:ascii="Arial" w:hAnsi="Arial" w:cs="Arial"/>
        </w:rPr>
        <w:t xml:space="preserve">Shaw, J. (2023). ‘Won the Battle but Lost the War?’ ‘County Lines’ and the Quest for </w:t>
      </w:r>
      <w:r w:rsidRPr="00C04BEB">
        <w:rPr>
          <w:rFonts w:ascii="Arial" w:hAnsi="Arial" w:cs="Arial"/>
        </w:rPr>
        <w:lastRenderedPageBreak/>
        <w:t xml:space="preserve">Victim Status: Reflections and Challenges. </w:t>
      </w:r>
      <w:r w:rsidRPr="00C04BEB">
        <w:rPr>
          <w:rFonts w:ascii="Arial" w:hAnsi="Arial" w:cs="Arial"/>
          <w:i/>
          <w:iCs/>
        </w:rPr>
        <w:t>Youth Justice</w:t>
      </w:r>
      <w:r w:rsidRPr="00C04BEB">
        <w:rPr>
          <w:rFonts w:ascii="Arial" w:hAnsi="Arial" w:cs="Arial"/>
        </w:rPr>
        <w:t xml:space="preserve">, 0(0). </w:t>
      </w:r>
      <w:r w:rsidR="00E90832">
        <w:rPr>
          <w:rFonts w:ascii="Arial" w:hAnsi="Arial" w:cs="Arial"/>
        </w:rPr>
        <w:t>DOI:</w:t>
      </w:r>
      <w:r w:rsidR="006D529E" w:rsidRPr="006D529E">
        <w:rPr>
          <w:rFonts w:ascii="Arial" w:hAnsi="Arial" w:cs="Arial"/>
        </w:rPr>
        <w:t>10.1177/14732254231202673</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19</w:t>
      </w:r>
      <w:r w:rsidR="006D529E" w:rsidRPr="00C04BEB">
        <w:rPr>
          <w:rFonts w:ascii="Arial" w:hAnsi="Arial" w:cs="Arial"/>
        </w:rPr>
        <w:t xml:space="preserve">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r>
      <w:r w:rsidRPr="00C04BEB">
        <w:rPr>
          <w:rFonts w:ascii="Arial" w:hAnsi="Arial" w:cs="Arial"/>
          <w:shd w:val="clear" w:color="auto" w:fill="FFFFFF"/>
        </w:rPr>
        <w:t>Singh, A.S. and Masuku, M.B., (2013). Fundamentals of applied research and sampling techniques. </w:t>
      </w:r>
      <w:r w:rsidRPr="00C04BEB">
        <w:rPr>
          <w:rFonts w:ascii="Arial" w:hAnsi="Arial" w:cs="Arial"/>
          <w:i/>
          <w:iCs/>
          <w:shd w:val="clear" w:color="auto" w:fill="FFFFFF"/>
        </w:rPr>
        <w:t>International journal of medical and applied sciences</w:t>
      </w:r>
      <w:r w:rsidRPr="00C04BEB">
        <w:rPr>
          <w:rFonts w:ascii="Arial" w:hAnsi="Arial" w:cs="Arial"/>
          <w:shd w:val="clear" w:color="auto" w:fill="FFFFFF"/>
        </w:rPr>
        <w:t>, </w:t>
      </w:r>
      <w:r w:rsidRPr="00C04BEB">
        <w:rPr>
          <w:rFonts w:ascii="Arial" w:hAnsi="Arial" w:cs="Arial"/>
          <w:i/>
          <w:iCs/>
          <w:shd w:val="clear" w:color="auto" w:fill="FFFFFF"/>
        </w:rPr>
        <w:t>2</w:t>
      </w:r>
      <w:r w:rsidRPr="00C04BEB">
        <w:rPr>
          <w:rFonts w:ascii="Arial" w:hAnsi="Arial" w:cs="Arial"/>
          <w:shd w:val="clear" w:color="auto" w:fill="FFFFFF"/>
        </w:rPr>
        <w:t>(4), pp.124-132.</w:t>
      </w:r>
      <w:r w:rsidRPr="00C04BEB">
        <w:rPr>
          <w:rFonts w:ascii="Arial" w:hAnsi="Arial" w:cs="Arial"/>
          <w:shd w:val="clear" w:color="auto" w:fill="FFFFFF"/>
        </w:rPr>
        <w:br/>
      </w:r>
      <w:r w:rsidRPr="00C04BEB">
        <w:rPr>
          <w:rFonts w:ascii="Arial" w:hAnsi="Arial" w:cs="Arial"/>
          <w:shd w:val="clear" w:color="auto" w:fill="FFFFFF"/>
        </w:rPr>
        <w:br/>
      </w:r>
      <w:r w:rsidRPr="00C04BEB">
        <w:rPr>
          <w:rFonts w:ascii="Arial" w:hAnsi="Arial" w:cs="Arial"/>
        </w:rPr>
        <w:t xml:space="preserve">St Giles Trust (2023). </w:t>
      </w:r>
      <w:r w:rsidRPr="00C04BEB">
        <w:rPr>
          <w:rFonts w:ascii="Arial" w:hAnsi="Arial" w:cs="Arial"/>
          <w:i/>
          <w:iCs/>
        </w:rPr>
        <w:t>Child criminal exploitation is constantly evolving</w:t>
      </w:r>
      <w:r w:rsidR="00D23C7C" w:rsidRPr="00C04BEB">
        <w:rPr>
          <w:rFonts w:ascii="Arial" w:hAnsi="Arial" w:cs="Arial"/>
        </w:rPr>
        <w:t xml:space="preserve">. </w:t>
      </w:r>
      <w:r w:rsidRPr="00C04BEB">
        <w:rPr>
          <w:rFonts w:ascii="Arial" w:hAnsi="Arial" w:cs="Arial"/>
        </w:rPr>
        <w:t>St Giles. Available at: https://www.stgilestrust.org.uk/child-criminal-exploitation-is-constantly-evolving/#:~:text=Teams%20working%20at%20the%20frontline%20with%20children%20and [Accessed 19 Mar. 2024].</w:t>
      </w:r>
      <w:r w:rsidRPr="00C04BEB">
        <w:rPr>
          <w:rFonts w:ascii="Arial" w:hAnsi="Arial" w:cs="Arial"/>
        </w:rPr>
        <w:br/>
      </w:r>
      <w:r w:rsidRPr="00C04BEB">
        <w:rPr>
          <w:rFonts w:ascii="Arial" w:hAnsi="Arial" w:cs="Arial"/>
        </w:rPr>
        <w:br/>
        <w:t>Stone, N. (2018). Child Criminal Exploitation: ‘County Lines</w:t>
      </w:r>
      <w:r w:rsidR="00D23C7C" w:rsidRPr="00C04BEB">
        <w:rPr>
          <w:rFonts w:ascii="Arial" w:hAnsi="Arial" w:cs="Arial"/>
        </w:rPr>
        <w:t>,’</w:t>
      </w:r>
      <w:r w:rsidRPr="00C04BEB">
        <w:rPr>
          <w:rFonts w:ascii="Arial" w:hAnsi="Arial" w:cs="Arial"/>
        </w:rPr>
        <w:t xml:space="preserve"> Trafficking and Cuckooing. </w:t>
      </w:r>
      <w:r w:rsidRPr="00C04BEB">
        <w:rPr>
          <w:rFonts w:ascii="Arial" w:hAnsi="Arial" w:cs="Arial"/>
          <w:i/>
          <w:iCs/>
        </w:rPr>
        <w:t>Youth Justice</w:t>
      </w:r>
      <w:r w:rsidRPr="00C04BEB">
        <w:rPr>
          <w:rFonts w:ascii="Arial" w:hAnsi="Arial" w:cs="Arial"/>
        </w:rPr>
        <w:t xml:space="preserve">, 18(3), pp.285–293. </w:t>
      </w:r>
      <w:r w:rsidR="00E90832">
        <w:rPr>
          <w:rFonts w:ascii="Arial" w:hAnsi="Arial" w:cs="Arial"/>
        </w:rPr>
        <w:t>DOI</w:t>
      </w:r>
      <w:r w:rsidRPr="00C04BEB">
        <w:rPr>
          <w:rFonts w:ascii="Arial" w:hAnsi="Arial" w:cs="Arial"/>
        </w:rPr>
        <w:t>:10.1177/1473225418810833.</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19</w:t>
      </w:r>
      <w:r w:rsidR="006D529E" w:rsidRPr="00C04BEB">
        <w:rPr>
          <w:rFonts w:ascii="Arial" w:hAnsi="Arial" w:cs="Arial"/>
        </w:rPr>
        <w:t xml:space="preserve">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t xml:space="preserve">Storrod, M.L. and Densley, J.A. (2016). ‘Going viral’ and ‘Going country’: the expressive and instrumental activities of street gangs on social media. </w:t>
      </w:r>
      <w:r w:rsidRPr="00C04BEB">
        <w:rPr>
          <w:rFonts w:ascii="Arial" w:hAnsi="Arial" w:cs="Arial"/>
          <w:i/>
          <w:iCs/>
        </w:rPr>
        <w:t xml:space="preserve">Journal of Youth </w:t>
      </w:r>
      <w:r w:rsidR="00A53D40" w:rsidRPr="00C04BEB">
        <w:rPr>
          <w:rFonts w:ascii="Arial" w:hAnsi="Arial" w:cs="Arial"/>
          <w:i/>
          <w:iCs/>
        </w:rPr>
        <w:t>Studies</w:t>
      </w:r>
      <w:r w:rsidR="00A53D40" w:rsidRPr="00C04BEB">
        <w:rPr>
          <w:rFonts w:ascii="Arial" w:hAnsi="Arial" w:cs="Arial"/>
        </w:rPr>
        <w:t>, 20</w:t>
      </w:r>
      <w:r w:rsidRPr="00C04BEB">
        <w:rPr>
          <w:rFonts w:ascii="Arial" w:hAnsi="Arial" w:cs="Arial"/>
        </w:rPr>
        <w:t xml:space="preserve">(6), pp.677–696. </w:t>
      </w:r>
      <w:r w:rsidR="00E90832">
        <w:rPr>
          <w:rFonts w:ascii="Arial" w:hAnsi="Arial" w:cs="Arial"/>
        </w:rPr>
        <w:t>DOI</w:t>
      </w:r>
      <w:r w:rsidRPr="00C04BEB">
        <w:rPr>
          <w:rFonts w:ascii="Arial" w:hAnsi="Arial" w:cs="Arial"/>
        </w:rPr>
        <w:t>:10.1080/13676261.2016.1260694. [Accessed 23 Jan. 2024].</w:t>
      </w:r>
      <w:r w:rsidRPr="00C04BEB">
        <w:rPr>
          <w:rFonts w:ascii="Arial" w:hAnsi="Arial" w:cs="Arial"/>
        </w:rPr>
        <w:br/>
      </w:r>
      <w:r w:rsidRPr="00C04BEB">
        <w:rPr>
          <w:rFonts w:ascii="Arial" w:hAnsi="Arial" w:cs="Arial"/>
        </w:rPr>
        <w:br/>
        <w:t xml:space="preserve">Subedi, K.R. (2021). Determining the Sample in Qualitative Research. </w:t>
      </w:r>
      <w:r w:rsidRPr="00C04BEB">
        <w:rPr>
          <w:rFonts w:ascii="Arial" w:hAnsi="Arial" w:cs="Arial"/>
          <w:i/>
          <w:iCs/>
        </w:rPr>
        <w:t xml:space="preserve">Scholars’ </w:t>
      </w:r>
      <w:r w:rsidR="00A53D40" w:rsidRPr="00C04BEB">
        <w:rPr>
          <w:rFonts w:ascii="Arial" w:hAnsi="Arial" w:cs="Arial"/>
          <w:i/>
          <w:iCs/>
        </w:rPr>
        <w:t>Journal</w:t>
      </w:r>
      <w:r w:rsidR="00A53D40" w:rsidRPr="00C04BEB">
        <w:rPr>
          <w:rFonts w:ascii="Arial" w:hAnsi="Arial" w:cs="Arial"/>
        </w:rPr>
        <w:t>, 4</w:t>
      </w:r>
      <w:r w:rsidRPr="00C04BEB">
        <w:rPr>
          <w:rFonts w:ascii="Arial" w:hAnsi="Arial" w:cs="Arial"/>
        </w:rPr>
        <w:t xml:space="preserve">, pp.1–13. </w:t>
      </w:r>
      <w:r w:rsidR="00E90832">
        <w:rPr>
          <w:rFonts w:ascii="Arial" w:hAnsi="Arial" w:cs="Arial"/>
        </w:rPr>
        <w:t>DOI</w:t>
      </w:r>
      <w:r w:rsidRPr="00C04BEB">
        <w:rPr>
          <w:rFonts w:ascii="Arial" w:hAnsi="Arial" w:cs="Arial"/>
        </w:rPr>
        <w:t>:10.3126/scholars.v4i1.42457.</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t xml:space="preserve">The Children's Society (2019). </w:t>
      </w:r>
      <w:r w:rsidRPr="00C04BEB">
        <w:rPr>
          <w:rFonts w:ascii="Arial" w:hAnsi="Arial" w:cs="Arial"/>
          <w:i/>
          <w:iCs/>
        </w:rPr>
        <w:t xml:space="preserve">Counting Lives </w:t>
      </w:r>
      <w:r w:rsidR="00A53D40" w:rsidRPr="00C04BEB">
        <w:rPr>
          <w:rFonts w:ascii="Arial" w:hAnsi="Arial" w:cs="Arial"/>
          <w:i/>
          <w:iCs/>
        </w:rPr>
        <w:t>Report</w:t>
      </w:r>
      <w:r w:rsidR="00D23C7C" w:rsidRPr="00C04BEB">
        <w:rPr>
          <w:rFonts w:ascii="Arial" w:hAnsi="Arial" w:cs="Arial"/>
          <w:i/>
          <w:iCs/>
        </w:rPr>
        <w:t>.</w:t>
      </w:r>
      <w:r w:rsidR="00D23C7C" w:rsidRPr="00C04BEB">
        <w:rPr>
          <w:rFonts w:ascii="Arial" w:hAnsi="Arial" w:cs="Arial"/>
        </w:rPr>
        <w:t xml:space="preserve"> </w:t>
      </w:r>
      <w:r w:rsidRPr="00C04BEB">
        <w:rPr>
          <w:rFonts w:ascii="Arial" w:hAnsi="Arial" w:cs="Arial"/>
        </w:rPr>
        <w:t>www.childrenssociety.org.uk. Available at: https://www.childrenssociety.org.uk/information/professionals/resources/counting-lives [Accessed 29 Apr. 2024].</w:t>
      </w:r>
      <w:r w:rsidRPr="00C04BEB">
        <w:rPr>
          <w:rFonts w:ascii="Arial" w:hAnsi="Arial" w:cs="Arial"/>
        </w:rPr>
        <w:br/>
      </w:r>
      <w:r w:rsidRPr="00C04BEB">
        <w:rPr>
          <w:rFonts w:ascii="Arial" w:hAnsi="Arial" w:cs="Arial"/>
        </w:rPr>
        <w:br/>
        <w:t xml:space="preserve">Theofanidis, D. and Fountouki, A. (2018). Limitations and delimitations in the research process. </w:t>
      </w:r>
      <w:r w:rsidRPr="00C04BEB">
        <w:rPr>
          <w:rFonts w:ascii="Arial" w:hAnsi="Arial" w:cs="Arial"/>
          <w:i/>
          <w:iCs/>
        </w:rPr>
        <w:t xml:space="preserve">Perioperative </w:t>
      </w:r>
      <w:r w:rsidR="00A53D40" w:rsidRPr="00C04BEB">
        <w:rPr>
          <w:rFonts w:ascii="Arial" w:hAnsi="Arial" w:cs="Arial"/>
          <w:i/>
          <w:iCs/>
        </w:rPr>
        <w:t>Nursing</w:t>
      </w:r>
      <w:r w:rsidR="00A53D40" w:rsidRPr="00C04BEB">
        <w:rPr>
          <w:rFonts w:ascii="Arial" w:hAnsi="Arial" w:cs="Arial"/>
        </w:rPr>
        <w:t>, 7</w:t>
      </w:r>
      <w:r w:rsidRPr="00C04BEB">
        <w:rPr>
          <w:rFonts w:ascii="Arial" w:hAnsi="Arial" w:cs="Arial"/>
        </w:rPr>
        <w:t xml:space="preserve">(3), pp.155–162. </w:t>
      </w:r>
      <w:r w:rsidR="00E90832">
        <w:rPr>
          <w:rFonts w:ascii="Arial" w:hAnsi="Arial" w:cs="Arial"/>
        </w:rPr>
        <w:t>DOI</w:t>
      </w:r>
      <w:r w:rsidRPr="00C04BEB">
        <w:rPr>
          <w:rFonts w:ascii="Arial" w:hAnsi="Arial" w:cs="Arial"/>
        </w:rPr>
        <w:t>:10.5281/zenodo.2552022.</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t xml:space="preserve">Thomas, A., </w:t>
      </w:r>
      <w:r w:rsidR="00E90832" w:rsidRPr="00C04BEB">
        <w:rPr>
          <w:rFonts w:ascii="Arial" w:hAnsi="Arial" w:cs="Arial"/>
        </w:rPr>
        <w:t>Iwan,</w:t>
      </w:r>
      <w:r w:rsidRPr="00C04BEB">
        <w:rPr>
          <w:rFonts w:ascii="Arial" w:hAnsi="Arial" w:cs="Arial"/>
        </w:rPr>
        <w:t xml:space="preserve"> T. and McCarthy, J. (2024). Police visits to schools will be axed </w:t>
      </w:r>
      <w:r w:rsidRPr="00C04BEB">
        <w:rPr>
          <w:rFonts w:ascii="Arial" w:hAnsi="Arial" w:cs="Arial"/>
        </w:rPr>
        <w:lastRenderedPageBreak/>
        <w:t xml:space="preserve">amid £2m funding cuts. </w:t>
      </w:r>
      <w:r w:rsidRPr="00C04BEB">
        <w:rPr>
          <w:rFonts w:ascii="Arial" w:hAnsi="Arial" w:cs="Arial"/>
          <w:i/>
          <w:iCs/>
        </w:rPr>
        <w:t>BBC News</w:t>
      </w:r>
      <w:r w:rsidR="00D23C7C" w:rsidRPr="00C04BEB">
        <w:rPr>
          <w:rFonts w:ascii="Arial" w:hAnsi="Arial" w:cs="Arial"/>
        </w:rPr>
        <w:t xml:space="preserve">. </w:t>
      </w:r>
      <w:r w:rsidRPr="00C04BEB">
        <w:rPr>
          <w:rFonts w:ascii="Arial" w:hAnsi="Arial" w:cs="Arial"/>
        </w:rPr>
        <w:t>8 Feb. Available at: https://www.bbc.co.uk/news/uk-wales-68245332 [Accessed 30 Jun. 2024].</w:t>
      </w:r>
      <w:r w:rsidRPr="00C04BEB">
        <w:rPr>
          <w:rFonts w:ascii="Arial" w:hAnsi="Arial" w:cs="Arial"/>
        </w:rPr>
        <w:br/>
      </w:r>
      <w:r w:rsidRPr="00C04BEB">
        <w:rPr>
          <w:rFonts w:ascii="Arial" w:hAnsi="Arial" w:cs="Arial"/>
        </w:rPr>
        <w:br/>
        <w:t xml:space="preserve">UNICEF (2022). </w:t>
      </w:r>
      <w:r w:rsidRPr="00C04BEB">
        <w:rPr>
          <w:rFonts w:ascii="Arial" w:hAnsi="Arial" w:cs="Arial"/>
          <w:i/>
          <w:iCs/>
        </w:rPr>
        <w:t>How many children are there in the UK</w:t>
      </w:r>
      <w:r w:rsidR="00D23C7C" w:rsidRPr="00C04BEB">
        <w:rPr>
          <w:rFonts w:ascii="Arial" w:hAnsi="Arial" w:cs="Arial"/>
          <w:i/>
          <w:iCs/>
        </w:rPr>
        <w:t>?</w:t>
      </w:r>
      <w:r w:rsidR="00D23C7C" w:rsidRPr="00C04BEB">
        <w:rPr>
          <w:rFonts w:ascii="Arial" w:hAnsi="Arial" w:cs="Arial"/>
        </w:rPr>
        <w:t xml:space="preserve"> </w:t>
      </w:r>
      <w:r w:rsidRPr="00C04BEB">
        <w:rPr>
          <w:rFonts w:ascii="Arial" w:hAnsi="Arial" w:cs="Arial"/>
        </w:rPr>
        <w:t>UNICEF DATA. Available at: https://data.unicef.org/how-many/how-many-children-under-18-are-there-in-the-uk/ [Accessed 10 Jun. 2024].</w:t>
      </w:r>
      <w:r w:rsidRPr="00C04BEB">
        <w:rPr>
          <w:rFonts w:ascii="Arial" w:hAnsi="Arial" w:cs="Arial"/>
        </w:rPr>
        <w:br/>
      </w:r>
      <w:r w:rsidRPr="00C04BEB">
        <w:rPr>
          <w:rFonts w:ascii="Arial" w:hAnsi="Arial" w:cs="Arial"/>
        </w:rPr>
        <w:br/>
        <w:t xml:space="preserve">Vigil, J.D. (2003). Urban Violence and Street Gangs. </w:t>
      </w:r>
      <w:r w:rsidRPr="00C04BEB">
        <w:rPr>
          <w:rFonts w:ascii="Arial" w:hAnsi="Arial" w:cs="Arial"/>
          <w:i/>
          <w:iCs/>
        </w:rPr>
        <w:t xml:space="preserve">Annual Review of </w:t>
      </w:r>
      <w:r w:rsidR="00E90832" w:rsidRPr="00C04BEB">
        <w:rPr>
          <w:rFonts w:ascii="Arial" w:hAnsi="Arial" w:cs="Arial"/>
          <w:i/>
          <w:iCs/>
        </w:rPr>
        <w:t>Anthropology</w:t>
      </w:r>
      <w:r w:rsidR="00E90832" w:rsidRPr="00C04BEB">
        <w:rPr>
          <w:rFonts w:ascii="Arial" w:hAnsi="Arial" w:cs="Arial"/>
        </w:rPr>
        <w:t>, 32</w:t>
      </w:r>
      <w:r w:rsidRPr="00C04BEB">
        <w:rPr>
          <w:rFonts w:ascii="Arial" w:hAnsi="Arial" w:cs="Arial"/>
        </w:rPr>
        <w:t xml:space="preserve">(1), pp.225–24                            2. </w:t>
      </w:r>
      <w:r w:rsidR="00E90832">
        <w:rPr>
          <w:rFonts w:ascii="Arial" w:hAnsi="Arial" w:cs="Arial"/>
        </w:rPr>
        <w:t>DOI:</w:t>
      </w:r>
      <w:r w:rsidRPr="00C04BEB">
        <w:rPr>
          <w:rFonts w:ascii="Arial" w:hAnsi="Arial" w:cs="Arial"/>
        </w:rPr>
        <w:t>10.1146/annurev.anthro.32.061002.093426.</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19</w:t>
      </w:r>
      <w:r w:rsidR="006D529E" w:rsidRPr="00C04BEB">
        <w:rPr>
          <w:rFonts w:ascii="Arial" w:hAnsi="Arial" w:cs="Arial"/>
        </w:rPr>
        <w:t xml:space="preserve"> J</w:t>
      </w:r>
      <w:r w:rsidR="006D529E">
        <w:rPr>
          <w:rFonts w:ascii="Arial" w:hAnsi="Arial" w:cs="Arial"/>
        </w:rPr>
        <w:t>a</w:t>
      </w:r>
      <w:r w:rsidR="006D529E" w:rsidRPr="00C04BEB">
        <w:rPr>
          <w:rFonts w:ascii="Arial" w:hAnsi="Arial" w:cs="Arial"/>
        </w:rPr>
        <w:t>n. 2024]</w:t>
      </w:r>
      <w:r w:rsidRPr="00C04BEB">
        <w:rPr>
          <w:rFonts w:ascii="Arial" w:hAnsi="Arial" w:cs="Arial"/>
        </w:rPr>
        <w:br/>
      </w:r>
      <w:r w:rsidRPr="00C04BEB">
        <w:rPr>
          <w:rFonts w:ascii="Arial" w:hAnsi="Arial" w:cs="Arial"/>
        </w:rPr>
        <w:br/>
      </w:r>
      <w:r w:rsidRPr="00C04BEB">
        <w:rPr>
          <w:rFonts w:ascii="Arial" w:hAnsi="Arial" w:cs="Arial"/>
          <w:shd w:val="clear" w:color="auto" w:fill="FFFFFF"/>
        </w:rPr>
        <w:t>Villacampa, C., &amp; Torres, N. (2017). Human Trafficking for Criminal Exploitation: The Failure to Identify Victims. </w:t>
      </w:r>
      <w:r w:rsidRPr="00C04BEB">
        <w:rPr>
          <w:rFonts w:ascii="Arial" w:hAnsi="Arial" w:cs="Arial"/>
          <w:i/>
          <w:iCs/>
          <w:shd w:val="clear" w:color="auto" w:fill="FFFFFF"/>
        </w:rPr>
        <w:t>European Journal on Criminal Policy and Research</w:t>
      </w:r>
      <w:r w:rsidRPr="00C04BEB">
        <w:rPr>
          <w:rFonts w:ascii="Arial" w:hAnsi="Arial" w:cs="Arial"/>
          <w:shd w:val="clear" w:color="auto" w:fill="FFFFFF"/>
        </w:rPr>
        <w:t xml:space="preserve">, 23(3), 393–408. </w:t>
      </w:r>
      <w:r w:rsidR="00E90832" w:rsidRPr="00E90832">
        <w:rPr>
          <w:rFonts w:ascii="Arial" w:hAnsi="Arial" w:cs="Arial"/>
          <w:shd w:val="clear" w:color="auto" w:fill="FFFFFF"/>
        </w:rPr>
        <w:t>DOI:</w:t>
      </w:r>
      <w:r w:rsidR="006D529E" w:rsidRPr="00E90832">
        <w:rPr>
          <w:rFonts w:ascii="Arial" w:hAnsi="Arial" w:cs="Arial"/>
          <w:shd w:val="clear" w:color="auto" w:fill="FFFFFF"/>
        </w:rPr>
        <w:t>10.1007/s10610-017-9343-4</w:t>
      </w:r>
      <w:r w:rsidR="006D529E">
        <w:rPr>
          <w:rFonts w:ascii="Arial" w:hAnsi="Arial" w:cs="Arial"/>
          <w:shd w:val="clear" w:color="auto" w:fill="FFFFFF"/>
        </w:rPr>
        <w:t xml:space="preserve"> </w:t>
      </w:r>
      <w:r w:rsidR="006D529E" w:rsidRPr="00C04BEB">
        <w:rPr>
          <w:rFonts w:ascii="Arial" w:hAnsi="Arial" w:cs="Arial"/>
        </w:rPr>
        <w:t>[Accessed 2</w:t>
      </w:r>
      <w:r w:rsidR="006D529E">
        <w:rPr>
          <w:rFonts w:ascii="Arial" w:hAnsi="Arial" w:cs="Arial"/>
        </w:rPr>
        <w:t>0</w:t>
      </w:r>
      <w:r w:rsidR="006D529E" w:rsidRPr="00C04BEB">
        <w:rPr>
          <w:rFonts w:ascii="Arial" w:hAnsi="Arial" w:cs="Arial"/>
        </w:rPr>
        <w:t xml:space="preserve"> J</w:t>
      </w:r>
      <w:r w:rsidR="006D529E">
        <w:rPr>
          <w:rFonts w:ascii="Arial" w:hAnsi="Arial" w:cs="Arial"/>
        </w:rPr>
        <w:t>a</w:t>
      </w:r>
      <w:r w:rsidR="006D529E" w:rsidRPr="00C04BEB">
        <w:rPr>
          <w:rFonts w:ascii="Arial" w:hAnsi="Arial" w:cs="Arial"/>
        </w:rPr>
        <w:t>n. 2024]</w:t>
      </w:r>
      <w:r w:rsidRPr="00C04BEB">
        <w:rPr>
          <w:rFonts w:ascii="Arial" w:hAnsi="Arial" w:cs="Arial"/>
          <w:shd w:val="clear" w:color="auto" w:fill="FFFFFF"/>
        </w:rPr>
        <w:br/>
      </w:r>
      <w:r w:rsidRPr="00C04BEB">
        <w:rPr>
          <w:rFonts w:ascii="Arial" w:hAnsi="Arial" w:cs="Arial"/>
        </w:rPr>
        <w:br/>
        <w:t xml:space="preserve">Warria, A., Nel, H. and Triegaardt, J. (2015). Challenges in Identification of Child Victims of Transnational Trafficking. </w:t>
      </w:r>
      <w:r w:rsidR="00A53D40" w:rsidRPr="00C04BEB">
        <w:rPr>
          <w:rFonts w:ascii="Arial" w:hAnsi="Arial" w:cs="Arial"/>
          <w:i/>
          <w:iCs/>
        </w:rPr>
        <w:t>Practice</w:t>
      </w:r>
      <w:r w:rsidR="00A53D40" w:rsidRPr="00C04BEB">
        <w:rPr>
          <w:rFonts w:ascii="Arial" w:hAnsi="Arial" w:cs="Arial"/>
        </w:rPr>
        <w:t>, 27</w:t>
      </w:r>
      <w:r w:rsidRPr="00C04BEB">
        <w:rPr>
          <w:rFonts w:ascii="Arial" w:hAnsi="Arial" w:cs="Arial"/>
        </w:rPr>
        <w:t xml:space="preserve">(5), pp.315–333. </w:t>
      </w:r>
      <w:r w:rsidR="00E90832">
        <w:rPr>
          <w:rFonts w:ascii="Arial" w:hAnsi="Arial" w:cs="Arial"/>
        </w:rPr>
        <w:t>DOI</w:t>
      </w:r>
      <w:r w:rsidRPr="00C04BEB">
        <w:rPr>
          <w:rFonts w:ascii="Arial" w:hAnsi="Arial" w:cs="Arial"/>
        </w:rPr>
        <w:t>:10.1080/09503153.2015.1039974.</w:t>
      </w:r>
      <w:r w:rsidR="006D529E">
        <w:rPr>
          <w:rFonts w:ascii="Arial" w:hAnsi="Arial" w:cs="Arial"/>
        </w:rPr>
        <w:t xml:space="preserve"> </w:t>
      </w:r>
      <w:r w:rsidR="006D529E" w:rsidRPr="00C04BEB">
        <w:rPr>
          <w:rFonts w:ascii="Arial" w:hAnsi="Arial" w:cs="Arial"/>
        </w:rPr>
        <w:t xml:space="preserve">[Accessed 24 </w:t>
      </w:r>
      <w:r w:rsidR="006D529E">
        <w:rPr>
          <w:rFonts w:ascii="Arial" w:hAnsi="Arial" w:cs="Arial"/>
        </w:rPr>
        <w:t>Mar</w:t>
      </w:r>
      <w:r w:rsidR="006D529E" w:rsidRPr="00C04BEB">
        <w:rPr>
          <w:rFonts w:ascii="Arial" w:hAnsi="Arial" w:cs="Arial"/>
        </w:rPr>
        <w:t>. 2024]</w:t>
      </w:r>
      <w:r w:rsidRPr="00C04BEB">
        <w:rPr>
          <w:rFonts w:ascii="Arial" w:hAnsi="Arial" w:cs="Arial"/>
        </w:rPr>
        <w:br/>
      </w:r>
      <w:r w:rsidRPr="00C04BEB">
        <w:rPr>
          <w:rFonts w:ascii="Arial" w:hAnsi="Arial" w:cs="Arial"/>
        </w:rPr>
        <w:br/>
        <w:t>Welsh government (n.d.). Teenagers | GOV.WALES</w:t>
      </w:r>
      <w:r w:rsidR="00D23C7C" w:rsidRPr="00C04BEB">
        <w:rPr>
          <w:rFonts w:ascii="Arial" w:hAnsi="Arial" w:cs="Arial"/>
        </w:rPr>
        <w:t xml:space="preserve">. </w:t>
      </w:r>
      <w:r w:rsidRPr="00C04BEB">
        <w:rPr>
          <w:rFonts w:ascii="Arial" w:hAnsi="Arial" w:cs="Arial"/>
        </w:rPr>
        <w:t>www.gov.wales. Available at: https://www.gov.wales/parenting-give-it-time/children-13 [Accessed 22 Jan. 2024].</w:t>
      </w:r>
      <w:r w:rsidRPr="00C04BEB">
        <w:rPr>
          <w:rFonts w:ascii="Arial" w:hAnsi="Arial" w:cs="Arial"/>
        </w:rPr>
        <w:br/>
      </w:r>
      <w:r w:rsidRPr="00C04BEB">
        <w:rPr>
          <w:rFonts w:ascii="Arial" w:hAnsi="Arial" w:cs="Arial"/>
        </w:rPr>
        <w:br/>
        <w:t xml:space="preserve">Wilkey, C., Lundgren, L. and Amodeo, M. (2013). Addiction Training in Social Work Schools: A Nationwide Analysis. </w:t>
      </w:r>
      <w:r w:rsidRPr="00C04BEB">
        <w:rPr>
          <w:rFonts w:ascii="Arial" w:hAnsi="Arial" w:cs="Arial"/>
          <w:i/>
          <w:iCs/>
        </w:rPr>
        <w:t xml:space="preserve">Journal of Social Work Practice in the </w:t>
      </w:r>
      <w:r w:rsidR="00A53D40" w:rsidRPr="00C04BEB">
        <w:rPr>
          <w:rFonts w:ascii="Arial" w:hAnsi="Arial" w:cs="Arial"/>
          <w:i/>
          <w:iCs/>
        </w:rPr>
        <w:t>Addictions</w:t>
      </w:r>
      <w:r w:rsidR="00A53D40" w:rsidRPr="00C04BEB">
        <w:rPr>
          <w:rFonts w:ascii="Arial" w:hAnsi="Arial" w:cs="Arial"/>
        </w:rPr>
        <w:t>, 13</w:t>
      </w:r>
      <w:r w:rsidRPr="00C04BEB">
        <w:rPr>
          <w:rFonts w:ascii="Arial" w:hAnsi="Arial" w:cs="Arial"/>
        </w:rPr>
        <w:t xml:space="preserve">(2), pp.192–210. </w:t>
      </w:r>
      <w:r w:rsidR="00E90832">
        <w:rPr>
          <w:rFonts w:ascii="Arial" w:hAnsi="Arial" w:cs="Arial"/>
        </w:rPr>
        <w:t>DOI</w:t>
      </w:r>
      <w:r w:rsidRPr="00C04BEB">
        <w:rPr>
          <w:rFonts w:ascii="Arial" w:hAnsi="Arial" w:cs="Arial"/>
        </w:rPr>
        <w:t>:10.1080/1533256x.2013.785872. [Accessed 29 Jan. 2024].</w:t>
      </w:r>
      <w:r w:rsidRPr="00C04BEB">
        <w:rPr>
          <w:rFonts w:ascii="Arial" w:hAnsi="Arial" w:cs="Arial"/>
        </w:rPr>
        <w:br/>
      </w:r>
      <w:r w:rsidRPr="00C04BEB">
        <w:rPr>
          <w:rFonts w:ascii="Arial" w:hAnsi="Arial" w:cs="Arial"/>
        </w:rPr>
        <w:br/>
        <w:t xml:space="preserve">Williams, A., &amp; Glover Williams, F. (2019). County lines: how gang crime is affecting our young people. </w:t>
      </w:r>
      <w:r w:rsidRPr="00C04BEB">
        <w:rPr>
          <w:rFonts w:ascii="Arial" w:hAnsi="Arial" w:cs="Arial"/>
          <w:i/>
          <w:iCs/>
        </w:rPr>
        <w:t>Archives of Disease in Childhood</w:t>
      </w:r>
      <w:r w:rsidRPr="00C04BEB">
        <w:rPr>
          <w:rFonts w:ascii="Arial" w:hAnsi="Arial" w:cs="Arial"/>
        </w:rPr>
        <w:t>., 104(8), 730–732.</w:t>
      </w:r>
      <w:r w:rsidR="00A53D40">
        <w:rPr>
          <w:rFonts w:ascii="Arial" w:hAnsi="Arial" w:cs="Arial"/>
        </w:rPr>
        <w:t xml:space="preserve"> </w:t>
      </w:r>
      <w:r w:rsidR="00E90832">
        <w:rPr>
          <w:rFonts w:ascii="Arial" w:hAnsi="Arial" w:cs="Arial"/>
        </w:rPr>
        <w:t>DOI</w:t>
      </w:r>
      <w:r w:rsidR="00A53D40">
        <w:rPr>
          <w:rFonts w:ascii="Arial" w:hAnsi="Arial" w:cs="Arial"/>
        </w:rPr>
        <w:t>:</w:t>
      </w:r>
      <w:r w:rsidR="006D529E" w:rsidRPr="006D529E">
        <w:rPr>
          <w:rFonts w:ascii="Arial" w:hAnsi="Arial" w:cs="Arial"/>
        </w:rPr>
        <w:t>10.1136/archdischild-2018-315909</w:t>
      </w:r>
      <w:r w:rsidR="006D529E">
        <w:rPr>
          <w:rFonts w:ascii="Arial" w:hAnsi="Arial" w:cs="Arial"/>
        </w:rPr>
        <w:t xml:space="preserve"> </w:t>
      </w:r>
      <w:r w:rsidR="006D529E" w:rsidRPr="00C04BEB">
        <w:rPr>
          <w:rFonts w:ascii="Arial" w:hAnsi="Arial" w:cs="Arial"/>
        </w:rPr>
        <w:t>[Accessed 24 Jun. 2024]</w:t>
      </w:r>
      <w:r w:rsidRPr="00C04BEB">
        <w:rPr>
          <w:rFonts w:ascii="Arial" w:hAnsi="Arial" w:cs="Arial"/>
        </w:rPr>
        <w:br/>
      </w:r>
      <w:r w:rsidRPr="00C04BEB">
        <w:rPr>
          <w:rFonts w:ascii="Arial" w:hAnsi="Arial" w:cs="Arial"/>
        </w:rPr>
        <w:br/>
      </w:r>
      <w:r w:rsidRPr="00C04BEB">
        <w:rPr>
          <w:rFonts w:ascii="Arial" w:hAnsi="Arial" w:cs="Arial"/>
          <w:color w:val="3A3A3A"/>
        </w:rPr>
        <w:t>Windle, J., Moyle, L., &amp; Coomber, R. (2020). ‘Vulnerable’ Kids Going Country: Children and Young People’s Involvement in County Lines Drug Dealing. </w:t>
      </w:r>
      <w:r w:rsidRPr="00C04BEB">
        <w:rPr>
          <w:rFonts w:ascii="Arial" w:hAnsi="Arial" w:cs="Arial"/>
          <w:i/>
          <w:iCs/>
          <w:color w:val="3A3A3A"/>
        </w:rPr>
        <w:t>Youth Justice</w:t>
      </w:r>
      <w:r w:rsidRPr="00C04BEB">
        <w:rPr>
          <w:rFonts w:ascii="Arial" w:hAnsi="Arial" w:cs="Arial"/>
          <w:color w:val="3A3A3A"/>
        </w:rPr>
        <w:t xml:space="preserve">, 20(1–2), 64–78. </w:t>
      </w:r>
      <w:r w:rsidR="00E90832">
        <w:rPr>
          <w:rFonts w:ascii="Arial" w:hAnsi="Arial" w:cs="Arial"/>
        </w:rPr>
        <w:t>DOI</w:t>
      </w:r>
      <w:r w:rsidR="00A53D40">
        <w:rPr>
          <w:rFonts w:ascii="Arial" w:hAnsi="Arial" w:cs="Arial"/>
        </w:rPr>
        <w:t>:1</w:t>
      </w:r>
      <w:r w:rsidR="006D529E" w:rsidRPr="006D529E">
        <w:rPr>
          <w:rFonts w:ascii="Arial" w:hAnsi="Arial" w:cs="Arial"/>
        </w:rPr>
        <w:t>0.1177/1473225420902840</w:t>
      </w:r>
      <w:r w:rsidR="006D529E">
        <w:rPr>
          <w:rFonts w:ascii="Arial" w:hAnsi="Arial" w:cs="Arial"/>
        </w:rPr>
        <w:t xml:space="preserve"> </w:t>
      </w:r>
      <w:r w:rsidR="006D529E" w:rsidRPr="00C04BEB">
        <w:rPr>
          <w:rFonts w:ascii="Arial" w:hAnsi="Arial" w:cs="Arial"/>
        </w:rPr>
        <w:t xml:space="preserve">[Accessed </w:t>
      </w:r>
      <w:r w:rsidR="006D529E">
        <w:rPr>
          <w:rFonts w:ascii="Arial" w:hAnsi="Arial" w:cs="Arial"/>
        </w:rPr>
        <w:t xml:space="preserve">19 </w:t>
      </w:r>
      <w:r w:rsidR="006D529E" w:rsidRPr="00C04BEB">
        <w:rPr>
          <w:rFonts w:ascii="Arial" w:hAnsi="Arial" w:cs="Arial"/>
        </w:rPr>
        <w:t>J</w:t>
      </w:r>
      <w:r w:rsidR="006D529E">
        <w:rPr>
          <w:rFonts w:ascii="Arial" w:hAnsi="Arial" w:cs="Arial"/>
        </w:rPr>
        <w:t>a</w:t>
      </w:r>
      <w:r w:rsidR="006D529E" w:rsidRPr="00C04BEB">
        <w:rPr>
          <w:rFonts w:ascii="Arial" w:hAnsi="Arial" w:cs="Arial"/>
        </w:rPr>
        <w:t>n. 2024]</w:t>
      </w:r>
      <w:r w:rsidRPr="00C04BEB">
        <w:rPr>
          <w:rFonts w:ascii="Arial" w:hAnsi="Arial" w:cs="Arial"/>
          <w:color w:val="3A3A3A"/>
        </w:rPr>
        <w:br/>
      </w:r>
      <w:r w:rsidRPr="00C04BEB">
        <w:rPr>
          <w:rFonts w:ascii="Arial" w:hAnsi="Arial" w:cs="Arial"/>
          <w:color w:val="3A3A3A"/>
        </w:rPr>
        <w:lastRenderedPageBreak/>
        <w:br/>
      </w:r>
      <w:r w:rsidRPr="00C04BEB">
        <w:rPr>
          <w:rFonts w:ascii="Arial" w:hAnsi="Arial" w:cs="Arial"/>
        </w:rPr>
        <w:t xml:space="preserve">Wood, J. and Alleyne, E. (2010). Street gang theory and research: Where are we now and where do we go from here? </w:t>
      </w:r>
      <w:r w:rsidRPr="00C04BEB">
        <w:rPr>
          <w:rFonts w:ascii="Arial" w:hAnsi="Arial" w:cs="Arial"/>
          <w:i/>
          <w:iCs/>
        </w:rPr>
        <w:t xml:space="preserve">Aggression and Violent </w:t>
      </w:r>
      <w:r w:rsidR="00A53D40" w:rsidRPr="00C04BEB">
        <w:rPr>
          <w:rFonts w:ascii="Arial" w:hAnsi="Arial" w:cs="Arial"/>
          <w:i/>
          <w:iCs/>
        </w:rPr>
        <w:t>Behaviour</w:t>
      </w:r>
      <w:r w:rsidR="00A53D40" w:rsidRPr="00C04BEB">
        <w:rPr>
          <w:rFonts w:ascii="Arial" w:hAnsi="Arial" w:cs="Arial"/>
        </w:rPr>
        <w:t>, 15</w:t>
      </w:r>
      <w:r w:rsidRPr="00C04BEB">
        <w:rPr>
          <w:rFonts w:ascii="Arial" w:hAnsi="Arial" w:cs="Arial"/>
        </w:rPr>
        <w:t xml:space="preserve">(2), pp.100–111. </w:t>
      </w:r>
      <w:r w:rsidR="00E90832">
        <w:rPr>
          <w:rFonts w:ascii="Arial" w:hAnsi="Arial" w:cs="Arial"/>
        </w:rPr>
        <w:t>DOI</w:t>
      </w:r>
      <w:r w:rsidRPr="00C04BEB">
        <w:rPr>
          <w:rFonts w:ascii="Arial" w:hAnsi="Arial" w:cs="Arial"/>
        </w:rPr>
        <w:t>:10.1016/j.avb.2009.08.005.</w:t>
      </w:r>
      <w:r w:rsidR="006D529E">
        <w:rPr>
          <w:rFonts w:ascii="Arial" w:hAnsi="Arial" w:cs="Arial"/>
        </w:rPr>
        <w:t xml:space="preserve"> </w:t>
      </w:r>
      <w:r w:rsidR="006D529E" w:rsidRPr="00C04BEB">
        <w:rPr>
          <w:rFonts w:ascii="Arial" w:hAnsi="Arial" w:cs="Arial"/>
        </w:rPr>
        <w:t>[Accessed 24 Jun. 2024]</w:t>
      </w:r>
    </w:p>
    <w:p w14:paraId="0CF94F2B" w14:textId="77777777" w:rsidR="00FE2C72" w:rsidRPr="005D2EC8" w:rsidRDefault="00FE2C72" w:rsidP="005D2EC8">
      <w:pPr>
        <w:rPr>
          <w:rFonts w:cs="Arial"/>
          <w:szCs w:val="24"/>
        </w:rPr>
      </w:pPr>
    </w:p>
    <w:sectPr w:rsidR="00FE2C72" w:rsidRPr="005D2EC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D63E9" w14:textId="77777777" w:rsidR="00E40E52" w:rsidRDefault="00E40E52" w:rsidP="00E40E52">
      <w:pPr>
        <w:spacing w:line="240" w:lineRule="auto"/>
      </w:pPr>
      <w:r>
        <w:separator/>
      </w:r>
    </w:p>
  </w:endnote>
  <w:endnote w:type="continuationSeparator" w:id="0">
    <w:p w14:paraId="22C4C5EE" w14:textId="77777777" w:rsidR="00E40E52" w:rsidRDefault="00E40E52" w:rsidP="00E40E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87535"/>
      <w:docPartObj>
        <w:docPartGallery w:val="Page Numbers (Bottom of Page)"/>
        <w:docPartUnique/>
      </w:docPartObj>
    </w:sdtPr>
    <w:sdtEndPr>
      <w:rPr>
        <w:noProof/>
      </w:rPr>
    </w:sdtEndPr>
    <w:sdtContent>
      <w:p w14:paraId="1714618B" w14:textId="3C9371E8" w:rsidR="00E40E52" w:rsidRDefault="00E40E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7220C4" w14:textId="77777777" w:rsidR="00E40E52" w:rsidRDefault="00E40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08B3B" w14:textId="77777777" w:rsidR="00E40E52" w:rsidRDefault="00E40E52" w:rsidP="00E40E52">
      <w:pPr>
        <w:spacing w:line="240" w:lineRule="auto"/>
      </w:pPr>
      <w:r>
        <w:separator/>
      </w:r>
    </w:p>
  </w:footnote>
  <w:footnote w:type="continuationSeparator" w:id="0">
    <w:p w14:paraId="142CEDF2" w14:textId="77777777" w:rsidR="00E40E52" w:rsidRDefault="00E40E52" w:rsidP="00E40E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05C7D"/>
    <w:multiLevelType w:val="hybridMultilevel"/>
    <w:tmpl w:val="EFE85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DB1AAA"/>
    <w:multiLevelType w:val="hybridMultilevel"/>
    <w:tmpl w:val="49580FB8"/>
    <w:lvl w:ilvl="0" w:tplc="49B2872E">
      <w:start w:val="1"/>
      <w:numFmt w:val="bullet"/>
      <w:lvlText w:val="•"/>
      <w:lvlJc w:val="left"/>
      <w:pPr>
        <w:tabs>
          <w:tab w:val="num" w:pos="720"/>
        </w:tabs>
        <w:ind w:left="720" w:hanging="360"/>
      </w:pPr>
      <w:rPr>
        <w:rFonts w:ascii="Arial" w:hAnsi="Arial" w:hint="default"/>
      </w:rPr>
    </w:lvl>
    <w:lvl w:ilvl="1" w:tplc="4E6C05EA" w:tentative="1">
      <w:start w:val="1"/>
      <w:numFmt w:val="bullet"/>
      <w:lvlText w:val="•"/>
      <w:lvlJc w:val="left"/>
      <w:pPr>
        <w:tabs>
          <w:tab w:val="num" w:pos="1440"/>
        </w:tabs>
        <w:ind w:left="1440" w:hanging="360"/>
      </w:pPr>
      <w:rPr>
        <w:rFonts w:ascii="Arial" w:hAnsi="Arial" w:hint="default"/>
      </w:rPr>
    </w:lvl>
    <w:lvl w:ilvl="2" w:tplc="31ECA83E" w:tentative="1">
      <w:start w:val="1"/>
      <w:numFmt w:val="bullet"/>
      <w:lvlText w:val="•"/>
      <w:lvlJc w:val="left"/>
      <w:pPr>
        <w:tabs>
          <w:tab w:val="num" w:pos="2160"/>
        </w:tabs>
        <w:ind w:left="2160" w:hanging="360"/>
      </w:pPr>
      <w:rPr>
        <w:rFonts w:ascii="Arial" w:hAnsi="Arial" w:hint="default"/>
      </w:rPr>
    </w:lvl>
    <w:lvl w:ilvl="3" w:tplc="E424BF7A" w:tentative="1">
      <w:start w:val="1"/>
      <w:numFmt w:val="bullet"/>
      <w:lvlText w:val="•"/>
      <w:lvlJc w:val="left"/>
      <w:pPr>
        <w:tabs>
          <w:tab w:val="num" w:pos="2880"/>
        </w:tabs>
        <w:ind w:left="2880" w:hanging="360"/>
      </w:pPr>
      <w:rPr>
        <w:rFonts w:ascii="Arial" w:hAnsi="Arial" w:hint="default"/>
      </w:rPr>
    </w:lvl>
    <w:lvl w:ilvl="4" w:tplc="6778D1D0" w:tentative="1">
      <w:start w:val="1"/>
      <w:numFmt w:val="bullet"/>
      <w:lvlText w:val="•"/>
      <w:lvlJc w:val="left"/>
      <w:pPr>
        <w:tabs>
          <w:tab w:val="num" w:pos="3600"/>
        </w:tabs>
        <w:ind w:left="3600" w:hanging="360"/>
      </w:pPr>
      <w:rPr>
        <w:rFonts w:ascii="Arial" w:hAnsi="Arial" w:hint="default"/>
      </w:rPr>
    </w:lvl>
    <w:lvl w:ilvl="5" w:tplc="D80002F8" w:tentative="1">
      <w:start w:val="1"/>
      <w:numFmt w:val="bullet"/>
      <w:lvlText w:val="•"/>
      <w:lvlJc w:val="left"/>
      <w:pPr>
        <w:tabs>
          <w:tab w:val="num" w:pos="4320"/>
        </w:tabs>
        <w:ind w:left="4320" w:hanging="360"/>
      </w:pPr>
      <w:rPr>
        <w:rFonts w:ascii="Arial" w:hAnsi="Arial" w:hint="default"/>
      </w:rPr>
    </w:lvl>
    <w:lvl w:ilvl="6" w:tplc="282A17AA" w:tentative="1">
      <w:start w:val="1"/>
      <w:numFmt w:val="bullet"/>
      <w:lvlText w:val="•"/>
      <w:lvlJc w:val="left"/>
      <w:pPr>
        <w:tabs>
          <w:tab w:val="num" w:pos="5040"/>
        </w:tabs>
        <w:ind w:left="5040" w:hanging="360"/>
      </w:pPr>
      <w:rPr>
        <w:rFonts w:ascii="Arial" w:hAnsi="Arial" w:hint="default"/>
      </w:rPr>
    </w:lvl>
    <w:lvl w:ilvl="7" w:tplc="4170AF8C" w:tentative="1">
      <w:start w:val="1"/>
      <w:numFmt w:val="bullet"/>
      <w:lvlText w:val="•"/>
      <w:lvlJc w:val="left"/>
      <w:pPr>
        <w:tabs>
          <w:tab w:val="num" w:pos="5760"/>
        </w:tabs>
        <w:ind w:left="5760" w:hanging="360"/>
      </w:pPr>
      <w:rPr>
        <w:rFonts w:ascii="Arial" w:hAnsi="Arial" w:hint="default"/>
      </w:rPr>
    </w:lvl>
    <w:lvl w:ilvl="8" w:tplc="0B1EF9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503F9F"/>
    <w:multiLevelType w:val="multilevel"/>
    <w:tmpl w:val="1A2EB328"/>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68E2A12"/>
    <w:multiLevelType w:val="hybridMultilevel"/>
    <w:tmpl w:val="5562E452"/>
    <w:lvl w:ilvl="0" w:tplc="D972A5A0">
      <w:start w:val="1"/>
      <w:numFmt w:val="bullet"/>
      <w:lvlText w:val="•"/>
      <w:lvlJc w:val="left"/>
      <w:pPr>
        <w:tabs>
          <w:tab w:val="num" w:pos="720"/>
        </w:tabs>
        <w:ind w:left="720" w:hanging="360"/>
      </w:pPr>
      <w:rPr>
        <w:rFonts w:ascii="Arial" w:hAnsi="Arial" w:hint="default"/>
      </w:rPr>
    </w:lvl>
    <w:lvl w:ilvl="1" w:tplc="7F7E8664" w:tentative="1">
      <w:start w:val="1"/>
      <w:numFmt w:val="bullet"/>
      <w:lvlText w:val="•"/>
      <w:lvlJc w:val="left"/>
      <w:pPr>
        <w:tabs>
          <w:tab w:val="num" w:pos="1440"/>
        </w:tabs>
        <w:ind w:left="1440" w:hanging="360"/>
      </w:pPr>
      <w:rPr>
        <w:rFonts w:ascii="Arial" w:hAnsi="Arial" w:hint="default"/>
      </w:rPr>
    </w:lvl>
    <w:lvl w:ilvl="2" w:tplc="0AFA66B4" w:tentative="1">
      <w:start w:val="1"/>
      <w:numFmt w:val="bullet"/>
      <w:lvlText w:val="•"/>
      <w:lvlJc w:val="left"/>
      <w:pPr>
        <w:tabs>
          <w:tab w:val="num" w:pos="2160"/>
        </w:tabs>
        <w:ind w:left="2160" w:hanging="360"/>
      </w:pPr>
      <w:rPr>
        <w:rFonts w:ascii="Arial" w:hAnsi="Arial" w:hint="default"/>
      </w:rPr>
    </w:lvl>
    <w:lvl w:ilvl="3" w:tplc="6840C316" w:tentative="1">
      <w:start w:val="1"/>
      <w:numFmt w:val="bullet"/>
      <w:lvlText w:val="•"/>
      <w:lvlJc w:val="left"/>
      <w:pPr>
        <w:tabs>
          <w:tab w:val="num" w:pos="2880"/>
        </w:tabs>
        <w:ind w:left="2880" w:hanging="360"/>
      </w:pPr>
      <w:rPr>
        <w:rFonts w:ascii="Arial" w:hAnsi="Arial" w:hint="default"/>
      </w:rPr>
    </w:lvl>
    <w:lvl w:ilvl="4" w:tplc="B60A2D84" w:tentative="1">
      <w:start w:val="1"/>
      <w:numFmt w:val="bullet"/>
      <w:lvlText w:val="•"/>
      <w:lvlJc w:val="left"/>
      <w:pPr>
        <w:tabs>
          <w:tab w:val="num" w:pos="3600"/>
        </w:tabs>
        <w:ind w:left="3600" w:hanging="360"/>
      </w:pPr>
      <w:rPr>
        <w:rFonts w:ascii="Arial" w:hAnsi="Arial" w:hint="default"/>
      </w:rPr>
    </w:lvl>
    <w:lvl w:ilvl="5" w:tplc="B156A526" w:tentative="1">
      <w:start w:val="1"/>
      <w:numFmt w:val="bullet"/>
      <w:lvlText w:val="•"/>
      <w:lvlJc w:val="left"/>
      <w:pPr>
        <w:tabs>
          <w:tab w:val="num" w:pos="4320"/>
        </w:tabs>
        <w:ind w:left="4320" w:hanging="360"/>
      </w:pPr>
      <w:rPr>
        <w:rFonts w:ascii="Arial" w:hAnsi="Arial" w:hint="default"/>
      </w:rPr>
    </w:lvl>
    <w:lvl w:ilvl="6" w:tplc="2D266C5C" w:tentative="1">
      <w:start w:val="1"/>
      <w:numFmt w:val="bullet"/>
      <w:lvlText w:val="•"/>
      <w:lvlJc w:val="left"/>
      <w:pPr>
        <w:tabs>
          <w:tab w:val="num" w:pos="5040"/>
        </w:tabs>
        <w:ind w:left="5040" w:hanging="360"/>
      </w:pPr>
      <w:rPr>
        <w:rFonts w:ascii="Arial" w:hAnsi="Arial" w:hint="default"/>
      </w:rPr>
    </w:lvl>
    <w:lvl w:ilvl="7" w:tplc="602E2EC4" w:tentative="1">
      <w:start w:val="1"/>
      <w:numFmt w:val="bullet"/>
      <w:lvlText w:val="•"/>
      <w:lvlJc w:val="left"/>
      <w:pPr>
        <w:tabs>
          <w:tab w:val="num" w:pos="5760"/>
        </w:tabs>
        <w:ind w:left="5760" w:hanging="360"/>
      </w:pPr>
      <w:rPr>
        <w:rFonts w:ascii="Arial" w:hAnsi="Arial" w:hint="default"/>
      </w:rPr>
    </w:lvl>
    <w:lvl w:ilvl="8" w:tplc="9DB2600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147F6F"/>
    <w:multiLevelType w:val="hybridMultilevel"/>
    <w:tmpl w:val="33D266A2"/>
    <w:lvl w:ilvl="0" w:tplc="E6A03922">
      <w:start w:val="1"/>
      <w:numFmt w:val="bullet"/>
      <w:lvlText w:val="•"/>
      <w:lvlJc w:val="left"/>
      <w:pPr>
        <w:tabs>
          <w:tab w:val="num" w:pos="720"/>
        </w:tabs>
        <w:ind w:left="720" w:hanging="360"/>
      </w:pPr>
      <w:rPr>
        <w:rFonts w:ascii="Arial" w:hAnsi="Arial" w:hint="default"/>
      </w:rPr>
    </w:lvl>
    <w:lvl w:ilvl="1" w:tplc="34DA09D8" w:tentative="1">
      <w:start w:val="1"/>
      <w:numFmt w:val="bullet"/>
      <w:lvlText w:val="•"/>
      <w:lvlJc w:val="left"/>
      <w:pPr>
        <w:tabs>
          <w:tab w:val="num" w:pos="1440"/>
        </w:tabs>
        <w:ind w:left="1440" w:hanging="360"/>
      </w:pPr>
      <w:rPr>
        <w:rFonts w:ascii="Arial" w:hAnsi="Arial" w:hint="default"/>
      </w:rPr>
    </w:lvl>
    <w:lvl w:ilvl="2" w:tplc="1AF8DC74" w:tentative="1">
      <w:start w:val="1"/>
      <w:numFmt w:val="bullet"/>
      <w:lvlText w:val="•"/>
      <w:lvlJc w:val="left"/>
      <w:pPr>
        <w:tabs>
          <w:tab w:val="num" w:pos="2160"/>
        </w:tabs>
        <w:ind w:left="2160" w:hanging="360"/>
      </w:pPr>
      <w:rPr>
        <w:rFonts w:ascii="Arial" w:hAnsi="Arial" w:hint="default"/>
      </w:rPr>
    </w:lvl>
    <w:lvl w:ilvl="3" w:tplc="D6BA2BEE" w:tentative="1">
      <w:start w:val="1"/>
      <w:numFmt w:val="bullet"/>
      <w:lvlText w:val="•"/>
      <w:lvlJc w:val="left"/>
      <w:pPr>
        <w:tabs>
          <w:tab w:val="num" w:pos="2880"/>
        </w:tabs>
        <w:ind w:left="2880" w:hanging="360"/>
      </w:pPr>
      <w:rPr>
        <w:rFonts w:ascii="Arial" w:hAnsi="Arial" w:hint="default"/>
      </w:rPr>
    </w:lvl>
    <w:lvl w:ilvl="4" w:tplc="980C737A" w:tentative="1">
      <w:start w:val="1"/>
      <w:numFmt w:val="bullet"/>
      <w:lvlText w:val="•"/>
      <w:lvlJc w:val="left"/>
      <w:pPr>
        <w:tabs>
          <w:tab w:val="num" w:pos="3600"/>
        </w:tabs>
        <w:ind w:left="3600" w:hanging="360"/>
      </w:pPr>
      <w:rPr>
        <w:rFonts w:ascii="Arial" w:hAnsi="Arial" w:hint="default"/>
      </w:rPr>
    </w:lvl>
    <w:lvl w:ilvl="5" w:tplc="83A02904" w:tentative="1">
      <w:start w:val="1"/>
      <w:numFmt w:val="bullet"/>
      <w:lvlText w:val="•"/>
      <w:lvlJc w:val="left"/>
      <w:pPr>
        <w:tabs>
          <w:tab w:val="num" w:pos="4320"/>
        </w:tabs>
        <w:ind w:left="4320" w:hanging="360"/>
      </w:pPr>
      <w:rPr>
        <w:rFonts w:ascii="Arial" w:hAnsi="Arial" w:hint="default"/>
      </w:rPr>
    </w:lvl>
    <w:lvl w:ilvl="6" w:tplc="DDD8529C" w:tentative="1">
      <w:start w:val="1"/>
      <w:numFmt w:val="bullet"/>
      <w:lvlText w:val="•"/>
      <w:lvlJc w:val="left"/>
      <w:pPr>
        <w:tabs>
          <w:tab w:val="num" w:pos="5040"/>
        </w:tabs>
        <w:ind w:left="5040" w:hanging="360"/>
      </w:pPr>
      <w:rPr>
        <w:rFonts w:ascii="Arial" w:hAnsi="Arial" w:hint="default"/>
      </w:rPr>
    </w:lvl>
    <w:lvl w:ilvl="7" w:tplc="7B388386" w:tentative="1">
      <w:start w:val="1"/>
      <w:numFmt w:val="bullet"/>
      <w:lvlText w:val="•"/>
      <w:lvlJc w:val="left"/>
      <w:pPr>
        <w:tabs>
          <w:tab w:val="num" w:pos="5760"/>
        </w:tabs>
        <w:ind w:left="5760" w:hanging="360"/>
      </w:pPr>
      <w:rPr>
        <w:rFonts w:ascii="Arial" w:hAnsi="Arial" w:hint="default"/>
      </w:rPr>
    </w:lvl>
    <w:lvl w:ilvl="8" w:tplc="20165E7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FB32378"/>
    <w:multiLevelType w:val="hybridMultilevel"/>
    <w:tmpl w:val="BFDE3040"/>
    <w:lvl w:ilvl="0" w:tplc="5BCC1400">
      <w:start w:val="1"/>
      <w:numFmt w:val="bullet"/>
      <w:lvlText w:val="•"/>
      <w:lvlJc w:val="left"/>
      <w:pPr>
        <w:tabs>
          <w:tab w:val="num" w:pos="720"/>
        </w:tabs>
        <w:ind w:left="720" w:hanging="360"/>
      </w:pPr>
      <w:rPr>
        <w:rFonts w:ascii="Arial" w:hAnsi="Arial" w:hint="default"/>
      </w:rPr>
    </w:lvl>
    <w:lvl w:ilvl="1" w:tplc="A3A68D5C" w:tentative="1">
      <w:start w:val="1"/>
      <w:numFmt w:val="bullet"/>
      <w:lvlText w:val="•"/>
      <w:lvlJc w:val="left"/>
      <w:pPr>
        <w:tabs>
          <w:tab w:val="num" w:pos="1440"/>
        </w:tabs>
        <w:ind w:left="1440" w:hanging="360"/>
      </w:pPr>
      <w:rPr>
        <w:rFonts w:ascii="Arial" w:hAnsi="Arial" w:hint="default"/>
      </w:rPr>
    </w:lvl>
    <w:lvl w:ilvl="2" w:tplc="651AF1EE" w:tentative="1">
      <w:start w:val="1"/>
      <w:numFmt w:val="bullet"/>
      <w:lvlText w:val="•"/>
      <w:lvlJc w:val="left"/>
      <w:pPr>
        <w:tabs>
          <w:tab w:val="num" w:pos="2160"/>
        </w:tabs>
        <w:ind w:left="2160" w:hanging="360"/>
      </w:pPr>
      <w:rPr>
        <w:rFonts w:ascii="Arial" w:hAnsi="Arial" w:hint="default"/>
      </w:rPr>
    </w:lvl>
    <w:lvl w:ilvl="3" w:tplc="CCE28CB6" w:tentative="1">
      <w:start w:val="1"/>
      <w:numFmt w:val="bullet"/>
      <w:lvlText w:val="•"/>
      <w:lvlJc w:val="left"/>
      <w:pPr>
        <w:tabs>
          <w:tab w:val="num" w:pos="2880"/>
        </w:tabs>
        <w:ind w:left="2880" w:hanging="360"/>
      </w:pPr>
      <w:rPr>
        <w:rFonts w:ascii="Arial" w:hAnsi="Arial" w:hint="default"/>
      </w:rPr>
    </w:lvl>
    <w:lvl w:ilvl="4" w:tplc="C4A2F706" w:tentative="1">
      <w:start w:val="1"/>
      <w:numFmt w:val="bullet"/>
      <w:lvlText w:val="•"/>
      <w:lvlJc w:val="left"/>
      <w:pPr>
        <w:tabs>
          <w:tab w:val="num" w:pos="3600"/>
        </w:tabs>
        <w:ind w:left="3600" w:hanging="360"/>
      </w:pPr>
      <w:rPr>
        <w:rFonts w:ascii="Arial" w:hAnsi="Arial" w:hint="default"/>
      </w:rPr>
    </w:lvl>
    <w:lvl w:ilvl="5" w:tplc="390E4DF0" w:tentative="1">
      <w:start w:val="1"/>
      <w:numFmt w:val="bullet"/>
      <w:lvlText w:val="•"/>
      <w:lvlJc w:val="left"/>
      <w:pPr>
        <w:tabs>
          <w:tab w:val="num" w:pos="4320"/>
        </w:tabs>
        <w:ind w:left="4320" w:hanging="360"/>
      </w:pPr>
      <w:rPr>
        <w:rFonts w:ascii="Arial" w:hAnsi="Arial" w:hint="default"/>
      </w:rPr>
    </w:lvl>
    <w:lvl w:ilvl="6" w:tplc="5FACA046" w:tentative="1">
      <w:start w:val="1"/>
      <w:numFmt w:val="bullet"/>
      <w:lvlText w:val="•"/>
      <w:lvlJc w:val="left"/>
      <w:pPr>
        <w:tabs>
          <w:tab w:val="num" w:pos="5040"/>
        </w:tabs>
        <w:ind w:left="5040" w:hanging="360"/>
      </w:pPr>
      <w:rPr>
        <w:rFonts w:ascii="Arial" w:hAnsi="Arial" w:hint="default"/>
      </w:rPr>
    </w:lvl>
    <w:lvl w:ilvl="7" w:tplc="4BBCCEFE" w:tentative="1">
      <w:start w:val="1"/>
      <w:numFmt w:val="bullet"/>
      <w:lvlText w:val="•"/>
      <w:lvlJc w:val="left"/>
      <w:pPr>
        <w:tabs>
          <w:tab w:val="num" w:pos="5760"/>
        </w:tabs>
        <w:ind w:left="5760" w:hanging="360"/>
      </w:pPr>
      <w:rPr>
        <w:rFonts w:ascii="Arial" w:hAnsi="Arial" w:hint="default"/>
      </w:rPr>
    </w:lvl>
    <w:lvl w:ilvl="8" w:tplc="7FF6A6C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7472BF1"/>
    <w:multiLevelType w:val="hybridMultilevel"/>
    <w:tmpl w:val="10666EB8"/>
    <w:lvl w:ilvl="0" w:tplc="FBEE9D16">
      <w:start w:val="1"/>
      <w:numFmt w:val="lowerLetter"/>
      <w:lvlText w:val="%1)"/>
      <w:lvlJc w:val="left"/>
      <w:pPr>
        <w:tabs>
          <w:tab w:val="num" w:pos="720"/>
        </w:tabs>
        <w:ind w:left="720" w:hanging="360"/>
      </w:pPr>
    </w:lvl>
    <w:lvl w:ilvl="1" w:tplc="DC625842" w:tentative="1">
      <w:start w:val="1"/>
      <w:numFmt w:val="lowerLetter"/>
      <w:lvlText w:val="%2)"/>
      <w:lvlJc w:val="left"/>
      <w:pPr>
        <w:tabs>
          <w:tab w:val="num" w:pos="1440"/>
        </w:tabs>
        <w:ind w:left="1440" w:hanging="360"/>
      </w:pPr>
    </w:lvl>
    <w:lvl w:ilvl="2" w:tplc="66D20A3C" w:tentative="1">
      <w:start w:val="1"/>
      <w:numFmt w:val="lowerLetter"/>
      <w:lvlText w:val="%3)"/>
      <w:lvlJc w:val="left"/>
      <w:pPr>
        <w:tabs>
          <w:tab w:val="num" w:pos="2160"/>
        </w:tabs>
        <w:ind w:left="2160" w:hanging="360"/>
      </w:pPr>
    </w:lvl>
    <w:lvl w:ilvl="3" w:tplc="21E247C2" w:tentative="1">
      <w:start w:val="1"/>
      <w:numFmt w:val="lowerLetter"/>
      <w:lvlText w:val="%4)"/>
      <w:lvlJc w:val="left"/>
      <w:pPr>
        <w:tabs>
          <w:tab w:val="num" w:pos="2880"/>
        </w:tabs>
        <w:ind w:left="2880" w:hanging="360"/>
      </w:pPr>
    </w:lvl>
    <w:lvl w:ilvl="4" w:tplc="685CEA72" w:tentative="1">
      <w:start w:val="1"/>
      <w:numFmt w:val="lowerLetter"/>
      <w:lvlText w:val="%5)"/>
      <w:lvlJc w:val="left"/>
      <w:pPr>
        <w:tabs>
          <w:tab w:val="num" w:pos="3600"/>
        </w:tabs>
        <w:ind w:left="3600" w:hanging="360"/>
      </w:pPr>
    </w:lvl>
    <w:lvl w:ilvl="5" w:tplc="D9983CC6" w:tentative="1">
      <w:start w:val="1"/>
      <w:numFmt w:val="lowerLetter"/>
      <w:lvlText w:val="%6)"/>
      <w:lvlJc w:val="left"/>
      <w:pPr>
        <w:tabs>
          <w:tab w:val="num" w:pos="4320"/>
        </w:tabs>
        <w:ind w:left="4320" w:hanging="360"/>
      </w:pPr>
    </w:lvl>
    <w:lvl w:ilvl="6" w:tplc="CA98C3B0" w:tentative="1">
      <w:start w:val="1"/>
      <w:numFmt w:val="lowerLetter"/>
      <w:lvlText w:val="%7)"/>
      <w:lvlJc w:val="left"/>
      <w:pPr>
        <w:tabs>
          <w:tab w:val="num" w:pos="5040"/>
        </w:tabs>
        <w:ind w:left="5040" w:hanging="360"/>
      </w:pPr>
    </w:lvl>
    <w:lvl w:ilvl="7" w:tplc="D5D60A28" w:tentative="1">
      <w:start w:val="1"/>
      <w:numFmt w:val="lowerLetter"/>
      <w:lvlText w:val="%8)"/>
      <w:lvlJc w:val="left"/>
      <w:pPr>
        <w:tabs>
          <w:tab w:val="num" w:pos="5760"/>
        </w:tabs>
        <w:ind w:left="5760" w:hanging="360"/>
      </w:pPr>
    </w:lvl>
    <w:lvl w:ilvl="8" w:tplc="1D6886A4" w:tentative="1">
      <w:start w:val="1"/>
      <w:numFmt w:val="lowerLetter"/>
      <w:lvlText w:val="%9)"/>
      <w:lvlJc w:val="left"/>
      <w:pPr>
        <w:tabs>
          <w:tab w:val="num" w:pos="6480"/>
        </w:tabs>
        <w:ind w:left="6480" w:hanging="360"/>
      </w:pPr>
    </w:lvl>
  </w:abstractNum>
  <w:abstractNum w:abstractNumId="7" w15:restartNumberingAfterBreak="0">
    <w:nsid w:val="7792004D"/>
    <w:multiLevelType w:val="hybridMultilevel"/>
    <w:tmpl w:val="8B8CE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023562">
    <w:abstractNumId w:val="7"/>
  </w:num>
  <w:num w:numId="2" w16cid:durableId="1060326018">
    <w:abstractNumId w:val="1"/>
  </w:num>
  <w:num w:numId="3" w16cid:durableId="870341397">
    <w:abstractNumId w:val="3"/>
  </w:num>
  <w:num w:numId="4" w16cid:durableId="1777368132">
    <w:abstractNumId w:val="6"/>
  </w:num>
  <w:num w:numId="5" w16cid:durableId="1502700012">
    <w:abstractNumId w:val="4"/>
  </w:num>
  <w:num w:numId="6" w16cid:durableId="691994744">
    <w:abstractNumId w:val="5"/>
  </w:num>
  <w:num w:numId="7" w16cid:durableId="1434086143">
    <w:abstractNumId w:val="0"/>
  </w:num>
  <w:num w:numId="8" w16cid:durableId="21404914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02B"/>
    <w:rsid w:val="00005044"/>
    <w:rsid w:val="00007029"/>
    <w:rsid w:val="00073995"/>
    <w:rsid w:val="000859A1"/>
    <w:rsid w:val="00132DAE"/>
    <w:rsid w:val="00137E18"/>
    <w:rsid w:val="00152ED5"/>
    <w:rsid w:val="0016295D"/>
    <w:rsid w:val="001D77E2"/>
    <w:rsid w:val="001E12E6"/>
    <w:rsid w:val="001E4ADF"/>
    <w:rsid w:val="001E6507"/>
    <w:rsid w:val="0020260E"/>
    <w:rsid w:val="002056D4"/>
    <w:rsid w:val="00207AC1"/>
    <w:rsid w:val="00233938"/>
    <w:rsid w:val="00246B12"/>
    <w:rsid w:val="00257F60"/>
    <w:rsid w:val="00267CB9"/>
    <w:rsid w:val="002C00D3"/>
    <w:rsid w:val="002F58BC"/>
    <w:rsid w:val="003003E5"/>
    <w:rsid w:val="003E4E9F"/>
    <w:rsid w:val="00405C7F"/>
    <w:rsid w:val="00430D81"/>
    <w:rsid w:val="00432747"/>
    <w:rsid w:val="00581760"/>
    <w:rsid w:val="005A7788"/>
    <w:rsid w:val="005D2EC8"/>
    <w:rsid w:val="005E02F8"/>
    <w:rsid w:val="00623F4B"/>
    <w:rsid w:val="00664D3E"/>
    <w:rsid w:val="006D529E"/>
    <w:rsid w:val="006E3EEC"/>
    <w:rsid w:val="006E7D2C"/>
    <w:rsid w:val="00717BBF"/>
    <w:rsid w:val="007F502B"/>
    <w:rsid w:val="008B00E2"/>
    <w:rsid w:val="008C6F92"/>
    <w:rsid w:val="009C4D6F"/>
    <w:rsid w:val="009F65EE"/>
    <w:rsid w:val="00A53D40"/>
    <w:rsid w:val="00A959FD"/>
    <w:rsid w:val="00BA57D3"/>
    <w:rsid w:val="00C36C8A"/>
    <w:rsid w:val="00D23C7C"/>
    <w:rsid w:val="00D43545"/>
    <w:rsid w:val="00D55AB3"/>
    <w:rsid w:val="00D82EB3"/>
    <w:rsid w:val="00DB394D"/>
    <w:rsid w:val="00DE4A05"/>
    <w:rsid w:val="00DF39A9"/>
    <w:rsid w:val="00E40E52"/>
    <w:rsid w:val="00E90832"/>
    <w:rsid w:val="00ED0980"/>
    <w:rsid w:val="00F22BCF"/>
    <w:rsid w:val="00F45C6C"/>
    <w:rsid w:val="00F74A35"/>
    <w:rsid w:val="00FE2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8618A4"/>
  <w15:chartTrackingRefBased/>
  <w15:docId w15:val="{E38C4640-0588-4A22-B395-518CB307D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2E6"/>
    <w:pPr>
      <w:spacing w:after="0" w:line="360" w:lineRule="auto"/>
    </w:pPr>
    <w:rPr>
      <w:rFonts w:ascii="Arial" w:hAnsi="Arial"/>
      <w:sz w:val="24"/>
    </w:rPr>
  </w:style>
  <w:style w:type="paragraph" w:styleId="Heading1">
    <w:name w:val="heading 1"/>
    <w:basedOn w:val="Normal"/>
    <w:next w:val="Normal"/>
    <w:link w:val="Heading1Char"/>
    <w:uiPriority w:val="9"/>
    <w:qFormat/>
    <w:rsid w:val="007F50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50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50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F50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50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50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0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0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0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0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50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50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F50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50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50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0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0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02B"/>
    <w:rPr>
      <w:rFonts w:eastAsiaTheme="majorEastAsia" w:cstheme="majorBidi"/>
      <w:color w:val="272727" w:themeColor="text1" w:themeTint="D8"/>
    </w:rPr>
  </w:style>
  <w:style w:type="paragraph" w:styleId="Title">
    <w:name w:val="Title"/>
    <w:basedOn w:val="Normal"/>
    <w:next w:val="Normal"/>
    <w:link w:val="TitleChar"/>
    <w:uiPriority w:val="10"/>
    <w:qFormat/>
    <w:rsid w:val="007F50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0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0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0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02B"/>
    <w:pPr>
      <w:spacing w:before="160"/>
      <w:jc w:val="center"/>
    </w:pPr>
    <w:rPr>
      <w:i/>
      <w:iCs/>
      <w:color w:val="404040" w:themeColor="text1" w:themeTint="BF"/>
    </w:rPr>
  </w:style>
  <w:style w:type="character" w:customStyle="1" w:styleId="QuoteChar">
    <w:name w:val="Quote Char"/>
    <w:basedOn w:val="DefaultParagraphFont"/>
    <w:link w:val="Quote"/>
    <w:uiPriority w:val="29"/>
    <w:rsid w:val="007F502B"/>
    <w:rPr>
      <w:i/>
      <w:iCs/>
      <w:color w:val="404040" w:themeColor="text1" w:themeTint="BF"/>
    </w:rPr>
  </w:style>
  <w:style w:type="paragraph" w:styleId="ListParagraph">
    <w:name w:val="List Paragraph"/>
    <w:basedOn w:val="Normal"/>
    <w:uiPriority w:val="34"/>
    <w:qFormat/>
    <w:rsid w:val="007F502B"/>
    <w:pPr>
      <w:ind w:left="720"/>
      <w:contextualSpacing/>
    </w:pPr>
  </w:style>
  <w:style w:type="character" w:styleId="IntenseEmphasis">
    <w:name w:val="Intense Emphasis"/>
    <w:basedOn w:val="DefaultParagraphFont"/>
    <w:uiPriority w:val="21"/>
    <w:qFormat/>
    <w:rsid w:val="007F502B"/>
    <w:rPr>
      <w:i/>
      <w:iCs/>
      <w:color w:val="2F5496" w:themeColor="accent1" w:themeShade="BF"/>
    </w:rPr>
  </w:style>
  <w:style w:type="paragraph" w:styleId="IntenseQuote">
    <w:name w:val="Intense Quote"/>
    <w:basedOn w:val="Normal"/>
    <w:next w:val="Normal"/>
    <w:link w:val="IntenseQuoteChar"/>
    <w:uiPriority w:val="30"/>
    <w:qFormat/>
    <w:rsid w:val="007F50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502B"/>
    <w:rPr>
      <w:i/>
      <w:iCs/>
      <w:color w:val="2F5496" w:themeColor="accent1" w:themeShade="BF"/>
    </w:rPr>
  </w:style>
  <w:style w:type="character" w:styleId="IntenseReference">
    <w:name w:val="Intense Reference"/>
    <w:basedOn w:val="DefaultParagraphFont"/>
    <w:uiPriority w:val="32"/>
    <w:qFormat/>
    <w:rsid w:val="007F502B"/>
    <w:rPr>
      <w:b/>
      <w:bCs/>
      <w:smallCaps/>
      <w:color w:val="2F5496" w:themeColor="accent1" w:themeShade="BF"/>
      <w:spacing w:val="5"/>
    </w:rPr>
  </w:style>
  <w:style w:type="paragraph" w:styleId="NormalWeb">
    <w:name w:val="Normal (Web)"/>
    <w:basedOn w:val="Normal"/>
    <w:uiPriority w:val="99"/>
    <w:unhideWhenUsed/>
    <w:rsid w:val="00257F60"/>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styleId="NoSpacing">
    <w:name w:val="No Spacing"/>
    <w:uiPriority w:val="1"/>
    <w:qFormat/>
    <w:rsid w:val="00F22BCF"/>
    <w:pPr>
      <w:spacing w:after="0" w:line="240" w:lineRule="auto"/>
    </w:pPr>
  </w:style>
  <w:style w:type="paragraph" w:styleId="Header">
    <w:name w:val="header"/>
    <w:basedOn w:val="Normal"/>
    <w:link w:val="HeaderChar"/>
    <w:uiPriority w:val="99"/>
    <w:unhideWhenUsed/>
    <w:rsid w:val="00E40E52"/>
    <w:pPr>
      <w:tabs>
        <w:tab w:val="center" w:pos="4513"/>
        <w:tab w:val="right" w:pos="9026"/>
      </w:tabs>
      <w:spacing w:line="240" w:lineRule="auto"/>
    </w:pPr>
  </w:style>
  <w:style w:type="character" w:customStyle="1" w:styleId="HeaderChar">
    <w:name w:val="Header Char"/>
    <w:basedOn w:val="DefaultParagraphFont"/>
    <w:link w:val="Header"/>
    <w:uiPriority w:val="99"/>
    <w:rsid w:val="00E40E52"/>
  </w:style>
  <w:style w:type="paragraph" w:styleId="Footer">
    <w:name w:val="footer"/>
    <w:basedOn w:val="Normal"/>
    <w:link w:val="FooterChar"/>
    <w:uiPriority w:val="99"/>
    <w:unhideWhenUsed/>
    <w:rsid w:val="00E40E52"/>
    <w:pPr>
      <w:tabs>
        <w:tab w:val="center" w:pos="4513"/>
        <w:tab w:val="right" w:pos="9026"/>
      </w:tabs>
      <w:spacing w:line="240" w:lineRule="auto"/>
    </w:pPr>
  </w:style>
  <w:style w:type="character" w:customStyle="1" w:styleId="FooterChar">
    <w:name w:val="Footer Char"/>
    <w:basedOn w:val="DefaultParagraphFont"/>
    <w:link w:val="Footer"/>
    <w:uiPriority w:val="99"/>
    <w:rsid w:val="00E40E52"/>
  </w:style>
  <w:style w:type="character" w:styleId="Emphasis">
    <w:name w:val="Emphasis"/>
    <w:basedOn w:val="DefaultParagraphFont"/>
    <w:uiPriority w:val="20"/>
    <w:qFormat/>
    <w:rsid w:val="00DB394D"/>
    <w:rPr>
      <w:i/>
      <w:iCs/>
    </w:rPr>
  </w:style>
  <w:style w:type="character" w:customStyle="1" w:styleId="myxfac">
    <w:name w:val="myxfac"/>
    <w:basedOn w:val="DefaultParagraphFont"/>
    <w:rsid w:val="005D2EC8"/>
  </w:style>
  <w:style w:type="character" w:styleId="Hyperlink">
    <w:name w:val="Hyperlink"/>
    <w:basedOn w:val="DefaultParagraphFont"/>
    <w:uiPriority w:val="99"/>
    <w:unhideWhenUsed/>
    <w:rsid w:val="00246B12"/>
    <w:rPr>
      <w:color w:val="0563C1" w:themeColor="hyperlink"/>
      <w:u w:val="single"/>
    </w:rPr>
  </w:style>
  <w:style w:type="character" w:styleId="UnresolvedMention">
    <w:name w:val="Unresolved Mention"/>
    <w:basedOn w:val="DefaultParagraphFont"/>
    <w:uiPriority w:val="99"/>
    <w:semiHidden/>
    <w:unhideWhenUsed/>
    <w:rsid w:val="00A959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45546">
      <w:bodyDiv w:val="1"/>
      <w:marLeft w:val="0"/>
      <w:marRight w:val="0"/>
      <w:marTop w:val="0"/>
      <w:marBottom w:val="0"/>
      <w:divBdr>
        <w:top w:val="none" w:sz="0" w:space="0" w:color="auto"/>
        <w:left w:val="none" w:sz="0" w:space="0" w:color="auto"/>
        <w:bottom w:val="none" w:sz="0" w:space="0" w:color="auto"/>
        <w:right w:val="none" w:sz="0" w:space="0" w:color="auto"/>
      </w:divBdr>
    </w:div>
    <w:div w:id="63643707">
      <w:bodyDiv w:val="1"/>
      <w:marLeft w:val="0"/>
      <w:marRight w:val="0"/>
      <w:marTop w:val="0"/>
      <w:marBottom w:val="0"/>
      <w:divBdr>
        <w:top w:val="none" w:sz="0" w:space="0" w:color="auto"/>
        <w:left w:val="none" w:sz="0" w:space="0" w:color="auto"/>
        <w:bottom w:val="none" w:sz="0" w:space="0" w:color="auto"/>
        <w:right w:val="none" w:sz="0" w:space="0" w:color="auto"/>
      </w:divBdr>
    </w:div>
    <w:div w:id="78790673">
      <w:bodyDiv w:val="1"/>
      <w:marLeft w:val="0"/>
      <w:marRight w:val="0"/>
      <w:marTop w:val="0"/>
      <w:marBottom w:val="0"/>
      <w:divBdr>
        <w:top w:val="none" w:sz="0" w:space="0" w:color="auto"/>
        <w:left w:val="none" w:sz="0" w:space="0" w:color="auto"/>
        <w:bottom w:val="none" w:sz="0" w:space="0" w:color="auto"/>
        <w:right w:val="none" w:sz="0" w:space="0" w:color="auto"/>
      </w:divBdr>
      <w:divsChild>
        <w:div w:id="1230534777">
          <w:marLeft w:val="360"/>
          <w:marRight w:val="0"/>
          <w:marTop w:val="200"/>
          <w:marBottom w:val="0"/>
          <w:divBdr>
            <w:top w:val="none" w:sz="0" w:space="0" w:color="auto"/>
            <w:left w:val="none" w:sz="0" w:space="0" w:color="auto"/>
            <w:bottom w:val="none" w:sz="0" w:space="0" w:color="auto"/>
            <w:right w:val="none" w:sz="0" w:space="0" w:color="auto"/>
          </w:divBdr>
        </w:div>
        <w:div w:id="1395547830">
          <w:marLeft w:val="360"/>
          <w:marRight w:val="0"/>
          <w:marTop w:val="200"/>
          <w:marBottom w:val="0"/>
          <w:divBdr>
            <w:top w:val="none" w:sz="0" w:space="0" w:color="auto"/>
            <w:left w:val="none" w:sz="0" w:space="0" w:color="auto"/>
            <w:bottom w:val="none" w:sz="0" w:space="0" w:color="auto"/>
            <w:right w:val="none" w:sz="0" w:space="0" w:color="auto"/>
          </w:divBdr>
        </w:div>
      </w:divsChild>
    </w:div>
    <w:div w:id="80175865">
      <w:bodyDiv w:val="1"/>
      <w:marLeft w:val="0"/>
      <w:marRight w:val="0"/>
      <w:marTop w:val="0"/>
      <w:marBottom w:val="0"/>
      <w:divBdr>
        <w:top w:val="none" w:sz="0" w:space="0" w:color="auto"/>
        <w:left w:val="none" w:sz="0" w:space="0" w:color="auto"/>
        <w:bottom w:val="none" w:sz="0" w:space="0" w:color="auto"/>
        <w:right w:val="none" w:sz="0" w:space="0" w:color="auto"/>
      </w:divBdr>
    </w:div>
    <w:div w:id="171452192">
      <w:bodyDiv w:val="1"/>
      <w:marLeft w:val="0"/>
      <w:marRight w:val="0"/>
      <w:marTop w:val="0"/>
      <w:marBottom w:val="0"/>
      <w:divBdr>
        <w:top w:val="none" w:sz="0" w:space="0" w:color="auto"/>
        <w:left w:val="none" w:sz="0" w:space="0" w:color="auto"/>
        <w:bottom w:val="none" w:sz="0" w:space="0" w:color="auto"/>
        <w:right w:val="none" w:sz="0" w:space="0" w:color="auto"/>
      </w:divBdr>
    </w:div>
    <w:div w:id="203062326">
      <w:bodyDiv w:val="1"/>
      <w:marLeft w:val="0"/>
      <w:marRight w:val="0"/>
      <w:marTop w:val="0"/>
      <w:marBottom w:val="0"/>
      <w:divBdr>
        <w:top w:val="none" w:sz="0" w:space="0" w:color="auto"/>
        <w:left w:val="none" w:sz="0" w:space="0" w:color="auto"/>
        <w:bottom w:val="none" w:sz="0" w:space="0" w:color="auto"/>
        <w:right w:val="none" w:sz="0" w:space="0" w:color="auto"/>
      </w:divBdr>
    </w:div>
    <w:div w:id="207449269">
      <w:bodyDiv w:val="1"/>
      <w:marLeft w:val="0"/>
      <w:marRight w:val="0"/>
      <w:marTop w:val="0"/>
      <w:marBottom w:val="0"/>
      <w:divBdr>
        <w:top w:val="none" w:sz="0" w:space="0" w:color="auto"/>
        <w:left w:val="none" w:sz="0" w:space="0" w:color="auto"/>
        <w:bottom w:val="none" w:sz="0" w:space="0" w:color="auto"/>
        <w:right w:val="none" w:sz="0" w:space="0" w:color="auto"/>
      </w:divBdr>
      <w:divsChild>
        <w:div w:id="1520925230">
          <w:marLeft w:val="360"/>
          <w:marRight w:val="0"/>
          <w:marTop w:val="0"/>
          <w:marBottom w:val="0"/>
          <w:divBdr>
            <w:top w:val="none" w:sz="0" w:space="0" w:color="auto"/>
            <w:left w:val="none" w:sz="0" w:space="0" w:color="auto"/>
            <w:bottom w:val="none" w:sz="0" w:space="0" w:color="auto"/>
            <w:right w:val="none" w:sz="0" w:space="0" w:color="auto"/>
          </w:divBdr>
        </w:div>
        <w:div w:id="202207782">
          <w:marLeft w:val="360"/>
          <w:marRight w:val="0"/>
          <w:marTop w:val="0"/>
          <w:marBottom w:val="0"/>
          <w:divBdr>
            <w:top w:val="none" w:sz="0" w:space="0" w:color="auto"/>
            <w:left w:val="none" w:sz="0" w:space="0" w:color="auto"/>
            <w:bottom w:val="none" w:sz="0" w:space="0" w:color="auto"/>
            <w:right w:val="none" w:sz="0" w:space="0" w:color="auto"/>
          </w:divBdr>
        </w:div>
        <w:div w:id="1319648255">
          <w:marLeft w:val="360"/>
          <w:marRight w:val="0"/>
          <w:marTop w:val="0"/>
          <w:marBottom w:val="0"/>
          <w:divBdr>
            <w:top w:val="none" w:sz="0" w:space="0" w:color="auto"/>
            <w:left w:val="none" w:sz="0" w:space="0" w:color="auto"/>
            <w:bottom w:val="none" w:sz="0" w:space="0" w:color="auto"/>
            <w:right w:val="none" w:sz="0" w:space="0" w:color="auto"/>
          </w:divBdr>
        </w:div>
        <w:div w:id="454451150">
          <w:marLeft w:val="360"/>
          <w:marRight w:val="0"/>
          <w:marTop w:val="0"/>
          <w:marBottom w:val="0"/>
          <w:divBdr>
            <w:top w:val="none" w:sz="0" w:space="0" w:color="auto"/>
            <w:left w:val="none" w:sz="0" w:space="0" w:color="auto"/>
            <w:bottom w:val="none" w:sz="0" w:space="0" w:color="auto"/>
            <w:right w:val="none" w:sz="0" w:space="0" w:color="auto"/>
          </w:divBdr>
        </w:div>
        <w:div w:id="846552271">
          <w:marLeft w:val="360"/>
          <w:marRight w:val="0"/>
          <w:marTop w:val="0"/>
          <w:marBottom w:val="0"/>
          <w:divBdr>
            <w:top w:val="none" w:sz="0" w:space="0" w:color="auto"/>
            <w:left w:val="none" w:sz="0" w:space="0" w:color="auto"/>
            <w:bottom w:val="none" w:sz="0" w:space="0" w:color="auto"/>
            <w:right w:val="none" w:sz="0" w:space="0" w:color="auto"/>
          </w:divBdr>
        </w:div>
        <w:div w:id="1323580692">
          <w:marLeft w:val="360"/>
          <w:marRight w:val="0"/>
          <w:marTop w:val="0"/>
          <w:marBottom w:val="0"/>
          <w:divBdr>
            <w:top w:val="none" w:sz="0" w:space="0" w:color="auto"/>
            <w:left w:val="none" w:sz="0" w:space="0" w:color="auto"/>
            <w:bottom w:val="none" w:sz="0" w:space="0" w:color="auto"/>
            <w:right w:val="none" w:sz="0" w:space="0" w:color="auto"/>
          </w:divBdr>
        </w:div>
        <w:div w:id="1686664250">
          <w:marLeft w:val="360"/>
          <w:marRight w:val="0"/>
          <w:marTop w:val="0"/>
          <w:marBottom w:val="0"/>
          <w:divBdr>
            <w:top w:val="none" w:sz="0" w:space="0" w:color="auto"/>
            <w:left w:val="none" w:sz="0" w:space="0" w:color="auto"/>
            <w:bottom w:val="none" w:sz="0" w:space="0" w:color="auto"/>
            <w:right w:val="none" w:sz="0" w:space="0" w:color="auto"/>
          </w:divBdr>
        </w:div>
      </w:divsChild>
    </w:div>
    <w:div w:id="234560281">
      <w:bodyDiv w:val="1"/>
      <w:marLeft w:val="0"/>
      <w:marRight w:val="0"/>
      <w:marTop w:val="0"/>
      <w:marBottom w:val="0"/>
      <w:divBdr>
        <w:top w:val="none" w:sz="0" w:space="0" w:color="auto"/>
        <w:left w:val="none" w:sz="0" w:space="0" w:color="auto"/>
        <w:bottom w:val="none" w:sz="0" w:space="0" w:color="auto"/>
        <w:right w:val="none" w:sz="0" w:space="0" w:color="auto"/>
      </w:divBdr>
      <w:divsChild>
        <w:div w:id="1101072124">
          <w:marLeft w:val="0"/>
          <w:marRight w:val="0"/>
          <w:marTop w:val="0"/>
          <w:marBottom w:val="0"/>
          <w:divBdr>
            <w:top w:val="none" w:sz="0" w:space="0" w:color="auto"/>
            <w:left w:val="none" w:sz="0" w:space="0" w:color="auto"/>
            <w:bottom w:val="none" w:sz="0" w:space="0" w:color="auto"/>
            <w:right w:val="none" w:sz="0" w:space="0" w:color="auto"/>
          </w:divBdr>
        </w:div>
      </w:divsChild>
    </w:div>
    <w:div w:id="502549703">
      <w:bodyDiv w:val="1"/>
      <w:marLeft w:val="0"/>
      <w:marRight w:val="0"/>
      <w:marTop w:val="0"/>
      <w:marBottom w:val="0"/>
      <w:divBdr>
        <w:top w:val="none" w:sz="0" w:space="0" w:color="auto"/>
        <w:left w:val="none" w:sz="0" w:space="0" w:color="auto"/>
        <w:bottom w:val="none" w:sz="0" w:space="0" w:color="auto"/>
        <w:right w:val="none" w:sz="0" w:space="0" w:color="auto"/>
      </w:divBdr>
    </w:div>
    <w:div w:id="585461242">
      <w:bodyDiv w:val="1"/>
      <w:marLeft w:val="0"/>
      <w:marRight w:val="0"/>
      <w:marTop w:val="0"/>
      <w:marBottom w:val="0"/>
      <w:divBdr>
        <w:top w:val="none" w:sz="0" w:space="0" w:color="auto"/>
        <w:left w:val="none" w:sz="0" w:space="0" w:color="auto"/>
        <w:bottom w:val="none" w:sz="0" w:space="0" w:color="auto"/>
        <w:right w:val="none" w:sz="0" w:space="0" w:color="auto"/>
      </w:divBdr>
      <w:divsChild>
        <w:div w:id="918293792">
          <w:marLeft w:val="360"/>
          <w:marRight w:val="0"/>
          <w:marTop w:val="200"/>
          <w:marBottom w:val="0"/>
          <w:divBdr>
            <w:top w:val="none" w:sz="0" w:space="0" w:color="auto"/>
            <w:left w:val="none" w:sz="0" w:space="0" w:color="auto"/>
            <w:bottom w:val="none" w:sz="0" w:space="0" w:color="auto"/>
            <w:right w:val="none" w:sz="0" w:space="0" w:color="auto"/>
          </w:divBdr>
        </w:div>
        <w:div w:id="40711498">
          <w:marLeft w:val="360"/>
          <w:marRight w:val="0"/>
          <w:marTop w:val="200"/>
          <w:marBottom w:val="0"/>
          <w:divBdr>
            <w:top w:val="none" w:sz="0" w:space="0" w:color="auto"/>
            <w:left w:val="none" w:sz="0" w:space="0" w:color="auto"/>
            <w:bottom w:val="none" w:sz="0" w:space="0" w:color="auto"/>
            <w:right w:val="none" w:sz="0" w:space="0" w:color="auto"/>
          </w:divBdr>
        </w:div>
        <w:div w:id="432240633">
          <w:marLeft w:val="547"/>
          <w:marRight w:val="0"/>
          <w:marTop w:val="0"/>
          <w:marBottom w:val="160"/>
          <w:divBdr>
            <w:top w:val="none" w:sz="0" w:space="0" w:color="auto"/>
            <w:left w:val="none" w:sz="0" w:space="0" w:color="auto"/>
            <w:bottom w:val="none" w:sz="0" w:space="0" w:color="auto"/>
            <w:right w:val="none" w:sz="0" w:space="0" w:color="auto"/>
          </w:divBdr>
        </w:div>
        <w:div w:id="543374197">
          <w:marLeft w:val="547"/>
          <w:marRight w:val="0"/>
          <w:marTop w:val="200"/>
          <w:marBottom w:val="160"/>
          <w:divBdr>
            <w:top w:val="none" w:sz="0" w:space="0" w:color="auto"/>
            <w:left w:val="none" w:sz="0" w:space="0" w:color="auto"/>
            <w:bottom w:val="none" w:sz="0" w:space="0" w:color="auto"/>
            <w:right w:val="none" w:sz="0" w:space="0" w:color="auto"/>
          </w:divBdr>
        </w:div>
        <w:div w:id="1825394633">
          <w:marLeft w:val="547"/>
          <w:marRight w:val="0"/>
          <w:marTop w:val="200"/>
          <w:marBottom w:val="160"/>
          <w:divBdr>
            <w:top w:val="none" w:sz="0" w:space="0" w:color="auto"/>
            <w:left w:val="none" w:sz="0" w:space="0" w:color="auto"/>
            <w:bottom w:val="none" w:sz="0" w:space="0" w:color="auto"/>
            <w:right w:val="none" w:sz="0" w:space="0" w:color="auto"/>
          </w:divBdr>
        </w:div>
        <w:div w:id="643584848">
          <w:marLeft w:val="547"/>
          <w:marRight w:val="0"/>
          <w:marTop w:val="200"/>
          <w:marBottom w:val="160"/>
          <w:divBdr>
            <w:top w:val="none" w:sz="0" w:space="0" w:color="auto"/>
            <w:left w:val="none" w:sz="0" w:space="0" w:color="auto"/>
            <w:bottom w:val="none" w:sz="0" w:space="0" w:color="auto"/>
            <w:right w:val="none" w:sz="0" w:space="0" w:color="auto"/>
          </w:divBdr>
        </w:div>
        <w:div w:id="1524630372">
          <w:marLeft w:val="547"/>
          <w:marRight w:val="0"/>
          <w:marTop w:val="200"/>
          <w:marBottom w:val="160"/>
          <w:divBdr>
            <w:top w:val="none" w:sz="0" w:space="0" w:color="auto"/>
            <w:left w:val="none" w:sz="0" w:space="0" w:color="auto"/>
            <w:bottom w:val="none" w:sz="0" w:space="0" w:color="auto"/>
            <w:right w:val="none" w:sz="0" w:space="0" w:color="auto"/>
          </w:divBdr>
        </w:div>
      </w:divsChild>
    </w:div>
    <w:div w:id="623392846">
      <w:bodyDiv w:val="1"/>
      <w:marLeft w:val="0"/>
      <w:marRight w:val="0"/>
      <w:marTop w:val="0"/>
      <w:marBottom w:val="0"/>
      <w:divBdr>
        <w:top w:val="none" w:sz="0" w:space="0" w:color="auto"/>
        <w:left w:val="none" w:sz="0" w:space="0" w:color="auto"/>
        <w:bottom w:val="none" w:sz="0" w:space="0" w:color="auto"/>
        <w:right w:val="none" w:sz="0" w:space="0" w:color="auto"/>
      </w:divBdr>
    </w:div>
    <w:div w:id="902057675">
      <w:bodyDiv w:val="1"/>
      <w:marLeft w:val="0"/>
      <w:marRight w:val="0"/>
      <w:marTop w:val="0"/>
      <w:marBottom w:val="0"/>
      <w:divBdr>
        <w:top w:val="none" w:sz="0" w:space="0" w:color="auto"/>
        <w:left w:val="none" w:sz="0" w:space="0" w:color="auto"/>
        <w:bottom w:val="none" w:sz="0" w:space="0" w:color="auto"/>
        <w:right w:val="none" w:sz="0" w:space="0" w:color="auto"/>
      </w:divBdr>
    </w:div>
    <w:div w:id="1201625558">
      <w:bodyDiv w:val="1"/>
      <w:marLeft w:val="0"/>
      <w:marRight w:val="0"/>
      <w:marTop w:val="0"/>
      <w:marBottom w:val="0"/>
      <w:divBdr>
        <w:top w:val="none" w:sz="0" w:space="0" w:color="auto"/>
        <w:left w:val="none" w:sz="0" w:space="0" w:color="auto"/>
        <w:bottom w:val="none" w:sz="0" w:space="0" w:color="auto"/>
        <w:right w:val="none" w:sz="0" w:space="0" w:color="auto"/>
      </w:divBdr>
      <w:divsChild>
        <w:div w:id="1034844431">
          <w:marLeft w:val="360"/>
          <w:marRight w:val="0"/>
          <w:marTop w:val="200"/>
          <w:marBottom w:val="160"/>
          <w:divBdr>
            <w:top w:val="none" w:sz="0" w:space="0" w:color="auto"/>
            <w:left w:val="none" w:sz="0" w:space="0" w:color="auto"/>
            <w:bottom w:val="none" w:sz="0" w:space="0" w:color="auto"/>
            <w:right w:val="none" w:sz="0" w:space="0" w:color="auto"/>
          </w:divBdr>
        </w:div>
        <w:div w:id="1133911907">
          <w:marLeft w:val="360"/>
          <w:marRight w:val="0"/>
          <w:marTop w:val="200"/>
          <w:marBottom w:val="160"/>
          <w:divBdr>
            <w:top w:val="none" w:sz="0" w:space="0" w:color="auto"/>
            <w:left w:val="none" w:sz="0" w:space="0" w:color="auto"/>
            <w:bottom w:val="none" w:sz="0" w:space="0" w:color="auto"/>
            <w:right w:val="none" w:sz="0" w:space="0" w:color="auto"/>
          </w:divBdr>
        </w:div>
        <w:div w:id="476455464">
          <w:marLeft w:val="360"/>
          <w:marRight w:val="0"/>
          <w:marTop w:val="200"/>
          <w:marBottom w:val="160"/>
          <w:divBdr>
            <w:top w:val="none" w:sz="0" w:space="0" w:color="auto"/>
            <w:left w:val="none" w:sz="0" w:space="0" w:color="auto"/>
            <w:bottom w:val="none" w:sz="0" w:space="0" w:color="auto"/>
            <w:right w:val="none" w:sz="0" w:space="0" w:color="auto"/>
          </w:divBdr>
        </w:div>
        <w:div w:id="931622905">
          <w:marLeft w:val="360"/>
          <w:marRight w:val="0"/>
          <w:marTop w:val="200"/>
          <w:marBottom w:val="160"/>
          <w:divBdr>
            <w:top w:val="none" w:sz="0" w:space="0" w:color="auto"/>
            <w:left w:val="none" w:sz="0" w:space="0" w:color="auto"/>
            <w:bottom w:val="none" w:sz="0" w:space="0" w:color="auto"/>
            <w:right w:val="none" w:sz="0" w:space="0" w:color="auto"/>
          </w:divBdr>
        </w:div>
      </w:divsChild>
    </w:div>
    <w:div w:id="1208034416">
      <w:bodyDiv w:val="1"/>
      <w:marLeft w:val="0"/>
      <w:marRight w:val="0"/>
      <w:marTop w:val="0"/>
      <w:marBottom w:val="0"/>
      <w:divBdr>
        <w:top w:val="none" w:sz="0" w:space="0" w:color="auto"/>
        <w:left w:val="none" w:sz="0" w:space="0" w:color="auto"/>
        <w:bottom w:val="none" w:sz="0" w:space="0" w:color="auto"/>
        <w:right w:val="none" w:sz="0" w:space="0" w:color="auto"/>
      </w:divBdr>
    </w:div>
    <w:div w:id="1242717413">
      <w:bodyDiv w:val="1"/>
      <w:marLeft w:val="0"/>
      <w:marRight w:val="0"/>
      <w:marTop w:val="0"/>
      <w:marBottom w:val="0"/>
      <w:divBdr>
        <w:top w:val="none" w:sz="0" w:space="0" w:color="auto"/>
        <w:left w:val="none" w:sz="0" w:space="0" w:color="auto"/>
        <w:bottom w:val="none" w:sz="0" w:space="0" w:color="auto"/>
        <w:right w:val="none" w:sz="0" w:space="0" w:color="auto"/>
      </w:divBdr>
      <w:divsChild>
        <w:div w:id="2031711465">
          <w:marLeft w:val="0"/>
          <w:marRight w:val="0"/>
          <w:marTop w:val="0"/>
          <w:marBottom w:val="0"/>
          <w:divBdr>
            <w:top w:val="none" w:sz="0" w:space="0" w:color="auto"/>
            <w:left w:val="none" w:sz="0" w:space="0" w:color="auto"/>
            <w:bottom w:val="none" w:sz="0" w:space="0" w:color="auto"/>
            <w:right w:val="none" w:sz="0" w:space="0" w:color="auto"/>
          </w:divBdr>
          <w:divsChild>
            <w:div w:id="1463304380">
              <w:marLeft w:val="0"/>
              <w:marRight w:val="0"/>
              <w:marTop w:val="0"/>
              <w:marBottom w:val="0"/>
              <w:divBdr>
                <w:top w:val="none" w:sz="0" w:space="0" w:color="auto"/>
                <w:left w:val="none" w:sz="0" w:space="0" w:color="auto"/>
                <w:bottom w:val="none" w:sz="0" w:space="0" w:color="auto"/>
                <w:right w:val="none" w:sz="0" w:space="0" w:color="auto"/>
              </w:divBdr>
              <w:divsChild>
                <w:div w:id="1157457195">
                  <w:marLeft w:val="0"/>
                  <w:marRight w:val="0"/>
                  <w:marTop w:val="0"/>
                  <w:marBottom w:val="0"/>
                  <w:divBdr>
                    <w:top w:val="none" w:sz="0" w:space="0" w:color="auto"/>
                    <w:left w:val="none" w:sz="0" w:space="0" w:color="auto"/>
                    <w:bottom w:val="none" w:sz="0" w:space="0" w:color="auto"/>
                    <w:right w:val="none" w:sz="0" w:space="0" w:color="auto"/>
                  </w:divBdr>
                  <w:divsChild>
                    <w:div w:id="1410612140">
                      <w:marLeft w:val="0"/>
                      <w:marRight w:val="0"/>
                      <w:marTop w:val="0"/>
                      <w:marBottom w:val="0"/>
                      <w:divBdr>
                        <w:top w:val="none" w:sz="0" w:space="0" w:color="auto"/>
                        <w:left w:val="none" w:sz="0" w:space="0" w:color="auto"/>
                        <w:bottom w:val="none" w:sz="0" w:space="0" w:color="auto"/>
                        <w:right w:val="none" w:sz="0" w:space="0" w:color="auto"/>
                      </w:divBdr>
                      <w:divsChild>
                        <w:div w:id="446118131">
                          <w:marLeft w:val="0"/>
                          <w:marRight w:val="0"/>
                          <w:marTop w:val="0"/>
                          <w:marBottom w:val="0"/>
                          <w:divBdr>
                            <w:top w:val="none" w:sz="0" w:space="0" w:color="auto"/>
                            <w:left w:val="none" w:sz="0" w:space="0" w:color="auto"/>
                            <w:bottom w:val="none" w:sz="0" w:space="0" w:color="auto"/>
                            <w:right w:val="none" w:sz="0" w:space="0" w:color="auto"/>
                          </w:divBdr>
                          <w:divsChild>
                            <w:div w:id="212422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575393">
      <w:bodyDiv w:val="1"/>
      <w:marLeft w:val="0"/>
      <w:marRight w:val="0"/>
      <w:marTop w:val="0"/>
      <w:marBottom w:val="0"/>
      <w:divBdr>
        <w:top w:val="none" w:sz="0" w:space="0" w:color="auto"/>
        <w:left w:val="none" w:sz="0" w:space="0" w:color="auto"/>
        <w:bottom w:val="none" w:sz="0" w:space="0" w:color="auto"/>
        <w:right w:val="none" w:sz="0" w:space="0" w:color="auto"/>
      </w:divBdr>
      <w:divsChild>
        <w:div w:id="363360500">
          <w:marLeft w:val="0"/>
          <w:marRight w:val="0"/>
          <w:marTop w:val="0"/>
          <w:marBottom w:val="0"/>
          <w:divBdr>
            <w:top w:val="none" w:sz="0" w:space="0" w:color="auto"/>
            <w:left w:val="none" w:sz="0" w:space="0" w:color="auto"/>
            <w:bottom w:val="none" w:sz="0" w:space="0" w:color="auto"/>
            <w:right w:val="none" w:sz="0" w:space="0" w:color="auto"/>
          </w:divBdr>
        </w:div>
      </w:divsChild>
    </w:div>
    <w:div w:id="1570111591">
      <w:bodyDiv w:val="1"/>
      <w:marLeft w:val="0"/>
      <w:marRight w:val="0"/>
      <w:marTop w:val="0"/>
      <w:marBottom w:val="0"/>
      <w:divBdr>
        <w:top w:val="none" w:sz="0" w:space="0" w:color="auto"/>
        <w:left w:val="none" w:sz="0" w:space="0" w:color="auto"/>
        <w:bottom w:val="none" w:sz="0" w:space="0" w:color="auto"/>
        <w:right w:val="none" w:sz="0" w:space="0" w:color="auto"/>
      </w:divBdr>
    </w:div>
    <w:div w:id="1598976046">
      <w:bodyDiv w:val="1"/>
      <w:marLeft w:val="0"/>
      <w:marRight w:val="0"/>
      <w:marTop w:val="0"/>
      <w:marBottom w:val="0"/>
      <w:divBdr>
        <w:top w:val="none" w:sz="0" w:space="0" w:color="auto"/>
        <w:left w:val="none" w:sz="0" w:space="0" w:color="auto"/>
        <w:bottom w:val="none" w:sz="0" w:space="0" w:color="auto"/>
        <w:right w:val="none" w:sz="0" w:space="0" w:color="auto"/>
      </w:divBdr>
    </w:div>
    <w:div w:id="1710641038">
      <w:bodyDiv w:val="1"/>
      <w:marLeft w:val="0"/>
      <w:marRight w:val="0"/>
      <w:marTop w:val="0"/>
      <w:marBottom w:val="0"/>
      <w:divBdr>
        <w:top w:val="none" w:sz="0" w:space="0" w:color="auto"/>
        <w:left w:val="none" w:sz="0" w:space="0" w:color="auto"/>
        <w:bottom w:val="none" w:sz="0" w:space="0" w:color="auto"/>
        <w:right w:val="none" w:sz="0" w:space="0" w:color="auto"/>
      </w:divBdr>
    </w:div>
    <w:div w:id="1789355804">
      <w:bodyDiv w:val="1"/>
      <w:marLeft w:val="0"/>
      <w:marRight w:val="0"/>
      <w:marTop w:val="0"/>
      <w:marBottom w:val="0"/>
      <w:divBdr>
        <w:top w:val="none" w:sz="0" w:space="0" w:color="auto"/>
        <w:left w:val="none" w:sz="0" w:space="0" w:color="auto"/>
        <w:bottom w:val="none" w:sz="0" w:space="0" w:color="auto"/>
        <w:right w:val="none" w:sz="0" w:space="0" w:color="auto"/>
      </w:divBdr>
    </w:div>
    <w:div w:id="1938899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tmp"/><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488</TotalTime>
  <Pages>39</Pages>
  <Words>9903</Words>
  <Characters>56448</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26</cp:revision>
  <dcterms:created xsi:type="dcterms:W3CDTF">2024-06-10T10:45:00Z</dcterms:created>
  <dcterms:modified xsi:type="dcterms:W3CDTF">2024-07-05T10:34:00Z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2024-06-10T10:46:53Z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9299a870-d4a2-4083-b11e-be3c8d45eece</vt:lpwstr>
  </property>
  <property fmtid="{D5CDD505-2E9C-101B-9397-08002B2CF9AE}" pid="8" name="MSIP_Label_66cf8fe5-b7b7-4df7-b38d-1c61ac2f6639_ContentBits">
    <vt:lpwstr>0</vt:lpwstr>
  </property>
</Properties>
</file>