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CCBCE7" w14:textId="77777777" w:rsidR="00CD53E4" w:rsidRPr="00CD53E4" w:rsidRDefault="00CD53E4" w:rsidP="00CD53E4">
      <w:pPr>
        <w:spacing w:before="100" w:beforeAutospacing="1" w:after="100" w:afterAutospacing="1" w:line="240" w:lineRule="auto"/>
        <w:outlineLvl w:val="0"/>
        <w:rPr>
          <w:rFonts w:ascii="Arial" w:eastAsia="Times New Roman" w:hAnsi="Arial" w:cs="Arial"/>
          <w:b/>
          <w:bCs/>
          <w:kern w:val="36"/>
          <w:sz w:val="22"/>
          <w:szCs w:val="22"/>
          <w14:ligatures w14:val="none"/>
        </w:rPr>
      </w:pPr>
      <w:r w:rsidRPr="00CD53E4">
        <w:rPr>
          <w:rFonts w:ascii="Arial" w:eastAsia="Times New Roman" w:hAnsi="Arial" w:cs="Arial"/>
          <w:b/>
          <w:bCs/>
          <w:kern w:val="36"/>
          <w:sz w:val="22"/>
          <w:szCs w:val="22"/>
          <w14:ligatures w14:val="none"/>
        </w:rPr>
        <w:t>Evaluation of Person-Centred Care and Partnership Working in Health and Social Care</w:t>
      </w:r>
    </w:p>
    <w:p w14:paraId="7477BC1D"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30788857"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Student Name: Norin Mahmood</w:t>
      </w:r>
    </w:p>
    <w:p w14:paraId="1B134959" w14:textId="61206AB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Student Number:</w:t>
      </w:r>
      <w:r w:rsidR="0094450F">
        <w:rPr>
          <w:rFonts w:ascii="Arial" w:hAnsi="Arial" w:cs="Arial"/>
          <w:kern w:val="0"/>
          <w:sz w:val="22"/>
          <w:szCs w:val="22"/>
          <w14:ligatures w14:val="none"/>
        </w:rPr>
        <w:t xml:space="preserve"> 2411895</w:t>
      </w:r>
    </w:p>
    <w:p w14:paraId="4DF1A9B5"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Module Code &amp; Title: BMHP5016 – Principles of Health and Social Care Practice</w:t>
      </w:r>
    </w:p>
    <w:p w14:paraId="4B085E71" w14:textId="77777777" w:rsidR="00CD53E4" w:rsidRDefault="00CD53E4" w:rsidP="00CD53E4">
      <w:p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Assignment Title: Component 2 – Evaluation of Person-Centred Care and Partnership Working</w:t>
      </w:r>
    </w:p>
    <w:p w14:paraId="2D4AC346" w14:textId="2E4020E2" w:rsidR="00A3757D" w:rsidRDefault="00A3757D" w:rsidP="00CD53E4">
      <w:pPr>
        <w:spacing w:before="100" w:beforeAutospacing="1" w:after="100" w:afterAutospacing="1" w:line="240" w:lineRule="auto"/>
        <w:rPr>
          <w:rFonts w:ascii="Arial" w:hAnsi="Arial" w:cs="Arial"/>
          <w:kern w:val="0"/>
          <w:sz w:val="22"/>
          <w:szCs w:val="22"/>
          <w14:ligatures w14:val="none"/>
        </w:rPr>
      </w:pPr>
      <w:r>
        <w:rPr>
          <w:rFonts w:ascii="Arial" w:hAnsi="Arial" w:cs="Arial"/>
          <w:kern w:val="0"/>
          <w:sz w:val="22"/>
          <w:szCs w:val="22"/>
          <w14:ligatures w14:val="none"/>
        </w:rPr>
        <w:t>Lecturers name: Helen Parsons</w:t>
      </w:r>
    </w:p>
    <w:p w14:paraId="2A29CABC" w14:textId="77FC3779" w:rsidR="00095C99" w:rsidRDefault="00095C99" w:rsidP="00CD53E4">
      <w:pPr>
        <w:spacing w:before="100" w:beforeAutospacing="1" w:after="100" w:afterAutospacing="1" w:line="240" w:lineRule="auto"/>
        <w:rPr>
          <w:rFonts w:ascii="Arial" w:hAnsi="Arial" w:cs="Arial"/>
          <w:kern w:val="0"/>
          <w:sz w:val="22"/>
          <w:szCs w:val="22"/>
          <w14:ligatures w14:val="none"/>
        </w:rPr>
      </w:pPr>
      <w:r>
        <w:rPr>
          <w:rFonts w:ascii="Arial" w:hAnsi="Arial" w:cs="Arial"/>
          <w:kern w:val="0"/>
          <w:sz w:val="22"/>
          <w:szCs w:val="22"/>
          <w14:ligatures w14:val="none"/>
        </w:rPr>
        <w:t>Word count:</w:t>
      </w:r>
      <w:r w:rsidR="00624F07">
        <w:rPr>
          <w:rFonts w:ascii="Arial" w:hAnsi="Arial" w:cs="Arial"/>
          <w:kern w:val="0"/>
          <w:sz w:val="22"/>
          <w:szCs w:val="22"/>
          <w14:ligatures w14:val="none"/>
        </w:rPr>
        <w:t>2115</w:t>
      </w:r>
    </w:p>
    <w:p w14:paraId="247AD399" w14:textId="77777777" w:rsidR="00B464CD" w:rsidRPr="00084C96" w:rsidRDefault="00B464CD" w:rsidP="00CD53E4">
      <w:pPr>
        <w:spacing w:before="100" w:beforeAutospacing="1" w:after="100" w:afterAutospacing="1" w:line="240" w:lineRule="auto"/>
        <w:rPr>
          <w:rFonts w:ascii="Arial" w:hAnsi="Arial" w:cs="Arial"/>
          <w:kern w:val="0"/>
          <w:sz w:val="22"/>
          <w:szCs w:val="22"/>
          <w14:ligatures w14:val="none"/>
        </w:rPr>
      </w:pPr>
    </w:p>
    <w:p w14:paraId="0076551E" w14:textId="156F2B80" w:rsidR="00B464CD" w:rsidRPr="00084C96" w:rsidRDefault="00B464CD" w:rsidP="00CD53E4">
      <w:pPr>
        <w:spacing w:before="100" w:beforeAutospacing="1" w:after="100" w:afterAutospacing="1" w:line="240" w:lineRule="auto"/>
        <w:rPr>
          <w:rFonts w:ascii="Arial" w:hAnsi="Arial" w:cs="Arial"/>
          <w:b/>
          <w:bCs/>
          <w:kern w:val="0"/>
          <w:sz w:val="22"/>
          <w:szCs w:val="22"/>
          <w14:ligatures w14:val="none"/>
        </w:rPr>
      </w:pPr>
      <w:r w:rsidRPr="00084C96">
        <w:rPr>
          <w:rFonts w:ascii="Arial" w:hAnsi="Arial" w:cs="Arial"/>
          <w:b/>
          <w:bCs/>
          <w:kern w:val="0"/>
          <w:sz w:val="22"/>
          <w:szCs w:val="22"/>
          <w14:ligatures w14:val="none"/>
        </w:rPr>
        <w:t>Abstract</w:t>
      </w:r>
    </w:p>
    <w:p w14:paraId="0046C848" w14:textId="77777777" w:rsidR="00725BEE" w:rsidRPr="00084C96" w:rsidRDefault="00725BEE" w:rsidP="00CD53E4">
      <w:pPr>
        <w:spacing w:before="100" w:beforeAutospacing="1" w:after="100" w:afterAutospacing="1" w:line="240" w:lineRule="auto"/>
        <w:rPr>
          <w:rFonts w:ascii="Arial" w:hAnsi="Arial" w:cs="Arial"/>
          <w:kern w:val="0"/>
          <w:sz w:val="22"/>
          <w:szCs w:val="22"/>
          <w14:ligatures w14:val="none"/>
        </w:rPr>
      </w:pPr>
    </w:p>
    <w:p w14:paraId="4EE5A3F2" w14:textId="0301E70A" w:rsidR="00725BEE" w:rsidRDefault="00725BEE" w:rsidP="001955DF">
      <w:pPr>
        <w:pStyle w:val="p1"/>
        <w:divId w:val="222067014"/>
        <w:rPr>
          <w:rFonts w:ascii="Arial" w:hAnsi="Arial" w:cs="Arial"/>
          <w:sz w:val="22"/>
          <w:szCs w:val="22"/>
        </w:rPr>
      </w:pPr>
      <w:r w:rsidRPr="00084C96">
        <w:rPr>
          <w:rStyle w:val="s1"/>
          <w:rFonts w:ascii="Arial" w:hAnsi="Arial" w:cs="Arial"/>
          <w:sz w:val="22"/>
          <w:szCs w:val="22"/>
        </w:rPr>
        <w:t xml:space="preserve">This report critically evaluates Person-Centred Care (PCC) and Partnership Working (PW) within UK health and social care practice, with a focus on community mental health services. PCC </w:t>
      </w:r>
      <w:bookmarkStart w:id="0" w:name="_Int_CHIj0w7p"/>
      <w:r w:rsidRPr="00084C96">
        <w:rPr>
          <w:rStyle w:val="s1"/>
          <w:rFonts w:ascii="Arial" w:hAnsi="Arial" w:cs="Arial"/>
          <w:sz w:val="22"/>
          <w:szCs w:val="22"/>
        </w:rPr>
        <w:t>is explored</w:t>
      </w:r>
      <w:bookmarkEnd w:id="0"/>
      <w:r w:rsidRPr="00084C96">
        <w:rPr>
          <w:rStyle w:val="s1"/>
          <w:rFonts w:ascii="Arial" w:hAnsi="Arial" w:cs="Arial"/>
          <w:sz w:val="22"/>
          <w:szCs w:val="22"/>
        </w:rPr>
        <w:t xml:space="preserve"> as an approach that prioritises service users’ individual needs, preferences, and values, promoting autonomy, dignity, and holistic well-being. The report examines theoretical frameworks underpinning PCC, including the McCormack and McCance Person-Centred Nursing Framework and Carl Rogers’ humanistic approach, highlighting their role in guiding personalised, ethical care. Ethical principles, such as autonomy, beneficence, non-maleficence, and justice, </w:t>
      </w:r>
      <w:bookmarkStart w:id="1" w:name="_Int_prP1AEf5"/>
      <w:r w:rsidRPr="00084C96">
        <w:rPr>
          <w:rStyle w:val="s1"/>
          <w:rFonts w:ascii="Arial" w:hAnsi="Arial" w:cs="Arial"/>
          <w:sz w:val="22"/>
          <w:szCs w:val="22"/>
        </w:rPr>
        <w:t>are analysed</w:t>
      </w:r>
      <w:bookmarkEnd w:id="1"/>
      <w:r w:rsidRPr="00084C96">
        <w:rPr>
          <w:rStyle w:val="s1"/>
          <w:rFonts w:ascii="Arial" w:hAnsi="Arial" w:cs="Arial"/>
          <w:sz w:val="22"/>
          <w:szCs w:val="22"/>
        </w:rPr>
        <w:t xml:space="preserve"> in relation to PCC and PW, </w:t>
      </w:r>
      <w:bookmarkStart w:id="2" w:name="_Int_oxjsdnNY"/>
      <w:r w:rsidRPr="00084C96">
        <w:rPr>
          <w:rStyle w:val="s1"/>
          <w:rFonts w:ascii="Arial" w:hAnsi="Arial" w:cs="Arial"/>
          <w:sz w:val="22"/>
          <w:szCs w:val="22"/>
        </w:rPr>
        <w:t>demonstrating</w:t>
      </w:r>
      <w:bookmarkEnd w:id="2"/>
      <w:r w:rsidRPr="00084C96">
        <w:rPr>
          <w:rStyle w:val="s1"/>
          <w:rFonts w:ascii="Arial" w:hAnsi="Arial" w:cs="Arial"/>
          <w:sz w:val="22"/>
          <w:szCs w:val="22"/>
        </w:rPr>
        <w:t xml:space="preserve"> how ethical practice supports effective, safe, and collaborative care. PW </w:t>
      </w:r>
      <w:bookmarkStart w:id="3" w:name="_Int_rvhthKwY"/>
      <w:r w:rsidRPr="00084C96">
        <w:rPr>
          <w:rStyle w:val="s1"/>
          <w:rFonts w:ascii="Arial" w:hAnsi="Arial" w:cs="Arial"/>
          <w:sz w:val="22"/>
          <w:szCs w:val="22"/>
        </w:rPr>
        <w:t>is evaluated</w:t>
      </w:r>
      <w:bookmarkEnd w:id="3"/>
      <w:r w:rsidRPr="00084C96">
        <w:rPr>
          <w:rStyle w:val="s1"/>
          <w:rFonts w:ascii="Arial" w:hAnsi="Arial" w:cs="Arial"/>
          <w:sz w:val="22"/>
          <w:szCs w:val="22"/>
        </w:rPr>
        <w:t xml:space="preserve"> in terms of its benefits, including improved communication, coordinated multidisciplinary care, and enhanced outcomes, alongside challenges such as organisational differences and resource constraints. Relevant UK policy and legislation, including the Care Act 2014 and NICE guidelines, </w:t>
      </w:r>
      <w:bookmarkStart w:id="4" w:name="_Int_lhu2g6Bd"/>
      <w:r w:rsidRPr="00084C96">
        <w:rPr>
          <w:rStyle w:val="s1"/>
          <w:rFonts w:ascii="Arial" w:hAnsi="Arial" w:cs="Arial"/>
          <w:sz w:val="22"/>
          <w:szCs w:val="22"/>
        </w:rPr>
        <w:t>are discussed</w:t>
      </w:r>
      <w:bookmarkEnd w:id="4"/>
      <w:r w:rsidRPr="00084C96">
        <w:rPr>
          <w:rStyle w:val="s1"/>
          <w:rFonts w:ascii="Arial" w:hAnsi="Arial" w:cs="Arial"/>
          <w:sz w:val="22"/>
          <w:szCs w:val="22"/>
        </w:rPr>
        <w:t xml:space="preserve"> in shaping practice. Finally, evidence-based recommendations for future development, such as staff training, digital integration, and service user involvement, </w:t>
      </w:r>
      <w:bookmarkStart w:id="5" w:name="_Int_6dRVbOr8"/>
      <w:r w:rsidRPr="00084C96">
        <w:rPr>
          <w:rStyle w:val="s1"/>
          <w:rFonts w:ascii="Arial" w:hAnsi="Arial" w:cs="Arial"/>
          <w:sz w:val="22"/>
          <w:szCs w:val="22"/>
        </w:rPr>
        <w:t>are proposed</w:t>
      </w:r>
      <w:bookmarkEnd w:id="5"/>
      <w:r w:rsidRPr="00084C96">
        <w:rPr>
          <w:rStyle w:val="s1"/>
          <w:rFonts w:ascii="Arial" w:hAnsi="Arial" w:cs="Arial"/>
          <w:sz w:val="22"/>
          <w:szCs w:val="22"/>
        </w:rPr>
        <w:t xml:space="preserve"> to strengthen PCC and PW and ensure responsive, high-quality care.</w:t>
      </w:r>
    </w:p>
    <w:p w14:paraId="5FF31646" w14:textId="77777777" w:rsidR="00725BEE" w:rsidRDefault="00725BEE" w:rsidP="00CD53E4">
      <w:pPr>
        <w:spacing w:before="100" w:beforeAutospacing="1" w:after="100" w:afterAutospacing="1" w:line="240" w:lineRule="auto"/>
        <w:rPr>
          <w:rFonts w:ascii="Arial" w:hAnsi="Arial" w:cs="Arial"/>
          <w:kern w:val="0"/>
          <w:sz w:val="22"/>
          <w:szCs w:val="22"/>
          <w14:ligatures w14:val="none"/>
        </w:rPr>
      </w:pPr>
    </w:p>
    <w:p w14:paraId="230B8D6B" w14:textId="77777777" w:rsidR="00725BEE" w:rsidRPr="00CD53E4" w:rsidRDefault="00725BEE" w:rsidP="00CD53E4">
      <w:pPr>
        <w:spacing w:before="100" w:beforeAutospacing="1" w:after="100" w:afterAutospacing="1" w:line="240" w:lineRule="auto"/>
        <w:rPr>
          <w:rFonts w:ascii="Arial" w:hAnsi="Arial" w:cs="Arial"/>
          <w:kern w:val="0"/>
          <w:sz w:val="22"/>
          <w:szCs w:val="22"/>
          <w14:ligatures w14:val="none"/>
        </w:rPr>
      </w:pPr>
    </w:p>
    <w:p w14:paraId="1B1BFF27" w14:textId="77777777" w:rsidR="00CD53E4" w:rsidRPr="00CD53E4" w:rsidRDefault="00CD53E4" w:rsidP="00CD53E4">
      <w:pPr>
        <w:spacing w:after="0" w:line="240" w:lineRule="auto"/>
        <w:rPr>
          <w:rFonts w:ascii="Arial" w:eastAsia="Times New Roman" w:hAnsi="Arial" w:cs="Arial"/>
          <w:kern w:val="0"/>
          <w:sz w:val="22"/>
          <w:szCs w:val="22"/>
          <w14:ligatures w14:val="none"/>
        </w:rPr>
      </w:pPr>
      <w:r w:rsidRPr="00CD53E4">
        <w:rPr>
          <w:rFonts w:ascii="Arial" w:eastAsia="Times New Roman" w:hAnsi="Arial" w:cs="Arial"/>
          <w:noProof/>
          <w:kern w:val="0"/>
          <w:sz w:val="22"/>
          <w:szCs w:val="22"/>
          <w14:ligatures w14:val="none"/>
        </w:rPr>
        <mc:AlternateContent>
          <mc:Choice Requires="wps">
            <w:drawing>
              <wp:inline distT="0" distB="0" distL="0" distR="0" wp14:anchorId="4A29FEA3" wp14:editId="481A7F6B">
                <wp:extent cx="8863330" cy="1270"/>
                <wp:effectExtent l="0" t="31750" r="0" b="36830"/>
                <wp:docPr id="1333863345" name="Rectangle 1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D57ACB1" id="Rectangle 11" o:spid="_x0000_s1026" style="width:697.9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" filled="f">
                <w10:anchorlock/>
              </v:rect>
            </w:pict>
          </mc:Fallback>
        </mc:AlternateContent>
      </w:r>
    </w:p>
    <w:p w14:paraId="1C183670" w14:textId="77777777" w:rsidR="00CD53E4" w:rsidRPr="00CD53E4" w:rsidRDefault="00CD53E4" w:rsidP="00CD53E4">
      <w:pPr>
        <w:spacing w:before="100" w:beforeAutospacing="1" w:after="100" w:afterAutospacing="1" w:line="240" w:lineRule="auto"/>
        <w:outlineLvl w:val="1"/>
        <w:rPr>
          <w:rFonts w:ascii="Arial" w:hAnsi="Arial" w:cs="Arial"/>
          <w:b/>
          <w:bCs/>
          <w:kern w:val="0"/>
          <w:sz w:val="22"/>
          <w:szCs w:val="22"/>
          <w14:ligatures w14:val="none"/>
        </w:rPr>
      </w:pPr>
      <w:r w:rsidRPr="00CD53E4">
        <w:rPr>
          <w:rFonts w:ascii="Arial" w:eastAsia="Times New Roman" w:hAnsi="Arial" w:cs="Arial"/>
          <w:b/>
          <w:bCs/>
          <w:kern w:val="0"/>
          <w:sz w:val="22"/>
          <w:szCs w:val="22"/>
          <w14:ligatures w14:val="none"/>
        </w:rPr>
        <w:t>Contents</w:t>
      </w:r>
    </w:p>
    <w:p w14:paraId="67ED3429" w14:textId="77777777" w:rsidR="00CD53E4" w:rsidRPr="00CD53E4" w:rsidRDefault="00CD53E4" w:rsidP="00CD53E4">
      <w:pPr>
        <w:numPr>
          <w:ilvl w:val="0"/>
          <w:numId w:val="1"/>
        </w:num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Introduction</w:t>
      </w:r>
    </w:p>
    <w:p w14:paraId="11F7020F" w14:textId="77777777" w:rsidR="00CD53E4" w:rsidRPr="00CD53E4" w:rsidRDefault="00CD53E4" w:rsidP="00CD53E4">
      <w:pPr>
        <w:numPr>
          <w:ilvl w:val="0"/>
          <w:numId w:val="1"/>
        </w:num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Definition and Overview of Person-Centred Care (PCC)</w:t>
      </w:r>
    </w:p>
    <w:p w14:paraId="4C16A1E9" w14:textId="77777777" w:rsidR="00CD53E4" w:rsidRPr="00CD53E4" w:rsidRDefault="00CD53E4" w:rsidP="00CD53E4">
      <w:pPr>
        <w:numPr>
          <w:ilvl w:val="0"/>
          <w:numId w:val="1"/>
        </w:num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Theory/Model Underpinning PCC</w:t>
      </w:r>
    </w:p>
    <w:p w14:paraId="1B4E44C8" w14:textId="77777777" w:rsidR="00CD53E4" w:rsidRPr="00CD53E4" w:rsidRDefault="00CD53E4" w:rsidP="00CD53E4">
      <w:pPr>
        <w:numPr>
          <w:ilvl w:val="0"/>
          <w:numId w:val="1"/>
        </w:num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Ethical Fundamentals in Health and Social Care</w:t>
      </w:r>
    </w:p>
    <w:p w14:paraId="24B17E08" w14:textId="77777777" w:rsidR="00CD53E4" w:rsidRPr="00CD53E4" w:rsidRDefault="00CD53E4" w:rsidP="00CD53E4">
      <w:pPr>
        <w:numPr>
          <w:ilvl w:val="0"/>
          <w:numId w:val="1"/>
        </w:num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Partnership Working (PW) in Health and Social Care</w:t>
      </w:r>
    </w:p>
    <w:p w14:paraId="483CB66C" w14:textId="77777777" w:rsidR="00CD53E4" w:rsidRPr="00CD53E4" w:rsidRDefault="00CD53E4" w:rsidP="00CD53E4">
      <w:pPr>
        <w:numPr>
          <w:ilvl w:val="0"/>
          <w:numId w:val="1"/>
        </w:num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Application of Partnership Working in Practice</w:t>
      </w:r>
    </w:p>
    <w:p w14:paraId="5C2F2BF1" w14:textId="77777777" w:rsidR="00CD53E4" w:rsidRPr="00CD53E4" w:rsidRDefault="00CD53E4" w:rsidP="00CD53E4">
      <w:pPr>
        <w:numPr>
          <w:ilvl w:val="0"/>
          <w:numId w:val="1"/>
        </w:num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Relevant Policy and Legislation</w:t>
      </w:r>
    </w:p>
    <w:p w14:paraId="18B5AD2C" w14:textId="77777777" w:rsidR="00CD53E4" w:rsidRPr="00CD53E4" w:rsidRDefault="00CD53E4" w:rsidP="00CD53E4">
      <w:pPr>
        <w:numPr>
          <w:ilvl w:val="0"/>
          <w:numId w:val="1"/>
        </w:num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Recommendations for Future Development</w:t>
      </w:r>
    </w:p>
    <w:p w14:paraId="0CC124B0" w14:textId="77777777" w:rsidR="00CD53E4" w:rsidRPr="00CD53E4" w:rsidRDefault="00CD53E4" w:rsidP="00CD53E4">
      <w:pPr>
        <w:numPr>
          <w:ilvl w:val="0"/>
          <w:numId w:val="1"/>
        </w:num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Conclusion</w:t>
      </w:r>
    </w:p>
    <w:p w14:paraId="68A93426" w14:textId="77777777" w:rsidR="00CD53E4" w:rsidRPr="00CD53E4" w:rsidRDefault="00CD53E4" w:rsidP="00CD53E4">
      <w:pPr>
        <w:numPr>
          <w:ilvl w:val="0"/>
          <w:numId w:val="1"/>
        </w:num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References</w:t>
      </w:r>
    </w:p>
    <w:p w14:paraId="3E428932" w14:textId="77777777" w:rsidR="00CD53E4" w:rsidRPr="00CD53E4" w:rsidRDefault="00CD53E4" w:rsidP="00CD53E4">
      <w:pPr>
        <w:spacing w:after="0" w:line="240" w:lineRule="auto"/>
        <w:rPr>
          <w:rFonts w:ascii="Arial" w:eastAsia="Times New Roman" w:hAnsi="Arial" w:cs="Arial"/>
          <w:kern w:val="0"/>
          <w:sz w:val="22"/>
          <w:szCs w:val="22"/>
          <w14:ligatures w14:val="none"/>
        </w:rPr>
      </w:pPr>
      <w:r w:rsidRPr="00CD53E4">
        <w:rPr>
          <w:rFonts w:ascii="Arial" w:eastAsia="Times New Roman" w:hAnsi="Arial" w:cs="Arial"/>
          <w:noProof/>
          <w:kern w:val="0"/>
          <w:sz w:val="22"/>
          <w:szCs w:val="22"/>
          <w14:ligatures w14:val="none"/>
        </w:rPr>
        <mc:AlternateContent>
          <mc:Choice Requires="wps">
            <w:drawing>
              <wp:inline distT="0" distB="0" distL="0" distR="0" wp14:anchorId="3B96FB4C" wp14:editId="2A335AC4">
                <wp:extent cx="8863330" cy="1270"/>
                <wp:effectExtent l="0" t="31750" r="0" b="36830"/>
                <wp:docPr id="358429971" name="Rectangle 1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942D50D" id="Rectangle 10" o:spid="_x0000_s1026" style="width:697.9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" filled="f">
                <w10:anchorlock/>
              </v:rect>
            </w:pict>
          </mc:Fallback>
        </mc:AlternateContent>
      </w:r>
    </w:p>
    <w:p w14:paraId="46C65F58" w14:textId="77777777" w:rsidR="00B13F25" w:rsidRPr="0091326C" w:rsidRDefault="00B13F25"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361A470C" w14:textId="77777777" w:rsidR="00B13F25" w:rsidRPr="0091326C" w:rsidRDefault="00B13F25"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74A1D402" w14:textId="77777777" w:rsidR="00B13F25" w:rsidRPr="0091326C" w:rsidRDefault="00B13F25"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209B8F50" w14:textId="77777777" w:rsidR="00B13F25" w:rsidRDefault="00B13F25"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3C32482C" w14:textId="77777777" w:rsidR="0094450F" w:rsidRDefault="0094450F"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707F4FFC" w14:textId="77777777" w:rsidR="0094450F" w:rsidRDefault="0094450F"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439BA620" w14:textId="77777777" w:rsidR="0094450F" w:rsidRDefault="0094450F"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65422B00" w14:textId="77777777" w:rsidR="0094450F" w:rsidRDefault="0094450F"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47A9774D" w14:textId="77777777" w:rsidR="0094450F" w:rsidRDefault="0094450F"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3D49F039" w14:textId="77777777" w:rsidR="0094450F" w:rsidRDefault="0094450F"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46AB7956" w14:textId="77777777" w:rsidR="001C662A" w:rsidRDefault="001C662A"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1F7A77CE" w14:textId="77777777" w:rsidR="001C662A" w:rsidRDefault="001C662A"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5F839ABA" w14:textId="77777777" w:rsidR="001C662A" w:rsidRDefault="001C662A"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14DEC4BA" w14:textId="77777777" w:rsidR="001C662A" w:rsidRDefault="001C662A"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182DBB83" w14:textId="77777777" w:rsidR="001C662A" w:rsidRDefault="001C662A"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0765C636" w14:textId="77777777" w:rsidR="001C662A" w:rsidRDefault="001C662A"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35AE0A2F" w14:textId="77777777" w:rsidR="001C662A" w:rsidRDefault="001C662A"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7AABFA52" w14:textId="77777777" w:rsidR="001C662A" w:rsidRDefault="001C662A"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0064CCF5" w14:textId="77777777" w:rsidR="001C662A" w:rsidRDefault="001C662A"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41B3F5A8" w14:textId="77777777" w:rsidR="001C662A" w:rsidRDefault="001C662A"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592BB1E6" w14:textId="77777777" w:rsidR="001C662A" w:rsidRDefault="001C662A"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5807DAF0" w14:textId="77777777" w:rsidR="001C662A" w:rsidRDefault="001C662A"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4A453CB7" w14:textId="77777777" w:rsidR="001C662A" w:rsidRDefault="001C662A"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29538B29" w14:textId="77777777" w:rsidR="00B13F25" w:rsidRDefault="00B13F25"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260896FA" w14:textId="77777777" w:rsidR="001C662A" w:rsidRPr="0091326C" w:rsidRDefault="001C662A"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701D8EFF" w14:textId="3903AE32" w:rsidR="00B1398A" w:rsidRPr="00B1398A" w:rsidRDefault="00CD53E4" w:rsidP="00CD53E4">
      <w:pPr>
        <w:spacing w:before="100" w:beforeAutospacing="1" w:after="100" w:afterAutospacing="1" w:line="240" w:lineRule="auto"/>
        <w:outlineLvl w:val="1"/>
        <w:rPr>
          <w:rFonts w:ascii="Arial" w:hAnsi="Arial" w:cs="Arial"/>
          <w:b/>
          <w:bCs/>
          <w:kern w:val="0"/>
          <w:sz w:val="22"/>
          <w:szCs w:val="22"/>
          <w14:ligatures w14:val="none"/>
        </w:rPr>
      </w:pPr>
      <w:r w:rsidRPr="00CD53E4">
        <w:rPr>
          <w:rFonts w:ascii="Arial" w:eastAsia="Times New Roman" w:hAnsi="Arial" w:cs="Arial"/>
          <w:b/>
          <w:bCs/>
          <w:kern w:val="0"/>
          <w:sz w:val="22"/>
          <w:szCs w:val="22"/>
          <w14:ligatures w14:val="none"/>
        </w:rPr>
        <w:t>1. Introduction</w:t>
      </w:r>
    </w:p>
    <w:p w14:paraId="1A5826F8"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007256A7" w14:textId="77777777" w:rsidR="00B13F25" w:rsidRPr="0091326C" w:rsidRDefault="00CD53E4">
      <w:pPr>
        <w:pStyle w:val="p1"/>
        <w:divId w:val="770515324"/>
        <w:rPr>
          <w:rFonts w:ascii="Arial" w:hAnsi="Arial" w:cs="Arial"/>
          <w:sz w:val="22"/>
          <w:szCs w:val="22"/>
        </w:rPr>
      </w:pPr>
      <w:r w:rsidRPr="00CD53E4">
        <w:rPr>
          <w:rFonts w:ascii="Arial" w:hAnsi="Arial" w:cs="Arial"/>
          <w:sz w:val="22"/>
          <w:szCs w:val="22"/>
        </w:rPr>
        <w:t xml:space="preserve">Person-Centred Care (PCC) and Partnership Working (PW) are essential components of modern UK health and social care practice. PCC prioritises the needs, preferences, and values of service users, ensuring care </w:t>
      </w:r>
      <w:bookmarkStart w:id="6" w:name="_Int_Bo9mQ3sE"/>
      <w:r w:rsidRPr="00CD53E4">
        <w:rPr>
          <w:rFonts w:ascii="Arial" w:hAnsi="Arial" w:cs="Arial"/>
          <w:sz w:val="22"/>
          <w:szCs w:val="22"/>
        </w:rPr>
        <w:t>is tailored</w:t>
      </w:r>
      <w:bookmarkEnd w:id="6"/>
      <w:r w:rsidRPr="00CD53E4">
        <w:rPr>
          <w:rFonts w:ascii="Arial" w:hAnsi="Arial" w:cs="Arial"/>
          <w:sz w:val="22"/>
          <w:szCs w:val="22"/>
        </w:rPr>
        <w:t xml:space="preserve"> to </w:t>
      </w:r>
      <w:r w:rsidR="005E0733" w:rsidRPr="0091326C">
        <w:rPr>
          <w:rFonts w:ascii="Arial" w:hAnsi="Arial" w:cs="Arial"/>
          <w:sz w:val="22"/>
          <w:szCs w:val="22"/>
        </w:rPr>
        <w:t>everyone</w:t>
      </w:r>
      <w:r w:rsidRPr="00CD53E4">
        <w:rPr>
          <w:rFonts w:ascii="Arial" w:hAnsi="Arial" w:cs="Arial"/>
          <w:sz w:val="22"/>
          <w:szCs w:val="22"/>
        </w:rPr>
        <w:t xml:space="preserve">, whilst promoting autonomy, dignity, and holistic well-being (NICE, 2022). </w:t>
      </w:r>
      <w:r w:rsidR="00B13F25" w:rsidRPr="0091326C">
        <w:rPr>
          <w:rStyle w:val="s1"/>
          <w:rFonts w:ascii="Arial" w:hAnsi="Arial" w:cs="Arial"/>
          <w:sz w:val="22"/>
          <w:szCs w:val="22"/>
        </w:rPr>
        <w:t>The importance of PCC and PW has grown due to the increasing complexity of service users’ needs within the UK, including the rise in long-term conditions, mental health challenges, and the ageing population. Integrating PCC and PW is crucial for improving outcomes, enhancing satisfaction, and ensuring ethical, evidence-based care that is responsive to diverse individual needs</w:t>
      </w:r>
    </w:p>
    <w:p w14:paraId="42DBB83C" w14:textId="3D72F10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PW involves collaboration between professionals, service users, families, and external agencies to provide coordinated, high-quality care (Glasby &amp; Dickinson, 2021).</w:t>
      </w:r>
    </w:p>
    <w:p w14:paraId="02379BDC"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2A62F408" w14:textId="33BE7242"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 xml:space="preserve">The aim of this report is to critically evaluate PCC and PW and explore how these approaches work together in professional health and social care settings. The report will define PCC, examine relevant theoretical frameworks, analyse ethical fundamentals, evaluate PW, and </w:t>
      </w:r>
      <w:bookmarkStart w:id="7" w:name="_Int_lIftFJtW"/>
      <w:r w:rsidRPr="00CD53E4">
        <w:rPr>
          <w:rFonts w:ascii="Arial" w:hAnsi="Arial" w:cs="Arial"/>
          <w:kern w:val="0"/>
          <w:sz w:val="22"/>
          <w:szCs w:val="22"/>
          <w14:ligatures w14:val="none"/>
        </w:rPr>
        <w:t>provide</w:t>
      </w:r>
      <w:bookmarkEnd w:id="7"/>
      <w:r w:rsidRPr="00CD53E4">
        <w:rPr>
          <w:rFonts w:ascii="Arial" w:hAnsi="Arial" w:cs="Arial"/>
          <w:kern w:val="0"/>
          <w:sz w:val="22"/>
          <w:szCs w:val="22"/>
          <w14:ligatures w14:val="none"/>
        </w:rPr>
        <w:t xml:space="preserve"> practical examples of its application. Relevant UK policy and legislation will also </w:t>
      </w:r>
      <w:bookmarkStart w:id="8" w:name="_Int_oeAXbMZC"/>
      <w:r w:rsidRPr="00CD53E4">
        <w:rPr>
          <w:rFonts w:ascii="Arial" w:hAnsi="Arial" w:cs="Arial"/>
          <w:kern w:val="0"/>
          <w:sz w:val="22"/>
          <w:szCs w:val="22"/>
          <w14:ligatures w14:val="none"/>
        </w:rPr>
        <w:t>be discussed</w:t>
      </w:r>
      <w:bookmarkEnd w:id="8"/>
      <w:r w:rsidRPr="00CD53E4">
        <w:rPr>
          <w:rFonts w:ascii="Arial" w:hAnsi="Arial" w:cs="Arial"/>
          <w:kern w:val="0"/>
          <w:sz w:val="22"/>
          <w:szCs w:val="22"/>
          <w14:ligatures w14:val="none"/>
        </w:rPr>
        <w:t xml:space="preserve">, alongside recommendations for the development of PCC and PW to improve outcomes. Through this evaluation, the report </w:t>
      </w:r>
      <w:r w:rsidR="00A11F9B" w:rsidRPr="00CD53E4">
        <w:rPr>
          <w:rFonts w:ascii="Arial" w:hAnsi="Arial" w:cs="Arial"/>
          <w:kern w:val="0"/>
          <w:sz w:val="22"/>
          <w:szCs w:val="22"/>
          <w14:ligatures w14:val="none"/>
        </w:rPr>
        <w:t>shows</w:t>
      </w:r>
      <w:r w:rsidRPr="00CD53E4">
        <w:rPr>
          <w:rFonts w:ascii="Arial" w:hAnsi="Arial" w:cs="Arial"/>
          <w:kern w:val="0"/>
          <w:sz w:val="22"/>
          <w:szCs w:val="22"/>
          <w14:ligatures w14:val="none"/>
        </w:rPr>
        <w:t xml:space="preserve"> the importance of integrating PCC and PW to achieve effective, ethical, and evidence-based care across health and social care services.</w:t>
      </w:r>
    </w:p>
    <w:p w14:paraId="313897B9" w14:textId="77777777" w:rsidR="00CD53E4" w:rsidRPr="00CD53E4" w:rsidRDefault="00CD53E4" w:rsidP="00CD53E4">
      <w:pPr>
        <w:spacing w:after="0" w:line="240" w:lineRule="auto"/>
        <w:rPr>
          <w:rFonts w:ascii="Arial" w:eastAsia="Times New Roman" w:hAnsi="Arial" w:cs="Arial"/>
          <w:kern w:val="0"/>
          <w:sz w:val="22"/>
          <w:szCs w:val="22"/>
          <w14:ligatures w14:val="none"/>
        </w:rPr>
      </w:pPr>
      <w:r w:rsidRPr="00CD53E4">
        <w:rPr>
          <w:rFonts w:ascii="Arial" w:eastAsia="Times New Roman" w:hAnsi="Arial" w:cs="Arial"/>
          <w:noProof/>
          <w:kern w:val="0"/>
          <w:sz w:val="22"/>
          <w:szCs w:val="22"/>
          <w14:ligatures w14:val="none"/>
        </w:rPr>
        <mc:AlternateContent>
          <mc:Choice Requires="wps">
            <w:drawing>
              <wp:inline distT="0" distB="0" distL="0" distR="0" wp14:anchorId="0F2DE7F9" wp14:editId="6F28FBF8">
                <wp:extent cx="8863330" cy="1270"/>
                <wp:effectExtent l="0" t="31750" r="0" b="36830"/>
                <wp:docPr id="2074457959" name="Rectangle 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BC6BD6A" id="Rectangle 9" o:spid="_x0000_s1026" style="width:697.9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" filled="f">
                <w10:anchorlock/>
              </v:rect>
            </w:pict>
          </mc:Fallback>
        </mc:AlternateContent>
      </w:r>
    </w:p>
    <w:p w14:paraId="2EBDB1E0" w14:textId="6775FAD7" w:rsidR="00B1398A" w:rsidRPr="00B1398A" w:rsidRDefault="00CD53E4" w:rsidP="00CD53E4">
      <w:pPr>
        <w:spacing w:before="100" w:beforeAutospacing="1" w:after="100" w:afterAutospacing="1" w:line="240" w:lineRule="auto"/>
        <w:outlineLvl w:val="1"/>
        <w:rPr>
          <w:rFonts w:ascii="Arial" w:hAnsi="Arial" w:cs="Arial"/>
          <w:b/>
          <w:bCs/>
          <w:kern w:val="0"/>
          <w:sz w:val="22"/>
          <w:szCs w:val="22"/>
          <w14:ligatures w14:val="none"/>
        </w:rPr>
      </w:pPr>
      <w:r w:rsidRPr="00CD53E4">
        <w:rPr>
          <w:rFonts w:ascii="Arial" w:eastAsia="Times New Roman" w:hAnsi="Arial" w:cs="Arial"/>
          <w:b/>
          <w:bCs/>
          <w:kern w:val="0"/>
          <w:sz w:val="22"/>
          <w:szCs w:val="22"/>
          <w14:ligatures w14:val="none"/>
        </w:rPr>
        <w:t>2. Person-Centred Care (PCC)</w:t>
      </w:r>
    </w:p>
    <w:p w14:paraId="28AB400B"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67C10B21" w14:textId="7BD9BC4E" w:rsidR="00A704C6" w:rsidRPr="0091326C" w:rsidRDefault="00CD53E4">
      <w:pPr>
        <w:pStyle w:val="p1"/>
        <w:divId w:val="1513689743"/>
        <w:rPr>
          <w:rFonts w:ascii="Arial" w:hAnsi="Arial" w:cs="Arial"/>
          <w:sz w:val="22"/>
          <w:szCs w:val="22"/>
        </w:rPr>
      </w:pPr>
      <w:r w:rsidRPr="00CD53E4">
        <w:rPr>
          <w:rFonts w:ascii="Arial" w:hAnsi="Arial" w:cs="Arial"/>
          <w:sz w:val="22"/>
          <w:szCs w:val="22"/>
        </w:rPr>
        <w:t xml:space="preserve">Person-Centred Care is an approach that recognises service users as active partners in planning, developing, and delivering care (Kitwood, 1997). It emphasises respect for the individual, empowerment, dignity, and the provision of holistic care tailored to physical, emotional, and social needs (Skills for Care, 2021). According to NICE (2022), PCC ensures that service users are involved in decisions </w:t>
      </w:r>
      <w:r w:rsidR="007E1C61" w:rsidRPr="00CD53E4">
        <w:rPr>
          <w:rFonts w:ascii="Arial" w:hAnsi="Arial" w:cs="Arial"/>
          <w:sz w:val="22"/>
          <w:szCs w:val="22"/>
        </w:rPr>
        <w:t>on</w:t>
      </w:r>
      <w:r w:rsidRPr="00CD53E4">
        <w:rPr>
          <w:rFonts w:ascii="Arial" w:hAnsi="Arial" w:cs="Arial"/>
          <w:sz w:val="22"/>
          <w:szCs w:val="22"/>
        </w:rPr>
        <w:t xml:space="preserve"> their care, promoting shared decision-making and personalised treatment plans.</w:t>
      </w:r>
      <w:r w:rsidR="00A704C6" w:rsidRPr="0091326C">
        <w:rPr>
          <w:rFonts w:ascii="Arial" w:hAnsi="Arial" w:cs="Arial"/>
          <w:sz w:val="22"/>
          <w:szCs w:val="22"/>
        </w:rPr>
        <w:t xml:space="preserve"> </w:t>
      </w:r>
      <w:r w:rsidR="00A704C6" w:rsidRPr="0091326C">
        <w:rPr>
          <w:rStyle w:val="s1"/>
          <w:rFonts w:ascii="Arial" w:hAnsi="Arial" w:cs="Arial"/>
          <w:sz w:val="22"/>
          <w:szCs w:val="22"/>
        </w:rPr>
        <w:t xml:space="preserve">In the UK, PCC </w:t>
      </w:r>
      <w:bookmarkStart w:id="9" w:name="_Int_lOk7Nlz5"/>
      <w:r w:rsidR="00A704C6" w:rsidRPr="0091326C">
        <w:rPr>
          <w:rStyle w:val="s1"/>
          <w:rFonts w:ascii="Arial" w:hAnsi="Arial" w:cs="Arial"/>
          <w:sz w:val="22"/>
          <w:szCs w:val="22"/>
        </w:rPr>
        <w:t>is applied</w:t>
      </w:r>
      <w:bookmarkEnd w:id="9"/>
      <w:r w:rsidR="00A704C6" w:rsidRPr="0091326C">
        <w:rPr>
          <w:rStyle w:val="s1"/>
          <w:rFonts w:ascii="Arial" w:hAnsi="Arial" w:cs="Arial"/>
          <w:sz w:val="22"/>
          <w:szCs w:val="22"/>
        </w:rPr>
        <w:t xml:space="preserve"> across settings including care homes, community nursing, and NHS chronic care management. For instance, care home residents </w:t>
      </w:r>
      <w:bookmarkStart w:id="10" w:name="_Int_DxjsMGdM"/>
      <w:r w:rsidR="007E1C61">
        <w:rPr>
          <w:rStyle w:val="s1"/>
          <w:rFonts w:ascii="Arial" w:hAnsi="Arial" w:cs="Arial"/>
          <w:sz w:val="22"/>
          <w:szCs w:val="22"/>
        </w:rPr>
        <w:t>benefit</w:t>
      </w:r>
      <w:bookmarkEnd w:id="10"/>
      <w:r w:rsidR="007E1C61">
        <w:rPr>
          <w:rStyle w:val="s1"/>
          <w:rFonts w:ascii="Arial" w:hAnsi="Arial" w:cs="Arial"/>
          <w:sz w:val="22"/>
          <w:szCs w:val="22"/>
        </w:rPr>
        <w:t xml:space="preserve"> </w:t>
      </w:r>
      <w:r w:rsidR="00A704C6" w:rsidRPr="0091326C">
        <w:rPr>
          <w:rStyle w:val="s1"/>
          <w:rFonts w:ascii="Arial" w:hAnsi="Arial" w:cs="Arial"/>
          <w:sz w:val="22"/>
          <w:szCs w:val="22"/>
        </w:rPr>
        <w:t xml:space="preserve">from staff recognising individual routines, dietary preferences, and social needs, which enhances quality of life. In mental health services, PCC enables service users to </w:t>
      </w:r>
      <w:r w:rsidR="005C7382" w:rsidRPr="0091326C">
        <w:rPr>
          <w:rStyle w:val="s1"/>
          <w:rFonts w:ascii="Arial" w:hAnsi="Arial" w:cs="Arial"/>
          <w:sz w:val="22"/>
          <w:szCs w:val="22"/>
        </w:rPr>
        <w:t>take part</w:t>
      </w:r>
      <w:r w:rsidR="00A704C6" w:rsidRPr="0091326C">
        <w:rPr>
          <w:rStyle w:val="s1"/>
          <w:rFonts w:ascii="Arial" w:hAnsi="Arial" w:cs="Arial"/>
          <w:sz w:val="22"/>
          <w:szCs w:val="22"/>
        </w:rPr>
        <w:t xml:space="preserve"> in care planning, supporting recovery and self-management. Evidence suggests PCC improves service user satisfaction, engagement, and overall health outcomes (CQC, 2022).</w:t>
      </w:r>
    </w:p>
    <w:p w14:paraId="4CC4A4A3" w14:textId="73D4DC95"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2EECD55C"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4EC20396"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Benefits of PCC include improved patient outcomes, greater satisfaction, and increased engagement in care (McCormack &amp; McCance, 2016). For example, older adults receiving PCC report feeling more valued and involved, leading to improved mental well-being (CQC, 2022). PCC also encourages better communication between staff and service users, which can reduce hospital admissions and support continuity of care (Ham, 2014).</w:t>
      </w:r>
    </w:p>
    <w:p w14:paraId="0410712E"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05D2A378"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 xml:space="preserve">Limitations exist, however. PCC can be resource-intensive, requiring time, training, and staff commitment (Skills for Care, 2021). Operational pressures in acute settings may prevent consistent delivery of PCC, and variations in organisational culture can lead to unequal implementation (Coulter, 2012). Despite these challenges, PCC </w:t>
      </w:r>
      <w:bookmarkStart w:id="11" w:name="_Int_yrD7exsu"/>
      <w:r w:rsidRPr="00CD53E4">
        <w:rPr>
          <w:rFonts w:ascii="Arial" w:hAnsi="Arial" w:cs="Arial"/>
          <w:kern w:val="0"/>
          <w:sz w:val="22"/>
          <w:szCs w:val="22"/>
          <w14:ligatures w14:val="none"/>
        </w:rPr>
        <w:t>remains</w:t>
      </w:r>
      <w:bookmarkEnd w:id="11"/>
      <w:r w:rsidRPr="00CD53E4">
        <w:rPr>
          <w:rFonts w:ascii="Arial" w:hAnsi="Arial" w:cs="Arial"/>
          <w:kern w:val="0"/>
          <w:sz w:val="22"/>
          <w:szCs w:val="22"/>
          <w14:ligatures w14:val="none"/>
        </w:rPr>
        <w:t xml:space="preserve"> a key approach in the UK, forming the foundation of ethical, evidence-based health and social care practice.</w:t>
      </w:r>
    </w:p>
    <w:p w14:paraId="7CD5D715" w14:textId="77777777" w:rsidR="00CD53E4" w:rsidRPr="00CD53E4" w:rsidRDefault="00CD53E4" w:rsidP="00CD53E4">
      <w:pPr>
        <w:spacing w:after="0" w:line="240" w:lineRule="auto"/>
        <w:rPr>
          <w:rFonts w:ascii="Arial" w:eastAsia="Times New Roman" w:hAnsi="Arial" w:cs="Arial"/>
          <w:kern w:val="0"/>
          <w:sz w:val="22"/>
          <w:szCs w:val="22"/>
          <w14:ligatures w14:val="none"/>
        </w:rPr>
      </w:pPr>
      <w:r w:rsidRPr="00CD53E4">
        <w:rPr>
          <w:rFonts w:ascii="Arial" w:eastAsia="Times New Roman" w:hAnsi="Arial" w:cs="Arial"/>
          <w:noProof/>
          <w:kern w:val="0"/>
          <w:sz w:val="22"/>
          <w:szCs w:val="22"/>
          <w14:ligatures w14:val="none"/>
        </w:rPr>
        <mc:AlternateContent>
          <mc:Choice Requires="wps">
            <w:drawing>
              <wp:inline distT="0" distB="0" distL="0" distR="0" wp14:anchorId="125741FF" wp14:editId="388B9281">
                <wp:extent cx="8863330" cy="1270"/>
                <wp:effectExtent l="0" t="31750" r="0" b="36830"/>
                <wp:docPr id="1506488793" name="Rectangl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C028D66" id="Rectangle 8" o:spid="_x0000_s1026" style="width:697.9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" filled="f">
                <w10:anchorlock/>
              </v:rect>
            </w:pict>
          </mc:Fallback>
        </mc:AlternateContent>
      </w:r>
    </w:p>
    <w:p w14:paraId="1F0CC0E0" w14:textId="7413F1E0" w:rsidR="00CD53E4" w:rsidRPr="00B1398A" w:rsidRDefault="00CD53E4" w:rsidP="00CD53E4">
      <w:pPr>
        <w:spacing w:before="100" w:beforeAutospacing="1" w:after="100" w:afterAutospacing="1" w:line="240" w:lineRule="auto"/>
        <w:outlineLvl w:val="1"/>
        <w:rPr>
          <w:rFonts w:ascii="Arial" w:hAnsi="Arial" w:cs="Arial"/>
          <w:b/>
          <w:bCs/>
          <w:kern w:val="0"/>
          <w:sz w:val="22"/>
          <w:szCs w:val="22"/>
          <w14:ligatures w14:val="none"/>
        </w:rPr>
      </w:pPr>
      <w:r w:rsidRPr="00CD53E4">
        <w:rPr>
          <w:rFonts w:ascii="Arial" w:eastAsia="Times New Roman" w:hAnsi="Arial" w:cs="Arial"/>
          <w:b/>
          <w:bCs/>
          <w:kern w:val="0"/>
          <w:sz w:val="22"/>
          <w:szCs w:val="22"/>
          <w14:ligatures w14:val="none"/>
        </w:rPr>
        <w:t>3. Theory/Model Underpinning PCC</w:t>
      </w:r>
    </w:p>
    <w:p w14:paraId="47502166"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681E1F98"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 xml:space="preserve">The McCormack and McCance Person-Centred Nursing Framework (2016) </w:t>
      </w:r>
      <w:bookmarkStart w:id="12" w:name="_Int_vqa1ckDQ"/>
      <w:r w:rsidRPr="00CD53E4">
        <w:rPr>
          <w:rFonts w:ascii="Arial" w:hAnsi="Arial" w:cs="Arial"/>
          <w:kern w:val="0"/>
          <w:sz w:val="22"/>
          <w:szCs w:val="22"/>
          <w14:ligatures w14:val="none"/>
        </w:rPr>
        <w:t>is widely used</w:t>
      </w:r>
      <w:bookmarkEnd w:id="12"/>
      <w:r w:rsidRPr="00CD53E4">
        <w:rPr>
          <w:rFonts w:ascii="Arial" w:hAnsi="Arial" w:cs="Arial"/>
          <w:kern w:val="0"/>
          <w:sz w:val="22"/>
          <w:szCs w:val="22"/>
          <w14:ligatures w14:val="none"/>
        </w:rPr>
        <w:t xml:space="preserve"> in the UK to guide PCC. It includes four elements: prerequisites, care environment, person-centred processes, and expected outcomes.</w:t>
      </w:r>
    </w:p>
    <w:p w14:paraId="66AEE661" w14:textId="77777777" w:rsidR="00CD53E4" w:rsidRPr="00CD53E4" w:rsidRDefault="00CD53E4" w:rsidP="00CD53E4">
      <w:pPr>
        <w:numPr>
          <w:ilvl w:val="0"/>
          <w:numId w:val="2"/>
        </w:num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Prerequisites: Staff must have professional competence, interpersonal skills, and a commitment to person-centred practice.</w:t>
      </w:r>
    </w:p>
    <w:p w14:paraId="5EC9011C" w14:textId="77777777" w:rsidR="00CD53E4" w:rsidRPr="00CD53E4" w:rsidRDefault="00CD53E4" w:rsidP="00CD53E4">
      <w:pPr>
        <w:numPr>
          <w:ilvl w:val="0"/>
          <w:numId w:val="2"/>
        </w:num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Care environment: Organisational support, adequate resources, and a culture that values PCC are essential.</w:t>
      </w:r>
    </w:p>
    <w:p w14:paraId="603C8243" w14:textId="77777777" w:rsidR="00CD53E4" w:rsidRPr="00CD53E4" w:rsidRDefault="00CD53E4" w:rsidP="00CD53E4">
      <w:pPr>
        <w:numPr>
          <w:ilvl w:val="0"/>
          <w:numId w:val="2"/>
        </w:num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Person-centred processes: Care is individualised, empathetic, and collaborative, incorporating the service user’s preferences and context.</w:t>
      </w:r>
    </w:p>
    <w:p w14:paraId="0C5E1E2F" w14:textId="77777777" w:rsidR="00CD53E4" w:rsidRPr="00CD53E4" w:rsidRDefault="00CD53E4" w:rsidP="00CD53E4">
      <w:pPr>
        <w:numPr>
          <w:ilvl w:val="0"/>
          <w:numId w:val="2"/>
        </w:num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Expected outcomes: Improved satisfaction, well-being, and overall health.</w:t>
      </w:r>
    </w:p>
    <w:p w14:paraId="11B89C63"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44FAAB75" w14:textId="5C3422AD" w:rsidR="00912CE9" w:rsidRPr="0091326C" w:rsidRDefault="00CD53E4" w:rsidP="00C50227">
      <w:pPr>
        <w:pStyle w:val="p1"/>
        <w:divId w:val="1145076699"/>
        <w:rPr>
          <w:rFonts w:ascii="Arial" w:hAnsi="Arial" w:cs="Arial"/>
          <w:sz w:val="22"/>
          <w:szCs w:val="22"/>
        </w:rPr>
      </w:pPr>
      <w:r w:rsidRPr="00CD53E4">
        <w:rPr>
          <w:rFonts w:ascii="Arial" w:hAnsi="Arial" w:cs="Arial"/>
          <w:sz w:val="22"/>
          <w:szCs w:val="22"/>
        </w:rPr>
        <w:t>Critically, the model’s effectiveness depends on organisational culture and staff engagement.</w:t>
      </w:r>
      <w:r w:rsidR="00912CE9" w:rsidRPr="0091326C">
        <w:rPr>
          <w:rFonts w:ascii="Arial" w:hAnsi="Arial" w:cs="Arial"/>
          <w:sz w:val="22"/>
          <w:szCs w:val="22"/>
        </w:rPr>
        <w:t xml:space="preserve"> </w:t>
      </w:r>
      <w:r w:rsidR="00912CE9" w:rsidRPr="0091326C">
        <w:rPr>
          <w:rStyle w:val="s1"/>
          <w:rFonts w:ascii="Arial" w:hAnsi="Arial" w:cs="Arial"/>
          <w:sz w:val="22"/>
          <w:szCs w:val="22"/>
        </w:rPr>
        <w:t xml:space="preserve">While the McCormack and McCance framework </w:t>
      </w:r>
      <w:r w:rsidR="005C7382" w:rsidRPr="0091326C">
        <w:rPr>
          <w:rStyle w:val="s1"/>
          <w:rFonts w:ascii="Arial" w:hAnsi="Arial" w:cs="Arial"/>
          <w:sz w:val="22"/>
          <w:szCs w:val="22"/>
        </w:rPr>
        <w:t>offers</w:t>
      </w:r>
      <w:r w:rsidR="00912CE9" w:rsidRPr="0091326C">
        <w:rPr>
          <w:rStyle w:val="s1"/>
          <w:rFonts w:ascii="Arial" w:hAnsi="Arial" w:cs="Arial"/>
          <w:sz w:val="22"/>
          <w:szCs w:val="22"/>
        </w:rPr>
        <w:t xml:space="preserve"> structured guidance, some care settings struggle to fully implement PCC due to staff shortages, workload pressures, or organisational culture limitations. Despite these challenges, the framework ensures a consistent approach to person-centred practice when adequately supported</w:t>
      </w:r>
    </w:p>
    <w:p w14:paraId="725434FD" w14:textId="187E6BCF"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 xml:space="preserve"> Resource limitations and high workloads may hinder implementation (McCormack &amp; McCance, 2016). However, it provides a structured approach to ensure care is meaningful and responsive to individual needs.</w:t>
      </w:r>
    </w:p>
    <w:p w14:paraId="2381C280"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440F7441"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Other theoretical foundations include Carl Rogers’ humanistic approach, which emphasises empathy, unconditional positive regard, and active listening (Rogers, 1961). Together, these models underpin PCC in practice, promoting holistic, ethical, and personalised care.</w:t>
      </w:r>
    </w:p>
    <w:p w14:paraId="1FEBAD98" w14:textId="77777777" w:rsidR="00CD53E4" w:rsidRPr="00CD53E4" w:rsidRDefault="00CD53E4" w:rsidP="00CD53E4">
      <w:pPr>
        <w:spacing w:after="0" w:line="240" w:lineRule="auto"/>
        <w:rPr>
          <w:rFonts w:ascii="Arial" w:eastAsia="Times New Roman" w:hAnsi="Arial" w:cs="Arial"/>
          <w:kern w:val="0"/>
          <w:sz w:val="22"/>
          <w:szCs w:val="22"/>
          <w14:ligatures w14:val="none"/>
        </w:rPr>
      </w:pPr>
      <w:r w:rsidRPr="00CD53E4">
        <w:rPr>
          <w:rFonts w:ascii="Arial" w:eastAsia="Times New Roman" w:hAnsi="Arial" w:cs="Arial"/>
          <w:noProof/>
          <w:kern w:val="0"/>
          <w:sz w:val="22"/>
          <w:szCs w:val="22"/>
          <w14:ligatures w14:val="none"/>
        </w:rPr>
        <mc:AlternateContent>
          <mc:Choice Requires="wps">
            <w:drawing>
              <wp:inline distT="0" distB="0" distL="0" distR="0" wp14:anchorId="5D80218C" wp14:editId="1793EB07">
                <wp:extent cx="8863330" cy="1270"/>
                <wp:effectExtent l="0" t="31750" r="0" b="36830"/>
                <wp:docPr id="1045319857"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C759036" id="Rectangle 7" o:spid="_x0000_s1026" style="width:697.9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" filled="f">
                <w10:anchorlock/>
              </v:rect>
            </w:pict>
          </mc:Fallback>
        </mc:AlternateContent>
      </w:r>
    </w:p>
    <w:p w14:paraId="5DF8D92E" w14:textId="3234B5FD" w:rsidR="00CD53E4" w:rsidRPr="00B1398A" w:rsidRDefault="00CD53E4" w:rsidP="00CD53E4">
      <w:pPr>
        <w:spacing w:before="100" w:beforeAutospacing="1" w:after="100" w:afterAutospacing="1" w:line="240" w:lineRule="auto"/>
        <w:outlineLvl w:val="1"/>
        <w:rPr>
          <w:rFonts w:ascii="Arial" w:hAnsi="Arial" w:cs="Arial"/>
          <w:b/>
          <w:bCs/>
          <w:kern w:val="0"/>
          <w:sz w:val="22"/>
          <w:szCs w:val="22"/>
          <w14:ligatures w14:val="none"/>
        </w:rPr>
      </w:pPr>
      <w:r w:rsidRPr="00CD53E4">
        <w:rPr>
          <w:rFonts w:ascii="Arial" w:eastAsia="Times New Roman" w:hAnsi="Arial" w:cs="Arial"/>
          <w:b/>
          <w:bCs/>
          <w:kern w:val="0"/>
          <w:sz w:val="22"/>
          <w:szCs w:val="22"/>
          <w14:ligatures w14:val="none"/>
        </w:rPr>
        <w:t>4. Ethical Fundamentals</w:t>
      </w:r>
    </w:p>
    <w:p w14:paraId="2EB08F5B"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46786123" w14:textId="6BEF5146"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 xml:space="preserve">Ethical practice is fundamental to PCC and PW, guiding decision-making, accountability, and professional conduct. Key principles include autonomy, beneficence, non-maleficence, and justice (Beauchamp &amp; Childress, 2019). Autonomy respects service users’ right to make informed choices, beneficence promotes well-being, non-maleficence prevents harm, and justice ensures </w:t>
      </w:r>
      <w:r w:rsidR="00E033D6" w:rsidRPr="00CD53E4">
        <w:rPr>
          <w:rFonts w:ascii="Arial" w:hAnsi="Arial" w:cs="Arial"/>
          <w:kern w:val="0"/>
          <w:sz w:val="22"/>
          <w:szCs w:val="22"/>
          <w14:ligatures w14:val="none"/>
        </w:rPr>
        <w:t>fair</w:t>
      </w:r>
      <w:r w:rsidRPr="00CD53E4">
        <w:rPr>
          <w:rFonts w:ascii="Arial" w:hAnsi="Arial" w:cs="Arial"/>
          <w:kern w:val="0"/>
          <w:sz w:val="22"/>
          <w:szCs w:val="22"/>
          <w14:ligatures w14:val="none"/>
        </w:rPr>
        <w:t xml:space="preserve"> access to care.</w:t>
      </w:r>
    </w:p>
    <w:p w14:paraId="133355B5"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336BBA00"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In PCC, ethics guide respect for individual choices, safeguarding vulnerable populations, and managing risk. For example, a service user refusing treatment presents an ethical challenge, balancing autonomy with professional responsibility (NICE, 2022). PW also involves ethical considerations, particularly around confidentiality and sharing information among professionals to provide coordinated care (Glasby &amp; Dickinson, 2021).</w:t>
      </w:r>
    </w:p>
    <w:p w14:paraId="46CB6326"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0241627B" w14:textId="77777777" w:rsidR="002B0E2D" w:rsidRPr="0091326C" w:rsidRDefault="00CD53E4">
      <w:pPr>
        <w:pStyle w:val="p1"/>
        <w:divId w:val="357002955"/>
        <w:rPr>
          <w:rFonts w:ascii="Arial" w:hAnsi="Arial" w:cs="Arial"/>
          <w:sz w:val="22"/>
          <w:szCs w:val="22"/>
        </w:rPr>
      </w:pPr>
      <w:r w:rsidRPr="00CD53E4">
        <w:rPr>
          <w:rFonts w:ascii="Arial" w:hAnsi="Arial" w:cs="Arial"/>
          <w:sz w:val="22"/>
          <w:szCs w:val="22"/>
        </w:rPr>
        <w:t>By integrating ethical principles, practitioners ensure care is morally sound, safe, and legally compliant. Ethical frameworks support professional judgement, resolve conflicts, and enhance trust between service users and providers.</w:t>
      </w:r>
      <w:r w:rsidR="002B0E2D" w:rsidRPr="0091326C">
        <w:rPr>
          <w:rFonts w:ascii="Arial" w:hAnsi="Arial" w:cs="Arial"/>
          <w:sz w:val="22"/>
          <w:szCs w:val="22"/>
        </w:rPr>
        <w:t xml:space="preserve"> </w:t>
      </w:r>
      <w:r w:rsidR="002B0E2D" w:rsidRPr="0091326C">
        <w:rPr>
          <w:rStyle w:val="s1"/>
          <w:rFonts w:ascii="Arial" w:hAnsi="Arial" w:cs="Arial"/>
          <w:sz w:val="22"/>
          <w:szCs w:val="22"/>
        </w:rPr>
        <w:t>For example, in community mental health teams, sharing information between professionals must balance confidentiality with the need to provide coordinated care. Ethical frameworks guide practitioners in making decisions that respect autonomy while ensuring safe and effective service delivery.</w:t>
      </w:r>
    </w:p>
    <w:p w14:paraId="03A777C8" w14:textId="216BAE00"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4AAAF85D" w14:textId="77777777" w:rsidR="00CD53E4" w:rsidRPr="00CD53E4" w:rsidRDefault="00CD53E4" w:rsidP="00CD53E4">
      <w:pPr>
        <w:spacing w:after="0" w:line="240" w:lineRule="auto"/>
        <w:rPr>
          <w:rFonts w:ascii="Arial" w:eastAsia="Times New Roman" w:hAnsi="Arial" w:cs="Arial"/>
          <w:kern w:val="0"/>
          <w:sz w:val="22"/>
          <w:szCs w:val="22"/>
          <w14:ligatures w14:val="none"/>
        </w:rPr>
      </w:pPr>
      <w:r w:rsidRPr="00CD53E4">
        <w:rPr>
          <w:rFonts w:ascii="Arial" w:eastAsia="Times New Roman" w:hAnsi="Arial" w:cs="Arial"/>
          <w:noProof/>
          <w:kern w:val="0"/>
          <w:sz w:val="22"/>
          <w:szCs w:val="22"/>
          <w14:ligatures w14:val="none"/>
        </w:rPr>
        <mc:AlternateContent>
          <mc:Choice Requires="wps">
            <w:drawing>
              <wp:inline distT="0" distB="0" distL="0" distR="0" wp14:anchorId="20AC25FD" wp14:editId="073A2877">
                <wp:extent cx="8863330" cy="1270"/>
                <wp:effectExtent l="0" t="31750" r="0" b="36830"/>
                <wp:docPr id="1707267921"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380F4DB" id="Rectangle 6" o:spid="_x0000_s1026" style="width:697.9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" filled="f">
                <w10:anchorlock/>
              </v:rect>
            </w:pict>
          </mc:Fallback>
        </mc:AlternateContent>
      </w:r>
    </w:p>
    <w:p w14:paraId="5249436C" w14:textId="5A3DF83C" w:rsidR="00CD53E4" w:rsidRPr="00B1398A" w:rsidRDefault="00CD53E4" w:rsidP="00CD53E4">
      <w:pPr>
        <w:spacing w:before="100" w:beforeAutospacing="1" w:after="100" w:afterAutospacing="1" w:line="240" w:lineRule="auto"/>
        <w:outlineLvl w:val="1"/>
        <w:rPr>
          <w:rFonts w:ascii="Arial" w:hAnsi="Arial" w:cs="Arial"/>
          <w:b/>
          <w:bCs/>
          <w:kern w:val="0"/>
          <w:sz w:val="22"/>
          <w:szCs w:val="22"/>
          <w14:ligatures w14:val="none"/>
        </w:rPr>
      </w:pPr>
      <w:r w:rsidRPr="00CD53E4">
        <w:rPr>
          <w:rFonts w:ascii="Arial" w:eastAsia="Times New Roman" w:hAnsi="Arial" w:cs="Arial"/>
          <w:b/>
          <w:bCs/>
          <w:kern w:val="0"/>
          <w:sz w:val="22"/>
          <w:szCs w:val="22"/>
          <w14:ligatures w14:val="none"/>
        </w:rPr>
        <w:t>5. Partnership Working (PW)</w:t>
      </w:r>
    </w:p>
    <w:p w14:paraId="5FAC5DE6"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729B2E52"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Partnership Working involves collaboration across health and social care professionals, service users, families, and organisations. It supports integrated care, reduces duplication, and enhances outcomes (Department of Health and Social Care, 2020).</w:t>
      </w:r>
    </w:p>
    <w:p w14:paraId="464D03F6"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3E62AEF7" w14:textId="77777777" w:rsidR="00CC7B73" w:rsidRPr="0091326C" w:rsidRDefault="00CD53E4">
      <w:pPr>
        <w:pStyle w:val="p1"/>
        <w:divId w:val="1770352674"/>
        <w:rPr>
          <w:rFonts w:ascii="Arial" w:hAnsi="Arial" w:cs="Arial"/>
          <w:sz w:val="22"/>
          <w:szCs w:val="22"/>
        </w:rPr>
      </w:pPr>
      <w:r w:rsidRPr="00CD53E4">
        <w:rPr>
          <w:rFonts w:ascii="Arial" w:hAnsi="Arial" w:cs="Arial"/>
          <w:sz w:val="22"/>
          <w:szCs w:val="22"/>
        </w:rPr>
        <w:t xml:space="preserve">Benefits include improved communication, coordinated care, and more efficient use of resources. Multidisciplinary teams (MDTs) enable holistic care by combining </w:t>
      </w:r>
      <w:bookmarkStart w:id="13" w:name="_Int_xs8tG8m2"/>
      <w:r w:rsidRPr="00CD53E4">
        <w:rPr>
          <w:rFonts w:ascii="Arial" w:hAnsi="Arial" w:cs="Arial"/>
          <w:sz w:val="22"/>
          <w:szCs w:val="22"/>
        </w:rPr>
        <w:t>expertise</w:t>
      </w:r>
      <w:bookmarkEnd w:id="13"/>
      <w:r w:rsidRPr="00CD53E4">
        <w:rPr>
          <w:rFonts w:ascii="Arial" w:hAnsi="Arial" w:cs="Arial"/>
          <w:sz w:val="22"/>
          <w:szCs w:val="22"/>
        </w:rPr>
        <w:t xml:space="preserve"> from nurses, social workers, therapists, and other professionals (NICE, 2018). PW also strengthens relationships with service users, ensuring their voice is central in planning and decision-making.</w:t>
      </w:r>
      <w:r w:rsidR="00CC7B73" w:rsidRPr="0091326C">
        <w:rPr>
          <w:rFonts w:ascii="Arial" w:hAnsi="Arial" w:cs="Arial"/>
          <w:sz w:val="22"/>
          <w:szCs w:val="22"/>
        </w:rPr>
        <w:t xml:space="preserve"> </w:t>
      </w:r>
      <w:r w:rsidR="00CC7B73" w:rsidRPr="0091326C">
        <w:rPr>
          <w:rStyle w:val="s1"/>
          <w:rFonts w:ascii="Arial" w:hAnsi="Arial" w:cs="Arial"/>
          <w:sz w:val="22"/>
          <w:szCs w:val="22"/>
        </w:rPr>
        <w:t>In the UK, Integrated Care Systems (ICSs) provide a structured approach to PW, promoting collaboration between NHS organisations, local authorities, and voluntary services. This integration improves continuity of care and reduces duplication, ensuring that service users receive comprehensive support across health and social care sectors (Department of Health and Social Care, 2020).</w:t>
      </w:r>
    </w:p>
    <w:p w14:paraId="139DDE18" w14:textId="6ADF10A5"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2A5DFD83"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72D3464E" w14:textId="52D6A2AD"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 xml:space="preserve">Challenges include role ambiguity, communication barriers, organisational differences, and limited resources (Ham, 2014). Effective PW </w:t>
      </w:r>
      <w:bookmarkStart w:id="14" w:name="_Int_jA7iYPlL"/>
      <w:r w:rsidR="00E033D6">
        <w:rPr>
          <w:rFonts w:ascii="Arial" w:hAnsi="Arial" w:cs="Arial"/>
          <w:kern w:val="0"/>
          <w:sz w:val="22"/>
          <w:szCs w:val="22"/>
          <w14:ligatures w14:val="none"/>
        </w:rPr>
        <w:t>requires</w:t>
      </w:r>
      <w:bookmarkEnd w:id="14"/>
      <w:r w:rsidR="00E033D6">
        <w:rPr>
          <w:rFonts w:ascii="Arial" w:hAnsi="Arial" w:cs="Arial"/>
          <w:kern w:val="0"/>
          <w:sz w:val="22"/>
          <w:szCs w:val="22"/>
          <w14:ligatures w14:val="none"/>
        </w:rPr>
        <w:t xml:space="preserve"> </w:t>
      </w:r>
      <w:r w:rsidRPr="00CD53E4">
        <w:rPr>
          <w:rFonts w:ascii="Arial" w:hAnsi="Arial" w:cs="Arial"/>
          <w:kern w:val="0"/>
          <w:sz w:val="22"/>
          <w:szCs w:val="22"/>
          <w14:ligatures w14:val="none"/>
        </w:rPr>
        <w:t>clear roles, trust, shared goals, and structured communication systems (CQC, 2022). When successfully implemented, PW enhances the quality of care and aligns with PCC principles, promoting better outcomes for service users.</w:t>
      </w:r>
    </w:p>
    <w:p w14:paraId="2E3D15A0" w14:textId="77777777" w:rsidR="00CD53E4" w:rsidRPr="00CD53E4" w:rsidRDefault="00CD53E4" w:rsidP="00CD53E4">
      <w:pPr>
        <w:spacing w:after="0" w:line="240" w:lineRule="auto"/>
        <w:rPr>
          <w:rFonts w:ascii="Arial" w:eastAsia="Times New Roman" w:hAnsi="Arial" w:cs="Arial"/>
          <w:kern w:val="0"/>
          <w:sz w:val="22"/>
          <w:szCs w:val="22"/>
          <w14:ligatures w14:val="none"/>
        </w:rPr>
      </w:pPr>
      <w:r w:rsidRPr="00CD53E4">
        <w:rPr>
          <w:rFonts w:ascii="Arial" w:eastAsia="Times New Roman" w:hAnsi="Arial" w:cs="Arial"/>
          <w:noProof/>
          <w:kern w:val="0"/>
          <w:sz w:val="22"/>
          <w:szCs w:val="22"/>
          <w14:ligatures w14:val="none"/>
        </w:rPr>
        <mc:AlternateContent>
          <mc:Choice Requires="wps">
            <w:drawing>
              <wp:inline distT="0" distB="0" distL="0" distR="0" wp14:anchorId="5D2F10A1" wp14:editId="719DE18D">
                <wp:extent cx="8863330" cy="1270"/>
                <wp:effectExtent l="0" t="31750" r="0" b="36830"/>
                <wp:docPr id="600315487"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7CBBE4B" id="Rectangle 5" o:spid="_x0000_s1026" style="width:697.9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" filled="f">
                <w10:anchorlock/>
              </v:rect>
            </w:pict>
          </mc:Fallback>
        </mc:AlternateContent>
      </w:r>
    </w:p>
    <w:p w14:paraId="7B98303C" w14:textId="6643E00C" w:rsidR="00CD53E4" w:rsidRPr="00B1398A" w:rsidRDefault="00CD53E4" w:rsidP="00CD53E4">
      <w:pPr>
        <w:spacing w:before="100" w:beforeAutospacing="1" w:after="100" w:afterAutospacing="1" w:line="240" w:lineRule="auto"/>
        <w:outlineLvl w:val="1"/>
        <w:rPr>
          <w:rFonts w:ascii="Arial" w:hAnsi="Arial" w:cs="Arial"/>
          <w:b/>
          <w:bCs/>
          <w:kern w:val="0"/>
          <w:sz w:val="22"/>
          <w:szCs w:val="22"/>
          <w14:ligatures w14:val="none"/>
        </w:rPr>
      </w:pPr>
      <w:r w:rsidRPr="00CD53E4">
        <w:rPr>
          <w:rFonts w:ascii="Arial" w:eastAsia="Times New Roman" w:hAnsi="Arial" w:cs="Arial"/>
          <w:b/>
          <w:bCs/>
          <w:kern w:val="0"/>
          <w:sz w:val="22"/>
          <w:szCs w:val="22"/>
          <w14:ligatures w14:val="none"/>
        </w:rPr>
        <w:lastRenderedPageBreak/>
        <w:t>6. Application of PW in Practice</w:t>
      </w:r>
    </w:p>
    <w:p w14:paraId="187F5C2B"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68FFA686"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A practical example of PW is in community mental health services. Service users often have complex needs requiring collaboration among NHS teams, social services, and voluntary organisations. For instance, a person with severe depression may receive psychiatric care, occupational therapy, and social support coordinated by a case manager.</w:t>
      </w:r>
    </w:p>
    <w:p w14:paraId="32A458C5"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67C7C60D" w14:textId="77777777" w:rsidR="006406D6" w:rsidRPr="0091326C" w:rsidRDefault="00CD53E4">
      <w:pPr>
        <w:pStyle w:val="p1"/>
        <w:divId w:val="1788544353"/>
        <w:rPr>
          <w:rFonts w:ascii="Arial" w:hAnsi="Arial" w:cs="Arial"/>
          <w:sz w:val="22"/>
          <w:szCs w:val="22"/>
        </w:rPr>
      </w:pPr>
      <w:r w:rsidRPr="00CD53E4">
        <w:rPr>
          <w:rFonts w:ascii="Arial" w:hAnsi="Arial" w:cs="Arial"/>
          <w:sz w:val="22"/>
          <w:szCs w:val="22"/>
        </w:rPr>
        <w:t xml:space="preserve">This collaboration ensures continuity, early intervention, and comprehensive care. Regular team meetings and shared digital care records help </w:t>
      </w:r>
      <w:bookmarkStart w:id="15" w:name="_Int_sEjvfsIG"/>
      <w:r w:rsidRPr="00CD53E4">
        <w:rPr>
          <w:rFonts w:ascii="Arial" w:hAnsi="Arial" w:cs="Arial"/>
          <w:sz w:val="22"/>
          <w:szCs w:val="22"/>
        </w:rPr>
        <w:t>maintain</w:t>
      </w:r>
      <w:bookmarkEnd w:id="15"/>
      <w:r w:rsidRPr="00CD53E4">
        <w:rPr>
          <w:rFonts w:ascii="Arial" w:hAnsi="Arial" w:cs="Arial"/>
          <w:sz w:val="22"/>
          <w:szCs w:val="22"/>
        </w:rPr>
        <w:t xml:space="preserve"> communication while respecting confidentiality (Department of Health and Social Care, 2020). </w:t>
      </w:r>
      <w:r w:rsidR="006406D6" w:rsidRPr="0091326C">
        <w:rPr>
          <w:rStyle w:val="s1"/>
          <w:rFonts w:ascii="Arial" w:hAnsi="Arial" w:cs="Arial"/>
          <w:sz w:val="22"/>
          <w:szCs w:val="22"/>
        </w:rPr>
        <w:t xml:space="preserve">In community mental health services, PW involves GPs, psychiatrists, social workers, occupational therapists, and voluntary organisations. Case managers coordinate these professionals to ensure holistic care, </w:t>
      </w:r>
      <w:bookmarkStart w:id="16" w:name="_Int_0W3bGCzo"/>
      <w:r w:rsidR="006406D6" w:rsidRPr="0091326C">
        <w:rPr>
          <w:rStyle w:val="s1"/>
          <w:rFonts w:ascii="Arial" w:hAnsi="Arial" w:cs="Arial"/>
          <w:sz w:val="22"/>
          <w:szCs w:val="22"/>
        </w:rPr>
        <w:t>timely</w:t>
      </w:r>
      <w:bookmarkEnd w:id="16"/>
      <w:r w:rsidR="006406D6" w:rsidRPr="0091326C">
        <w:rPr>
          <w:rStyle w:val="s1"/>
          <w:rFonts w:ascii="Arial" w:hAnsi="Arial" w:cs="Arial"/>
          <w:sz w:val="22"/>
          <w:szCs w:val="22"/>
        </w:rPr>
        <w:t xml:space="preserve"> interventions, and consistent communication, supporting service users’ recovery and overall well-being.</w:t>
      </w:r>
    </w:p>
    <w:p w14:paraId="65EE3B3B" w14:textId="7605D10A"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Evidence shows service users involved in multidisciplinary PW report higher satisfaction and improved mental health outcomes (Rogers et al., 2020).</w:t>
      </w:r>
    </w:p>
    <w:p w14:paraId="7F633313"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1BAB6EA5"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 xml:space="preserve">Challenges include differences in organisational culture and </w:t>
      </w:r>
      <w:bookmarkStart w:id="17" w:name="_Int_tMLIj6U4"/>
      <w:r w:rsidRPr="00CD53E4">
        <w:rPr>
          <w:rFonts w:ascii="Arial" w:hAnsi="Arial" w:cs="Arial"/>
          <w:kern w:val="0"/>
          <w:sz w:val="22"/>
          <w:szCs w:val="22"/>
          <w14:ligatures w14:val="none"/>
        </w:rPr>
        <w:t>maintaining</w:t>
      </w:r>
      <w:bookmarkEnd w:id="17"/>
      <w:r w:rsidRPr="00CD53E4">
        <w:rPr>
          <w:rFonts w:ascii="Arial" w:hAnsi="Arial" w:cs="Arial"/>
          <w:kern w:val="0"/>
          <w:sz w:val="22"/>
          <w:szCs w:val="22"/>
          <w14:ligatures w14:val="none"/>
        </w:rPr>
        <w:t xml:space="preserve"> consistent information sharing. Strategies like shared protocols, professional training, and IT systems support effective collaboration, ensuring PCC and PW work together in practice.</w:t>
      </w:r>
    </w:p>
    <w:p w14:paraId="1AC06478" w14:textId="77777777" w:rsidR="00CD53E4" w:rsidRPr="00CD53E4" w:rsidRDefault="00CD53E4" w:rsidP="00CD53E4">
      <w:pPr>
        <w:spacing w:after="0" w:line="240" w:lineRule="auto"/>
        <w:rPr>
          <w:rFonts w:ascii="Arial" w:eastAsia="Times New Roman" w:hAnsi="Arial" w:cs="Arial"/>
          <w:kern w:val="0"/>
          <w:sz w:val="22"/>
          <w:szCs w:val="22"/>
          <w14:ligatures w14:val="none"/>
        </w:rPr>
      </w:pPr>
      <w:r w:rsidRPr="00CD53E4">
        <w:rPr>
          <w:rFonts w:ascii="Arial" w:eastAsia="Times New Roman" w:hAnsi="Arial" w:cs="Arial"/>
          <w:noProof/>
          <w:kern w:val="0"/>
          <w:sz w:val="22"/>
          <w:szCs w:val="22"/>
          <w14:ligatures w14:val="none"/>
        </w:rPr>
        <mc:AlternateContent>
          <mc:Choice Requires="wps">
            <w:drawing>
              <wp:inline distT="0" distB="0" distL="0" distR="0" wp14:anchorId="50E2E219" wp14:editId="2B08A6EF">
                <wp:extent cx="8863330" cy="1270"/>
                <wp:effectExtent l="0" t="31750" r="0" b="36830"/>
                <wp:docPr id="268401905"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356A38A" id="Rectangle 4" o:spid="_x0000_s1026" style="width:697.9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" filled="f">
                <w10:anchorlock/>
              </v:rect>
            </w:pict>
          </mc:Fallback>
        </mc:AlternateContent>
      </w:r>
    </w:p>
    <w:p w14:paraId="2BF7655B" w14:textId="3408A18E" w:rsidR="00CD53E4" w:rsidRPr="00B1398A" w:rsidRDefault="00CD53E4" w:rsidP="00CD53E4">
      <w:pPr>
        <w:spacing w:before="100" w:beforeAutospacing="1" w:after="100" w:afterAutospacing="1" w:line="240" w:lineRule="auto"/>
        <w:outlineLvl w:val="1"/>
        <w:rPr>
          <w:rFonts w:ascii="Arial" w:hAnsi="Arial" w:cs="Arial"/>
          <w:b/>
          <w:bCs/>
          <w:kern w:val="0"/>
          <w:sz w:val="22"/>
          <w:szCs w:val="22"/>
          <w14:ligatures w14:val="none"/>
        </w:rPr>
      </w:pPr>
      <w:r w:rsidRPr="00CD53E4">
        <w:rPr>
          <w:rFonts w:ascii="Arial" w:eastAsia="Times New Roman" w:hAnsi="Arial" w:cs="Arial"/>
          <w:b/>
          <w:bCs/>
          <w:kern w:val="0"/>
          <w:sz w:val="22"/>
          <w:szCs w:val="22"/>
          <w14:ligatures w14:val="none"/>
        </w:rPr>
        <w:t>7. Relevant Policy and Legislation</w:t>
      </w:r>
    </w:p>
    <w:p w14:paraId="4CF82787"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67114D38"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Several UK policies and legislation underpin PCC and PW:</w:t>
      </w:r>
    </w:p>
    <w:p w14:paraId="1DCC3BC1" w14:textId="77777777" w:rsidR="00CD53E4" w:rsidRPr="00CD53E4" w:rsidRDefault="00CD53E4" w:rsidP="00CD53E4">
      <w:pPr>
        <w:numPr>
          <w:ilvl w:val="0"/>
          <w:numId w:val="3"/>
        </w:num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Care Act 2014: Promotes person-centred approaches, safeguarding, and service user involvement (UK Government, 2014).</w:t>
      </w:r>
    </w:p>
    <w:p w14:paraId="3F1D2FDC" w14:textId="77777777" w:rsidR="00CD53E4" w:rsidRPr="00CD53E4" w:rsidRDefault="00CD53E4" w:rsidP="00CD53E4">
      <w:pPr>
        <w:numPr>
          <w:ilvl w:val="0"/>
          <w:numId w:val="3"/>
        </w:num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Health and Social Care Act 2012: Encourages integrated care and collaboration across NHS and local authorities (Department of Health and Social Care, 2012).</w:t>
      </w:r>
    </w:p>
    <w:p w14:paraId="5DC1CF1B" w14:textId="77777777" w:rsidR="00CD53E4" w:rsidRPr="00CD53E4" w:rsidRDefault="00CD53E4" w:rsidP="00CD53E4">
      <w:pPr>
        <w:numPr>
          <w:ilvl w:val="0"/>
          <w:numId w:val="3"/>
        </w:num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NICE Guidelines 2022: Provide evidence-based recommendations on PCC and multidisciplinary team working.</w:t>
      </w:r>
    </w:p>
    <w:p w14:paraId="6F3323E2" w14:textId="77777777" w:rsidR="00CD53E4" w:rsidRPr="00CD53E4" w:rsidRDefault="00CD53E4" w:rsidP="00CD53E4">
      <w:pPr>
        <w:numPr>
          <w:ilvl w:val="0"/>
          <w:numId w:val="3"/>
        </w:num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NHS Long Term Plan 2019: Supports partnership working to improve outcomes and efficiency.</w:t>
      </w:r>
    </w:p>
    <w:p w14:paraId="17F49695" w14:textId="77777777" w:rsidR="00CD53E4" w:rsidRPr="00CD53E4" w:rsidRDefault="00CD53E4" w:rsidP="00CD53E4">
      <w:pPr>
        <w:numPr>
          <w:ilvl w:val="0"/>
          <w:numId w:val="3"/>
        </w:num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CQC Reports 2022: Monitor PCC and PW implementation in practice (CQC, 2022).</w:t>
      </w:r>
    </w:p>
    <w:p w14:paraId="1D4180D0"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491C4221" w14:textId="77777777" w:rsidR="0075134B" w:rsidRPr="0091326C" w:rsidRDefault="00CD53E4">
      <w:pPr>
        <w:pStyle w:val="p1"/>
        <w:divId w:val="1224022445"/>
        <w:rPr>
          <w:rFonts w:ascii="Arial" w:hAnsi="Arial" w:cs="Arial"/>
          <w:sz w:val="22"/>
          <w:szCs w:val="22"/>
        </w:rPr>
      </w:pPr>
      <w:r w:rsidRPr="00CD53E4">
        <w:rPr>
          <w:rFonts w:ascii="Arial" w:hAnsi="Arial" w:cs="Arial"/>
          <w:sz w:val="22"/>
          <w:szCs w:val="22"/>
        </w:rPr>
        <w:t>These frameworks ensure accountability, quality, and consistency in service delivery. Policy guides training, resource allocation, and organisational culture, helping to overcome barriers to effective PCC and PW.</w:t>
      </w:r>
      <w:r w:rsidR="0075134B" w:rsidRPr="0091326C">
        <w:rPr>
          <w:rFonts w:ascii="Arial" w:hAnsi="Arial" w:cs="Arial"/>
          <w:sz w:val="22"/>
          <w:szCs w:val="22"/>
        </w:rPr>
        <w:t xml:space="preserve"> </w:t>
      </w:r>
      <w:bookmarkStart w:id="18" w:name="_Int_OeJltJ2G"/>
      <w:r w:rsidR="0075134B" w:rsidRPr="0091326C">
        <w:rPr>
          <w:rStyle w:val="s1"/>
          <w:rFonts w:ascii="Arial" w:hAnsi="Arial" w:cs="Arial"/>
          <w:sz w:val="22"/>
          <w:szCs w:val="22"/>
        </w:rPr>
        <w:t>Additional</w:t>
      </w:r>
      <w:bookmarkEnd w:id="18"/>
      <w:r w:rsidR="0075134B" w:rsidRPr="0091326C">
        <w:rPr>
          <w:rStyle w:val="s1"/>
          <w:rFonts w:ascii="Arial" w:hAnsi="Arial" w:cs="Arial"/>
          <w:sz w:val="22"/>
          <w:szCs w:val="22"/>
        </w:rPr>
        <w:t xml:space="preserve"> frameworks such as the NHS People Plan (2020) support workforce development for PCC and PW, while Skills for Care (2021) provides guidance on implementing person-centred approaches in social work and care settings.</w:t>
      </w:r>
    </w:p>
    <w:p w14:paraId="74F76541" w14:textId="5C21B8CA"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51F46992" w14:textId="77777777" w:rsidR="00CD53E4" w:rsidRPr="00CD53E4" w:rsidRDefault="00CD53E4" w:rsidP="00CD53E4">
      <w:pPr>
        <w:spacing w:after="0" w:line="240" w:lineRule="auto"/>
        <w:rPr>
          <w:rFonts w:ascii="Arial" w:eastAsia="Times New Roman" w:hAnsi="Arial" w:cs="Arial"/>
          <w:kern w:val="0"/>
          <w:sz w:val="22"/>
          <w:szCs w:val="22"/>
          <w14:ligatures w14:val="none"/>
        </w:rPr>
      </w:pPr>
      <w:r w:rsidRPr="00CD53E4">
        <w:rPr>
          <w:rFonts w:ascii="Arial" w:eastAsia="Times New Roman" w:hAnsi="Arial" w:cs="Arial"/>
          <w:noProof/>
          <w:kern w:val="0"/>
          <w:sz w:val="22"/>
          <w:szCs w:val="22"/>
          <w14:ligatures w14:val="none"/>
        </w:rPr>
        <mc:AlternateContent>
          <mc:Choice Requires="wps">
            <w:drawing>
              <wp:inline distT="0" distB="0" distL="0" distR="0" wp14:anchorId="05F8EE1A" wp14:editId="39D315AA">
                <wp:extent cx="8863330" cy="1270"/>
                <wp:effectExtent l="0" t="31750" r="0" b="36830"/>
                <wp:docPr id="544969286"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83C8D0B" id="Rectangle 3" o:spid="_x0000_s1026" style="width:697.9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" filled="f">
                <w10:anchorlock/>
              </v:rect>
            </w:pict>
          </mc:Fallback>
        </mc:AlternateContent>
      </w:r>
    </w:p>
    <w:p w14:paraId="06B31A39" w14:textId="2001BA13" w:rsidR="00B1398A" w:rsidRPr="00B1398A" w:rsidRDefault="00CD53E4" w:rsidP="00CD53E4">
      <w:pPr>
        <w:spacing w:before="100" w:beforeAutospacing="1" w:after="100" w:afterAutospacing="1" w:line="240" w:lineRule="auto"/>
        <w:outlineLvl w:val="1"/>
        <w:rPr>
          <w:rFonts w:ascii="Arial" w:hAnsi="Arial" w:cs="Arial"/>
          <w:b/>
          <w:bCs/>
          <w:kern w:val="0"/>
          <w:sz w:val="22"/>
          <w:szCs w:val="22"/>
          <w14:ligatures w14:val="none"/>
        </w:rPr>
      </w:pPr>
      <w:r w:rsidRPr="00CD53E4">
        <w:rPr>
          <w:rFonts w:ascii="Arial" w:eastAsia="Times New Roman" w:hAnsi="Arial" w:cs="Arial"/>
          <w:b/>
          <w:bCs/>
          <w:kern w:val="0"/>
          <w:sz w:val="22"/>
          <w:szCs w:val="22"/>
          <w14:ligatures w14:val="none"/>
        </w:rPr>
        <w:t>8. Recommendations for Future Development</w:t>
      </w:r>
    </w:p>
    <w:p w14:paraId="10322962" w14:textId="77777777" w:rsidR="00CD53E4" w:rsidRPr="00CD53E4" w:rsidRDefault="00CD53E4" w:rsidP="00CD53E4">
      <w:pPr>
        <w:numPr>
          <w:ilvl w:val="0"/>
          <w:numId w:val="4"/>
        </w:num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Staff Training: Regular training on PCC principles and inter-professional collaboration (Skills for Care, 2021).</w:t>
      </w:r>
    </w:p>
    <w:p w14:paraId="6F6A4AB2" w14:textId="77777777" w:rsidR="00CD53E4" w:rsidRPr="00CD53E4" w:rsidRDefault="00CD53E4" w:rsidP="00CD53E4">
      <w:pPr>
        <w:numPr>
          <w:ilvl w:val="0"/>
          <w:numId w:val="4"/>
        </w:num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Digital Integration: Shared electronic care records to improve communication and continuity.</w:t>
      </w:r>
    </w:p>
    <w:p w14:paraId="5BC09469" w14:textId="77777777" w:rsidR="00CD53E4" w:rsidRPr="00CD53E4" w:rsidRDefault="00CD53E4" w:rsidP="00CD53E4">
      <w:pPr>
        <w:numPr>
          <w:ilvl w:val="0"/>
          <w:numId w:val="4"/>
        </w:num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Policy Updates: Revise policies to remove bureaucratic barriers and enhance flexibility.</w:t>
      </w:r>
    </w:p>
    <w:p w14:paraId="060A62D4" w14:textId="77777777" w:rsidR="00CD53E4" w:rsidRPr="00CD53E4" w:rsidRDefault="00CD53E4" w:rsidP="00CD53E4">
      <w:pPr>
        <w:numPr>
          <w:ilvl w:val="0"/>
          <w:numId w:val="4"/>
        </w:num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Resource Allocation: Ensure staffing and funding support multidisciplinary teams.</w:t>
      </w:r>
    </w:p>
    <w:p w14:paraId="577E1AF5" w14:textId="06FEE27B" w:rsidR="00CD53E4" w:rsidRPr="00CD53E4" w:rsidRDefault="00CD53E4" w:rsidP="00CD53E4">
      <w:pPr>
        <w:numPr>
          <w:ilvl w:val="0"/>
          <w:numId w:val="4"/>
        </w:num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 xml:space="preserve">Evaluation Mechanisms: Use audits and service user feedback to </w:t>
      </w:r>
      <w:r w:rsidR="00EC50C6">
        <w:rPr>
          <w:rFonts w:ascii="Arial" w:hAnsi="Arial" w:cs="Arial"/>
          <w:kern w:val="0"/>
          <w:sz w:val="22"/>
          <w:szCs w:val="22"/>
          <w14:ligatures w14:val="none"/>
        </w:rPr>
        <w:t xml:space="preserve">identify </w:t>
      </w:r>
      <w:r w:rsidRPr="00CD53E4">
        <w:rPr>
          <w:rFonts w:ascii="Arial" w:hAnsi="Arial" w:cs="Arial"/>
          <w:kern w:val="0"/>
          <w:sz w:val="22"/>
          <w:szCs w:val="22"/>
          <w14:ligatures w14:val="none"/>
        </w:rPr>
        <w:t>gaps and inform improvement.</w:t>
      </w:r>
    </w:p>
    <w:p w14:paraId="1BDD0ED6"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1A84A0E8" w14:textId="798310CC" w:rsidR="00A561F8" w:rsidRPr="0091326C" w:rsidRDefault="00CD53E4">
      <w:pPr>
        <w:pStyle w:val="p1"/>
        <w:divId w:val="163859986"/>
        <w:rPr>
          <w:rFonts w:ascii="Arial" w:hAnsi="Arial" w:cs="Arial"/>
          <w:sz w:val="22"/>
          <w:szCs w:val="22"/>
        </w:rPr>
      </w:pPr>
      <w:r w:rsidRPr="00CD53E4">
        <w:rPr>
          <w:rFonts w:ascii="Arial" w:hAnsi="Arial" w:cs="Arial"/>
          <w:sz w:val="22"/>
          <w:szCs w:val="22"/>
        </w:rPr>
        <w:t>These recommendations would strengthen PCC and PW implementation</w:t>
      </w:r>
      <w:r w:rsidR="00AE68FE">
        <w:rPr>
          <w:rFonts w:ascii="Arial" w:hAnsi="Arial" w:cs="Arial"/>
          <w:sz w:val="22"/>
          <w:szCs w:val="22"/>
        </w:rPr>
        <w:t xml:space="preserve">, improve </w:t>
      </w:r>
      <w:r w:rsidR="00AE68FE" w:rsidRPr="00CD53E4">
        <w:rPr>
          <w:rFonts w:ascii="Arial" w:hAnsi="Arial" w:cs="Arial"/>
          <w:sz w:val="22"/>
          <w:szCs w:val="22"/>
        </w:rPr>
        <w:t>outcomes,</w:t>
      </w:r>
      <w:r w:rsidRPr="00CD53E4">
        <w:rPr>
          <w:rFonts w:ascii="Arial" w:hAnsi="Arial" w:cs="Arial"/>
          <w:sz w:val="22"/>
          <w:szCs w:val="22"/>
        </w:rPr>
        <w:t xml:space="preserve"> </w:t>
      </w:r>
      <w:r w:rsidR="00AE68FE" w:rsidRPr="00CD53E4">
        <w:rPr>
          <w:rFonts w:ascii="Arial" w:hAnsi="Arial" w:cs="Arial"/>
          <w:sz w:val="22"/>
          <w:szCs w:val="22"/>
        </w:rPr>
        <w:t>ensure</w:t>
      </w:r>
      <w:r w:rsidRPr="00CD53E4">
        <w:rPr>
          <w:rFonts w:ascii="Arial" w:hAnsi="Arial" w:cs="Arial"/>
          <w:sz w:val="22"/>
          <w:szCs w:val="22"/>
        </w:rPr>
        <w:t xml:space="preserve"> ethical, person-centred, and coordinated care.</w:t>
      </w:r>
      <w:r w:rsidR="00A561F8" w:rsidRPr="0091326C">
        <w:rPr>
          <w:rFonts w:ascii="Arial" w:hAnsi="Arial" w:cs="Arial"/>
          <w:sz w:val="22"/>
          <w:szCs w:val="22"/>
        </w:rPr>
        <w:t xml:space="preserve"> </w:t>
      </w:r>
      <w:r w:rsidR="00A561F8" w:rsidRPr="0091326C">
        <w:rPr>
          <w:rStyle w:val="s1"/>
          <w:rFonts w:ascii="Arial" w:hAnsi="Arial" w:cs="Arial"/>
          <w:sz w:val="22"/>
          <w:szCs w:val="22"/>
        </w:rPr>
        <w:t>Future development should also focus on involving service users in policy design and quality improvement initiatives, ensuring that PCC and PW evolve in line with real service user needs and experiences</w:t>
      </w:r>
    </w:p>
    <w:p w14:paraId="0A8ED574" w14:textId="6D1DA47E"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249F6EFA" w14:textId="77777777" w:rsidR="00CD53E4" w:rsidRPr="00CD53E4" w:rsidRDefault="00CD53E4" w:rsidP="00CD53E4">
      <w:pPr>
        <w:spacing w:after="0" w:line="240" w:lineRule="auto"/>
        <w:rPr>
          <w:rFonts w:ascii="Arial" w:eastAsia="Times New Roman" w:hAnsi="Arial" w:cs="Arial"/>
          <w:kern w:val="0"/>
          <w:sz w:val="22"/>
          <w:szCs w:val="22"/>
          <w14:ligatures w14:val="none"/>
        </w:rPr>
      </w:pPr>
      <w:r w:rsidRPr="00CD53E4">
        <w:rPr>
          <w:rFonts w:ascii="Arial" w:eastAsia="Times New Roman" w:hAnsi="Arial" w:cs="Arial"/>
          <w:noProof/>
          <w:kern w:val="0"/>
          <w:sz w:val="22"/>
          <w:szCs w:val="22"/>
          <w14:ligatures w14:val="none"/>
        </w:rPr>
        <mc:AlternateContent>
          <mc:Choice Requires="wps">
            <w:drawing>
              <wp:inline distT="0" distB="0" distL="0" distR="0" wp14:anchorId="71F2F9C4" wp14:editId="1164BA55">
                <wp:extent cx="8863330" cy="1270"/>
                <wp:effectExtent l="0" t="31750" r="0" b="36830"/>
                <wp:docPr id="165276805"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0E35CDD" id="Rectangle 2" o:spid="_x0000_s1026" style="width:697.9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" filled="f">
                <w10:anchorlock/>
              </v:rect>
            </w:pict>
          </mc:Fallback>
        </mc:AlternateContent>
      </w:r>
    </w:p>
    <w:p w14:paraId="776F2414" w14:textId="47032A2D" w:rsidR="00CD53E4" w:rsidRPr="00B1398A" w:rsidRDefault="00CD53E4" w:rsidP="00CD53E4">
      <w:pPr>
        <w:spacing w:before="100" w:beforeAutospacing="1" w:after="100" w:afterAutospacing="1" w:line="240" w:lineRule="auto"/>
        <w:outlineLvl w:val="1"/>
        <w:rPr>
          <w:rFonts w:ascii="Arial" w:hAnsi="Arial" w:cs="Arial"/>
          <w:b/>
          <w:bCs/>
          <w:kern w:val="0"/>
          <w:sz w:val="22"/>
          <w:szCs w:val="22"/>
          <w14:ligatures w14:val="none"/>
        </w:rPr>
      </w:pPr>
      <w:r w:rsidRPr="00CD53E4">
        <w:rPr>
          <w:rFonts w:ascii="Arial" w:eastAsia="Times New Roman" w:hAnsi="Arial" w:cs="Arial"/>
          <w:b/>
          <w:bCs/>
          <w:kern w:val="0"/>
          <w:sz w:val="22"/>
          <w:szCs w:val="22"/>
          <w14:ligatures w14:val="none"/>
        </w:rPr>
        <w:t>9. Conclusion</w:t>
      </w:r>
    </w:p>
    <w:p w14:paraId="7DC80800"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7DE7E80D" w14:textId="0D0771B1"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 xml:space="preserve">PCC and PW are essential for effective, ethical, and evidence-based </w:t>
      </w:r>
      <w:r w:rsidR="00E56308" w:rsidRPr="00CD53E4">
        <w:rPr>
          <w:rFonts w:ascii="Arial" w:hAnsi="Arial" w:cs="Arial"/>
          <w:kern w:val="0"/>
          <w:sz w:val="22"/>
          <w:szCs w:val="22"/>
          <w14:ligatures w14:val="none"/>
        </w:rPr>
        <w:t>health</w:t>
      </w:r>
      <w:r w:rsidR="00E56308">
        <w:rPr>
          <w:rFonts w:ascii="Arial" w:hAnsi="Arial" w:cs="Arial"/>
          <w:kern w:val="0"/>
          <w:sz w:val="22"/>
          <w:szCs w:val="22"/>
          <w14:ligatures w14:val="none"/>
        </w:rPr>
        <w:t>y</w:t>
      </w:r>
      <w:r w:rsidRPr="00CD53E4">
        <w:rPr>
          <w:rFonts w:ascii="Arial" w:hAnsi="Arial" w:cs="Arial"/>
          <w:kern w:val="0"/>
          <w:sz w:val="22"/>
          <w:szCs w:val="22"/>
          <w14:ligatures w14:val="none"/>
        </w:rPr>
        <w:t xml:space="preserve"> and social care in the UK. PCC emphasises individualised care, autonomy, and dignity, while PW ensures coordinated, collaborative delivery across multidisciplinary teams. The integration of these approaches improves outcomes, service user satisfaction, and efficiency.</w:t>
      </w:r>
    </w:p>
    <w:p w14:paraId="44BE24E5"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4D9A4DDE"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lastRenderedPageBreak/>
        <w:t xml:space="preserve">Theoretical frameworks, including McCormack and McCance (2016) and Rogers (1961), provide guidance for operationalising PCC. Ethical principles and UK policies, such as the Care Act 2014 and NICE Guidelines, further support practice. Practical application in community mental health services </w:t>
      </w:r>
      <w:bookmarkStart w:id="19" w:name="_Int_BTt1lE1D"/>
      <w:r w:rsidRPr="00CD53E4">
        <w:rPr>
          <w:rFonts w:ascii="Arial" w:hAnsi="Arial" w:cs="Arial"/>
          <w:kern w:val="0"/>
          <w:sz w:val="22"/>
          <w:szCs w:val="22"/>
          <w14:ligatures w14:val="none"/>
        </w:rPr>
        <w:t>demonstrates</w:t>
      </w:r>
      <w:bookmarkEnd w:id="19"/>
      <w:r w:rsidRPr="00CD53E4">
        <w:rPr>
          <w:rFonts w:ascii="Arial" w:hAnsi="Arial" w:cs="Arial"/>
          <w:kern w:val="0"/>
          <w:sz w:val="22"/>
          <w:szCs w:val="22"/>
          <w14:ligatures w14:val="none"/>
        </w:rPr>
        <w:t xml:space="preserve"> both benefits and challenges, highlighting the need for clear communication, training, and resource support.</w:t>
      </w:r>
    </w:p>
    <w:p w14:paraId="33AA0DF9"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1DE6D882" w14:textId="60960786"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 xml:space="preserve">Future development should focus on staff education, digital integration, and continuous evaluation to enhance PCC and PW. Embedding these approaches ensures that UK health and social care </w:t>
      </w:r>
      <w:r w:rsidR="00E56308" w:rsidRPr="00CD53E4">
        <w:rPr>
          <w:rFonts w:ascii="Arial" w:hAnsi="Arial" w:cs="Arial"/>
          <w:kern w:val="0"/>
          <w:sz w:val="22"/>
          <w:szCs w:val="22"/>
          <w14:ligatures w14:val="none"/>
        </w:rPr>
        <w:t>remain</w:t>
      </w:r>
      <w:r w:rsidRPr="00CD53E4">
        <w:rPr>
          <w:rFonts w:ascii="Arial" w:hAnsi="Arial" w:cs="Arial"/>
          <w:kern w:val="0"/>
          <w:sz w:val="22"/>
          <w:szCs w:val="22"/>
          <w14:ligatures w14:val="none"/>
        </w:rPr>
        <w:t xml:space="preserve"> person-centred, collaborative, and responsive to service users’ diverse needs.</w:t>
      </w:r>
    </w:p>
    <w:p w14:paraId="3C0CBEE8" w14:textId="77777777" w:rsidR="00CD53E4" w:rsidRPr="00CD53E4" w:rsidRDefault="00CD53E4" w:rsidP="00CD53E4">
      <w:pPr>
        <w:spacing w:after="0" w:line="240" w:lineRule="auto"/>
        <w:rPr>
          <w:rFonts w:ascii="Arial" w:eastAsia="Times New Roman" w:hAnsi="Arial" w:cs="Arial"/>
          <w:kern w:val="0"/>
          <w:sz w:val="22"/>
          <w:szCs w:val="22"/>
          <w14:ligatures w14:val="none"/>
        </w:rPr>
      </w:pPr>
      <w:r w:rsidRPr="00CD53E4">
        <w:rPr>
          <w:rFonts w:ascii="Arial" w:eastAsia="Times New Roman" w:hAnsi="Arial" w:cs="Arial"/>
          <w:noProof/>
          <w:kern w:val="0"/>
          <w:sz w:val="22"/>
          <w:szCs w:val="22"/>
          <w14:ligatures w14:val="none"/>
        </w:rPr>
        <mc:AlternateContent>
          <mc:Choice Requires="wps">
            <w:drawing>
              <wp:inline distT="0" distB="0" distL="0" distR="0" wp14:anchorId="604D1888" wp14:editId="08B30874">
                <wp:extent cx="8863330" cy="1270"/>
                <wp:effectExtent l="0" t="31750" r="0" b="36830"/>
                <wp:docPr id="86720185"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83E2B33" id="Rectangle 1" o:spid="_x0000_s1026" style="width:697.9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" filled="f">
                <w10:anchorlock/>
              </v:rect>
            </w:pict>
          </mc:Fallback>
        </mc:AlternateContent>
      </w:r>
    </w:p>
    <w:p w14:paraId="2CA359A9" w14:textId="77777777" w:rsidR="00466100" w:rsidRDefault="00466100"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2A92F7C5" w14:textId="77777777" w:rsidR="00466100" w:rsidRDefault="00466100"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77297E2E" w14:textId="77777777" w:rsidR="00466100" w:rsidRDefault="00466100"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15F60620" w14:textId="77777777" w:rsidR="00466100" w:rsidRDefault="00466100"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6334F7BF" w14:textId="77777777" w:rsidR="00466100" w:rsidRDefault="00466100"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6AED7124" w14:textId="77777777" w:rsidR="00466100" w:rsidRDefault="00466100"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3BE6F986" w14:textId="77777777" w:rsidR="00466100" w:rsidRDefault="00466100"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2DF01E9F" w14:textId="77777777" w:rsidR="00466100" w:rsidRDefault="00466100"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1EF2993D" w14:textId="77777777" w:rsidR="00466100" w:rsidRDefault="00466100"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1189BDEA" w14:textId="77777777" w:rsidR="001C662A" w:rsidRDefault="001C662A"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0D456872" w14:textId="77777777" w:rsidR="001C662A" w:rsidRDefault="001C662A"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1FF7A386" w14:textId="77777777" w:rsidR="001C662A" w:rsidRDefault="001C662A"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5E126BF6" w14:textId="77777777" w:rsidR="001C662A" w:rsidRDefault="001C662A"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279B02BD" w14:textId="77777777" w:rsidR="001C662A" w:rsidRDefault="001C662A"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19E02FCD" w14:textId="77777777" w:rsidR="001C662A" w:rsidRDefault="001C662A"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501852E2" w14:textId="77777777" w:rsidR="001C662A" w:rsidRDefault="001C662A"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6F4953FB" w14:textId="77777777" w:rsidR="001C662A" w:rsidRDefault="001C662A"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6C644137" w14:textId="77777777" w:rsidR="001C662A" w:rsidRDefault="001C662A"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32D0D892" w14:textId="77777777" w:rsidR="001C662A" w:rsidRDefault="001C662A"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580B3F40" w14:textId="77777777" w:rsidR="001C662A" w:rsidRDefault="001C662A"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38A7CD42" w14:textId="77777777" w:rsidR="001C662A" w:rsidRDefault="001C662A"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2228B206" w14:textId="77777777" w:rsidR="001C662A" w:rsidRDefault="001C662A"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22CACBEF" w14:textId="77777777" w:rsidR="001C662A" w:rsidRDefault="001C662A"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2F14FF60" w14:textId="77777777" w:rsidR="001C662A" w:rsidRDefault="001C662A"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379A6251" w14:textId="77777777" w:rsidR="001C662A" w:rsidRDefault="001C662A"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6907C059" w14:textId="77777777" w:rsidR="001C662A" w:rsidRDefault="001C662A"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49301B44" w14:textId="77777777" w:rsidR="001C662A" w:rsidRDefault="001C662A"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7C37EC1B" w14:textId="77777777" w:rsidR="001C662A" w:rsidRDefault="001C662A"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5D8408C0" w14:textId="77777777" w:rsidR="001C662A" w:rsidRDefault="001C662A"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093731F3" w14:textId="77777777" w:rsidR="001C662A" w:rsidRDefault="001C662A"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4F986DE2" w14:textId="77777777" w:rsidR="001C662A" w:rsidRDefault="001C662A"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42BC7345" w14:textId="77777777" w:rsidR="001C662A" w:rsidRDefault="001C662A"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358588E1" w14:textId="77777777" w:rsidR="001C662A" w:rsidRDefault="001C662A"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77075D9E" w14:textId="77777777" w:rsidR="001C662A" w:rsidRDefault="001C662A"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3EB83786" w14:textId="77777777" w:rsidR="00466100" w:rsidRDefault="00466100"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22C8D80F" w14:textId="77777777" w:rsidR="00466100" w:rsidRDefault="00466100"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7AE83228" w14:textId="77777777" w:rsidR="00466100" w:rsidRDefault="00466100" w:rsidP="00CD53E4">
      <w:pPr>
        <w:spacing w:before="100" w:beforeAutospacing="1" w:after="100" w:afterAutospacing="1" w:line="240" w:lineRule="auto"/>
        <w:outlineLvl w:val="1"/>
        <w:rPr>
          <w:rFonts w:ascii="Arial" w:eastAsia="Times New Roman" w:hAnsi="Arial" w:cs="Arial"/>
          <w:b/>
          <w:bCs/>
          <w:kern w:val="0"/>
          <w:sz w:val="22"/>
          <w:szCs w:val="22"/>
          <w14:ligatures w14:val="none"/>
        </w:rPr>
      </w:pPr>
    </w:p>
    <w:p w14:paraId="50048F4A" w14:textId="7D260307" w:rsidR="00CD53E4" w:rsidRPr="00CD53E4" w:rsidRDefault="00CD53E4" w:rsidP="00CD53E4">
      <w:pPr>
        <w:spacing w:before="100" w:beforeAutospacing="1" w:after="100" w:afterAutospacing="1" w:line="240" w:lineRule="auto"/>
        <w:outlineLvl w:val="1"/>
        <w:rPr>
          <w:rFonts w:ascii="Arial" w:hAnsi="Arial" w:cs="Arial"/>
          <w:b/>
          <w:bCs/>
          <w:kern w:val="0"/>
          <w:sz w:val="22"/>
          <w:szCs w:val="22"/>
          <w14:ligatures w14:val="none"/>
        </w:rPr>
      </w:pPr>
      <w:r w:rsidRPr="00CD53E4">
        <w:rPr>
          <w:rFonts w:ascii="Arial" w:eastAsia="Times New Roman" w:hAnsi="Arial" w:cs="Arial"/>
          <w:b/>
          <w:bCs/>
          <w:kern w:val="0"/>
          <w:sz w:val="22"/>
          <w:szCs w:val="22"/>
          <w14:ligatures w14:val="none"/>
        </w:rPr>
        <w:t>10. Reference</w:t>
      </w:r>
      <w:r w:rsidR="00F966F5">
        <w:rPr>
          <w:rFonts w:ascii="Arial" w:eastAsia="Times New Roman" w:hAnsi="Arial" w:cs="Arial"/>
          <w:b/>
          <w:bCs/>
          <w:kern w:val="0"/>
          <w:sz w:val="22"/>
          <w:szCs w:val="22"/>
          <w14:ligatures w14:val="none"/>
        </w:rPr>
        <w:t xml:space="preserve"> list:</w:t>
      </w:r>
    </w:p>
    <w:p w14:paraId="59F9EEE3"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644E4E9C"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Beauchamp, T. &amp; Childress, J. (2019) Principles of Biomedical Ethics. 8th ed. Oxford: Oxford University Press.</w:t>
      </w:r>
    </w:p>
    <w:p w14:paraId="2B2A8FD7"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1ADCE46E"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Coulter, A. (2012) Patient Engagement – What Works?. London: The King’s Fund.</w:t>
      </w:r>
    </w:p>
    <w:p w14:paraId="273401B7"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11329456"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Department of Health and Social Care (2012) Health and Social Care Act 2012. London: HMSO.</w:t>
      </w:r>
    </w:p>
    <w:p w14:paraId="5C716C53"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06559821"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Department of Health and Social Care (2020) Framework for Integrated Care Systems. London: DHSC.</w:t>
      </w:r>
    </w:p>
    <w:p w14:paraId="1CB9D3A7"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1FF960D9"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Glasby, J. &amp; Dickinson, H. (2021) Partnership Working in Health and Social Care. 3rd ed. Bristol: Policy Press.</w:t>
      </w:r>
    </w:p>
    <w:p w14:paraId="3D051AA2"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07DB7C5E"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 xml:space="preserve">Ham, C. (2014) Health Policy in the UK. London: </w:t>
      </w:r>
      <w:proofErr w:type="spellStart"/>
      <w:r w:rsidRPr="00CD53E4">
        <w:rPr>
          <w:rFonts w:ascii="Arial" w:hAnsi="Arial" w:cs="Arial"/>
          <w:kern w:val="0"/>
          <w:sz w:val="22"/>
          <w:szCs w:val="22"/>
          <w14:ligatures w14:val="none"/>
        </w:rPr>
        <w:t>Routledge</w:t>
      </w:r>
      <w:proofErr w:type="spellEnd"/>
      <w:r w:rsidRPr="00CD53E4">
        <w:rPr>
          <w:rFonts w:ascii="Arial" w:hAnsi="Arial" w:cs="Arial"/>
          <w:kern w:val="0"/>
          <w:sz w:val="22"/>
          <w:szCs w:val="22"/>
          <w14:ligatures w14:val="none"/>
        </w:rPr>
        <w:t>.</w:t>
      </w:r>
    </w:p>
    <w:p w14:paraId="0A3EC884"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259F236E"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Kitwood, T. (1997) Dementia Reconsidered: The Person Comes First. Buckingham: Open University Press.</w:t>
      </w:r>
    </w:p>
    <w:p w14:paraId="651F04A1"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7201943D"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McCormack, B. &amp; McCance, T. (2016) Person-Centred Practice in Nursing and Health Care. 2nd ed. Oxford: Wiley Blackwell.</w:t>
      </w:r>
    </w:p>
    <w:p w14:paraId="41A0DCC0"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53417D80"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National Institute for Health and Care Excellence (NICE) (2018) Multidisciplinary Teams in Health and Social Care. London: NICE.</w:t>
      </w:r>
    </w:p>
    <w:p w14:paraId="127889D8"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354CDDFD"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National Institute for Health and Care Excellence (NICE) (2022) Person-Centred Care Guidelines. Available at: https://www.nice.org.uk/guidance (Accessed: 16 November 2025).</w:t>
      </w:r>
    </w:p>
    <w:p w14:paraId="60ED076D"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0042DC9C"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NHS (2019) The NHS Long Term Plan. London: NHS England.</w:t>
      </w:r>
    </w:p>
    <w:p w14:paraId="2015F164"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04DA3CF6"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Rogers, C. (1961) On Becoming a Person: A Therapist’s View of Psychotherapy. London: Constable.</w:t>
      </w:r>
    </w:p>
    <w:p w14:paraId="43614AA3"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06791B92"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Rogers, J., Pilgrim, D. &amp; Pugh, S. (2020) ‘Multidisciplinary Approaches to Community Mental Health’, Journal of Integrated Care, 28(4), pp. 210–221.</w:t>
      </w:r>
    </w:p>
    <w:p w14:paraId="6F236709"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3C34AA8C"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Skills for Care (2021) Person-Centred Care in Social Work Practice. Leeds: Skills for Care.</w:t>
      </w:r>
    </w:p>
    <w:p w14:paraId="4B7F9473"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786EE693"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UK Government (2014) Care Act 2014. London: HMSO.</w:t>
      </w:r>
    </w:p>
    <w:p w14:paraId="51909DB2"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p>
    <w:p w14:paraId="33FE9F17" w14:textId="77777777" w:rsidR="00CD53E4" w:rsidRPr="00CD53E4" w:rsidRDefault="00CD53E4" w:rsidP="00CD53E4">
      <w:pPr>
        <w:spacing w:before="100" w:beforeAutospacing="1" w:after="100" w:afterAutospacing="1" w:line="240" w:lineRule="auto"/>
        <w:rPr>
          <w:rFonts w:ascii="Arial" w:hAnsi="Arial" w:cs="Arial"/>
          <w:kern w:val="0"/>
          <w:sz w:val="22"/>
          <w:szCs w:val="22"/>
          <w14:ligatures w14:val="none"/>
        </w:rPr>
      </w:pPr>
      <w:r w:rsidRPr="00CD53E4">
        <w:rPr>
          <w:rFonts w:ascii="Arial" w:hAnsi="Arial" w:cs="Arial"/>
          <w:kern w:val="0"/>
          <w:sz w:val="22"/>
          <w:szCs w:val="22"/>
          <w14:ligatures w14:val="none"/>
        </w:rPr>
        <w:t>Care Quality Commission (CQC) (2022) State of Health and Social Care Report 2022. London: CQC.</w:t>
      </w:r>
    </w:p>
    <w:p w14:paraId="19AF73DB" w14:textId="77777777" w:rsidR="00CD53E4" w:rsidRPr="0091326C" w:rsidRDefault="00CD53E4">
      <w:pPr>
        <w:rPr>
          <w:rFonts w:ascii="Arial" w:hAnsi="Arial" w:cs="Arial"/>
          <w:sz w:val="22"/>
          <w:szCs w:val="22"/>
        </w:rPr>
      </w:pPr>
    </w:p>
    <w:sectPr w:rsidR="00CD53E4" w:rsidRPr="0091326C" w:rsidSect="002C55BD">
      <w:footerReference w:type="even" r:id="rId7"/>
      <w:footerReference w:type="default" r:id="rId8"/>
      <w:pgSz w:w="16838" w:h="23811"/>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541735" w14:textId="77777777" w:rsidR="00266673" w:rsidRDefault="00266673" w:rsidP="009220C1">
      <w:pPr>
        <w:spacing w:after="0" w:line="240" w:lineRule="auto"/>
      </w:pPr>
      <w:r>
        <w:separator/>
      </w:r>
    </w:p>
  </w:endnote>
  <w:endnote w:type="continuationSeparator" w:id="0">
    <w:p w14:paraId="3337ECA4" w14:textId="77777777" w:rsidR="00266673" w:rsidRDefault="00266673" w:rsidP="009220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64441067"/>
      <w:docPartObj>
        <w:docPartGallery w:val="Page Numbers (Bottom of Page)"/>
        <w:docPartUnique/>
      </w:docPartObj>
    </w:sdtPr>
    <w:sdtContent>
      <w:p w14:paraId="3AC89EA9" w14:textId="4764E6A2" w:rsidR="0094450F" w:rsidRDefault="0094450F" w:rsidP="00F830F8">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341A53" w14:textId="77777777" w:rsidR="0094450F" w:rsidRDefault="0094450F" w:rsidP="0094450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2476917"/>
      <w:docPartObj>
        <w:docPartGallery w:val="Page Numbers (Bottom of Page)"/>
        <w:docPartUnique/>
      </w:docPartObj>
    </w:sdtPr>
    <w:sdtContent>
      <w:p w14:paraId="073DB167" w14:textId="446C8B90" w:rsidR="0094450F" w:rsidRDefault="0094450F" w:rsidP="00F830F8">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288EBF5" w14:textId="77777777" w:rsidR="0094450F" w:rsidRDefault="0094450F" w:rsidP="0094450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FD97A8" w14:textId="77777777" w:rsidR="00266673" w:rsidRDefault="00266673" w:rsidP="009220C1">
      <w:pPr>
        <w:spacing w:after="0" w:line="240" w:lineRule="auto"/>
      </w:pPr>
      <w:r>
        <w:separator/>
      </w:r>
    </w:p>
  </w:footnote>
  <w:footnote w:type="continuationSeparator" w:id="0">
    <w:p w14:paraId="409C262C" w14:textId="77777777" w:rsidR="00266673" w:rsidRDefault="00266673" w:rsidP="009220C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Bo9mQ3sE" int2:invalidationBookmarkName="" int2:hashCode="Z0pwwgofMnVT0Y" int2:id="lpw6UdCe">
      <int2:state int2:value="Rejected" int2:type="style"/>
    </int2:bookmark>
    <int2:bookmark int2:bookmarkName="_Int_lIftFJtW" int2:invalidationBookmarkName="" int2:hashCode="SradH0SdDJdch8" int2:id="jl2e4b41">
      <int2:state int2:value="Rejected" int2:type="style"/>
    </int2:bookmark>
    <int2:bookmark int2:bookmarkName="_Int_oeAXbMZC" int2:invalidationBookmarkName="" int2:hashCode="saKgVvYzhy2s8m" int2:id="WZMSVTCF">
      <int2:state int2:value="Rejected" int2:type="style"/>
    </int2:bookmark>
    <int2:bookmark int2:bookmarkName="_Int_lOk7Nlz5" int2:invalidationBookmarkName="" int2:hashCode="24WOXnWLTsAcK7" int2:id="uaoJJjcN">
      <int2:state int2:value="Rejected" int2:type="style"/>
    </int2:bookmark>
    <int2:bookmark int2:bookmarkName="_Int_DxjsMGdM" int2:invalidationBookmarkName="" int2:hashCode="ISQDfKZqM8FMSE" int2:id="ULwzVSDu">
      <int2:state int2:value="Rejected" int2:type="style"/>
    </int2:bookmark>
    <int2:bookmark int2:bookmarkName="_Int_vqa1ckDQ" int2:invalidationBookmarkName="" int2:hashCode="hirAGn78cxScXm" int2:id="eka6P1AR">
      <int2:state int2:value="Rejected" int2:type="style"/>
    </int2:bookmark>
    <int2:bookmark int2:bookmarkName="_Int_xs8tG8m2" int2:invalidationBookmarkName="" int2:hashCode="s4nYnOhSAw/+QB" int2:id="mzFiixUC">
      <int2:state int2:value="Rejected" int2:type="style"/>
    </int2:bookmark>
    <int2:bookmark int2:bookmarkName="_Int_jA7iYPlL" int2:invalidationBookmarkName="" int2:hashCode="1ufNAFwK2pYs8c" int2:id="so7CMlv2">
      <int2:state int2:value="Rejected" int2:type="style"/>
    </int2:bookmark>
    <int2:bookmark int2:bookmarkName="_Int_sEjvfsIG" int2:invalidationBookmarkName="" int2:hashCode="6xX40Nbu8SUY24" int2:id="ZK2Cuqqs">
      <int2:state int2:value="Rejected" int2:type="style"/>
    </int2:bookmark>
    <int2:bookmark int2:bookmarkName="_Int_0W3bGCzo" int2:invalidationBookmarkName="" int2:hashCode="00lrrL/M8p7RXo" int2:id="t1JSKqWi">
      <int2:state int2:value="Rejected" int2:type="style"/>
    </int2:bookmark>
    <int2:bookmark int2:bookmarkName="_Int_yrD7exsu" int2:invalidationBookmarkName="" int2:hashCode="dalNooyseA++F1" int2:id="E8tlQ2s1">
      <int2:state int2:value="Rejected" int2:type="style"/>
    </int2:bookmark>
    <int2:bookmark int2:bookmarkName="_Int_BTt1lE1D" int2:invalidationBookmarkName="" int2:hashCode="SMFwPIHakRGYAb" int2:id="fB7S32rI">
      <int2:state int2:value="Rejected" int2:type="style"/>
    </int2:bookmark>
    <int2:bookmark int2:bookmarkName="_Int_OeJltJ2G" int2:invalidationBookmarkName="" int2:hashCode="yJe5mOB4uO1c8G" int2:id="UkEIQNwO">
      <int2:state int2:value="Rejected" int2:type="style"/>
    </int2:bookmark>
    <int2:bookmark int2:bookmarkName="_Int_tMLIj6U4" int2:invalidationBookmarkName="" int2:hashCode="051uur3qTsy1Ie" int2:id="jEZGuutm">
      <int2:state int2:value="Rejected" int2:type="style"/>
    </int2:bookmark>
    <int2:bookmark int2:bookmarkName="_Int_CHIj0w7p" int2:invalidationBookmarkName="" int2:hashCode="04EplSZjN/Zh0j" int2:id="SweCZPwx">
      <int2:state int2:value="Rejected" int2:type="style"/>
    </int2:bookmark>
    <int2:bookmark int2:bookmarkName="_Int_rvhthKwY" int2:invalidationBookmarkName="" int2:hashCode="2/Zj6FVGQB1+2R" int2:id="Zp4oNoea">
      <int2:state int2:value="Rejected" int2:type="style"/>
    </int2:bookmark>
    <int2:bookmark int2:bookmarkName="_Int_prP1AEf5" int2:invalidationBookmarkName="" int2:hashCode="56tMqWfHFiqU/R" int2:id="yrfrcvWc">
      <int2:state int2:value="Rejected" int2:type="style"/>
    </int2:bookmark>
    <int2:bookmark int2:bookmarkName="_Int_lhu2g6Bd" int2:invalidationBookmarkName="" int2:hashCode="xmzbmyhMkpwk26" int2:id="EOJh0CVX">
      <int2:state int2:value="Rejected" int2:type="style"/>
    </int2:bookmark>
    <int2:bookmark int2:bookmarkName="_Int_oxjsdnNY" int2:invalidationBookmarkName="" int2:hashCode="5NmnYnEbPG7rVG" int2:id="m4YaMTBH">
      <int2:state int2:value="Rejected" int2:type="style"/>
    </int2:bookmark>
    <int2:bookmark int2:bookmarkName="_Int_6dRVbOr8" int2:invalidationBookmarkName="" int2:hashCode="Fhh5hJi7y7YHGm" int2:id="QBX0M5xO">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BA63D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A8631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FA82D1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89F084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85946227">
    <w:abstractNumId w:val="0"/>
  </w:num>
  <w:num w:numId="2" w16cid:durableId="1175267502">
    <w:abstractNumId w:val="1"/>
  </w:num>
  <w:num w:numId="3" w16cid:durableId="434011703">
    <w:abstractNumId w:val="2"/>
  </w:num>
  <w:num w:numId="4" w16cid:durableId="16785332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3E4"/>
    <w:rsid w:val="00053805"/>
    <w:rsid w:val="00084C96"/>
    <w:rsid w:val="00095C99"/>
    <w:rsid w:val="001955DF"/>
    <w:rsid w:val="001C662A"/>
    <w:rsid w:val="00266673"/>
    <w:rsid w:val="002B0E2D"/>
    <w:rsid w:val="002C55BD"/>
    <w:rsid w:val="0044355F"/>
    <w:rsid w:val="00466100"/>
    <w:rsid w:val="005C7382"/>
    <w:rsid w:val="005E0733"/>
    <w:rsid w:val="00624F07"/>
    <w:rsid w:val="006406D6"/>
    <w:rsid w:val="00725BEE"/>
    <w:rsid w:val="0075134B"/>
    <w:rsid w:val="007E1C61"/>
    <w:rsid w:val="00804284"/>
    <w:rsid w:val="008A5FAE"/>
    <w:rsid w:val="00912CE9"/>
    <w:rsid w:val="0091326C"/>
    <w:rsid w:val="009220C1"/>
    <w:rsid w:val="0094450F"/>
    <w:rsid w:val="00A11F9B"/>
    <w:rsid w:val="00A3757D"/>
    <w:rsid w:val="00A561F8"/>
    <w:rsid w:val="00A63A5F"/>
    <w:rsid w:val="00A704C6"/>
    <w:rsid w:val="00AE68FE"/>
    <w:rsid w:val="00B1398A"/>
    <w:rsid w:val="00B13F25"/>
    <w:rsid w:val="00B464CD"/>
    <w:rsid w:val="00C50227"/>
    <w:rsid w:val="00CC7B73"/>
    <w:rsid w:val="00CD53E4"/>
    <w:rsid w:val="00D03692"/>
    <w:rsid w:val="00DC7CC1"/>
    <w:rsid w:val="00E033D6"/>
    <w:rsid w:val="00E56308"/>
    <w:rsid w:val="00EC50C6"/>
    <w:rsid w:val="00F966F5"/>
    <w:rsid w:val="00FA19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AF5FBE"/>
  <w15:chartTrackingRefBased/>
  <w15:docId w15:val="{6EF311E0-F8A9-A044-A264-F665AC81D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53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D53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53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53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53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53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53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53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53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53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53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53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53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53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53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53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53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53E4"/>
    <w:rPr>
      <w:rFonts w:eastAsiaTheme="majorEastAsia" w:cstheme="majorBidi"/>
      <w:color w:val="272727" w:themeColor="text1" w:themeTint="D8"/>
    </w:rPr>
  </w:style>
  <w:style w:type="paragraph" w:styleId="Title">
    <w:name w:val="Title"/>
    <w:basedOn w:val="Normal"/>
    <w:next w:val="Normal"/>
    <w:link w:val="TitleChar"/>
    <w:uiPriority w:val="10"/>
    <w:qFormat/>
    <w:rsid w:val="00CD53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53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53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53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53E4"/>
    <w:pPr>
      <w:spacing w:before="160"/>
      <w:jc w:val="center"/>
    </w:pPr>
    <w:rPr>
      <w:i/>
      <w:iCs/>
      <w:color w:val="404040" w:themeColor="text1" w:themeTint="BF"/>
    </w:rPr>
  </w:style>
  <w:style w:type="character" w:customStyle="1" w:styleId="QuoteChar">
    <w:name w:val="Quote Char"/>
    <w:basedOn w:val="DefaultParagraphFont"/>
    <w:link w:val="Quote"/>
    <w:uiPriority w:val="29"/>
    <w:rsid w:val="00CD53E4"/>
    <w:rPr>
      <w:i/>
      <w:iCs/>
      <w:color w:val="404040" w:themeColor="text1" w:themeTint="BF"/>
    </w:rPr>
  </w:style>
  <w:style w:type="paragraph" w:styleId="ListParagraph">
    <w:name w:val="List Paragraph"/>
    <w:basedOn w:val="Normal"/>
    <w:uiPriority w:val="34"/>
    <w:qFormat/>
    <w:rsid w:val="00CD53E4"/>
    <w:pPr>
      <w:ind w:left="720"/>
      <w:contextualSpacing/>
    </w:pPr>
  </w:style>
  <w:style w:type="character" w:styleId="IntenseEmphasis">
    <w:name w:val="Intense Emphasis"/>
    <w:basedOn w:val="DefaultParagraphFont"/>
    <w:uiPriority w:val="21"/>
    <w:qFormat/>
    <w:rsid w:val="00CD53E4"/>
    <w:rPr>
      <w:i/>
      <w:iCs/>
      <w:color w:val="0F4761" w:themeColor="accent1" w:themeShade="BF"/>
    </w:rPr>
  </w:style>
  <w:style w:type="paragraph" w:styleId="IntenseQuote">
    <w:name w:val="Intense Quote"/>
    <w:basedOn w:val="Normal"/>
    <w:next w:val="Normal"/>
    <w:link w:val="IntenseQuoteChar"/>
    <w:uiPriority w:val="30"/>
    <w:qFormat/>
    <w:rsid w:val="00CD53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53E4"/>
    <w:rPr>
      <w:i/>
      <w:iCs/>
      <w:color w:val="0F4761" w:themeColor="accent1" w:themeShade="BF"/>
    </w:rPr>
  </w:style>
  <w:style w:type="character" w:styleId="IntenseReference">
    <w:name w:val="Intense Reference"/>
    <w:basedOn w:val="DefaultParagraphFont"/>
    <w:uiPriority w:val="32"/>
    <w:qFormat/>
    <w:rsid w:val="00CD53E4"/>
    <w:rPr>
      <w:b/>
      <w:bCs/>
      <w:smallCaps/>
      <w:color w:val="0F4761" w:themeColor="accent1" w:themeShade="BF"/>
      <w:spacing w:val="5"/>
    </w:rPr>
  </w:style>
  <w:style w:type="paragraph" w:customStyle="1" w:styleId="p1">
    <w:name w:val="p1"/>
    <w:basedOn w:val="Normal"/>
    <w:rsid w:val="00CD53E4"/>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CD53E4"/>
  </w:style>
  <w:style w:type="paragraph" w:customStyle="1" w:styleId="p2">
    <w:name w:val="p2"/>
    <w:basedOn w:val="Normal"/>
    <w:rsid w:val="00CD53E4"/>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CD53E4"/>
  </w:style>
  <w:style w:type="paragraph" w:customStyle="1" w:styleId="p3">
    <w:name w:val="p3"/>
    <w:basedOn w:val="Normal"/>
    <w:rsid w:val="00CD53E4"/>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CD53E4"/>
  </w:style>
  <w:style w:type="character" w:customStyle="1" w:styleId="apple-converted-space">
    <w:name w:val="apple-converted-space"/>
    <w:basedOn w:val="DefaultParagraphFont"/>
    <w:rsid w:val="00CD53E4"/>
  </w:style>
  <w:style w:type="character" w:customStyle="1" w:styleId="s4">
    <w:name w:val="s4"/>
    <w:basedOn w:val="DefaultParagraphFont"/>
    <w:rsid w:val="00CD53E4"/>
  </w:style>
  <w:style w:type="paragraph" w:styleId="Header">
    <w:name w:val="header"/>
    <w:basedOn w:val="Normal"/>
    <w:link w:val="HeaderChar"/>
    <w:uiPriority w:val="99"/>
    <w:unhideWhenUsed/>
    <w:rsid w:val="009220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20C1"/>
  </w:style>
  <w:style w:type="paragraph" w:styleId="Footer">
    <w:name w:val="footer"/>
    <w:basedOn w:val="Normal"/>
    <w:link w:val="FooterChar"/>
    <w:uiPriority w:val="99"/>
    <w:unhideWhenUsed/>
    <w:rsid w:val="009220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20C1"/>
  </w:style>
  <w:style w:type="character" w:styleId="PageNumber">
    <w:name w:val="page number"/>
    <w:basedOn w:val="DefaultParagraphFont"/>
    <w:uiPriority w:val="99"/>
    <w:semiHidden/>
    <w:unhideWhenUsed/>
    <w:rsid w:val="009445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3859986">
      <w:marLeft w:val="0"/>
      <w:marRight w:val="0"/>
      <w:marTop w:val="0"/>
      <w:marBottom w:val="0"/>
      <w:divBdr>
        <w:top w:val="none" w:sz="0" w:space="0" w:color="auto"/>
        <w:left w:val="none" w:sz="0" w:space="0" w:color="auto"/>
        <w:bottom w:val="none" w:sz="0" w:space="0" w:color="auto"/>
        <w:right w:val="none" w:sz="0" w:space="0" w:color="auto"/>
      </w:divBdr>
    </w:div>
    <w:div w:id="222067014">
      <w:bodyDiv w:val="1"/>
      <w:marLeft w:val="0"/>
      <w:marRight w:val="0"/>
      <w:marTop w:val="0"/>
      <w:marBottom w:val="0"/>
      <w:divBdr>
        <w:top w:val="none" w:sz="0" w:space="0" w:color="auto"/>
        <w:left w:val="none" w:sz="0" w:space="0" w:color="auto"/>
        <w:bottom w:val="none" w:sz="0" w:space="0" w:color="auto"/>
        <w:right w:val="none" w:sz="0" w:space="0" w:color="auto"/>
      </w:divBdr>
    </w:div>
    <w:div w:id="357002955">
      <w:marLeft w:val="0"/>
      <w:marRight w:val="0"/>
      <w:marTop w:val="0"/>
      <w:marBottom w:val="0"/>
      <w:divBdr>
        <w:top w:val="none" w:sz="0" w:space="0" w:color="auto"/>
        <w:left w:val="none" w:sz="0" w:space="0" w:color="auto"/>
        <w:bottom w:val="none" w:sz="0" w:space="0" w:color="auto"/>
        <w:right w:val="none" w:sz="0" w:space="0" w:color="auto"/>
      </w:divBdr>
    </w:div>
    <w:div w:id="770515324">
      <w:marLeft w:val="0"/>
      <w:marRight w:val="0"/>
      <w:marTop w:val="0"/>
      <w:marBottom w:val="0"/>
      <w:divBdr>
        <w:top w:val="none" w:sz="0" w:space="0" w:color="auto"/>
        <w:left w:val="none" w:sz="0" w:space="0" w:color="auto"/>
        <w:bottom w:val="none" w:sz="0" w:space="0" w:color="auto"/>
        <w:right w:val="none" w:sz="0" w:space="0" w:color="auto"/>
      </w:divBdr>
    </w:div>
    <w:div w:id="1145076699">
      <w:marLeft w:val="0"/>
      <w:marRight w:val="0"/>
      <w:marTop w:val="0"/>
      <w:marBottom w:val="0"/>
      <w:divBdr>
        <w:top w:val="none" w:sz="0" w:space="0" w:color="auto"/>
        <w:left w:val="none" w:sz="0" w:space="0" w:color="auto"/>
        <w:bottom w:val="none" w:sz="0" w:space="0" w:color="auto"/>
        <w:right w:val="none" w:sz="0" w:space="0" w:color="auto"/>
      </w:divBdr>
    </w:div>
    <w:div w:id="1224022445">
      <w:marLeft w:val="0"/>
      <w:marRight w:val="0"/>
      <w:marTop w:val="0"/>
      <w:marBottom w:val="0"/>
      <w:divBdr>
        <w:top w:val="none" w:sz="0" w:space="0" w:color="auto"/>
        <w:left w:val="none" w:sz="0" w:space="0" w:color="auto"/>
        <w:bottom w:val="none" w:sz="0" w:space="0" w:color="auto"/>
        <w:right w:val="none" w:sz="0" w:space="0" w:color="auto"/>
      </w:divBdr>
    </w:div>
    <w:div w:id="1513689743">
      <w:marLeft w:val="0"/>
      <w:marRight w:val="0"/>
      <w:marTop w:val="0"/>
      <w:marBottom w:val="0"/>
      <w:divBdr>
        <w:top w:val="none" w:sz="0" w:space="0" w:color="auto"/>
        <w:left w:val="none" w:sz="0" w:space="0" w:color="auto"/>
        <w:bottom w:val="none" w:sz="0" w:space="0" w:color="auto"/>
        <w:right w:val="none" w:sz="0" w:space="0" w:color="auto"/>
      </w:divBdr>
    </w:div>
    <w:div w:id="1770352674">
      <w:marLeft w:val="0"/>
      <w:marRight w:val="0"/>
      <w:marTop w:val="0"/>
      <w:marBottom w:val="0"/>
      <w:divBdr>
        <w:top w:val="none" w:sz="0" w:space="0" w:color="auto"/>
        <w:left w:val="none" w:sz="0" w:space="0" w:color="auto"/>
        <w:bottom w:val="none" w:sz="0" w:space="0" w:color="auto"/>
        <w:right w:val="none" w:sz="0" w:space="0" w:color="auto"/>
      </w:divBdr>
    </w:div>
    <w:div w:id="1788544353">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TotalTime>
  <Pages>6</Pages>
  <Words>2370</Words>
  <Characters>13510</Characters>
  <Application>Microsoft Office Word</Application>
  <DocSecurity>0</DocSecurity>
  <Lines>112</Lines>
  <Paragraphs>31</Paragraphs>
  <ScaleCrop>false</ScaleCrop>
  <Company/>
  <LinksUpToDate>false</LinksUpToDate>
  <CharactersWithSpaces>15849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Norin Mahmood (2411895)</dc:creator>
  <cp:keywords/>
  <dc:description/>
  <cp:lastModifiedBy>Norin Mahmood (2411895)</cp:lastModifiedBy>
  <cp:revision>23</cp:revision>
  <dcterms:created xsi:type="dcterms:W3CDTF">2025-11-16T03:58:00Z</dcterms:created>
  <dcterms:modified xsi:type="dcterms:W3CDTF">2025-11-16T04:19:00Z</dcterms:modified>
</cp:coreProperties>
</file>